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1984"/>
        <w:gridCol w:w="5812"/>
      </w:tblGrid>
      <w:tr w:rsidR="00A95160" w:rsidTr="007F1E59">
        <w:tc>
          <w:tcPr>
            <w:tcW w:w="1526" w:type="dxa"/>
          </w:tcPr>
          <w:p w:rsidR="00A95160" w:rsidRDefault="00A95160" w:rsidP="00310127">
            <w:pPr>
              <w:rPr>
                <w:rFonts w:ascii="Century Gothic" w:hAnsi="Century Gothic"/>
                <w:b/>
                <w:sz w:val="26"/>
                <w:szCs w:val="26"/>
              </w:rPr>
            </w:pPr>
            <w:r>
              <w:rPr>
                <w:rFonts w:ascii="Square721 BT" w:hAnsi="Square721 BT"/>
                <w:b/>
                <w:noProof/>
                <w:sz w:val="40"/>
                <w:szCs w:val="40"/>
                <w:lang w:val="id-ID" w:eastAsia="ko-KR"/>
              </w:rPr>
              <w:drawing>
                <wp:inline distT="0" distB="0" distL="0" distR="0">
                  <wp:extent cx="826617" cy="826617"/>
                  <wp:effectExtent l="0" t="0" r="0" b="0"/>
                  <wp:docPr id="1" name="Picture 0" descr="logo c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ias.jpg"/>
                          <pic:cNvPicPr/>
                        </pic:nvPicPr>
                        <pic:blipFill>
                          <a:blip r:embed="rId8" cstate="print"/>
                          <a:stretch>
                            <a:fillRect/>
                          </a:stretch>
                        </pic:blipFill>
                        <pic:spPr>
                          <a:xfrm>
                            <a:off x="0" y="0"/>
                            <a:ext cx="829898" cy="829898"/>
                          </a:xfrm>
                          <a:prstGeom prst="rect">
                            <a:avLst/>
                          </a:prstGeom>
                        </pic:spPr>
                      </pic:pic>
                    </a:graphicData>
                  </a:graphic>
                </wp:inline>
              </w:drawing>
            </w:r>
          </w:p>
        </w:tc>
        <w:tc>
          <w:tcPr>
            <w:tcW w:w="7796" w:type="dxa"/>
            <w:gridSpan w:val="2"/>
            <w:shd w:val="clear" w:color="auto" w:fill="E5B8B7" w:themeFill="accent2" w:themeFillTint="66"/>
          </w:tcPr>
          <w:p w:rsidR="008513CE" w:rsidRDefault="008513CE" w:rsidP="008513CE">
            <w:pPr>
              <w:rPr>
                <w:rFonts w:ascii="Square721 BT" w:hAnsi="Square721 BT"/>
                <w:b/>
                <w:sz w:val="20"/>
                <w:szCs w:val="20"/>
              </w:rPr>
            </w:pPr>
          </w:p>
          <w:p w:rsidR="008513CE" w:rsidRDefault="008513CE" w:rsidP="008513CE">
            <w:pPr>
              <w:rPr>
                <w:rFonts w:ascii="Square721 BT" w:hAnsi="Square721 BT"/>
                <w:b/>
                <w:sz w:val="16"/>
                <w:szCs w:val="16"/>
              </w:rPr>
            </w:pPr>
          </w:p>
          <w:p w:rsidR="00A95160" w:rsidRPr="008513CE" w:rsidRDefault="008513CE" w:rsidP="008513CE">
            <w:pPr>
              <w:rPr>
                <w:rFonts w:ascii="Square721 BT" w:hAnsi="Square721 BT"/>
                <w:b/>
                <w:sz w:val="16"/>
                <w:szCs w:val="16"/>
              </w:rPr>
            </w:pPr>
            <w:r w:rsidRPr="008513CE">
              <w:rPr>
                <w:rFonts w:ascii="Square721 BT" w:hAnsi="Square721 BT"/>
                <w:b/>
                <w:sz w:val="16"/>
                <w:szCs w:val="16"/>
              </w:rPr>
              <w:t>JOURNAL OF ISLAMIC ARCHITECTURE</w:t>
            </w:r>
          </w:p>
          <w:p w:rsidR="00A95160" w:rsidRPr="008513CE" w:rsidRDefault="009B382D" w:rsidP="008513CE">
            <w:pPr>
              <w:rPr>
                <w:rFonts w:ascii="Square721 BT" w:hAnsi="Square721 BT"/>
                <w:sz w:val="14"/>
                <w:szCs w:val="14"/>
              </w:rPr>
            </w:pPr>
            <w:r>
              <w:rPr>
                <w:rFonts w:ascii="Square721 BT" w:hAnsi="Square721 BT"/>
                <w:sz w:val="14"/>
                <w:szCs w:val="14"/>
                <w:lang w:val="id-ID"/>
              </w:rPr>
              <w:t>P-</w:t>
            </w:r>
            <w:r w:rsidR="00A95160" w:rsidRPr="008513CE">
              <w:rPr>
                <w:rFonts w:ascii="Square721 BT" w:hAnsi="Square721 BT"/>
                <w:sz w:val="14"/>
                <w:szCs w:val="14"/>
              </w:rPr>
              <w:t>ISSN: 2086-2636 E</w:t>
            </w:r>
            <w:r>
              <w:rPr>
                <w:rFonts w:ascii="Square721 BT" w:hAnsi="Square721 BT"/>
                <w:sz w:val="14"/>
                <w:szCs w:val="14"/>
                <w:lang w:val="id-ID"/>
              </w:rPr>
              <w:t>-</w:t>
            </w:r>
            <w:r w:rsidR="00A95160" w:rsidRPr="008513CE">
              <w:rPr>
                <w:rFonts w:ascii="Square721 BT" w:hAnsi="Square721 BT"/>
                <w:sz w:val="14"/>
                <w:szCs w:val="14"/>
              </w:rPr>
              <w:t>ISSN: 2356-4644</w:t>
            </w:r>
          </w:p>
          <w:p w:rsidR="00A95160" w:rsidRPr="008513CE" w:rsidRDefault="00A95160" w:rsidP="008513CE">
            <w:pPr>
              <w:rPr>
                <w:rFonts w:ascii="Square721 BT" w:hAnsi="Square721 BT"/>
                <w:sz w:val="14"/>
                <w:szCs w:val="14"/>
              </w:rPr>
            </w:pPr>
            <w:r w:rsidRPr="008513CE">
              <w:rPr>
                <w:rFonts w:ascii="Square721 BT" w:hAnsi="Square721 BT"/>
                <w:sz w:val="14"/>
                <w:szCs w:val="14"/>
              </w:rPr>
              <w:t>Journal Home Page: http://ejournal.uin-malang.ac.id/index.php/JIA</w:t>
            </w:r>
          </w:p>
          <w:p w:rsidR="00A95160" w:rsidRDefault="00A95160" w:rsidP="008513CE">
            <w:pPr>
              <w:rPr>
                <w:rFonts w:ascii="Century Gothic" w:hAnsi="Century Gothic"/>
                <w:b/>
                <w:sz w:val="26"/>
                <w:szCs w:val="26"/>
              </w:rPr>
            </w:pPr>
          </w:p>
        </w:tc>
      </w:tr>
      <w:tr w:rsidR="00C718E7" w:rsidTr="00C718E7">
        <w:tc>
          <w:tcPr>
            <w:tcW w:w="1526" w:type="dxa"/>
            <w:shd w:val="clear" w:color="auto" w:fill="auto"/>
          </w:tcPr>
          <w:p w:rsidR="00C718E7" w:rsidRPr="00C718E7" w:rsidRDefault="00C718E7" w:rsidP="008513CE">
            <w:pPr>
              <w:rPr>
                <w:rFonts w:ascii="Square721 BT" w:hAnsi="Square721 BT"/>
                <w:b/>
                <w:noProof/>
                <w:sz w:val="14"/>
                <w:szCs w:val="14"/>
              </w:rPr>
            </w:pPr>
          </w:p>
        </w:tc>
        <w:tc>
          <w:tcPr>
            <w:tcW w:w="7796" w:type="dxa"/>
            <w:gridSpan w:val="2"/>
            <w:shd w:val="clear" w:color="auto" w:fill="auto"/>
          </w:tcPr>
          <w:p w:rsidR="00C718E7" w:rsidRDefault="00C718E7" w:rsidP="008513CE">
            <w:pPr>
              <w:rPr>
                <w:rFonts w:ascii="Square721 BT" w:hAnsi="Square721 BT"/>
                <w:b/>
                <w:sz w:val="20"/>
                <w:szCs w:val="20"/>
              </w:rPr>
            </w:pPr>
          </w:p>
        </w:tc>
      </w:tr>
      <w:tr w:rsidR="008513CE" w:rsidTr="007E00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22" w:type="dxa"/>
            <w:gridSpan w:val="3"/>
            <w:tcBorders>
              <w:top w:val="dotted" w:sz="4" w:space="0" w:color="auto"/>
              <w:left w:val="nil"/>
              <w:bottom w:val="dotted" w:sz="8" w:space="0" w:color="auto"/>
              <w:right w:val="nil"/>
            </w:tcBorders>
          </w:tcPr>
          <w:p w:rsidR="008513CE" w:rsidRPr="00C718E7" w:rsidRDefault="008513CE" w:rsidP="008513CE">
            <w:pPr>
              <w:jc w:val="both"/>
              <w:rPr>
                <w:rFonts w:ascii="Century Gothic" w:hAnsi="Century Gothic"/>
                <w:b/>
                <w:sz w:val="10"/>
                <w:szCs w:val="10"/>
              </w:rPr>
            </w:pPr>
          </w:p>
          <w:p w:rsidR="008513CE" w:rsidRPr="00CA77A5" w:rsidRDefault="00CA77A5" w:rsidP="00CA77A5">
            <w:pPr>
              <w:pStyle w:val="MDPI12title"/>
              <w:spacing w:line="480" w:lineRule="auto"/>
              <w:jc w:val="center"/>
              <w:rPr>
                <w:rFonts w:ascii="Century Gothic" w:hAnsi="Century Gothic"/>
                <w:sz w:val="26"/>
                <w:szCs w:val="26"/>
              </w:rPr>
            </w:pPr>
            <w:r w:rsidRPr="00CA77A5">
              <w:rPr>
                <w:rFonts w:ascii="Century Gothic" w:hAnsi="Century Gothic"/>
                <w:sz w:val="26"/>
                <w:szCs w:val="26"/>
              </w:rPr>
              <w:t>E</w:t>
            </w:r>
            <w:r w:rsidR="00F57915">
              <w:rPr>
                <w:rFonts w:ascii="Century Gothic" w:hAnsi="Century Gothic"/>
                <w:sz w:val="26"/>
                <w:szCs w:val="26"/>
              </w:rPr>
              <w:t>XPLORING</w:t>
            </w:r>
            <w:r w:rsidRPr="00CA77A5">
              <w:rPr>
                <w:rFonts w:ascii="Century Gothic" w:hAnsi="Century Gothic"/>
                <w:sz w:val="26"/>
                <w:szCs w:val="26"/>
              </w:rPr>
              <w:t xml:space="preserve"> </w:t>
            </w:r>
            <w:r w:rsidR="00F57915">
              <w:rPr>
                <w:rFonts w:ascii="Century Gothic" w:hAnsi="Century Gothic"/>
                <w:sz w:val="26"/>
                <w:szCs w:val="26"/>
              </w:rPr>
              <w:t>THE</w:t>
            </w:r>
            <w:r w:rsidRPr="00CA77A5">
              <w:rPr>
                <w:rFonts w:ascii="Century Gothic" w:hAnsi="Century Gothic"/>
                <w:sz w:val="26"/>
                <w:szCs w:val="26"/>
              </w:rPr>
              <w:t xml:space="preserve"> A</w:t>
            </w:r>
            <w:r w:rsidR="00F57915">
              <w:rPr>
                <w:rFonts w:ascii="Century Gothic" w:hAnsi="Century Gothic"/>
                <w:sz w:val="26"/>
                <w:szCs w:val="26"/>
              </w:rPr>
              <w:t>RCHITECTURE</w:t>
            </w:r>
            <w:r w:rsidRPr="00CA77A5">
              <w:rPr>
                <w:rFonts w:ascii="Century Gothic" w:hAnsi="Century Gothic"/>
                <w:sz w:val="26"/>
                <w:szCs w:val="26"/>
              </w:rPr>
              <w:t xml:space="preserve"> </w:t>
            </w:r>
            <w:r w:rsidR="00F57915">
              <w:rPr>
                <w:rFonts w:ascii="Century Gothic" w:hAnsi="Century Gothic"/>
                <w:sz w:val="26"/>
                <w:szCs w:val="26"/>
              </w:rPr>
              <w:t>AND</w:t>
            </w:r>
            <w:r w:rsidRPr="00CA77A5">
              <w:rPr>
                <w:rFonts w:ascii="Century Gothic" w:hAnsi="Century Gothic"/>
                <w:sz w:val="26"/>
                <w:szCs w:val="26"/>
              </w:rPr>
              <w:t xml:space="preserve"> </w:t>
            </w:r>
            <w:r w:rsidR="00F57915">
              <w:rPr>
                <w:rFonts w:ascii="Century Gothic" w:hAnsi="Century Gothic"/>
                <w:sz w:val="26"/>
                <w:szCs w:val="26"/>
              </w:rPr>
              <w:t>ITS INFLUENCE</w:t>
            </w:r>
            <w:r w:rsidRPr="00CA77A5">
              <w:rPr>
                <w:rFonts w:ascii="Century Gothic" w:hAnsi="Century Gothic"/>
                <w:sz w:val="26"/>
                <w:szCs w:val="26"/>
              </w:rPr>
              <w:t xml:space="preserve"> </w:t>
            </w:r>
            <w:r w:rsidR="00F57915">
              <w:rPr>
                <w:rFonts w:ascii="Century Gothic" w:hAnsi="Century Gothic"/>
                <w:sz w:val="26"/>
                <w:szCs w:val="26"/>
              </w:rPr>
              <w:t>OF</w:t>
            </w:r>
            <w:r w:rsidRPr="00CA77A5">
              <w:rPr>
                <w:rFonts w:ascii="Century Gothic" w:hAnsi="Century Gothic"/>
                <w:sz w:val="26"/>
                <w:szCs w:val="26"/>
              </w:rPr>
              <w:t xml:space="preserve"> </w:t>
            </w:r>
            <w:r w:rsidR="00F57915">
              <w:rPr>
                <w:rFonts w:ascii="Century Gothic" w:hAnsi="Century Gothic"/>
                <w:sz w:val="26"/>
                <w:szCs w:val="26"/>
              </w:rPr>
              <w:t>BADSHAHI MOSQUE</w:t>
            </w:r>
            <w:r w:rsidRPr="00CA77A5">
              <w:rPr>
                <w:rFonts w:ascii="Century Gothic" w:hAnsi="Century Gothic"/>
                <w:sz w:val="26"/>
                <w:szCs w:val="26"/>
              </w:rPr>
              <w:t xml:space="preserve"> L</w:t>
            </w:r>
            <w:r w:rsidR="00F57915">
              <w:rPr>
                <w:rFonts w:ascii="Century Gothic" w:hAnsi="Century Gothic"/>
                <w:sz w:val="26"/>
                <w:szCs w:val="26"/>
              </w:rPr>
              <w:t>AHORE</w:t>
            </w:r>
            <w:r w:rsidRPr="00CA77A5">
              <w:rPr>
                <w:rFonts w:ascii="Century Gothic" w:hAnsi="Century Gothic"/>
                <w:sz w:val="26"/>
                <w:szCs w:val="26"/>
              </w:rPr>
              <w:t xml:space="preserve"> (BMLH): A UNESCO Tentative Heritage Site</w:t>
            </w:r>
          </w:p>
          <w:p w:rsidR="00C718E7" w:rsidRPr="00C718E7" w:rsidRDefault="00C718E7" w:rsidP="008513CE">
            <w:pPr>
              <w:jc w:val="both"/>
              <w:rPr>
                <w:rFonts w:ascii="Trebuchet MS" w:hAnsi="Trebuchet MS"/>
                <w:sz w:val="10"/>
                <w:szCs w:val="10"/>
              </w:rPr>
            </w:pPr>
          </w:p>
        </w:tc>
      </w:tr>
      <w:tr w:rsidR="00C264EF" w:rsidTr="008476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
        </w:trPr>
        <w:tc>
          <w:tcPr>
            <w:tcW w:w="9322" w:type="dxa"/>
            <w:gridSpan w:val="3"/>
            <w:tcBorders>
              <w:top w:val="dotted" w:sz="8" w:space="0" w:color="auto"/>
              <w:left w:val="nil"/>
              <w:bottom w:val="dotted" w:sz="8" w:space="0" w:color="auto"/>
              <w:right w:val="nil"/>
            </w:tcBorders>
            <w:shd w:val="clear" w:color="auto" w:fill="E5B8B7" w:themeFill="accent2" w:themeFillTint="66"/>
          </w:tcPr>
          <w:p w:rsidR="00AA44D6" w:rsidRPr="00C718E7" w:rsidRDefault="00AA44D6" w:rsidP="00947498">
            <w:pPr>
              <w:jc w:val="both"/>
              <w:rPr>
                <w:rFonts w:ascii="Square721 BT" w:hAnsi="Square721 BT"/>
                <w:sz w:val="4"/>
                <w:szCs w:val="4"/>
              </w:rPr>
            </w:pPr>
          </w:p>
          <w:p w:rsidR="007273AD" w:rsidRPr="00382257" w:rsidRDefault="007273AD" w:rsidP="00947498">
            <w:pPr>
              <w:jc w:val="both"/>
              <w:rPr>
                <w:rFonts w:ascii="Square721 BT" w:hAnsi="Square721 BT"/>
                <w:sz w:val="14"/>
                <w:szCs w:val="14"/>
              </w:rPr>
            </w:pPr>
            <w:r>
              <w:rPr>
                <w:rFonts w:ascii="Square721 BT" w:hAnsi="Square721 BT"/>
                <w:sz w:val="14"/>
                <w:szCs w:val="14"/>
              </w:rPr>
              <w:t>|</w:t>
            </w:r>
            <w:r w:rsidR="00382257">
              <w:rPr>
                <w:rFonts w:ascii="Square721 BT" w:hAnsi="Square721 BT"/>
                <w:sz w:val="14"/>
                <w:szCs w:val="14"/>
              </w:rPr>
              <w:t xml:space="preserve"> </w:t>
            </w:r>
            <w:r w:rsidR="00947498">
              <w:rPr>
                <w:rFonts w:ascii="Square721 BT" w:hAnsi="Square721 BT"/>
                <w:sz w:val="14"/>
                <w:szCs w:val="14"/>
              </w:rPr>
              <w:t>Received</w:t>
            </w:r>
            <w:r w:rsidR="007E0042">
              <w:rPr>
                <w:rFonts w:ascii="Square721 BT" w:hAnsi="Square721 BT"/>
                <w:sz w:val="14"/>
                <w:szCs w:val="14"/>
              </w:rPr>
              <w:t xml:space="preserve"> </w:t>
            </w:r>
            <w:r w:rsidR="00FA414D">
              <w:rPr>
                <w:rFonts w:ascii="Square721 BT" w:hAnsi="Square721 BT"/>
                <w:sz w:val="14"/>
                <w:szCs w:val="14"/>
                <w:lang w:val="id-ID"/>
              </w:rPr>
              <w:t>May</w:t>
            </w:r>
            <w:r w:rsidR="00C718E7" w:rsidRPr="00C718E7">
              <w:rPr>
                <w:rFonts w:ascii="Square721 BT" w:hAnsi="Square721 BT"/>
                <w:sz w:val="14"/>
                <w:szCs w:val="14"/>
              </w:rPr>
              <w:t xml:space="preserve"> </w:t>
            </w:r>
            <w:r w:rsidR="00FA414D">
              <w:rPr>
                <w:rFonts w:ascii="Square721 BT" w:hAnsi="Square721 BT"/>
                <w:sz w:val="14"/>
                <w:szCs w:val="14"/>
                <w:lang w:val="id-ID"/>
              </w:rPr>
              <w:t>16</w:t>
            </w:r>
            <w:proofErr w:type="spellStart"/>
            <w:r w:rsidR="00C718E7" w:rsidRPr="00C718E7">
              <w:rPr>
                <w:rFonts w:ascii="Square721 BT" w:hAnsi="Square721 BT"/>
                <w:sz w:val="14"/>
                <w:szCs w:val="14"/>
              </w:rPr>
              <w:t>th</w:t>
            </w:r>
            <w:proofErr w:type="spellEnd"/>
            <w:r w:rsidR="00C718E7" w:rsidRPr="00C718E7">
              <w:rPr>
                <w:rFonts w:ascii="Square721 BT" w:hAnsi="Square721 BT"/>
                <w:sz w:val="14"/>
                <w:szCs w:val="14"/>
              </w:rPr>
              <w:t xml:space="preserve"> 201</w:t>
            </w:r>
            <w:r w:rsidR="00FA414D">
              <w:rPr>
                <w:rFonts w:ascii="Square721 BT" w:hAnsi="Square721 BT"/>
                <w:sz w:val="14"/>
                <w:szCs w:val="14"/>
                <w:lang w:val="id-ID"/>
              </w:rPr>
              <w:t>6</w:t>
            </w:r>
            <w:r w:rsidR="00382257">
              <w:rPr>
                <w:rFonts w:ascii="Square721 BT" w:hAnsi="Square721 BT"/>
                <w:sz w:val="14"/>
                <w:szCs w:val="14"/>
              </w:rPr>
              <w:t xml:space="preserve"> | </w:t>
            </w:r>
            <w:r w:rsidR="007E0042">
              <w:rPr>
                <w:rFonts w:ascii="Square721 BT" w:hAnsi="Square721 BT"/>
                <w:sz w:val="14"/>
                <w:szCs w:val="14"/>
              </w:rPr>
              <w:t>Accepted</w:t>
            </w:r>
            <w:r w:rsidR="00C718E7">
              <w:rPr>
                <w:rFonts w:ascii="Square721 BT" w:hAnsi="Square721 BT"/>
                <w:sz w:val="14"/>
                <w:szCs w:val="14"/>
              </w:rPr>
              <w:t xml:space="preserve"> </w:t>
            </w:r>
            <w:r w:rsidR="00FA414D">
              <w:rPr>
                <w:rFonts w:ascii="Square721 BT" w:hAnsi="Square721 BT"/>
                <w:sz w:val="14"/>
                <w:szCs w:val="14"/>
                <w:lang w:val="id-ID"/>
              </w:rPr>
              <w:t>June</w:t>
            </w:r>
            <w:r w:rsidR="00C718E7" w:rsidRPr="00382257">
              <w:rPr>
                <w:rFonts w:ascii="Square721 BT" w:hAnsi="Square721 BT"/>
                <w:sz w:val="14"/>
                <w:szCs w:val="14"/>
              </w:rPr>
              <w:t xml:space="preserve"> </w:t>
            </w:r>
            <w:r w:rsidR="00FA414D">
              <w:rPr>
                <w:rFonts w:ascii="Square721 BT" w:hAnsi="Square721 BT"/>
                <w:sz w:val="14"/>
                <w:szCs w:val="14"/>
                <w:lang w:val="id-ID"/>
              </w:rPr>
              <w:t>1</w:t>
            </w:r>
            <w:r w:rsidR="00C718E7" w:rsidRPr="00382257">
              <w:rPr>
                <w:rFonts w:ascii="Square721 BT" w:hAnsi="Square721 BT"/>
                <w:sz w:val="14"/>
                <w:szCs w:val="14"/>
              </w:rPr>
              <w:t>7th 201</w:t>
            </w:r>
            <w:r w:rsidR="00FA414D">
              <w:rPr>
                <w:rFonts w:ascii="Square721 BT" w:hAnsi="Square721 BT"/>
                <w:sz w:val="14"/>
                <w:szCs w:val="14"/>
                <w:lang w:val="id-ID"/>
              </w:rPr>
              <w:t>6</w:t>
            </w:r>
            <w:r w:rsidR="00382257" w:rsidRPr="00382257">
              <w:rPr>
                <w:rFonts w:ascii="Square721 BT" w:hAnsi="Square721 BT"/>
                <w:sz w:val="14"/>
                <w:szCs w:val="14"/>
              </w:rPr>
              <w:t xml:space="preserve"> </w:t>
            </w:r>
            <w:r w:rsidR="007E0042" w:rsidRPr="00382257">
              <w:rPr>
                <w:rFonts w:ascii="Square721 BT" w:hAnsi="Square721 BT"/>
                <w:sz w:val="14"/>
                <w:szCs w:val="14"/>
              </w:rPr>
              <w:t xml:space="preserve">| Available online </w:t>
            </w:r>
            <w:r w:rsidR="00FA414D">
              <w:rPr>
                <w:rFonts w:ascii="Square721 BT" w:hAnsi="Square721 BT"/>
                <w:sz w:val="14"/>
                <w:szCs w:val="14"/>
                <w:lang w:val="id-ID"/>
              </w:rPr>
              <w:t>June</w:t>
            </w:r>
            <w:r w:rsidR="00C718E7" w:rsidRPr="00382257">
              <w:rPr>
                <w:rFonts w:ascii="Square721 BT" w:hAnsi="Square721 BT"/>
                <w:sz w:val="14"/>
                <w:szCs w:val="14"/>
              </w:rPr>
              <w:t xml:space="preserve"> 3</w:t>
            </w:r>
            <w:r w:rsidR="00FA414D">
              <w:rPr>
                <w:rFonts w:ascii="Square721 BT" w:hAnsi="Square721 BT"/>
                <w:sz w:val="14"/>
                <w:szCs w:val="14"/>
                <w:lang w:val="id-ID"/>
              </w:rPr>
              <w:t>0th</w:t>
            </w:r>
            <w:r w:rsidR="00C718E7" w:rsidRPr="00382257">
              <w:rPr>
                <w:rFonts w:ascii="Square721 BT" w:hAnsi="Square721 BT"/>
                <w:sz w:val="14"/>
                <w:szCs w:val="14"/>
              </w:rPr>
              <w:t xml:space="preserve"> 201</w:t>
            </w:r>
            <w:r w:rsidR="00FA414D">
              <w:rPr>
                <w:rFonts w:ascii="Square721 BT" w:hAnsi="Square721 BT"/>
                <w:sz w:val="14"/>
                <w:szCs w:val="14"/>
                <w:lang w:val="id-ID"/>
              </w:rPr>
              <w:t>6</w:t>
            </w:r>
            <w:r w:rsidR="00C718E7" w:rsidRPr="00382257">
              <w:rPr>
                <w:rFonts w:ascii="Square721 BT" w:hAnsi="Square721 BT"/>
                <w:sz w:val="14"/>
                <w:szCs w:val="14"/>
              </w:rPr>
              <w:t xml:space="preserve"> </w:t>
            </w:r>
            <w:r w:rsidR="007E0042" w:rsidRPr="00382257">
              <w:rPr>
                <w:rFonts w:ascii="Square721 BT" w:hAnsi="Square721 BT"/>
                <w:sz w:val="14"/>
                <w:szCs w:val="14"/>
              </w:rPr>
              <w:t>|</w:t>
            </w:r>
          </w:p>
          <w:p w:rsidR="00C264EF" w:rsidRDefault="00382257" w:rsidP="00947498">
            <w:pPr>
              <w:jc w:val="both"/>
              <w:rPr>
                <w:rFonts w:ascii="Square721 BT" w:hAnsi="Square721 BT"/>
                <w:sz w:val="14"/>
                <w:szCs w:val="14"/>
              </w:rPr>
            </w:pPr>
            <w:r w:rsidRPr="00382257">
              <w:rPr>
                <w:rFonts w:ascii="Square721 BT" w:hAnsi="Square721 BT"/>
                <w:sz w:val="14"/>
                <w:szCs w:val="14"/>
              </w:rPr>
              <w:t xml:space="preserve">| </w:t>
            </w:r>
            <w:r w:rsidR="007E0042" w:rsidRPr="00382257">
              <w:rPr>
                <w:rFonts w:ascii="Square721 BT" w:hAnsi="Square721 BT"/>
                <w:sz w:val="14"/>
                <w:szCs w:val="14"/>
              </w:rPr>
              <w:t>DOI</w:t>
            </w:r>
            <w:r w:rsidR="00947498" w:rsidRPr="00382257">
              <w:rPr>
                <w:rFonts w:ascii="Square721 BT" w:hAnsi="Square721 BT"/>
                <w:sz w:val="14"/>
                <w:szCs w:val="14"/>
              </w:rPr>
              <w:t xml:space="preserve"> </w:t>
            </w:r>
            <w:hyperlink r:id="rId9" w:history="1">
              <w:r w:rsidR="00CC0C2D" w:rsidRPr="00912056">
                <w:rPr>
                  <w:rStyle w:val="Hyperlink"/>
                  <w:rFonts w:ascii="Square721 BT" w:hAnsi="Square721 BT"/>
                  <w:color w:val="auto"/>
                  <w:sz w:val="14"/>
                  <w:szCs w:val="14"/>
                  <w:u w:val="none"/>
                </w:rPr>
                <w:t>http://dx.doi.org/10.18860/jia.v</w:t>
              </w:r>
              <w:r w:rsidR="00CC0C2D" w:rsidRPr="00912056">
                <w:rPr>
                  <w:rStyle w:val="Hyperlink"/>
                  <w:rFonts w:ascii="Square721 BT" w:hAnsi="Square721 BT"/>
                  <w:color w:val="auto"/>
                  <w:sz w:val="14"/>
                  <w:szCs w:val="14"/>
                  <w:u w:val="none"/>
                  <w:lang w:val="id-ID"/>
                </w:rPr>
                <w:t>4</w:t>
              </w:r>
              <w:proofErr w:type="spellStart"/>
              <w:r w:rsidR="00CC0C2D" w:rsidRPr="00912056">
                <w:rPr>
                  <w:rStyle w:val="Hyperlink"/>
                  <w:rFonts w:ascii="Square721 BT" w:hAnsi="Square721 BT"/>
                  <w:color w:val="auto"/>
                  <w:sz w:val="14"/>
                  <w:szCs w:val="14"/>
                  <w:u w:val="none"/>
                </w:rPr>
                <w:t>i</w:t>
              </w:r>
              <w:proofErr w:type="spellEnd"/>
              <w:r w:rsidR="00CC0C2D" w:rsidRPr="00912056">
                <w:rPr>
                  <w:rStyle w:val="Hyperlink"/>
                  <w:rFonts w:ascii="Square721 BT" w:hAnsi="Square721 BT"/>
                  <w:color w:val="auto"/>
                  <w:sz w:val="14"/>
                  <w:szCs w:val="14"/>
                  <w:u w:val="none"/>
                  <w:lang w:val="id-ID"/>
                </w:rPr>
                <w:t>1</w:t>
              </w:r>
              <w:r w:rsidR="00CC0C2D" w:rsidRPr="00912056">
                <w:rPr>
                  <w:rStyle w:val="Hyperlink"/>
                  <w:rFonts w:ascii="Square721 BT" w:hAnsi="Square721 BT"/>
                  <w:color w:val="auto"/>
                  <w:sz w:val="14"/>
                  <w:szCs w:val="14"/>
                  <w:u w:val="none"/>
                </w:rPr>
                <w:t>.</w:t>
              </w:r>
              <w:r w:rsidR="00CC0C2D" w:rsidRPr="00912056">
                <w:rPr>
                  <w:rStyle w:val="Hyperlink"/>
                  <w:rFonts w:ascii="Square721 BT" w:hAnsi="Square721 BT"/>
                  <w:color w:val="auto"/>
                  <w:sz w:val="14"/>
                  <w:szCs w:val="14"/>
                  <w:u w:val="none"/>
                  <w:lang w:val="id-ID"/>
                </w:rPr>
                <w:t>3466</w:t>
              </w:r>
            </w:hyperlink>
            <w:r>
              <w:rPr>
                <w:rFonts w:ascii="Square721 BT" w:hAnsi="Square721 BT"/>
                <w:sz w:val="14"/>
                <w:szCs w:val="14"/>
              </w:rPr>
              <w:t xml:space="preserve"> </w:t>
            </w:r>
            <w:r w:rsidR="007E0042">
              <w:rPr>
                <w:rFonts w:ascii="Square721 BT" w:hAnsi="Square721 BT"/>
                <w:sz w:val="14"/>
                <w:szCs w:val="14"/>
              </w:rPr>
              <w:t xml:space="preserve">|  </w:t>
            </w:r>
          </w:p>
          <w:p w:rsidR="00C718E7" w:rsidRPr="00C718E7" w:rsidRDefault="00C718E7" w:rsidP="00947498">
            <w:pPr>
              <w:jc w:val="both"/>
              <w:rPr>
                <w:rFonts w:ascii="Square721 BT" w:hAnsi="Square721 BT"/>
                <w:sz w:val="4"/>
                <w:szCs w:val="4"/>
              </w:rPr>
            </w:pPr>
          </w:p>
        </w:tc>
      </w:tr>
      <w:tr w:rsidR="007E0042" w:rsidTr="007E00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48"/>
        </w:trPr>
        <w:tc>
          <w:tcPr>
            <w:tcW w:w="3510" w:type="dxa"/>
            <w:gridSpan w:val="2"/>
            <w:tcBorders>
              <w:top w:val="dotted" w:sz="8" w:space="0" w:color="auto"/>
              <w:left w:val="nil"/>
              <w:bottom w:val="dotted" w:sz="8" w:space="0" w:color="auto"/>
              <w:right w:val="nil"/>
            </w:tcBorders>
          </w:tcPr>
          <w:p w:rsidR="007E0042" w:rsidRPr="00C718E7" w:rsidRDefault="007E0042" w:rsidP="007E0042">
            <w:pPr>
              <w:jc w:val="both"/>
              <w:rPr>
                <w:rFonts w:ascii="Square721 BT" w:hAnsi="Square721 BT"/>
                <w:b/>
                <w:sz w:val="10"/>
                <w:szCs w:val="10"/>
              </w:rPr>
            </w:pPr>
          </w:p>
          <w:p w:rsidR="00912056" w:rsidRPr="00C11890" w:rsidRDefault="00C11890" w:rsidP="00912056">
            <w:pPr>
              <w:jc w:val="both"/>
              <w:rPr>
                <w:rFonts w:ascii="Square721 BT" w:hAnsi="Square721 BT"/>
                <w:b/>
                <w:sz w:val="16"/>
                <w:szCs w:val="16"/>
              </w:rPr>
            </w:pPr>
            <w:r>
              <w:rPr>
                <w:rFonts w:ascii="Square721 BT" w:hAnsi="Square721 BT"/>
                <w:b/>
                <w:sz w:val="16"/>
                <w:szCs w:val="16"/>
              </w:rPr>
              <w:t>Saddam Hussain</w:t>
            </w:r>
          </w:p>
          <w:p w:rsidR="00912056" w:rsidRPr="00C11890" w:rsidRDefault="00C11890" w:rsidP="00912056">
            <w:pPr>
              <w:jc w:val="both"/>
              <w:rPr>
                <w:rFonts w:ascii="Square721 BT" w:hAnsi="Square721 BT"/>
                <w:sz w:val="14"/>
                <w:szCs w:val="14"/>
              </w:rPr>
            </w:pPr>
            <w:r w:rsidRPr="00C11890">
              <w:rPr>
                <w:rFonts w:ascii="Square721 BT" w:hAnsi="Square721 BT"/>
                <w:sz w:val="14"/>
                <w:szCs w:val="14"/>
              </w:rPr>
              <w:t>School of Architecture, State key Subtropical building Science, South China University of Technology</w:t>
            </w:r>
          </w:p>
          <w:p w:rsidR="00912056" w:rsidRPr="00191997" w:rsidRDefault="00C11890" w:rsidP="00912056">
            <w:pPr>
              <w:jc w:val="both"/>
              <w:rPr>
                <w:rFonts w:ascii="Square721 BT" w:hAnsi="Square721 BT"/>
                <w:sz w:val="14"/>
                <w:szCs w:val="14"/>
              </w:rPr>
            </w:pPr>
            <w:r w:rsidRPr="00C11890">
              <w:rPr>
                <w:rFonts w:ascii="Square721 BT" w:hAnsi="Square721 BT"/>
                <w:sz w:val="14"/>
                <w:szCs w:val="14"/>
              </w:rPr>
              <w:t>Guangzhou</w:t>
            </w:r>
            <w:r w:rsidR="00912056">
              <w:rPr>
                <w:rFonts w:ascii="Square721 BT" w:hAnsi="Square721 BT"/>
                <w:sz w:val="14"/>
                <w:szCs w:val="14"/>
              </w:rPr>
              <w:t>,</w:t>
            </w:r>
            <w:r w:rsidR="00912056" w:rsidRPr="00191997">
              <w:rPr>
                <w:rFonts w:ascii="Square721 BT" w:hAnsi="Square721 BT"/>
                <w:sz w:val="14"/>
                <w:szCs w:val="14"/>
              </w:rPr>
              <w:t xml:space="preserve"> </w:t>
            </w:r>
            <w:r>
              <w:rPr>
                <w:rFonts w:ascii="Square721 BT" w:hAnsi="Square721 BT"/>
                <w:sz w:val="14"/>
                <w:szCs w:val="14"/>
              </w:rPr>
              <w:t>China</w:t>
            </w:r>
          </w:p>
          <w:p w:rsidR="007E0042" w:rsidRPr="00C11890" w:rsidRDefault="00C11890" w:rsidP="00912056">
            <w:pPr>
              <w:jc w:val="both"/>
              <w:rPr>
                <w:rFonts w:ascii="Square721 BT" w:hAnsi="Square721 BT"/>
                <w:sz w:val="14"/>
                <w:szCs w:val="14"/>
              </w:rPr>
            </w:pPr>
            <w:r>
              <w:rPr>
                <w:rFonts w:ascii="Square721 BT" w:hAnsi="Square721 BT"/>
                <w:sz w:val="14"/>
                <w:szCs w:val="14"/>
              </w:rPr>
              <w:t>Archsam.usa@yahoo.com</w:t>
            </w:r>
          </w:p>
          <w:p w:rsidR="007E0042" w:rsidRDefault="007E0042" w:rsidP="007E0042">
            <w:pPr>
              <w:jc w:val="both"/>
              <w:rPr>
                <w:rFonts w:ascii="Square721 BT" w:hAnsi="Square721 BT"/>
                <w:sz w:val="16"/>
                <w:szCs w:val="16"/>
              </w:rPr>
            </w:pPr>
          </w:p>
          <w:p w:rsidR="00912056" w:rsidRPr="00C11890" w:rsidRDefault="00C11890" w:rsidP="00912056">
            <w:pPr>
              <w:jc w:val="both"/>
              <w:rPr>
                <w:rFonts w:ascii="Square721 BT" w:hAnsi="Square721 BT"/>
                <w:b/>
                <w:sz w:val="16"/>
                <w:szCs w:val="18"/>
              </w:rPr>
            </w:pPr>
            <w:r>
              <w:rPr>
                <w:rFonts w:ascii="Square721 BT" w:hAnsi="Square721 BT"/>
                <w:b/>
                <w:sz w:val="16"/>
                <w:szCs w:val="16"/>
              </w:rPr>
              <w:t>Fu Juan</w:t>
            </w:r>
          </w:p>
          <w:p w:rsidR="00C11890" w:rsidRPr="00C11890" w:rsidRDefault="00C11890" w:rsidP="00C11890">
            <w:pPr>
              <w:jc w:val="both"/>
              <w:rPr>
                <w:rFonts w:ascii="Square721 BT" w:hAnsi="Square721 BT"/>
                <w:sz w:val="14"/>
                <w:szCs w:val="14"/>
              </w:rPr>
            </w:pPr>
            <w:r w:rsidRPr="00C11890">
              <w:rPr>
                <w:rFonts w:ascii="Square721 BT" w:hAnsi="Square721 BT"/>
                <w:sz w:val="14"/>
                <w:szCs w:val="14"/>
              </w:rPr>
              <w:t>School of Architecture, State key Subtropical building Science, South China University of Technology</w:t>
            </w:r>
          </w:p>
          <w:p w:rsidR="00C11890" w:rsidRPr="00191997" w:rsidRDefault="00C11890" w:rsidP="00C11890">
            <w:pPr>
              <w:jc w:val="both"/>
              <w:rPr>
                <w:rFonts w:ascii="Square721 BT" w:hAnsi="Square721 BT"/>
                <w:sz w:val="14"/>
                <w:szCs w:val="14"/>
              </w:rPr>
            </w:pPr>
            <w:r w:rsidRPr="00C11890">
              <w:rPr>
                <w:rFonts w:ascii="Square721 BT" w:hAnsi="Square721 BT"/>
                <w:sz w:val="14"/>
                <w:szCs w:val="14"/>
              </w:rPr>
              <w:t>Guangzhou</w:t>
            </w:r>
            <w:r>
              <w:rPr>
                <w:rFonts w:ascii="Square721 BT" w:hAnsi="Square721 BT"/>
                <w:sz w:val="14"/>
                <w:szCs w:val="14"/>
              </w:rPr>
              <w:t>,</w:t>
            </w:r>
            <w:r w:rsidRPr="00191997">
              <w:rPr>
                <w:rFonts w:ascii="Square721 BT" w:hAnsi="Square721 BT"/>
                <w:sz w:val="14"/>
                <w:szCs w:val="14"/>
              </w:rPr>
              <w:t xml:space="preserve"> </w:t>
            </w:r>
            <w:r>
              <w:rPr>
                <w:rFonts w:ascii="Square721 BT" w:hAnsi="Square721 BT"/>
                <w:sz w:val="14"/>
                <w:szCs w:val="14"/>
              </w:rPr>
              <w:t>China</w:t>
            </w:r>
          </w:p>
          <w:p w:rsidR="007E0042" w:rsidRDefault="00000000" w:rsidP="00912056">
            <w:pPr>
              <w:jc w:val="both"/>
              <w:rPr>
                <w:rFonts w:ascii="Trebuchet MS" w:hAnsi="Trebuchet MS"/>
                <w:sz w:val="18"/>
                <w:szCs w:val="18"/>
              </w:rPr>
            </w:pPr>
            <w:hyperlink r:id="rId10" w:history="1">
              <w:r w:rsidR="00C11890" w:rsidRPr="00C11890">
                <w:rPr>
                  <w:rFonts w:ascii="Square721 BT" w:hAnsi="Square721 BT"/>
                  <w:sz w:val="14"/>
                  <w:szCs w:val="14"/>
                </w:rPr>
                <w:t>592507595@qq.com</w:t>
              </w:r>
            </w:hyperlink>
          </w:p>
        </w:tc>
        <w:tc>
          <w:tcPr>
            <w:tcW w:w="5812" w:type="dxa"/>
            <w:tcBorders>
              <w:top w:val="dotted" w:sz="8" w:space="0" w:color="auto"/>
              <w:left w:val="nil"/>
              <w:bottom w:val="dotted" w:sz="8" w:space="0" w:color="auto"/>
              <w:right w:val="nil"/>
            </w:tcBorders>
          </w:tcPr>
          <w:p w:rsidR="007E0042" w:rsidRPr="00C718E7" w:rsidRDefault="007E0042" w:rsidP="00C264EF">
            <w:pPr>
              <w:jc w:val="both"/>
              <w:rPr>
                <w:rFonts w:ascii="Square721 BT" w:hAnsi="Square721 BT"/>
                <w:sz w:val="10"/>
                <w:szCs w:val="10"/>
              </w:rPr>
            </w:pPr>
            <w:r>
              <w:rPr>
                <w:rFonts w:ascii="Square721 BT" w:hAnsi="Square721 BT"/>
                <w:sz w:val="14"/>
                <w:szCs w:val="14"/>
              </w:rPr>
              <w:t xml:space="preserve"> </w:t>
            </w:r>
          </w:p>
          <w:p w:rsidR="007E0042" w:rsidRPr="005B0CAF" w:rsidRDefault="007E0042" w:rsidP="007E0042">
            <w:pPr>
              <w:jc w:val="both"/>
              <w:rPr>
                <w:rFonts w:ascii="Century Gothic" w:hAnsi="Century Gothic"/>
                <w:b/>
                <w:sz w:val="16"/>
                <w:szCs w:val="16"/>
              </w:rPr>
            </w:pPr>
            <w:r w:rsidRPr="005B0CAF">
              <w:rPr>
                <w:rFonts w:ascii="Century Gothic" w:hAnsi="Century Gothic"/>
                <w:b/>
                <w:sz w:val="16"/>
                <w:szCs w:val="16"/>
              </w:rPr>
              <w:t>ABSTRACT</w:t>
            </w:r>
          </w:p>
          <w:p w:rsidR="007E0042" w:rsidRPr="00191997" w:rsidRDefault="007E0042" w:rsidP="007E0042">
            <w:pPr>
              <w:jc w:val="both"/>
              <w:rPr>
                <w:rFonts w:ascii="Century Gothic" w:hAnsi="Century Gothic"/>
                <w:b/>
                <w:sz w:val="14"/>
                <w:szCs w:val="14"/>
              </w:rPr>
            </w:pPr>
          </w:p>
          <w:p w:rsidR="00CD08A7" w:rsidRPr="00CD08A7" w:rsidRDefault="00CA77A5" w:rsidP="00310127">
            <w:pPr>
              <w:jc w:val="both"/>
              <w:rPr>
                <w:rFonts w:ascii="Square721 BT" w:hAnsi="Square721 BT"/>
                <w:sz w:val="14"/>
                <w:szCs w:val="14"/>
              </w:rPr>
            </w:pPr>
            <w:r w:rsidRPr="00CA77A5">
              <w:rPr>
                <w:rFonts w:ascii="Square721 BT" w:hAnsi="Square721 BT"/>
                <w:sz w:val="14"/>
                <w:szCs w:val="14"/>
              </w:rPr>
              <w:t>Asia has a variety of diverse ancient cultures and civilizations. In this manuscript we have studied the architecture of a UNESCO Tentative heritage site: Badshahi Mosque Lahore (BMLH, 1671-1673) which was built by the Mughal emperor Aurangzeb Alamgir (AA). The site is special since, this had the largest mosque title (human capacity = 100,000) in the world from 1673 to 1986 with great architectural importance. A variety of mosque architecture (MA) emerged (over 1400 years) around the world to preserve the diversity, identity and cultures of each region. The study found that BMLH underwent a number of significant alterations over time while keeping the original MA. This unique study further focused on the following: The basic architecture of Mughal Era. A detailed study of the architectural themes of BMLH showed that the architecture style of this heritage included the regional, cultural and traditional impacts. This was further explained by comparison to the sites of different cultures and civilizations during Mughals Era with relation or influence with the local architectures.</w:t>
            </w:r>
          </w:p>
          <w:p w:rsidR="007E0042" w:rsidRPr="00CD08A7" w:rsidRDefault="007E0042" w:rsidP="007E0042">
            <w:pPr>
              <w:jc w:val="both"/>
              <w:rPr>
                <w:rFonts w:ascii="Square721 BT" w:hAnsi="Square721 BT"/>
                <w:iCs/>
                <w:sz w:val="14"/>
                <w:szCs w:val="14"/>
              </w:rPr>
            </w:pPr>
          </w:p>
          <w:p w:rsidR="007E0042" w:rsidRPr="00216EC9" w:rsidRDefault="007E0042" w:rsidP="007E0042">
            <w:pPr>
              <w:pStyle w:val="Keywords"/>
              <w:spacing w:line="240" w:lineRule="auto"/>
              <w:jc w:val="both"/>
              <w:rPr>
                <w:rFonts w:ascii="Century Gothic" w:eastAsiaTheme="minorEastAsia" w:hAnsi="Century Gothic" w:cstheme="minorBidi"/>
                <w:b/>
                <w:kern w:val="0"/>
                <w:sz w:val="14"/>
                <w:szCs w:val="14"/>
                <w:lang w:val="id-ID" w:eastAsia="en-US"/>
              </w:rPr>
            </w:pPr>
          </w:p>
          <w:p w:rsidR="007E0042" w:rsidRPr="00CD08A7" w:rsidRDefault="007E0042" w:rsidP="00CD08A7">
            <w:pPr>
              <w:jc w:val="both"/>
              <w:rPr>
                <w:rFonts w:ascii="Century Gothic" w:hAnsi="Century Gothic"/>
                <w:b/>
                <w:sz w:val="16"/>
                <w:szCs w:val="16"/>
              </w:rPr>
            </w:pPr>
            <w:r w:rsidRPr="005B0CAF">
              <w:rPr>
                <w:rFonts w:ascii="Century Gothic" w:hAnsi="Century Gothic"/>
                <w:b/>
                <w:sz w:val="14"/>
                <w:szCs w:val="14"/>
              </w:rPr>
              <w:t>KEYWORDS:</w:t>
            </w:r>
            <w:r w:rsidR="00CA77A5">
              <w:rPr>
                <w:rFonts w:ascii="Century Gothic" w:hAnsi="Century Gothic"/>
                <w:b/>
                <w:sz w:val="14"/>
                <w:szCs w:val="14"/>
              </w:rPr>
              <w:t xml:space="preserve"> </w:t>
            </w:r>
            <w:r w:rsidR="00CA77A5" w:rsidRPr="00CA77A5">
              <w:rPr>
                <w:rFonts w:ascii="Century Gothic" w:hAnsi="Century Gothic"/>
                <w:b/>
                <w:sz w:val="14"/>
                <w:szCs w:val="14"/>
              </w:rPr>
              <w:t>UNESCO tentative heritage site; Badshahi mosque; Mosque architecture; Regional architecture; Mughal architecture</w:t>
            </w:r>
            <w:r w:rsidR="00CA77A5" w:rsidRPr="00CA77A5">
              <w:rPr>
                <w:rFonts w:ascii="Century Gothic" w:hAnsi="Century Gothic"/>
                <w:b/>
                <w:sz w:val="14"/>
                <w:szCs w:val="14"/>
              </w:rPr>
              <w:br w:type="page"/>
            </w:r>
          </w:p>
        </w:tc>
      </w:tr>
    </w:tbl>
    <w:p w:rsidR="005B0CAF" w:rsidRDefault="005B0CAF" w:rsidP="00AA44D6">
      <w:pPr>
        <w:spacing w:after="60" w:line="240" w:lineRule="auto"/>
        <w:jc w:val="both"/>
        <w:rPr>
          <w:rFonts w:ascii="Trebuchet MS" w:hAnsi="Trebuchet MS"/>
          <w:b/>
          <w:sz w:val="20"/>
          <w:szCs w:val="18"/>
        </w:rPr>
        <w:sectPr w:rsidR="005B0CAF" w:rsidSect="00680487">
          <w:headerReference w:type="even" r:id="rId11"/>
          <w:headerReference w:type="default" r:id="rId12"/>
          <w:footerReference w:type="even" r:id="rId13"/>
          <w:footerReference w:type="default" r:id="rId14"/>
          <w:footerReference w:type="first" r:id="rId15"/>
          <w:type w:val="continuous"/>
          <w:pgSz w:w="11906" w:h="16838" w:code="9"/>
          <w:pgMar w:top="1134" w:right="1134" w:bottom="1701" w:left="1701" w:header="567" w:footer="567" w:gutter="0"/>
          <w:pgNumType w:start="1"/>
          <w:cols w:space="708"/>
          <w:vAlign w:val="both"/>
          <w:titlePg/>
          <w:docGrid w:linePitch="360"/>
        </w:sectPr>
      </w:pPr>
    </w:p>
    <w:p w:rsidR="003B747B" w:rsidRDefault="005B0CAF" w:rsidP="005B0CAF">
      <w:pPr>
        <w:spacing w:after="0" w:line="240" w:lineRule="auto"/>
        <w:jc w:val="both"/>
        <w:rPr>
          <w:rFonts w:ascii="Century Gothic" w:hAnsi="Century Gothic"/>
          <w:b/>
          <w:sz w:val="18"/>
          <w:szCs w:val="18"/>
        </w:rPr>
      </w:pPr>
      <w:r w:rsidRPr="005B0CAF">
        <w:rPr>
          <w:rFonts w:ascii="Century Gothic" w:hAnsi="Century Gothic"/>
          <w:b/>
          <w:sz w:val="18"/>
          <w:szCs w:val="18"/>
        </w:rPr>
        <w:t xml:space="preserve">INTRODUCTION </w:t>
      </w:r>
    </w:p>
    <w:p w:rsidR="00216EC9" w:rsidRPr="00216EC9" w:rsidRDefault="00216EC9" w:rsidP="00216EC9">
      <w:pPr>
        <w:keepNext/>
        <w:spacing w:after="0" w:line="240" w:lineRule="auto"/>
        <w:rPr>
          <w:rFonts w:ascii="Trebuchet MS" w:hAnsi="Trebuchet MS"/>
          <w:sz w:val="18"/>
          <w:szCs w:val="18"/>
          <w:lang w:val="id-ID"/>
        </w:rPr>
      </w:pPr>
    </w:p>
    <w:p w:rsidR="008A3DB5" w:rsidRPr="008A3DB5" w:rsidRDefault="008A3DB5" w:rsidP="008A3DB5">
      <w:pPr>
        <w:spacing w:after="0" w:line="240" w:lineRule="auto"/>
        <w:ind w:firstLine="425"/>
        <w:jc w:val="both"/>
        <w:rPr>
          <w:rFonts w:ascii="Candara" w:hAnsi="Candara"/>
          <w:sz w:val="18"/>
          <w:szCs w:val="18"/>
        </w:rPr>
      </w:pPr>
      <w:r w:rsidRPr="008A3DB5">
        <w:rPr>
          <w:rFonts w:ascii="Candara" w:hAnsi="Candara"/>
          <w:sz w:val="18"/>
          <w:szCs w:val="18"/>
        </w:rPr>
        <w:t xml:space="preserve">The humanity has the history of following religions and building worship places for pray to comfort the soul with divine connection. The Buddhists, Jews, Christians, Hindus and Muslims are the most common religious communities using special places to worship </w:t>
      </w:r>
      <w:r w:rsidRPr="008A3DB5">
        <w:rPr>
          <w:rFonts w:ascii="Candara" w:hAnsi="Candara"/>
          <w:sz w:val="18"/>
          <w:szCs w:val="18"/>
        </w:rPr>
        <w:fldChar w:fldCharType="begin"/>
      </w:r>
      <w:r w:rsidR="006141DF">
        <w:rPr>
          <w:rFonts w:ascii="Candara" w:hAnsi="Candara"/>
          <w:sz w:val="18"/>
          <w:szCs w:val="18"/>
        </w:rPr>
        <w:instrText xml:space="preserve"> ADDIN EN.CITE &lt;EndNote&gt;&lt;Cite&gt;&lt;Author&gt;Coley&lt;/Author&gt;&lt;Year&gt;2022&lt;/Year&gt;&lt;RecNum&gt;12&lt;/RecNum&gt;&lt;DisplayText&gt;[1]&lt;/DisplayText&gt;&lt;record&gt;&lt;rec-number&gt;12&lt;/rec-number&gt;&lt;foreign-keys&gt;&lt;key app="EN" db-id="2verxes0odwrwteserr55ee2w2vfedtxfxx0" timestamp="1675152264"&gt;12&lt;/key&gt;&lt;/foreign-keys&gt;&lt;ref-type name="Journal Article"&gt;17&lt;/ref-type&gt;&lt;contributors&gt;&lt;authors&gt;&lt;author&gt;Coley, Jonathan S&lt;/author&gt;&lt;author&gt;Das, Dhruba&lt;/author&gt;&lt;author&gt;Adler Jr, Gary J&lt;/author&gt;&lt;/authors&gt;&lt;/contributors&gt;&lt;titles&gt;&lt;title&gt;Creating Sacred Spaces: Buddhist, Hindu, Jewish, and Muslim Student Groups at US Colleges and Universities&lt;/title&gt;&lt;secondary-title&gt;Sociology of Education&lt;/secondary-title&gt;&lt;/titles&gt;&lt;periodical&gt;&lt;full-title&gt;Sociology of Education&lt;/full-title&gt;&lt;/periodical&gt;&lt;pages&gt;171-188&lt;/pages&gt;&lt;volume&gt;95&lt;/volume&gt;&lt;number&gt;3&lt;/number&gt;&lt;dates&gt;&lt;year&gt;2022&lt;/year&gt;&lt;/dates&gt;&lt;isbn&gt;0038-0407&lt;/isbn&gt;&lt;urls&gt;&lt;/urls&gt;&lt;/record&gt;&lt;/Cite&gt;&lt;/EndNote&gt;</w:instrText>
      </w:r>
      <w:r w:rsidRPr="008A3DB5">
        <w:rPr>
          <w:rFonts w:ascii="Candara" w:hAnsi="Candara"/>
          <w:sz w:val="18"/>
          <w:szCs w:val="18"/>
        </w:rPr>
        <w:fldChar w:fldCharType="separate"/>
      </w:r>
      <w:r w:rsidR="006141DF">
        <w:rPr>
          <w:rFonts w:ascii="Candara" w:hAnsi="Candara"/>
          <w:noProof/>
          <w:sz w:val="18"/>
          <w:szCs w:val="18"/>
        </w:rPr>
        <w:t>[1]</w:t>
      </w:r>
      <w:r w:rsidRPr="008A3DB5">
        <w:rPr>
          <w:rFonts w:ascii="Candara" w:hAnsi="Candara"/>
          <w:sz w:val="18"/>
          <w:szCs w:val="18"/>
        </w:rPr>
        <w:fldChar w:fldCharType="end"/>
      </w:r>
      <w:r w:rsidRPr="008A3DB5">
        <w:rPr>
          <w:rFonts w:ascii="Candara" w:hAnsi="Candara"/>
          <w:sz w:val="18"/>
          <w:szCs w:val="18"/>
        </w:rPr>
        <w:t xml:space="preserve">. One of the divine religions is Islam followed by Muslims that emphasize harmony, hygiene, charity, justice, education, harmony, equality and understanding between nature and humans </w:t>
      </w:r>
      <w:r w:rsidRPr="008A3DB5">
        <w:rPr>
          <w:rFonts w:ascii="Candara" w:hAnsi="Candara"/>
          <w:sz w:val="18"/>
          <w:szCs w:val="18"/>
        </w:rPr>
        <w:fldChar w:fldCharType="begin"/>
      </w:r>
      <w:r w:rsidR="006141DF">
        <w:rPr>
          <w:rFonts w:ascii="Candara" w:hAnsi="Candara"/>
          <w:sz w:val="18"/>
          <w:szCs w:val="18"/>
        </w:rPr>
        <w:instrText xml:space="preserve"> ADDIN EN.CITE &lt;EndNote&gt;&lt;Cite&gt;&lt;Author&gt;Khoso&lt;/Author&gt;&lt;Year&gt;2021&lt;/Year&gt;&lt;RecNum&gt;13&lt;/RecNum&gt;&lt;DisplayText&gt;[2]&lt;/DisplayText&gt;&lt;record&gt;&lt;rec-number&gt;13&lt;/rec-number&gt;&lt;foreign-keys&gt;&lt;key app="EN" db-id="2verxes0odwrwteserr55ee2w2vfedtxfxx0" timestamp="1675152403"&gt;13&lt;/key&gt;&lt;/foreign-keys&gt;&lt;ref-type name="Journal Article"&gt;17&lt;/ref-type&gt;&lt;contributors&gt;&lt;authors&gt;&lt;author&gt;Khoso, Aijaz Ali&lt;/author&gt;&lt;author&gt;Akhter, Naseem&lt;/author&gt;&lt;/authors&gt;&lt;/contributors&gt;&lt;titles&gt;&lt;title&gt;ENGLISH 6 THE NEED FOR ETHICAL TECHNIQUES IN THE DEVELOPMENT OF ISLAMIC SOCIETY AND EDUCATIONAL INSTITUTES:(A RESEARCH STUDY)&lt;/title&gt;&lt;secondary-title&gt;The International Research Journal of Usooluddin&lt;/secondary-title&gt;&lt;/titles&gt;&lt;periodical&gt;&lt;full-title&gt;The International Research Journal of Usooluddin&lt;/full-title&gt;&lt;/periodical&gt;&lt;pages&gt;49-60&lt;/pages&gt;&lt;volume&gt;5&lt;/volume&gt;&lt;number&gt;1&lt;/number&gt;&lt;dates&gt;&lt;year&gt;2021&lt;/year&gt;&lt;/dates&gt;&lt;isbn&gt;2664-4940&lt;/isbn&gt;&lt;urls&gt;&lt;/urls&gt;&lt;/record&gt;&lt;/Cite&gt;&lt;/EndNote&gt;</w:instrText>
      </w:r>
      <w:r w:rsidRPr="008A3DB5">
        <w:rPr>
          <w:rFonts w:ascii="Candara" w:hAnsi="Candara"/>
          <w:sz w:val="18"/>
          <w:szCs w:val="18"/>
        </w:rPr>
        <w:fldChar w:fldCharType="separate"/>
      </w:r>
      <w:r w:rsidR="006141DF">
        <w:rPr>
          <w:rFonts w:ascii="Candara" w:hAnsi="Candara"/>
          <w:noProof/>
          <w:sz w:val="18"/>
          <w:szCs w:val="18"/>
        </w:rPr>
        <w:t>[2]</w:t>
      </w:r>
      <w:r w:rsidRPr="008A3DB5">
        <w:rPr>
          <w:rFonts w:ascii="Candara" w:hAnsi="Candara"/>
          <w:sz w:val="18"/>
          <w:szCs w:val="18"/>
        </w:rPr>
        <w:fldChar w:fldCharType="end"/>
      </w:r>
      <w:r w:rsidRPr="008A3DB5">
        <w:rPr>
          <w:rFonts w:ascii="Candara" w:hAnsi="Candara"/>
          <w:sz w:val="18"/>
          <w:szCs w:val="18"/>
        </w:rPr>
        <w:t xml:space="preserve">. Therefore, Muslims built mosques to pray inside specified building space called mosque. Beside praying, the mosques has been very useful to shower for better hygiene, provide food &amp; charity, solve the social problems through peaceful negotiation and spread the education at the massive level </w:t>
      </w:r>
      <w:r w:rsidRPr="008A3DB5">
        <w:rPr>
          <w:rFonts w:ascii="Candara" w:hAnsi="Candara"/>
          <w:sz w:val="18"/>
          <w:szCs w:val="18"/>
        </w:rPr>
        <w:fldChar w:fldCharType="begin"/>
      </w:r>
      <w:r w:rsidR="006141DF">
        <w:rPr>
          <w:rFonts w:ascii="Candara" w:hAnsi="Candara"/>
          <w:sz w:val="18"/>
          <w:szCs w:val="18"/>
        </w:rPr>
        <w:instrText xml:space="preserve"> ADDIN EN.CITE &lt;EndNote&gt;&lt;Cite&gt;&lt;Author&gt;Qadir&lt;/Author&gt;&lt;Year&gt;2019&lt;/Year&gt;&lt;RecNum&gt;14&lt;/RecNum&gt;&lt;DisplayText&gt;[3]&lt;/DisplayText&gt;&lt;record&gt;&lt;rec-number&gt;14&lt;/rec-number&gt;&lt;foreign-keys&gt;&lt;key app="EN" db-id="2verxes0odwrwteserr55ee2w2vfedtxfxx0" timestamp="1675152514"&gt;14&lt;/key&gt;&lt;/foreign-keys&gt;&lt;ref-type name="Journal Article"&gt;17&lt;/ref-type&gt;&lt;contributors&gt;&lt;authors&gt;&lt;author&gt;Qadir, Junaid&lt;/author&gt;&lt;author&gt;Zaman, Asad&lt;/author&gt;&lt;/authors&gt;&lt;/contributors&gt;&lt;titles&gt;&lt;title&gt;Sustainable development viewed from the lens of Islam&lt;/title&gt;&lt;secondary-title&gt;International Journal of Pluralism and Economics Education&lt;/secondary-title&gt;&lt;/titles&gt;&lt;periodical&gt;&lt;full-title&gt;International Journal of Pluralism and Economics Education&lt;/full-title&gt;&lt;/periodical&gt;&lt;pages&gt;46-60&lt;/pages&gt;&lt;volume&gt;10&lt;/volume&gt;&lt;number&gt;1&lt;/number&gt;&lt;dates&gt;&lt;year&gt;2019&lt;/year&gt;&lt;/dates&gt;&lt;isbn&gt;1757-5648&lt;/isbn&gt;&lt;urls&gt;&lt;/urls&gt;&lt;/record&gt;&lt;/Cite&gt;&lt;/EndNote&gt;</w:instrText>
      </w:r>
      <w:r w:rsidRPr="008A3DB5">
        <w:rPr>
          <w:rFonts w:ascii="Candara" w:hAnsi="Candara"/>
          <w:sz w:val="18"/>
          <w:szCs w:val="18"/>
        </w:rPr>
        <w:fldChar w:fldCharType="separate"/>
      </w:r>
      <w:r w:rsidR="006141DF">
        <w:rPr>
          <w:rFonts w:ascii="Candara" w:hAnsi="Candara"/>
          <w:noProof/>
          <w:sz w:val="18"/>
          <w:szCs w:val="18"/>
        </w:rPr>
        <w:t>[3]</w:t>
      </w:r>
      <w:r w:rsidRPr="008A3DB5">
        <w:rPr>
          <w:rFonts w:ascii="Candara" w:hAnsi="Candara"/>
          <w:sz w:val="18"/>
          <w:szCs w:val="18"/>
        </w:rPr>
        <w:fldChar w:fldCharType="end"/>
      </w:r>
      <w:r w:rsidRPr="008A3DB5">
        <w:rPr>
          <w:rFonts w:ascii="Candara" w:hAnsi="Candara"/>
          <w:sz w:val="18"/>
          <w:szCs w:val="18"/>
        </w:rPr>
        <w:t>. This is because a peaceful human inside a safe, comfortable worship place is more capable to think, negotiate and solve problems related to the society due to mutual respect. All these activities require mosque architecture (MA) that can fulfill the demands of safety, a large place for group or individual entrance &amp; exit, cleaning for safe hygiene, pray, meeting place to socialize, clear voice transfer system and education to all.</w:t>
      </w:r>
    </w:p>
    <w:p w:rsidR="008A3DB5" w:rsidRPr="008A3DB5" w:rsidRDefault="008A3DB5" w:rsidP="008A3DB5">
      <w:pPr>
        <w:spacing w:after="0" w:line="240" w:lineRule="auto"/>
        <w:ind w:firstLine="425"/>
        <w:jc w:val="both"/>
        <w:rPr>
          <w:rFonts w:ascii="Candara" w:hAnsi="Candara"/>
          <w:sz w:val="18"/>
          <w:szCs w:val="18"/>
        </w:rPr>
      </w:pPr>
      <w:r w:rsidRPr="008A3DB5">
        <w:rPr>
          <w:rFonts w:ascii="Candara" w:hAnsi="Candara"/>
          <w:sz w:val="18"/>
          <w:szCs w:val="18"/>
        </w:rPr>
        <w:t xml:space="preserve">This manuscript is relating the architecture influence of a South Asian Mughal emperor Aurangzeb Alamgir (AA) on the United Nations Educational, Scientific and Cultural Organization (UNESCO) heritage </w:t>
      </w:r>
      <w:r w:rsidRPr="008A3DB5">
        <w:rPr>
          <w:rFonts w:ascii="Candara" w:hAnsi="Candara"/>
          <w:sz w:val="18"/>
          <w:szCs w:val="18"/>
        </w:rPr>
        <w:t>Tentative site i.e., Badshahi Mosque Lahore (BMLH) as a case. The Mughals adapted some elements, decoration and ornaments from the regional architecture in addition to the old mosque architecture (MA) to create a distinguished theme. The UNESCO Tentative heritage: Badshahi Mosque Lahore (BMLH, 1671-1673) was built by the Mughal emperor Aurangzeb Alamgir (AA). The site is special since, this had the largest mosque title (human capacity (HC) = 100,000) in the world from 1673 to 1986 with great architectural importance. This research is focused on (1) Basic architecture of Mughal and (2) A detailed study of the architectural themes (ATs) of the BMLH and the inspirations of Mughal architecture in BMLH</w:t>
      </w:r>
      <w:r w:rsidRPr="008A3DB5">
        <w:rPr>
          <w:rFonts w:ascii="Candara" w:hAnsi="Candara"/>
          <w:sz w:val="18"/>
          <w:szCs w:val="18"/>
        </w:rPr>
        <w:fldChar w:fldCharType="begin"/>
      </w:r>
      <w:r w:rsidR="006141DF">
        <w:rPr>
          <w:rFonts w:ascii="Candara" w:hAnsi="Candara"/>
          <w:sz w:val="18"/>
          <w:szCs w:val="18"/>
        </w:rPr>
        <w:instrText xml:space="preserve"> ADDIN EN.CITE &lt;EndNote&gt;&lt;Cite&gt;&lt;Author&gt;Brand&lt;/Author&gt;&lt;Year&gt;1993&lt;/Year&gt;&lt;RecNum&gt;5&lt;/RecNum&gt;&lt;DisplayText&gt;[4]&lt;/DisplayText&gt;&lt;record&gt;&lt;rec-number&gt;5&lt;/rec-number&gt;&lt;foreign-keys&gt;&lt;key app="EN" db-id="2verxes0odwrwteserr55ee2w2vfedtxfxx0" timestamp="1673710811"&gt;5&lt;/key&gt;&lt;/foreign-keys&gt;&lt;ref-type name="Journal Article"&gt;17&lt;/ref-type&gt;&lt;contributors&gt;&lt;authors&gt;&lt;author&gt;Brand, Michael&lt;/author&gt;&lt;/authors&gt;&lt;/contributors&gt;&lt;titles&gt;&lt;title&gt;Orthodoxy, innovation, and revival: Considerations of the past in Imperial Mughal tomb architecture&lt;/title&gt;&lt;secondary-title&gt;Muqarnas&lt;/secondary-title&gt;&lt;/titles&gt;&lt;periodical&gt;&lt;full-title&gt;Muqarnas&lt;/full-title&gt;&lt;/periodical&gt;&lt;pages&gt;323-334&lt;/pages&gt;&lt;volume&gt;10&lt;/volume&gt;&lt;dates&gt;&lt;year&gt;1993&lt;/year&gt;&lt;/dates&gt;&lt;isbn&gt;0732-2992&lt;/isbn&gt;&lt;urls&gt;&lt;/urls&gt;&lt;/record&gt;&lt;/Cite&gt;&lt;/EndNote&gt;</w:instrText>
      </w:r>
      <w:r w:rsidRPr="008A3DB5">
        <w:rPr>
          <w:rFonts w:ascii="Candara" w:hAnsi="Candara"/>
          <w:sz w:val="18"/>
          <w:szCs w:val="18"/>
        </w:rPr>
        <w:fldChar w:fldCharType="separate"/>
      </w:r>
      <w:r w:rsidR="006141DF">
        <w:rPr>
          <w:rFonts w:ascii="Candara" w:hAnsi="Candara"/>
          <w:noProof/>
          <w:sz w:val="18"/>
          <w:szCs w:val="18"/>
        </w:rPr>
        <w:t>[4]</w:t>
      </w:r>
      <w:r w:rsidRPr="008A3DB5">
        <w:rPr>
          <w:rFonts w:ascii="Candara" w:hAnsi="Candara"/>
          <w:sz w:val="18"/>
          <w:szCs w:val="18"/>
        </w:rPr>
        <w:fldChar w:fldCharType="end"/>
      </w:r>
      <w:r w:rsidRPr="008A3DB5">
        <w:rPr>
          <w:rFonts w:ascii="Candara" w:hAnsi="Candara"/>
          <w:sz w:val="18"/>
          <w:szCs w:val="18"/>
        </w:rPr>
        <w:t>.</w:t>
      </w:r>
    </w:p>
    <w:p w:rsidR="008A3DB5" w:rsidRPr="00AF5591" w:rsidRDefault="008A3DB5" w:rsidP="008A3DB5">
      <w:pPr>
        <w:spacing w:after="0" w:line="240" w:lineRule="auto"/>
        <w:ind w:firstLine="425"/>
        <w:jc w:val="both"/>
        <w:rPr>
          <w:rFonts w:asciiTheme="majorBidi" w:hAnsiTheme="majorBidi" w:cstheme="majorBidi"/>
          <w:sz w:val="24"/>
          <w:szCs w:val="24"/>
        </w:rPr>
      </w:pPr>
      <w:r w:rsidRPr="008A3DB5">
        <w:rPr>
          <w:rFonts w:ascii="Candara" w:hAnsi="Candara"/>
          <w:sz w:val="18"/>
          <w:szCs w:val="18"/>
        </w:rPr>
        <w:t xml:space="preserve">The six classic typologies of mosques that make up Islamic architecture are well-known across the world. Mosques in Southeast Asia are classified into several varieties based on the local culture, including Arabic, Turkish, Iranian, Indian, Chinese and South East Asian forms </w:t>
      </w:r>
      <w:r w:rsidRPr="008A3DB5">
        <w:rPr>
          <w:rFonts w:ascii="Candara" w:hAnsi="Candara"/>
          <w:sz w:val="18"/>
          <w:szCs w:val="18"/>
        </w:rPr>
        <w:fldChar w:fldCharType="begin"/>
      </w:r>
      <w:r w:rsidR="006141DF">
        <w:rPr>
          <w:rFonts w:ascii="Candara" w:hAnsi="Candara"/>
          <w:sz w:val="18"/>
          <w:szCs w:val="18"/>
        </w:rPr>
        <w:instrText xml:space="preserve"> ADDIN EN.CITE &lt;EndNote&gt;&lt;Cite&gt;&lt;Author&gt;Awwad&lt;/Author&gt;&lt;Year&gt;2017&lt;/Year&gt;&lt;RecNum&gt;54&lt;/RecNum&gt;&lt;DisplayText&gt;[5]&lt;/DisplayText&gt;&lt;record&gt;&lt;rec-number&gt;54&lt;/rec-number&gt;&lt;foreign-keys&gt;&lt;key app="EN" db-id="tepstesptaexxnexzthxafzl5f99arwpaset" timestamp="1669818040"&gt;54&lt;/key&gt;&lt;/foreign-keys&gt;&lt;ref-type name="Journal Article"&gt;17&lt;/ref-type&gt;&lt;contributors&gt;&lt;authors&gt;&lt;author&gt;Awwad, BA&lt;/author&gt;&lt;/authors&gt;&lt;/contributors&gt;&lt;titles&gt;&lt;title&gt;The development of the Islamic Heritage in Southeast Asia tradition and future Case study-Mosque Architecture in Malaysia Classification of Styles and Possible Influences Int&lt;/title&gt;&lt;secondary-title&gt;J. Eng. Res. Dev&lt;/secondary-title&gt;&lt;/titles&gt;&lt;periodical&gt;&lt;full-title&gt;J. Eng. Res. Dev&lt;/full-title&gt;&lt;/periodical&gt;&lt;pages&gt;63-73&lt;/pages&gt;&lt;volume&gt;13&lt;/volume&gt;&lt;dates&gt;&lt;year&gt;2017&lt;/year&gt;&lt;/dates&gt;&lt;urls&gt;&lt;/urls&gt;&lt;/record&gt;&lt;/Cite&gt;&lt;/EndNote&gt;</w:instrText>
      </w:r>
      <w:r w:rsidRPr="008A3DB5">
        <w:rPr>
          <w:rFonts w:ascii="Candara" w:hAnsi="Candara"/>
          <w:sz w:val="18"/>
          <w:szCs w:val="18"/>
        </w:rPr>
        <w:fldChar w:fldCharType="separate"/>
      </w:r>
      <w:r w:rsidR="006141DF">
        <w:rPr>
          <w:rFonts w:ascii="Candara" w:hAnsi="Candara"/>
          <w:noProof/>
          <w:sz w:val="18"/>
          <w:szCs w:val="18"/>
        </w:rPr>
        <w:t>[5]</w:t>
      </w:r>
      <w:r w:rsidRPr="008A3DB5">
        <w:rPr>
          <w:rFonts w:ascii="Candara" w:hAnsi="Candara"/>
          <w:sz w:val="18"/>
          <w:szCs w:val="18"/>
        </w:rPr>
        <w:fldChar w:fldCharType="end"/>
      </w:r>
      <w:r w:rsidRPr="008A3DB5">
        <w:rPr>
          <w:rFonts w:ascii="Candara" w:hAnsi="Candara"/>
          <w:sz w:val="18"/>
          <w:szCs w:val="18"/>
        </w:rPr>
        <w:t>. The study aims to explain the Mughal architecture in the region of Pakistan by taking Badshahi mosque as a Mughal’s contribution and further tracing it back to the influence in its architecture style which held over Mughal architecture due to its regional, religious and psychological inspirations.</w:t>
      </w:r>
    </w:p>
    <w:p w:rsidR="00D42D15" w:rsidRDefault="00D42D15" w:rsidP="00A343A5">
      <w:pPr>
        <w:spacing w:before="240" w:after="0" w:line="240" w:lineRule="auto"/>
        <w:jc w:val="both"/>
        <w:rPr>
          <w:rFonts w:ascii="Century Gothic" w:hAnsi="Century Gothic"/>
          <w:b/>
          <w:sz w:val="18"/>
          <w:szCs w:val="18"/>
        </w:rPr>
      </w:pPr>
    </w:p>
    <w:p w:rsidR="00054E00" w:rsidRDefault="00054E00" w:rsidP="00A343A5">
      <w:pPr>
        <w:spacing w:before="240" w:after="0" w:line="240" w:lineRule="auto"/>
        <w:jc w:val="both"/>
        <w:rPr>
          <w:rFonts w:ascii="Century Gothic" w:hAnsi="Century Gothic"/>
          <w:b/>
          <w:sz w:val="18"/>
          <w:szCs w:val="18"/>
          <w:lang w:val="id-ID"/>
        </w:rPr>
      </w:pPr>
      <w:r>
        <w:rPr>
          <w:rFonts w:ascii="Century Gothic" w:hAnsi="Century Gothic"/>
          <w:b/>
          <w:sz w:val="18"/>
          <w:szCs w:val="18"/>
        </w:rPr>
        <w:lastRenderedPageBreak/>
        <w:t>METHODS</w:t>
      </w:r>
    </w:p>
    <w:p w:rsidR="00E548D7" w:rsidRDefault="00E548D7" w:rsidP="00054E00">
      <w:pPr>
        <w:spacing w:after="0" w:line="240" w:lineRule="auto"/>
        <w:jc w:val="both"/>
        <w:rPr>
          <w:rFonts w:ascii="Century Gothic" w:hAnsi="Century Gothic"/>
          <w:b/>
          <w:sz w:val="18"/>
          <w:szCs w:val="18"/>
          <w:lang w:val="id-ID"/>
        </w:rPr>
      </w:pPr>
    </w:p>
    <w:p w:rsidR="008A3DB5" w:rsidRPr="008A3DB5" w:rsidRDefault="008A3DB5" w:rsidP="008A3DB5">
      <w:pPr>
        <w:spacing w:after="0" w:line="240" w:lineRule="auto"/>
        <w:ind w:firstLine="425"/>
        <w:jc w:val="both"/>
        <w:rPr>
          <w:rFonts w:ascii="Candara" w:hAnsi="Candara"/>
          <w:sz w:val="18"/>
          <w:szCs w:val="18"/>
        </w:rPr>
      </w:pPr>
      <w:r w:rsidRPr="008A3DB5">
        <w:rPr>
          <w:rFonts w:ascii="Candara" w:hAnsi="Candara"/>
          <w:sz w:val="18"/>
          <w:szCs w:val="18"/>
        </w:rPr>
        <w:t>The methodology of this research study is primarily based on an empirical survey and consequently the research method depends upon qualitative data through observation and physical documentation of the Badshahi mosque. The research progresses according to the following sequential stages:</w:t>
      </w:r>
    </w:p>
    <w:p w:rsidR="008A3DB5" w:rsidRPr="008A3DB5" w:rsidRDefault="008A3DB5" w:rsidP="008A3DB5">
      <w:pPr>
        <w:spacing w:after="0" w:line="240" w:lineRule="auto"/>
        <w:ind w:firstLine="425"/>
        <w:jc w:val="both"/>
        <w:rPr>
          <w:rFonts w:ascii="Candara" w:hAnsi="Candara"/>
          <w:sz w:val="18"/>
          <w:szCs w:val="18"/>
        </w:rPr>
      </w:pPr>
      <w:r w:rsidRPr="008A3DB5">
        <w:rPr>
          <w:rFonts w:ascii="Candara" w:hAnsi="Candara"/>
          <w:sz w:val="18"/>
          <w:szCs w:val="18"/>
        </w:rPr>
        <w:t>2.1. Literature Survey</w:t>
      </w:r>
    </w:p>
    <w:p w:rsidR="008A3DB5" w:rsidRPr="008A3DB5" w:rsidRDefault="008A3DB5" w:rsidP="008A3DB5">
      <w:pPr>
        <w:pStyle w:val="ListParagraph"/>
        <w:numPr>
          <w:ilvl w:val="0"/>
          <w:numId w:val="12"/>
        </w:numPr>
        <w:spacing w:after="0" w:line="240" w:lineRule="auto"/>
        <w:jc w:val="both"/>
        <w:rPr>
          <w:rFonts w:ascii="Candara" w:hAnsi="Candara"/>
          <w:sz w:val="18"/>
          <w:szCs w:val="18"/>
        </w:rPr>
      </w:pPr>
      <w:r w:rsidRPr="008A3DB5">
        <w:rPr>
          <w:rFonts w:ascii="Candara" w:hAnsi="Candara"/>
          <w:sz w:val="18"/>
          <w:szCs w:val="18"/>
        </w:rPr>
        <w:t>To investigate a contextual analysis of the area, particularly Lahore city during the Mughal Era.</w:t>
      </w:r>
    </w:p>
    <w:p w:rsidR="008A3DB5" w:rsidRPr="008A3DB5" w:rsidRDefault="008A3DB5" w:rsidP="008A3DB5">
      <w:pPr>
        <w:pStyle w:val="ListParagraph"/>
        <w:numPr>
          <w:ilvl w:val="0"/>
          <w:numId w:val="12"/>
        </w:numPr>
        <w:spacing w:after="0" w:line="240" w:lineRule="auto"/>
        <w:jc w:val="both"/>
        <w:rPr>
          <w:rFonts w:ascii="Candara" w:hAnsi="Candara"/>
          <w:sz w:val="18"/>
          <w:szCs w:val="18"/>
        </w:rPr>
      </w:pPr>
      <w:r w:rsidRPr="008A3DB5">
        <w:rPr>
          <w:rFonts w:ascii="Candara" w:hAnsi="Candara"/>
          <w:sz w:val="18"/>
          <w:szCs w:val="18"/>
        </w:rPr>
        <w:t>To look into and comprehend the attributes, identifying elements and design of mosque building of the Mughal Era.</w:t>
      </w:r>
    </w:p>
    <w:p w:rsidR="008A3DB5" w:rsidRPr="008A3DB5" w:rsidRDefault="008A3DB5" w:rsidP="008A3DB5">
      <w:pPr>
        <w:pStyle w:val="ListParagraph"/>
        <w:numPr>
          <w:ilvl w:val="0"/>
          <w:numId w:val="12"/>
        </w:numPr>
        <w:spacing w:after="0" w:line="240" w:lineRule="auto"/>
        <w:jc w:val="both"/>
        <w:rPr>
          <w:rFonts w:ascii="Candara" w:hAnsi="Candara"/>
          <w:sz w:val="18"/>
          <w:szCs w:val="18"/>
        </w:rPr>
      </w:pPr>
      <w:r w:rsidRPr="008A3DB5">
        <w:rPr>
          <w:rFonts w:ascii="Candara" w:hAnsi="Candara"/>
          <w:sz w:val="18"/>
          <w:szCs w:val="18"/>
        </w:rPr>
        <w:t>To comprehend the architectural and historical importance of the chosen Badshahi mosque, a magnificent Mughal building.</w:t>
      </w:r>
    </w:p>
    <w:p w:rsidR="008A3DB5" w:rsidRPr="008A3DB5" w:rsidRDefault="008A3DB5" w:rsidP="008A3DB5">
      <w:pPr>
        <w:spacing w:after="0" w:line="240" w:lineRule="auto"/>
        <w:ind w:firstLine="425"/>
        <w:jc w:val="both"/>
        <w:rPr>
          <w:rFonts w:ascii="Candara" w:hAnsi="Candara"/>
          <w:sz w:val="18"/>
          <w:szCs w:val="18"/>
        </w:rPr>
      </w:pPr>
    </w:p>
    <w:p w:rsidR="008A3DB5" w:rsidRPr="008A3DB5" w:rsidRDefault="008A3DB5" w:rsidP="008A3DB5">
      <w:pPr>
        <w:spacing w:after="0" w:line="240" w:lineRule="auto"/>
        <w:ind w:firstLine="425"/>
        <w:jc w:val="both"/>
        <w:rPr>
          <w:rFonts w:ascii="Candara" w:hAnsi="Candara"/>
          <w:sz w:val="18"/>
          <w:szCs w:val="18"/>
        </w:rPr>
      </w:pPr>
      <w:r w:rsidRPr="008A3DB5">
        <w:rPr>
          <w:rFonts w:ascii="Candara" w:hAnsi="Candara"/>
          <w:sz w:val="18"/>
          <w:szCs w:val="18"/>
        </w:rPr>
        <w:t>2.2. Field Study</w:t>
      </w:r>
    </w:p>
    <w:p w:rsidR="008A3DB5" w:rsidRPr="008A3DB5" w:rsidRDefault="008A3DB5" w:rsidP="008A3DB5">
      <w:pPr>
        <w:pStyle w:val="ListParagraph"/>
        <w:numPr>
          <w:ilvl w:val="0"/>
          <w:numId w:val="11"/>
        </w:numPr>
        <w:spacing w:after="0" w:line="240" w:lineRule="auto"/>
        <w:jc w:val="both"/>
        <w:rPr>
          <w:rFonts w:ascii="Candara" w:hAnsi="Candara"/>
          <w:sz w:val="18"/>
          <w:szCs w:val="18"/>
        </w:rPr>
      </w:pPr>
      <w:r w:rsidRPr="008A3DB5">
        <w:rPr>
          <w:rFonts w:ascii="Candara" w:hAnsi="Candara"/>
          <w:sz w:val="18"/>
          <w:szCs w:val="18"/>
        </w:rPr>
        <w:t>To observe present conditions of the specific historical Mughal Mosque through field survey and photographic survey.</w:t>
      </w:r>
    </w:p>
    <w:p w:rsidR="008A3DB5" w:rsidRPr="008A3DB5" w:rsidRDefault="008A3DB5" w:rsidP="008A3DB5">
      <w:pPr>
        <w:pStyle w:val="ListParagraph"/>
        <w:numPr>
          <w:ilvl w:val="0"/>
          <w:numId w:val="11"/>
        </w:numPr>
        <w:spacing w:after="0" w:line="240" w:lineRule="auto"/>
        <w:jc w:val="both"/>
        <w:rPr>
          <w:rFonts w:ascii="Candara" w:hAnsi="Candara"/>
          <w:sz w:val="18"/>
          <w:szCs w:val="18"/>
        </w:rPr>
      </w:pPr>
      <w:r w:rsidRPr="008A3DB5">
        <w:rPr>
          <w:rFonts w:ascii="Candara" w:hAnsi="Candara"/>
          <w:sz w:val="18"/>
          <w:szCs w:val="18"/>
        </w:rPr>
        <w:t>To collect data, architectural details and other important information about the Badshahi mosque.</w:t>
      </w:r>
    </w:p>
    <w:p w:rsidR="008A3DB5" w:rsidRPr="008A3DB5" w:rsidRDefault="008A3DB5" w:rsidP="008A3DB5">
      <w:pPr>
        <w:pStyle w:val="ListParagraph"/>
        <w:numPr>
          <w:ilvl w:val="0"/>
          <w:numId w:val="11"/>
        </w:numPr>
        <w:spacing w:after="0" w:line="240" w:lineRule="auto"/>
        <w:jc w:val="both"/>
        <w:rPr>
          <w:rFonts w:ascii="Candara" w:hAnsi="Candara"/>
          <w:sz w:val="18"/>
          <w:szCs w:val="18"/>
        </w:rPr>
      </w:pPr>
      <w:r w:rsidRPr="008A3DB5">
        <w:rPr>
          <w:rFonts w:ascii="Candara" w:hAnsi="Candara"/>
          <w:sz w:val="18"/>
          <w:szCs w:val="18"/>
        </w:rPr>
        <w:t>Feeling the materials used in Badshahi mosque through touching and observation with naked eyes for better analysis.</w:t>
      </w:r>
    </w:p>
    <w:p w:rsidR="008A3DB5" w:rsidRPr="008A3DB5" w:rsidRDefault="008A3DB5" w:rsidP="008A3DB5">
      <w:pPr>
        <w:pStyle w:val="ListParagraph"/>
        <w:numPr>
          <w:ilvl w:val="0"/>
          <w:numId w:val="11"/>
        </w:numPr>
        <w:spacing w:after="0" w:line="240" w:lineRule="auto"/>
        <w:jc w:val="both"/>
        <w:rPr>
          <w:rFonts w:ascii="Candara" w:hAnsi="Candara"/>
          <w:sz w:val="18"/>
          <w:szCs w:val="18"/>
        </w:rPr>
      </w:pPr>
      <w:r w:rsidRPr="008A3DB5">
        <w:rPr>
          <w:rFonts w:ascii="Candara" w:hAnsi="Candara"/>
          <w:sz w:val="18"/>
          <w:szCs w:val="18"/>
        </w:rPr>
        <w:t>To observe the geometry and theme of decoration used in the interior of the prayer hall and at front façade of the building.</w:t>
      </w:r>
    </w:p>
    <w:p w:rsidR="008A3DB5" w:rsidRPr="008A3DB5" w:rsidRDefault="008A3DB5" w:rsidP="008A3DB5">
      <w:pPr>
        <w:pStyle w:val="ListParagraph"/>
        <w:numPr>
          <w:ilvl w:val="0"/>
          <w:numId w:val="11"/>
        </w:numPr>
        <w:spacing w:after="0" w:line="240" w:lineRule="auto"/>
        <w:jc w:val="both"/>
        <w:rPr>
          <w:rFonts w:ascii="Candara" w:hAnsi="Candara"/>
          <w:sz w:val="18"/>
          <w:szCs w:val="18"/>
        </w:rPr>
      </w:pPr>
      <w:r w:rsidRPr="008A3DB5">
        <w:rPr>
          <w:rFonts w:ascii="Candara" w:hAnsi="Candara"/>
          <w:sz w:val="18"/>
          <w:szCs w:val="18"/>
        </w:rPr>
        <w:t>To critically analyze the designing theme of each part of the building and tracking it back to its inspiration with reference to the other architecture world.</w:t>
      </w:r>
    </w:p>
    <w:p w:rsidR="008A3DB5" w:rsidRPr="008A3DB5" w:rsidRDefault="008A3DB5" w:rsidP="008A3DB5">
      <w:pPr>
        <w:spacing w:after="0" w:line="240" w:lineRule="auto"/>
        <w:ind w:firstLine="425"/>
        <w:jc w:val="both"/>
        <w:rPr>
          <w:rFonts w:ascii="Candara" w:hAnsi="Candara"/>
          <w:sz w:val="18"/>
          <w:szCs w:val="18"/>
        </w:rPr>
      </w:pPr>
      <w:r w:rsidRPr="008A3DB5">
        <w:rPr>
          <w:rFonts w:ascii="Candara" w:hAnsi="Candara"/>
          <w:sz w:val="18"/>
          <w:szCs w:val="18"/>
        </w:rPr>
        <w:t>2.3. Exploring Activity</w:t>
      </w:r>
    </w:p>
    <w:p w:rsidR="008A3DB5" w:rsidRPr="008A3DB5" w:rsidRDefault="008A3DB5" w:rsidP="008A3DB5">
      <w:pPr>
        <w:pStyle w:val="ListParagraph"/>
        <w:numPr>
          <w:ilvl w:val="0"/>
          <w:numId w:val="10"/>
        </w:numPr>
        <w:spacing w:after="0" w:line="240" w:lineRule="auto"/>
        <w:jc w:val="both"/>
        <w:rPr>
          <w:rFonts w:ascii="Candara" w:hAnsi="Candara"/>
          <w:sz w:val="18"/>
          <w:szCs w:val="18"/>
        </w:rPr>
      </w:pPr>
      <w:r w:rsidRPr="008A3DB5">
        <w:rPr>
          <w:rFonts w:ascii="Candara" w:hAnsi="Candara"/>
          <w:sz w:val="18"/>
          <w:szCs w:val="18"/>
        </w:rPr>
        <w:t>To identify the tangible distinguishing features of outstanding historical Mughal Mosque named Badshahi mosque.</w:t>
      </w:r>
    </w:p>
    <w:p w:rsidR="008A3DB5" w:rsidRPr="008A3DB5" w:rsidRDefault="008A3DB5" w:rsidP="008A3DB5">
      <w:pPr>
        <w:pStyle w:val="ListParagraph"/>
        <w:numPr>
          <w:ilvl w:val="0"/>
          <w:numId w:val="10"/>
        </w:numPr>
        <w:spacing w:after="0" w:line="240" w:lineRule="auto"/>
        <w:jc w:val="both"/>
        <w:rPr>
          <w:rFonts w:ascii="Candara" w:hAnsi="Candara"/>
          <w:sz w:val="18"/>
          <w:szCs w:val="18"/>
        </w:rPr>
      </w:pPr>
      <w:r w:rsidRPr="008A3DB5">
        <w:rPr>
          <w:rFonts w:ascii="Candara" w:hAnsi="Candara"/>
          <w:sz w:val="18"/>
          <w:szCs w:val="18"/>
        </w:rPr>
        <w:t>To accomplish the findings in order to relate those distinguishing features with the Mughal Mosque characteristics based on the morphological character, architectural features, structure and decoration.</w:t>
      </w:r>
    </w:p>
    <w:p w:rsidR="008A3DB5" w:rsidRPr="008A3DB5" w:rsidRDefault="008A3DB5" w:rsidP="008A3DB5">
      <w:pPr>
        <w:pStyle w:val="ListParagraph"/>
        <w:numPr>
          <w:ilvl w:val="0"/>
          <w:numId w:val="10"/>
        </w:numPr>
        <w:spacing w:after="0" w:line="240" w:lineRule="auto"/>
        <w:jc w:val="both"/>
        <w:rPr>
          <w:rFonts w:ascii="Candara" w:hAnsi="Candara"/>
          <w:sz w:val="18"/>
          <w:szCs w:val="18"/>
        </w:rPr>
      </w:pPr>
      <w:r w:rsidRPr="008A3DB5">
        <w:rPr>
          <w:rFonts w:ascii="Candara" w:hAnsi="Candara"/>
          <w:sz w:val="18"/>
          <w:szCs w:val="18"/>
        </w:rPr>
        <w:t>Asking from the tourist verbally about the design elements which attract them more in the said building.</w:t>
      </w:r>
    </w:p>
    <w:p w:rsidR="008A3DB5" w:rsidRDefault="008A3DB5" w:rsidP="008A20E9">
      <w:pPr>
        <w:pStyle w:val="ListParagraph"/>
        <w:numPr>
          <w:ilvl w:val="0"/>
          <w:numId w:val="10"/>
        </w:numPr>
        <w:spacing w:after="0" w:line="240" w:lineRule="auto"/>
        <w:jc w:val="both"/>
        <w:rPr>
          <w:rFonts w:ascii="Candara" w:hAnsi="Candara"/>
          <w:sz w:val="18"/>
          <w:szCs w:val="18"/>
        </w:rPr>
      </w:pPr>
      <w:r w:rsidRPr="008A3DB5">
        <w:rPr>
          <w:rFonts w:ascii="Candara" w:hAnsi="Candara"/>
          <w:sz w:val="18"/>
          <w:szCs w:val="18"/>
        </w:rPr>
        <w:t xml:space="preserve">Feeling and realizing the Mughal’s psychology of design through Badshahi mosque (Site survey plan of Badshahi </w:t>
      </w:r>
      <w:r w:rsidRPr="008A3DB5">
        <w:rPr>
          <w:rFonts w:ascii="Candara" w:hAnsi="Candara"/>
          <w:sz w:val="18"/>
          <w:szCs w:val="18"/>
        </w:rPr>
        <w:t>mosque, (Figure 1) and also the other contextual buildings of Mughal Era.</w:t>
      </w:r>
    </w:p>
    <w:p w:rsidR="008A20E9" w:rsidRDefault="008A20E9" w:rsidP="008A20E9">
      <w:pPr>
        <w:spacing w:after="0" w:line="240" w:lineRule="auto"/>
        <w:jc w:val="both"/>
        <w:rPr>
          <w:rFonts w:ascii="Candara" w:hAnsi="Candara"/>
          <w:sz w:val="18"/>
          <w:szCs w:val="18"/>
        </w:rPr>
      </w:pPr>
      <w:r w:rsidRPr="00F94D1A">
        <w:rPr>
          <w:rFonts w:asciiTheme="majorBidi" w:hAnsiTheme="majorBidi" w:cstheme="majorBidi"/>
          <w:b/>
          <w:bCs/>
          <w:noProof/>
          <w:sz w:val="24"/>
          <w:szCs w:val="24"/>
        </w:rPr>
        <w:drawing>
          <wp:inline distT="0" distB="0" distL="0" distR="0" wp14:anchorId="41F2E83A" wp14:editId="1EC3CC05">
            <wp:extent cx="2654935" cy="2612177"/>
            <wp:effectExtent l="0" t="0" r="0" b="0"/>
            <wp:docPr id="4" name="Picture 4">
              <a:extLst xmlns:a="http://schemas.openxmlformats.org/drawingml/2006/main">
                <a:ext uri="{FF2B5EF4-FFF2-40B4-BE49-F238E27FC236}">
                  <a16:creationId xmlns:a16="http://schemas.microsoft.com/office/drawing/2014/main" id="{FFAB8777-B605-8434-7A1C-CF659D949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FAB8777-B605-8434-7A1C-CF659D9499BA}"/>
                        </a:ext>
                      </a:extLst>
                    </pic:cNvPr>
                    <pic:cNvPicPr>
                      <a:picLocks noChangeAspect="1"/>
                    </pic:cNvPicPr>
                  </pic:nvPicPr>
                  <pic:blipFill rotWithShape="1">
                    <a:blip r:embed="rId16"/>
                    <a:srcRect l="2082" r="2705" b="1991"/>
                    <a:stretch/>
                  </pic:blipFill>
                  <pic:spPr>
                    <a:xfrm>
                      <a:off x="0" y="0"/>
                      <a:ext cx="2654935" cy="2612177"/>
                    </a:xfrm>
                    <a:prstGeom prst="rect">
                      <a:avLst/>
                    </a:prstGeom>
                  </pic:spPr>
                </pic:pic>
              </a:graphicData>
            </a:graphic>
          </wp:inline>
        </w:drawing>
      </w:r>
    </w:p>
    <w:p w:rsidR="008A20E9" w:rsidRPr="00A343A5" w:rsidRDefault="008A20E9" w:rsidP="00A343A5">
      <w:pPr>
        <w:spacing w:after="0" w:line="264" w:lineRule="auto"/>
        <w:jc w:val="center"/>
        <w:rPr>
          <w:rFonts w:ascii="Candara" w:hAnsi="Candara"/>
          <w:b/>
          <w:sz w:val="15"/>
          <w:szCs w:val="15"/>
          <w:lang w:val="id-ID"/>
        </w:rPr>
      </w:pPr>
      <w:r w:rsidRPr="008A20E9">
        <w:rPr>
          <w:rFonts w:ascii="Candara" w:hAnsi="Candara"/>
          <w:b/>
          <w:sz w:val="15"/>
          <w:szCs w:val="15"/>
          <w:lang w:val="id-ID"/>
        </w:rPr>
        <w:t xml:space="preserve">Figure </w:t>
      </w:r>
      <w:r w:rsidRPr="008A20E9">
        <w:rPr>
          <w:rFonts w:ascii="Candara" w:hAnsi="Candara"/>
          <w:b/>
          <w:sz w:val="15"/>
          <w:szCs w:val="15"/>
          <w:lang w:val="id-ID"/>
        </w:rPr>
        <w:fldChar w:fldCharType="begin"/>
      </w:r>
      <w:r w:rsidRPr="008A20E9">
        <w:rPr>
          <w:rFonts w:ascii="Candara" w:hAnsi="Candara"/>
          <w:b/>
          <w:sz w:val="15"/>
          <w:szCs w:val="15"/>
          <w:lang w:val="id-ID"/>
        </w:rPr>
        <w:instrText xml:space="preserve"> SEQ Figure \* ARABIC </w:instrText>
      </w:r>
      <w:r w:rsidRPr="008A20E9">
        <w:rPr>
          <w:rFonts w:ascii="Candara" w:hAnsi="Candara"/>
          <w:b/>
          <w:sz w:val="15"/>
          <w:szCs w:val="15"/>
          <w:lang w:val="id-ID"/>
        </w:rPr>
        <w:fldChar w:fldCharType="separate"/>
      </w:r>
      <w:r w:rsidRPr="008A20E9">
        <w:rPr>
          <w:rFonts w:ascii="Candara" w:hAnsi="Candara"/>
          <w:b/>
          <w:sz w:val="15"/>
          <w:szCs w:val="15"/>
          <w:lang w:val="id-ID"/>
        </w:rPr>
        <w:t>1</w:t>
      </w:r>
      <w:r w:rsidRPr="008A20E9">
        <w:rPr>
          <w:rFonts w:ascii="Candara" w:hAnsi="Candara"/>
          <w:b/>
          <w:sz w:val="15"/>
          <w:szCs w:val="15"/>
          <w:lang w:val="id-ID"/>
        </w:rPr>
        <w:fldChar w:fldCharType="end"/>
      </w:r>
      <w:r w:rsidRPr="008A20E9">
        <w:rPr>
          <w:rFonts w:ascii="Candara" w:hAnsi="Candara"/>
          <w:b/>
          <w:sz w:val="15"/>
          <w:szCs w:val="15"/>
          <w:lang w:val="id-ID"/>
        </w:rPr>
        <w:t xml:space="preserve"> Site survey plan of Badshahi mosque. Source: drawn by author.</w:t>
      </w:r>
    </w:p>
    <w:p w:rsidR="008A20E9" w:rsidRPr="004E6201" w:rsidRDefault="008A20E9" w:rsidP="00A343A5">
      <w:pPr>
        <w:spacing w:before="240" w:after="0" w:line="240" w:lineRule="auto"/>
        <w:jc w:val="both"/>
        <w:rPr>
          <w:rFonts w:ascii="Century Gothic" w:hAnsi="Century Gothic"/>
          <w:b/>
          <w:sz w:val="18"/>
          <w:szCs w:val="18"/>
        </w:rPr>
      </w:pPr>
      <w:r w:rsidRPr="004E6201">
        <w:rPr>
          <w:rFonts w:ascii="Century Gothic" w:hAnsi="Century Gothic"/>
          <w:b/>
          <w:sz w:val="18"/>
          <w:szCs w:val="18"/>
        </w:rPr>
        <w:t>3. R</w:t>
      </w:r>
      <w:r w:rsidR="00F57915">
        <w:rPr>
          <w:rFonts w:ascii="Century Gothic" w:hAnsi="Century Gothic"/>
          <w:b/>
          <w:sz w:val="18"/>
          <w:szCs w:val="18"/>
        </w:rPr>
        <w:t>ESULTS AND DISCUSSION</w:t>
      </w:r>
    </w:p>
    <w:p w:rsidR="008A20E9" w:rsidRPr="00A343A5" w:rsidRDefault="008A20E9" w:rsidP="004E6201">
      <w:pPr>
        <w:spacing w:after="0" w:line="240" w:lineRule="auto"/>
        <w:jc w:val="both"/>
        <w:rPr>
          <w:rFonts w:ascii="Century Gothic" w:hAnsi="Century Gothic"/>
          <w:b/>
          <w:sz w:val="15"/>
          <w:szCs w:val="15"/>
        </w:rPr>
      </w:pPr>
      <w:r w:rsidRPr="00A343A5">
        <w:rPr>
          <w:rFonts w:ascii="Century Gothic" w:hAnsi="Century Gothic"/>
          <w:b/>
          <w:sz w:val="15"/>
          <w:szCs w:val="15"/>
        </w:rPr>
        <w:t>3.1. M</w:t>
      </w:r>
      <w:r w:rsidR="00F57915">
        <w:rPr>
          <w:rFonts w:ascii="Century Gothic" w:hAnsi="Century Gothic"/>
          <w:b/>
          <w:sz w:val="15"/>
          <w:szCs w:val="15"/>
        </w:rPr>
        <w:t>UGHAL ARCHITECTURE</w:t>
      </w:r>
    </w:p>
    <w:p w:rsidR="008A20E9" w:rsidRPr="008A20E9" w:rsidRDefault="008A20E9" w:rsidP="00A343A5">
      <w:pPr>
        <w:spacing w:before="240" w:after="0" w:line="240" w:lineRule="auto"/>
        <w:ind w:firstLine="425"/>
        <w:jc w:val="both"/>
        <w:rPr>
          <w:rFonts w:ascii="Candara" w:hAnsi="Candara"/>
          <w:sz w:val="18"/>
          <w:szCs w:val="18"/>
        </w:rPr>
      </w:pPr>
      <w:r w:rsidRPr="008A20E9">
        <w:rPr>
          <w:rFonts w:ascii="Candara" w:hAnsi="Candara"/>
          <w:sz w:val="18"/>
          <w:szCs w:val="18"/>
        </w:rPr>
        <w:t>The Mughal Empire was one of the centralized governments that combined MAs of Jews (i.e., Al-Aqsa: Jerusalem, Israel), Christians (Church’s), Muslims, Persian and Indian architectural styles to create Mughal architecture in the Southeast Asia. Mughal architects through planning enhanced the intellectual contact between Persian and European ideas. This time period is renowned for the nation’s most stunning free-standing massive holy-structures.</w:t>
      </w:r>
    </w:p>
    <w:p w:rsidR="008A20E9" w:rsidRPr="008A20E9" w:rsidRDefault="008A20E9" w:rsidP="008A20E9">
      <w:pPr>
        <w:spacing w:after="0" w:line="240" w:lineRule="auto"/>
        <w:ind w:firstLine="425"/>
        <w:jc w:val="both"/>
        <w:rPr>
          <w:rFonts w:ascii="Candara" w:hAnsi="Candara"/>
          <w:sz w:val="18"/>
          <w:szCs w:val="18"/>
        </w:rPr>
      </w:pPr>
      <w:r w:rsidRPr="008A20E9">
        <w:rPr>
          <w:rFonts w:ascii="Candara" w:hAnsi="Candara"/>
          <w:sz w:val="18"/>
          <w:szCs w:val="18"/>
        </w:rPr>
        <w:t xml:space="preserve">The primary features of a Mughal-mosque (MM: BMLH) are its enormous meticulously well-planned structures. These include a wide courtyard and a sanctuary or </w:t>
      </w:r>
      <w:proofErr w:type="spellStart"/>
      <w:r w:rsidRPr="008A20E9">
        <w:rPr>
          <w:rFonts w:ascii="Candara" w:hAnsi="Candara"/>
          <w:sz w:val="18"/>
          <w:szCs w:val="18"/>
        </w:rPr>
        <w:t>Pishtagh</w:t>
      </w:r>
      <w:proofErr w:type="spellEnd"/>
      <w:r w:rsidRPr="008A20E9">
        <w:rPr>
          <w:rFonts w:ascii="Candara" w:hAnsi="Candara"/>
          <w:sz w:val="18"/>
          <w:szCs w:val="18"/>
        </w:rPr>
        <w:t xml:space="preserve">, which is symbolized by a vertically expanded bulbous dome. The Chhatris (domed-shaped pavilion) and decorative minarets moreover, the enormous functioning minarets on the opposite side of the courtyard's cloisters and </w:t>
      </w:r>
      <w:proofErr w:type="spellStart"/>
      <w:r w:rsidRPr="008A20E9">
        <w:rPr>
          <w:rFonts w:ascii="Candara" w:hAnsi="Candara"/>
          <w:sz w:val="18"/>
          <w:szCs w:val="18"/>
        </w:rPr>
        <w:t>ivans</w:t>
      </w:r>
      <w:proofErr w:type="spellEnd"/>
      <w:r w:rsidRPr="008A20E9">
        <w:rPr>
          <w:rFonts w:ascii="Candara" w:hAnsi="Candara"/>
          <w:sz w:val="18"/>
          <w:szCs w:val="18"/>
        </w:rPr>
        <w:t xml:space="preserve">, further accentuate the vertical focus </w:t>
      </w:r>
      <w:r w:rsidRPr="008A20E9">
        <w:rPr>
          <w:rFonts w:ascii="Candara" w:hAnsi="Candara"/>
          <w:sz w:val="18"/>
          <w:szCs w:val="18"/>
        </w:rPr>
        <w:fldChar w:fldCharType="begin"/>
      </w:r>
      <w:r w:rsidR="006141DF">
        <w:rPr>
          <w:rFonts w:ascii="Candara" w:hAnsi="Candara"/>
          <w:sz w:val="18"/>
          <w:szCs w:val="18"/>
        </w:rPr>
        <w:instrText xml:space="preserve"> ADDIN EN.CITE &lt;EndNote&gt;&lt;Cite&gt;&lt;Author&gt;Khazaee&lt;/Author&gt;&lt;Year&gt;2015&lt;/Year&gt;&lt;RecNum&gt;56&lt;/RecNum&gt;&lt;DisplayText&gt;[6]&lt;/DisplayText&gt;&lt;record&gt;&lt;rec-number&gt;56&lt;/rec-number&gt;&lt;foreign-keys&gt;&lt;key app="EN" db-id="tepstesptaexxnexzthxafzl5f99arwpaset" timestamp="1669818531"&gt;56&lt;/key&gt;&lt;/foreign-keys&gt;&lt;ref-type name="Journal Article"&gt;17&lt;/ref-type&gt;&lt;contributors&gt;&lt;authors&gt;&lt;author&gt;Khazaee, Maryam&lt;/author&gt;&lt;author&gt;Yaacob, Naziaty&lt;/author&gt;&lt;author&gt;Awad, Zakaria Alcheikh Mahmoud&lt;/author&gt;&lt;author&gt;Ali, Zuraini Md&lt;/author&gt;&lt;/authors&gt;&lt;/contributors&gt;&lt;titles&gt;&lt;title&gt;Mughal or Moorish architecture: The origins of Malaysian mosques during colonial periods&lt;/title&gt;&lt;secondary-title&gt;Soc. Sci. Humanit&lt;/secondary-title&gt;&lt;/titles&gt;&lt;periodical&gt;&lt;full-title&gt;Soc. Sci. Humanit&lt;/full-title&gt;&lt;/periodical&gt;&lt;pages&gt;639-654&lt;/pages&gt;&lt;volume&gt;23&lt;/volume&gt;&lt;number&gt;3&lt;/number&gt;&lt;dates&gt;&lt;year&gt;2015&lt;/year&gt;&lt;/dates&gt;&lt;urls&gt;&lt;/urls&gt;&lt;/record&gt;&lt;/Cite&gt;&lt;/EndNote&gt;</w:instrText>
      </w:r>
      <w:r w:rsidRPr="008A20E9">
        <w:rPr>
          <w:rFonts w:ascii="Candara" w:hAnsi="Candara"/>
          <w:sz w:val="18"/>
          <w:szCs w:val="18"/>
        </w:rPr>
        <w:fldChar w:fldCharType="separate"/>
      </w:r>
      <w:r w:rsidR="006141DF">
        <w:rPr>
          <w:rFonts w:ascii="Candara" w:hAnsi="Candara"/>
          <w:noProof/>
          <w:sz w:val="18"/>
          <w:szCs w:val="18"/>
        </w:rPr>
        <w:t>[6]</w:t>
      </w:r>
      <w:r w:rsidRPr="008A20E9">
        <w:rPr>
          <w:rFonts w:ascii="Candara" w:hAnsi="Candara"/>
          <w:sz w:val="18"/>
          <w:szCs w:val="18"/>
        </w:rPr>
        <w:fldChar w:fldCharType="end"/>
      </w:r>
      <w:r w:rsidRPr="008A20E9">
        <w:rPr>
          <w:rFonts w:ascii="Candara" w:hAnsi="Candara"/>
          <w:sz w:val="18"/>
          <w:szCs w:val="18"/>
        </w:rPr>
        <w:t>.</w:t>
      </w:r>
    </w:p>
    <w:p w:rsidR="008A20E9" w:rsidRPr="008A20E9" w:rsidRDefault="008A20E9" w:rsidP="008A20E9">
      <w:pPr>
        <w:spacing w:after="0" w:line="240" w:lineRule="auto"/>
        <w:ind w:firstLine="425"/>
        <w:jc w:val="both"/>
        <w:rPr>
          <w:rFonts w:ascii="Candara" w:hAnsi="Candara"/>
          <w:sz w:val="18"/>
          <w:szCs w:val="18"/>
        </w:rPr>
      </w:pPr>
      <w:r w:rsidRPr="008A20E9">
        <w:rPr>
          <w:rFonts w:ascii="Candara" w:hAnsi="Candara"/>
          <w:sz w:val="18"/>
          <w:szCs w:val="18"/>
        </w:rPr>
        <w:t xml:space="preserve">Mughal architecture, which is regarded as a highly harmonious and beautiful combination of different architectures, is notable for reflecting and fusion of different cultures. The exceptionally elegant Mughal signs, decorations and beautifications have been acknowledged and praised by many historical researchers, queen and princess of the England </w:t>
      </w:r>
      <w:r w:rsidRPr="008A20E9">
        <w:rPr>
          <w:rFonts w:ascii="Candara" w:hAnsi="Candara"/>
          <w:sz w:val="18"/>
          <w:szCs w:val="18"/>
        </w:rPr>
        <w:fldChar w:fldCharType="begin"/>
      </w:r>
      <w:r w:rsidR="006141DF">
        <w:rPr>
          <w:rFonts w:ascii="Candara" w:hAnsi="Candara"/>
          <w:sz w:val="18"/>
          <w:szCs w:val="18"/>
        </w:rPr>
        <w:instrText xml:space="preserve"> ADDIN EN.CITE &lt;EndNote&gt;&lt;Cite&gt;&lt;Author&gt;Maryam&lt;/Author&gt;&lt;Year&gt;2015&lt;/Year&gt;&lt;RecNum&gt;57&lt;/RecNum&gt;&lt;DisplayText&gt;[7]&lt;/DisplayText&gt;&lt;record&gt;&lt;rec-number&gt;57&lt;/rec-number&gt;&lt;foreign-keys&gt;&lt;key app="EN" db-id="tepstesptaexxnexzthxafzl5f99arwpaset" timestamp="1669818581"&gt;57&lt;/key&gt;&lt;/foreign-keys&gt;&lt;ref-type name="Thesis"&gt;32&lt;/ref-type&gt;&lt;contributors&gt;&lt;authors&gt;&lt;author&gt;Maryam, Khazaee&lt;/author&gt;&lt;/authors&gt;&lt;/contributors&gt;&lt;titles&gt;&lt;title&gt;Influence of Timurid architecture on Safavid and Mughal mosques in India/Maryam Khazaee&lt;/title&gt;&lt;/titles&gt;&lt;dates&gt;&lt;year&gt;2015&lt;/year&gt;&lt;/dates&gt;&lt;publisher&gt;University of Malaya&lt;/publisher&gt;&lt;urls&gt;&lt;/urls&gt;&lt;/record&gt;&lt;/Cite&gt;&lt;/EndNote&gt;</w:instrText>
      </w:r>
      <w:r w:rsidRPr="008A20E9">
        <w:rPr>
          <w:rFonts w:ascii="Candara" w:hAnsi="Candara"/>
          <w:sz w:val="18"/>
          <w:szCs w:val="18"/>
        </w:rPr>
        <w:fldChar w:fldCharType="separate"/>
      </w:r>
      <w:r w:rsidR="006141DF">
        <w:rPr>
          <w:rFonts w:ascii="Candara" w:hAnsi="Candara"/>
          <w:noProof/>
          <w:sz w:val="18"/>
          <w:szCs w:val="18"/>
        </w:rPr>
        <w:t>[7]</w:t>
      </w:r>
      <w:r w:rsidRPr="008A20E9">
        <w:rPr>
          <w:rFonts w:ascii="Candara" w:hAnsi="Candara"/>
          <w:sz w:val="18"/>
          <w:szCs w:val="18"/>
        </w:rPr>
        <w:fldChar w:fldCharType="end"/>
      </w:r>
      <w:r w:rsidRPr="008A20E9">
        <w:rPr>
          <w:rFonts w:ascii="Candara" w:hAnsi="Candara"/>
          <w:sz w:val="18"/>
          <w:szCs w:val="18"/>
        </w:rPr>
        <w:t>.</w:t>
      </w:r>
    </w:p>
    <w:p w:rsidR="008A20E9" w:rsidRPr="00A343A5" w:rsidRDefault="008A20E9" w:rsidP="00A343A5">
      <w:pPr>
        <w:spacing w:before="240" w:after="0" w:line="240" w:lineRule="auto"/>
        <w:jc w:val="both"/>
        <w:rPr>
          <w:rFonts w:ascii="Century Gothic" w:hAnsi="Century Gothic"/>
          <w:b/>
          <w:sz w:val="15"/>
          <w:szCs w:val="15"/>
        </w:rPr>
      </w:pPr>
      <w:r w:rsidRPr="00A343A5">
        <w:rPr>
          <w:rFonts w:ascii="Century Gothic" w:hAnsi="Century Gothic"/>
          <w:b/>
          <w:sz w:val="15"/>
          <w:szCs w:val="15"/>
        </w:rPr>
        <w:t>3.2. B</w:t>
      </w:r>
      <w:r w:rsidR="00F57915">
        <w:rPr>
          <w:rFonts w:ascii="Century Gothic" w:hAnsi="Century Gothic"/>
          <w:b/>
          <w:sz w:val="15"/>
          <w:szCs w:val="15"/>
        </w:rPr>
        <w:t>ADSHAHI MOSQUE</w:t>
      </w:r>
    </w:p>
    <w:p w:rsidR="008A3DB5" w:rsidRDefault="008A20E9" w:rsidP="00A343A5">
      <w:pPr>
        <w:spacing w:before="240" w:after="0" w:line="240" w:lineRule="auto"/>
        <w:jc w:val="both"/>
        <w:rPr>
          <w:rFonts w:ascii="Candara" w:hAnsi="Candara"/>
          <w:sz w:val="18"/>
          <w:szCs w:val="18"/>
        </w:rPr>
      </w:pPr>
      <w:r w:rsidRPr="008A20E9">
        <w:rPr>
          <w:rFonts w:ascii="Candara" w:hAnsi="Candara"/>
          <w:sz w:val="18"/>
          <w:szCs w:val="18"/>
        </w:rPr>
        <w:t xml:space="preserve">The Mughal Emperor Aurangzeb Alamgir (AA), built the BMLH (Figure 2) Pakistan (1671-1673) nearby (Northwest corner) the magnificent Lahore Fort that served as safety, easier management of government affairs such as education, pleasant surroundings and access of justice for common public. Mr. </w:t>
      </w:r>
      <w:proofErr w:type="spellStart"/>
      <w:r w:rsidRPr="008A20E9">
        <w:rPr>
          <w:rFonts w:ascii="Candara" w:hAnsi="Candara"/>
          <w:sz w:val="18"/>
          <w:szCs w:val="18"/>
        </w:rPr>
        <w:t>Fidai</w:t>
      </w:r>
      <w:proofErr w:type="spellEnd"/>
      <w:r w:rsidRPr="008A20E9">
        <w:rPr>
          <w:rFonts w:ascii="Candara" w:hAnsi="Candara"/>
          <w:sz w:val="18"/>
          <w:szCs w:val="18"/>
        </w:rPr>
        <w:t xml:space="preserve"> Khan </w:t>
      </w:r>
      <w:r w:rsidRPr="008A20E9">
        <w:rPr>
          <w:rFonts w:ascii="Candara" w:hAnsi="Candara"/>
          <w:sz w:val="18"/>
          <w:szCs w:val="18"/>
        </w:rPr>
        <w:lastRenderedPageBreak/>
        <w:t xml:space="preserve">Koka (brother of AA), was responsible for the construction affairs of the BMLH (Figure 3) </w:t>
      </w:r>
      <w:r w:rsidRPr="008A20E9">
        <w:rPr>
          <w:rFonts w:ascii="Candara" w:hAnsi="Candara"/>
          <w:sz w:val="18"/>
          <w:szCs w:val="18"/>
        </w:rPr>
        <w:fldChar w:fldCharType="begin"/>
      </w:r>
      <w:r w:rsidR="006141DF">
        <w:rPr>
          <w:rFonts w:ascii="Candara" w:hAnsi="Candara"/>
          <w:sz w:val="18"/>
          <w:szCs w:val="18"/>
        </w:rPr>
        <w:instrText xml:space="preserve"> ADDIN EN.CITE &lt;EndNote&gt;&lt;Cite&gt;&lt;Author&gt;Agha&lt;/Author&gt;&lt;Year&gt;2020&lt;/Year&gt;&lt;RecNum&gt;58&lt;/RecNum&gt;&lt;DisplayText&gt;[8]&lt;/DisplayText&gt;&lt;record&gt;&lt;rec-number&gt;58&lt;/rec-number&gt;&lt;foreign-keys&gt;&lt;key app="EN" db-id="tepstesptaexxnexzthxafzl5f99arwpaset" timestamp="1669819185"&gt;58&lt;/key&gt;&lt;/foreign-keys&gt;&lt;ref-type name="Journal Article"&gt;17&lt;/ref-type&gt;&lt;contributors&gt;&lt;authors&gt;&lt;author&gt;Agha, Syed Bacha&lt;/author&gt;&lt;author&gt;Khubaib, Muhammad&lt;/author&gt;&lt;/authors&gt;&lt;/contributors&gt;&lt;titles&gt;&lt;title&gt;The three Mosques of Pakistan as an Islamic Heritage Architecture&lt;/title&gt;&lt;secondary-title&gt;Al-Azhār&lt;/secondary-title&gt;&lt;/titles&gt;&lt;periodical&gt;&lt;full-title&gt;Al-Azhār&lt;/full-title&gt;&lt;/periodical&gt;&lt;volume&gt;6&lt;/volume&gt;&lt;number&gt;1&lt;/number&gt;&lt;dates&gt;&lt;year&gt;2020&lt;/year&gt;&lt;/dates&gt;&lt;isbn&gt;2519-6707&lt;/isbn&gt;&lt;urls&gt;&lt;/urls&gt;&lt;/record&gt;&lt;/Cite&gt;&lt;/EndNote&gt;</w:instrText>
      </w:r>
      <w:r w:rsidRPr="008A20E9">
        <w:rPr>
          <w:rFonts w:ascii="Candara" w:hAnsi="Candara"/>
          <w:sz w:val="18"/>
          <w:szCs w:val="18"/>
        </w:rPr>
        <w:fldChar w:fldCharType="separate"/>
      </w:r>
      <w:r w:rsidR="006141DF">
        <w:rPr>
          <w:rFonts w:ascii="Candara" w:hAnsi="Candara"/>
          <w:noProof/>
          <w:sz w:val="18"/>
          <w:szCs w:val="18"/>
        </w:rPr>
        <w:t>[8]</w:t>
      </w:r>
      <w:r w:rsidRPr="008A20E9">
        <w:rPr>
          <w:rFonts w:ascii="Candara" w:hAnsi="Candara"/>
          <w:sz w:val="18"/>
          <w:szCs w:val="18"/>
        </w:rPr>
        <w:fldChar w:fldCharType="end"/>
      </w:r>
      <w:r w:rsidRPr="008A20E9">
        <w:rPr>
          <w:rFonts w:ascii="Candara" w:hAnsi="Candara"/>
          <w:sz w:val="18"/>
          <w:szCs w:val="18"/>
        </w:rPr>
        <w:t>.</w:t>
      </w:r>
    </w:p>
    <w:p w:rsidR="008A20E9" w:rsidRDefault="008A20E9" w:rsidP="008A20E9">
      <w:pPr>
        <w:spacing w:after="0" w:line="240" w:lineRule="auto"/>
        <w:jc w:val="both"/>
        <w:rPr>
          <w:rFonts w:ascii="Candara" w:hAnsi="Candara"/>
          <w:sz w:val="18"/>
          <w:szCs w:val="18"/>
        </w:rPr>
      </w:pPr>
      <w:r w:rsidRPr="00F94D1A">
        <w:rPr>
          <w:rFonts w:asciiTheme="majorBidi" w:eastAsia="SimSun" w:hAnsiTheme="majorBidi" w:cstheme="majorBidi"/>
          <w:noProof/>
          <w:sz w:val="24"/>
          <w:szCs w:val="24"/>
        </w:rPr>
        <w:drawing>
          <wp:inline distT="0" distB="0" distL="0" distR="0" wp14:anchorId="04E424BE" wp14:editId="3F622E24">
            <wp:extent cx="2654935" cy="1417716"/>
            <wp:effectExtent l="0" t="0" r="0" b="0"/>
            <wp:docPr id="3" name="Picture 1">
              <a:extLst xmlns:a="http://schemas.openxmlformats.org/drawingml/2006/main">
                <a:ext uri="{FF2B5EF4-FFF2-40B4-BE49-F238E27FC236}">
                  <a16:creationId xmlns:a16="http://schemas.microsoft.com/office/drawing/2014/main" id="{4DD2A952-55BF-955E-DE4C-D0D17BB613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DD2A952-55BF-955E-DE4C-D0D17BB613B7}"/>
                        </a:ext>
                      </a:extLst>
                    </pic:cNvPr>
                    <pic:cNvPicPr>
                      <a:picLocks noChangeAspect="1"/>
                    </pic:cNvPicPr>
                  </pic:nvPicPr>
                  <pic:blipFill rotWithShape="1">
                    <a:blip r:embed="rId17"/>
                    <a:srcRect l="2250" t="1991" r="1662" b="27593"/>
                    <a:stretch/>
                  </pic:blipFill>
                  <pic:spPr>
                    <a:xfrm>
                      <a:off x="0" y="0"/>
                      <a:ext cx="2654935" cy="1417716"/>
                    </a:xfrm>
                    <a:prstGeom prst="rect">
                      <a:avLst/>
                    </a:prstGeom>
                  </pic:spPr>
                </pic:pic>
              </a:graphicData>
            </a:graphic>
          </wp:inline>
        </w:drawing>
      </w:r>
    </w:p>
    <w:p w:rsidR="008A20E9" w:rsidRPr="008A20E9" w:rsidRDefault="008A20E9" w:rsidP="008A20E9">
      <w:pPr>
        <w:spacing w:after="0" w:line="264" w:lineRule="auto"/>
        <w:jc w:val="center"/>
        <w:rPr>
          <w:rFonts w:ascii="Candara" w:hAnsi="Candara"/>
          <w:b/>
          <w:sz w:val="15"/>
          <w:szCs w:val="15"/>
          <w:lang w:val="id-ID"/>
        </w:rPr>
      </w:pPr>
      <w:r w:rsidRPr="008A20E9">
        <w:rPr>
          <w:rFonts w:ascii="Candara" w:hAnsi="Candara"/>
          <w:b/>
          <w:sz w:val="15"/>
          <w:szCs w:val="15"/>
          <w:lang w:val="id-ID"/>
        </w:rPr>
        <w:t xml:space="preserve">Figure </w:t>
      </w:r>
      <w:r w:rsidRPr="008A20E9">
        <w:rPr>
          <w:rFonts w:ascii="Candara" w:hAnsi="Candara"/>
          <w:b/>
          <w:sz w:val="15"/>
          <w:szCs w:val="15"/>
          <w:lang w:val="id-ID"/>
        </w:rPr>
        <w:fldChar w:fldCharType="begin"/>
      </w:r>
      <w:r w:rsidRPr="008A20E9">
        <w:rPr>
          <w:rFonts w:ascii="Candara" w:hAnsi="Candara"/>
          <w:b/>
          <w:sz w:val="15"/>
          <w:szCs w:val="15"/>
          <w:lang w:val="id-ID"/>
        </w:rPr>
        <w:instrText xml:space="preserve"> SEQ Figure \* ARABIC </w:instrText>
      </w:r>
      <w:r w:rsidRPr="008A20E9">
        <w:rPr>
          <w:rFonts w:ascii="Candara" w:hAnsi="Candara"/>
          <w:b/>
          <w:sz w:val="15"/>
          <w:szCs w:val="15"/>
          <w:lang w:val="id-ID"/>
        </w:rPr>
        <w:fldChar w:fldCharType="separate"/>
      </w:r>
      <w:r w:rsidRPr="008A20E9">
        <w:rPr>
          <w:rFonts w:ascii="Candara" w:hAnsi="Candara"/>
          <w:b/>
          <w:sz w:val="15"/>
          <w:szCs w:val="15"/>
          <w:lang w:val="id-ID"/>
        </w:rPr>
        <w:t>2</w:t>
      </w:r>
      <w:r w:rsidRPr="008A20E9">
        <w:rPr>
          <w:rFonts w:ascii="Candara" w:hAnsi="Candara"/>
          <w:b/>
          <w:sz w:val="15"/>
          <w:szCs w:val="15"/>
          <w:lang w:val="id-ID"/>
        </w:rPr>
        <w:fldChar w:fldCharType="end"/>
      </w:r>
      <w:r w:rsidRPr="008A20E9">
        <w:rPr>
          <w:rFonts w:ascii="Candara" w:hAnsi="Candara"/>
          <w:b/>
          <w:sz w:val="15"/>
          <w:szCs w:val="15"/>
          <w:lang w:val="id-ID"/>
        </w:rPr>
        <w:t xml:space="preserve"> Isometric view of Badshahi mosque. Source: https://adillahorei.com.</w:t>
      </w:r>
    </w:p>
    <w:p w:rsidR="008A20E9" w:rsidRDefault="00D94EE4" w:rsidP="008A20E9">
      <w:pPr>
        <w:spacing w:after="0" w:line="240" w:lineRule="auto"/>
        <w:jc w:val="both"/>
        <w:rPr>
          <w:rFonts w:ascii="Candara" w:hAnsi="Candara"/>
          <w:sz w:val="18"/>
          <w:szCs w:val="18"/>
        </w:rPr>
      </w:pPr>
      <w:r w:rsidRPr="00F94D1A">
        <w:rPr>
          <w:rFonts w:asciiTheme="majorBidi" w:eastAsia="SimSun" w:hAnsiTheme="majorBidi" w:cstheme="majorBidi"/>
          <w:noProof/>
          <w:sz w:val="24"/>
          <w:szCs w:val="24"/>
        </w:rPr>
        <w:drawing>
          <wp:inline distT="0" distB="0" distL="0" distR="0" wp14:anchorId="6BD36E49" wp14:editId="293AC442">
            <wp:extent cx="2654935" cy="1448458"/>
            <wp:effectExtent l="0" t="0" r="0" b="0"/>
            <wp:docPr id="5" name="Picture 1">
              <a:extLst xmlns:a="http://schemas.openxmlformats.org/drawingml/2006/main">
                <a:ext uri="{FF2B5EF4-FFF2-40B4-BE49-F238E27FC236}">
                  <a16:creationId xmlns:a16="http://schemas.microsoft.com/office/drawing/2014/main" id="{FE04EA5D-E957-7D75-B267-54E7DFDB7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E04EA5D-E957-7D75-B267-54E7DFDB7017}"/>
                        </a:ext>
                      </a:extLst>
                    </pic:cNvPr>
                    <pic:cNvPicPr>
                      <a:picLocks noChangeAspect="1"/>
                    </pic:cNvPicPr>
                  </pic:nvPicPr>
                  <pic:blipFill rotWithShape="1">
                    <a:blip r:embed="rId18"/>
                    <a:srcRect l="1041" t="1989" r="854" b="22728"/>
                    <a:stretch/>
                  </pic:blipFill>
                  <pic:spPr>
                    <a:xfrm>
                      <a:off x="0" y="0"/>
                      <a:ext cx="2654935" cy="1448458"/>
                    </a:xfrm>
                    <a:prstGeom prst="rect">
                      <a:avLst/>
                    </a:prstGeom>
                  </pic:spPr>
                </pic:pic>
              </a:graphicData>
            </a:graphic>
          </wp:inline>
        </w:drawing>
      </w:r>
    </w:p>
    <w:p w:rsidR="00D94EE4" w:rsidRPr="00A343A5" w:rsidRDefault="00D94EE4" w:rsidP="00A343A5">
      <w:pPr>
        <w:spacing w:after="0" w:line="264" w:lineRule="auto"/>
        <w:jc w:val="center"/>
        <w:rPr>
          <w:rFonts w:ascii="Candara" w:hAnsi="Candara"/>
          <w:b/>
          <w:sz w:val="15"/>
          <w:szCs w:val="15"/>
          <w:lang w:val="id-ID"/>
        </w:rPr>
      </w:pPr>
      <w:r w:rsidRPr="00D94EE4">
        <w:rPr>
          <w:rFonts w:ascii="Candara" w:hAnsi="Candara"/>
          <w:b/>
          <w:sz w:val="15"/>
          <w:szCs w:val="15"/>
          <w:lang w:val="id-ID"/>
        </w:rPr>
        <w:t xml:space="preserve">Figure </w:t>
      </w:r>
      <w:r w:rsidRPr="00D94EE4">
        <w:rPr>
          <w:rFonts w:ascii="Candara" w:hAnsi="Candara"/>
          <w:b/>
          <w:sz w:val="15"/>
          <w:szCs w:val="15"/>
          <w:lang w:val="id-ID"/>
        </w:rPr>
        <w:fldChar w:fldCharType="begin"/>
      </w:r>
      <w:r w:rsidRPr="00D94EE4">
        <w:rPr>
          <w:rFonts w:ascii="Candara" w:hAnsi="Candara"/>
          <w:b/>
          <w:sz w:val="15"/>
          <w:szCs w:val="15"/>
          <w:lang w:val="id-ID"/>
        </w:rPr>
        <w:instrText xml:space="preserve"> SEQ Figure \* ARABIC </w:instrText>
      </w:r>
      <w:r w:rsidRPr="00D94EE4">
        <w:rPr>
          <w:rFonts w:ascii="Candara" w:hAnsi="Candara"/>
          <w:b/>
          <w:sz w:val="15"/>
          <w:szCs w:val="15"/>
          <w:lang w:val="id-ID"/>
        </w:rPr>
        <w:fldChar w:fldCharType="separate"/>
      </w:r>
      <w:r w:rsidRPr="00D94EE4">
        <w:rPr>
          <w:rFonts w:ascii="Candara" w:hAnsi="Candara"/>
          <w:b/>
          <w:sz w:val="15"/>
          <w:szCs w:val="15"/>
          <w:lang w:val="id-ID"/>
        </w:rPr>
        <w:t>3</w:t>
      </w:r>
      <w:r w:rsidRPr="00D94EE4">
        <w:rPr>
          <w:rFonts w:ascii="Candara" w:hAnsi="Candara"/>
          <w:b/>
          <w:sz w:val="15"/>
          <w:szCs w:val="15"/>
          <w:lang w:val="id-ID"/>
        </w:rPr>
        <w:fldChar w:fldCharType="end"/>
      </w:r>
      <w:r w:rsidRPr="00D94EE4">
        <w:rPr>
          <w:rFonts w:ascii="Candara" w:hAnsi="Candara"/>
          <w:b/>
          <w:sz w:val="15"/>
          <w:szCs w:val="15"/>
          <w:lang w:val="id-ID"/>
        </w:rPr>
        <w:t xml:space="preserve"> Bird eye view of Badshahi mosque through Google earth maps. Source: Google earth (edited by author).</w:t>
      </w:r>
    </w:p>
    <w:p w:rsidR="00BF69AD" w:rsidRPr="00A343A5" w:rsidRDefault="00BF69AD" w:rsidP="00A343A5">
      <w:pPr>
        <w:spacing w:before="240" w:after="0" w:line="240" w:lineRule="auto"/>
        <w:jc w:val="both"/>
        <w:rPr>
          <w:rFonts w:ascii="Century Gothic" w:hAnsi="Century Gothic"/>
          <w:b/>
          <w:sz w:val="15"/>
          <w:szCs w:val="15"/>
        </w:rPr>
      </w:pPr>
      <w:r w:rsidRPr="00A343A5">
        <w:rPr>
          <w:rFonts w:ascii="Century Gothic" w:hAnsi="Century Gothic"/>
          <w:b/>
          <w:sz w:val="15"/>
          <w:szCs w:val="15"/>
        </w:rPr>
        <w:t>3.3</w:t>
      </w:r>
      <w:bookmarkStart w:id="0" w:name="_Hlk132671443"/>
      <w:r w:rsidRPr="00A343A5">
        <w:rPr>
          <w:rFonts w:ascii="Century Gothic" w:hAnsi="Century Gothic"/>
          <w:b/>
          <w:sz w:val="15"/>
          <w:szCs w:val="15"/>
        </w:rPr>
        <w:t>. The Importance of Badshahi Mosque as a UNESCO Tentative Culture Heritage Site</w:t>
      </w:r>
    </w:p>
    <w:p w:rsidR="00BF69AD" w:rsidRPr="00BF69AD" w:rsidRDefault="00BF69AD" w:rsidP="004E6201">
      <w:pPr>
        <w:spacing w:before="240" w:after="0" w:line="240" w:lineRule="auto"/>
        <w:ind w:firstLine="720"/>
        <w:jc w:val="both"/>
        <w:rPr>
          <w:rFonts w:ascii="Candara" w:hAnsi="Candara"/>
          <w:sz w:val="18"/>
          <w:szCs w:val="18"/>
        </w:rPr>
      </w:pPr>
      <w:r w:rsidRPr="00BF69AD">
        <w:rPr>
          <w:rFonts w:ascii="Candara" w:hAnsi="Candara"/>
          <w:sz w:val="18"/>
          <w:szCs w:val="18"/>
        </w:rPr>
        <w:t xml:space="preserve">The World Heritage convention, founded by the UNESCO in 1972, defines World Heritage Sites as locations important to cultural or natural heritage </w:t>
      </w:r>
      <w:r w:rsidRPr="00BF69AD">
        <w:rPr>
          <w:rFonts w:ascii="Candara" w:hAnsi="Candara"/>
          <w:sz w:val="18"/>
          <w:szCs w:val="18"/>
        </w:rPr>
        <w:fldChar w:fldCharType="begin"/>
      </w:r>
      <w:r w:rsidR="006141DF">
        <w:rPr>
          <w:rFonts w:ascii="Candara" w:hAnsi="Candara"/>
          <w:sz w:val="18"/>
          <w:szCs w:val="18"/>
        </w:rPr>
        <w:instrText xml:space="preserve"> ADDIN EN.CITE &lt;EndNote&gt;&lt;Cite&gt;&lt;Author&gt;Labadi&lt;/Author&gt;&lt;Year&gt;2017&lt;/Year&gt;&lt;RecNum&gt;1&lt;/RecNum&gt;&lt;DisplayText&gt;[9]&lt;/DisplayText&gt;&lt;record&gt;&lt;rec-number&gt;1&lt;/rec-number&gt;&lt;foreign-keys&gt;&lt;key app="EN" db-id="2verxes0odwrwteserr55ee2w2vfedtxfxx0" timestamp="1671464949"&gt;1&lt;/key&gt;&lt;/foreign-keys&gt;&lt;ref-type name="Book Section"&gt;5&lt;/ref-type&gt;&lt;contributors&gt;&lt;authors&gt;&lt;author&gt;Labadi, Sophia&lt;/author&gt;&lt;/authors&gt;&lt;/contributors&gt;&lt;titles&gt;&lt;title&gt;UNESCO, world heritage, and sustainable development: International discourses and local impacts&lt;/title&gt;&lt;secondary-title&gt;Collision or collaboration&lt;/secondary-title&gt;&lt;/titles&gt;&lt;pages&gt;45-60&lt;/pages&gt;&lt;dates&gt;&lt;year&gt;2017&lt;/year&gt;&lt;/dates&gt;&lt;publisher&gt;Springer&lt;/publisher&gt;&lt;urls&gt;&lt;/urls&gt;&lt;/record&gt;&lt;/Cite&gt;&lt;/EndNote&gt;</w:instrText>
      </w:r>
      <w:r w:rsidRPr="00BF69AD">
        <w:rPr>
          <w:rFonts w:ascii="Candara" w:hAnsi="Candara"/>
          <w:sz w:val="18"/>
          <w:szCs w:val="18"/>
        </w:rPr>
        <w:fldChar w:fldCharType="separate"/>
      </w:r>
      <w:r w:rsidR="006141DF">
        <w:rPr>
          <w:rFonts w:ascii="Candara" w:hAnsi="Candara"/>
          <w:noProof/>
          <w:sz w:val="18"/>
          <w:szCs w:val="18"/>
        </w:rPr>
        <w:t>[9]</w:t>
      </w:r>
      <w:r w:rsidRPr="00BF69AD">
        <w:rPr>
          <w:rFonts w:ascii="Candara" w:hAnsi="Candara"/>
          <w:sz w:val="18"/>
          <w:szCs w:val="18"/>
        </w:rPr>
        <w:fldChar w:fldCharType="end"/>
      </w:r>
      <w:r w:rsidRPr="00BF69AD">
        <w:rPr>
          <w:rFonts w:ascii="Candara" w:hAnsi="Candara"/>
          <w:sz w:val="18"/>
          <w:szCs w:val="18"/>
        </w:rPr>
        <w:t xml:space="preserve">. Landmarks, collections of structures and places make up cultural heritage, including architectural achievements, massive sculptures and inscriptions (including archaeological sites). Nature heritage is comprised of both biological and physical formations, geophysical and physiographic structures, habitats of endangered animal and plant species, and natural areas that are significant from the perspectives of research, conservation or natural beauty </w:t>
      </w:r>
      <w:r w:rsidRPr="00BF69AD">
        <w:rPr>
          <w:rFonts w:ascii="Candara" w:hAnsi="Candara"/>
          <w:sz w:val="18"/>
          <w:szCs w:val="18"/>
        </w:rPr>
        <w:fldChar w:fldCharType="begin"/>
      </w:r>
      <w:r w:rsidR="006141DF">
        <w:rPr>
          <w:rFonts w:ascii="Candara" w:hAnsi="Candara"/>
          <w:sz w:val="18"/>
          <w:szCs w:val="18"/>
        </w:rPr>
        <w:instrText xml:space="preserve"> ADDIN EN.CITE &lt;EndNote&gt;&lt;Cite&gt;&lt;Author&gt;Nasrolahi&lt;/Author&gt;&lt;Year&gt;2021&lt;/Year&gt;&lt;RecNum&gt;2&lt;/RecNum&gt;&lt;DisplayText&gt;[10]&lt;/DisplayText&gt;&lt;record&gt;&lt;rec-number&gt;2&lt;/rec-number&gt;&lt;foreign-keys&gt;&lt;key app="EN" db-id="2verxes0odwrwteserr55ee2w2vfedtxfxx0" timestamp="1671465864"&gt;2&lt;/key&gt;&lt;/foreign-keys&gt;&lt;ref-type name="Conference Proceedings"&gt;10&lt;/ref-type&gt;&lt;contributors&gt;&lt;authors&gt;&lt;author&gt;Nasrolahi, Ahmad&lt;/author&gt;&lt;author&gt;Gena, Cristina&lt;/author&gt;&lt;author&gt;Messina, Vito&lt;/author&gt;&lt;author&gt;Ejraei, Samet&lt;/author&gt;&lt;/authors&gt;&lt;/contributors&gt;&lt;titles&gt;&lt;title&gt;Participatory Monitoring in Cultural Heritage Conservation: Case Study: The Landscape zone of the Bisotun World Heritage Site&lt;/title&gt;&lt;secondary-title&gt;Adjunct Proceedings of the 29th ACM Conference on User Modeling, Adaptation and Personalization&lt;/secondary-title&gt;&lt;/titles&gt;&lt;pages&gt;186-188&lt;/pages&gt;&lt;dates&gt;&lt;year&gt;2021&lt;/year&gt;&lt;/dates&gt;&lt;urls&gt;&lt;/urls&gt;&lt;/record&gt;&lt;/Cite&gt;&lt;/EndNote&gt;</w:instrText>
      </w:r>
      <w:r w:rsidRPr="00BF69AD">
        <w:rPr>
          <w:rFonts w:ascii="Candara" w:hAnsi="Candara"/>
          <w:sz w:val="18"/>
          <w:szCs w:val="18"/>
        </w:rPr>
        <w:fldChar w:fldCharType="separate"/>
      </w:r>
      <w:r w:rsidR="006141DF">
        <w:rPr>
          <w:rFonts w:ascii="Candara" w:hAnsi="Candara"/>
          <w:noProof/>
          <w:sz w:val="18"/>
          <w:szCs w:val="18"/>
        </w:rPr>
        <w:t>[10]</w:t>
      </w:r>
      <w:r w:rsidRPr="00BF69AD">
        <w:rPr>
          <w:rFonts w:ascii="Candara" w:hAnsi="Candara"/>
          <w:sz w:val="18"/>
          <w:szCs w:val="18"/>
        </w:rPr>
        <w:fldChar w:fldCharType="end"/>
      </w:r>
      <w:r w:rsidRPr="00BF69AD">
        <w:rPr>
          <w:rFonts w:ascii="Candara" w:hAnsi="Candara"/>
          <w:sz w:val="18"/>
          <w:szCs w:val="18"/>
        </w:rPr>
        <w:t>.</w:t>
      </w:r>
    </w:p>
    <w:p w:rsidR="00BF69AD" w:rsidRDefault="00BF69AD" w:rsidP="00BF69AD">
      <w:pPr>
        <w:spacing w:after="0" w:line="240" w:lineRule="auto"/>
        <w:jc w:val="both"/>
        <w:rPr>
          <w:rFonts w:ascii="Candara" w:hAnsi="Candara"/>
          <w:sz w:val="18"/>
          <w:szCs w:val="18"/>
        </w:rPr>
      </w:pPr>
      <w:r w:rsidRPr="00BF69AD">
        <w:rPr>
          <w:rFonts w:ascii="Candara" w:hAnsi="Candara"/>
          <w:sz w:val="18"/>
          <w:szCs w:val="18"/>
        </w:rPr>
        <w:t>The Table 1, shows that Pakistan currently has six World Heritage Sites of UNESCO, while another 26 will be included by 2023 or later. These sites include Buddhist Ruins of Takht-</w:t>
      </w:r>
      <w:proofErr w:type="spellStart"/>
      <w:r w:rsidRPr="00BF69AD">
        <w:rPr>
          <w:rFonts w:ascii="Candara" w:hAnsi="Candara"/>
          <w:sz w:val="18"/>
          <w:szCs w:val="18"/>
        </w:rPr>
        <w:t>i</w:t>
      </w:r>
      <w:proofErr w:type="spellEnd"/>
      <w:r w:rsidRPr="00BF69AD">
        <w:rPr>
          <w:rFonts w:ascii="Candara" w:hAnsi="Candara"/>
          <w:sz w:val="18"/>
          <w:szCs w:val="18"/>
        </w:rPr>
        <w:t>-</w:t>
      </w:r>
      <w:proofErr w:type="spellStart"/>
      <w:r w:rsidRPr="00BF69AD">
        <w:rPr>
          <w:rFonts w:ascii="Candara" w:hAnsi="Candara"/>
          <w:sz w:val="18"/>
          <w:szCs w:val="18"/>
        </w:rPr>
        <w:t>Bahi</w:t>
      </w:r>
      <w:proofErr w:type="spellEnd"/>
      <w:r w:rsidRPr="00BF69AD">
        <w:rPr>
          <w:rFonts w:ascii="Candara" w:hAnsi="Candara"/>
          <w:sz w:val="18"/>
          <w:szCs w:val="18"/>
        </w:rPr>
        <w:t xml:space="preserve"> and Adjacent city remains at </w:t>
      </w:r>
      <w:proofErr w:type="spellStart"/>
      <w:r w:rsidRPr="00BF69AD">
        <w:rPr>
          <w:rFonts w:ascii="Candara" w:hAnsi="Candara"/>
          <w:sz w:val="18"/>
          <w:szCs w:val="18"/>
        </w:rPr>
        <w:t>Sahr-i-Bahlol</w:t>
      </w:r>
      <w:proofErr w:type="spellEnd"/>
      <w:r w:rsidRPr="00BF69AD">
        <w:rPr>
          <w:rFonts w:ascii="Candara" w:hAnsi="Candara"/>
          <w:sz w:val="18"/>
          <w:szCs w:val="18"/>
        </w:rPr>
        <w:t xml:space="preserve">, the Archaeological Ruins at Mohenjo-Daro, and Taxila were the first three sites to be classified in 1980. The </w:t>
      </w:r>
      <w:proofErr w:type="spellStart"/>
      <w:r w:rsidRPr="00BF69AD">
        <w:rPr>
          <w:rFonts w:ascii="Candara" w:hAnsi="Candara"/>
          <w:sz w:val="18"/>
          <w:szCs w:val="18"/>
        </w:rPr>
        <w:t>Rohtas</w:t>
      </w:r>
      <w:proofErr w:type="spellEnd"/>
      <w:r w:rsidRPr="00BF69AD">
        <w:rPr>
          <w:rFonts w:ascii="Candara" w:hAnsi="Candara"/>
          <w:sz w:val="18"/>
          <w:szCs w:val="18"/>
        </w:rPr>
        <w:t xml:space="preserve"> Fort was the most recent structure added to the list in 1997 after two sites were added in 1981. Six places are all cultural </w:t>
      </w:r>
      <w:r w:rsidRPr="00BF69AD">
        <w:rPr>
          <w:rFonts w:ascii="Candara" w:hAnsi="Candara"/>
          <w:sz w:val="18"/>
          <w:szCs w:val="18"/>
        </w:rPr>
        <w:fldChar w:fldCharType="begin"/>
      </w:r>
      <w:r w:rsidR="006141DF">
        <w:rPr>
          <w:rFonts w:ascii="Candara" w:hAnsi="Candara"/>
          <w:sz w:val="18"/>
          <w:szCs w:val="18"/>
        </w:rPr>
        <w:instrText xml:space="preserve"> ADDIN EN.CITE &lt;EndNote&gt;&lt;Cite&gt;&lt;Author&gt;Khan&lt;/Author&gt;&lt;Year&gt;2022&lt;/Year&gt;&lt;RecNum&gt;3&lt;/RecNum&gt;&lt;DisplayText&gt;[11]&lt;/DisplayText&gt;&lt;record&gt;&lt;rec-number&gt;3&lt;/rec-number&gt;&lt;foreign-keys&gt;&lt;key app="EN" db-id="2verxes0odwrwteserr55ee2w2vfedtxfxx0" timestamp="1671466010"&gt;3&lt;/key&gt;&lt;/foreign-keys&gt;&lt;ref-type name="Journal Article"&gt;17&lt;/ref-type&gt;&lt;contributors&gt;&lt;authors&gt;&lt;author&gt;Khan, Nisar Ali&lt;/author&gt;&lt;author&gt;Nuti, Camillo&lt;/author&gt;&lt;author&gt;Monti, Giorgio&lt;/author&gt;&lt;author&gt;Micheli, Mario&lt;/author&gt;&lt;/authors&gt;&lt;/contributors&gt;&lt;titles&gt;&lt;title&gt;Critical Review of Pakistani Current Legislation on Sustainable Protection of Cultural Heritage&lt;/title&gt;&lt;secondary-title&gt;Sustainability&lt;/secondary-title&gt;&lt;/titles&gt;&lt;periodical&gt;&lt;full-title&gt;Sustainability&lt;/full-title&gt;&lt;/periodical&gt;&lt;pages&gt;3633&lt;/pages&gt;&lt;volume&gt;14&lt;/volume&gt;&lt;number&gt;6&lt;/number&gt;&lt;dates&gt;&lt;year&gt;2022&lt;/year&gt;&lt;/dates&gt;&lt;isbn&gt;2071-1050&lt;/isbn&gt;&lt;urls&gt;&lt;/urls&gt;&lt;/record&gt;&lt;/Cite&gt;&lt;/EndNote&gt;</w:instrText>
      </w:r>
      <w:r w:rsidRPr="00BF69AD">
        <w:rPr>
          <w:rFonts w:ascii="Candara" w:hAnsi="Candara"/>
          <w:sz w:val="18"/>
          <w:szCs w:val="18"/>
        </w:rPr>
        <w:fldChar w:fldCharType="separate"/>
      </w:r>
      <w:r w:rsidR="006141DF">
        <w:rPr>
          <w:rFonts w:ascii="Candara" w:hAnsi="Candara"/>
          <w:noProof/>
          <w:sz w:val="18"/>
          <w:szCs w:val="18"/>
        </w:rPr>
        <w:t>[11]</w:t>
      </w:r>
      <w:r w:rsidRPr="00BF69AD">
        <w:rPr>
          <w:rFonts w:ascii="Candara" w:hAnsi="Candara"/>
          <w:sz w:val="18"/>
          <w:szCs w:val="18"/>
        </w:rPr>
        <w:fldChar w:fldCharType="end"/>
      </w:r>
      <w:r w:rsidRPr="00BF69AD">
        <w:rPr>
          <w:rFonts w:ascii="Candara" w:hAnsi="Candara"/>
          <w:sz w:val="18"/>
          <w:szCs w:val="18"/>
        </w:rPr>
        <w:t xml:space="preserve">. The presence of BMLH as Tentative site inside World Heritage list shows that it is a high architectural, cultural and historical significant site built by the Mughals </w:t>
      </w:r>
      <w:r w:rsidRPr="00BF69AD">
        <w:rPr>
          <w:rFonts w:ascii="Candara" w:hAnsi="Candara"/>
          <w:sz w:val="18"/>
          <w:szCs w:val="18"/>
        </w:rPr>
        <w:fldChar w:fldCharType="begin"/>
      </w:r>
      <w:r w:rsidR="006141DF">
        <w:rPr>
          <w:rFonts w:ascii="Candara" w:hAnsi="Candara"/>
          <w:sz w:val="18"/>
          <w:szCs w:val="18"/>
        </w:rPr>
        <w:instrText xml:space="preserve"> ADDIN EN.CITE &lt;EndNote&gt;&lt;Cite&gt;&lt;Author&gt;Larsen&lt;/Author&gt;&lt;Year&gt;2018&lt;/Year&gt;&lt;RecNum&gt;4&lt;/RecNum&gt;&lt;DisplayText&gt;[12]&lt;/DisplayText&gt;&lt;record&gt;&lt;rec-number&gt;4&lt;/rec-number&gt;&lt;foreign-keys&gt;&lt;key app="EN" db-id="2verxes0odwrwteserr55ee2w2vfedtxfxx0" timestamp="1671466753"&gt;4&lt;/key&gt;&lt;/foreign-keys&gt;&lt;ref-type name="Journal Article"&gt;17&lt;/ref-type&gt;&lt;contributors&gt;&lt;authors&gt;&lt;author&gt;Larsen, Peter Billie&lt;/author&gt;&lt;author&gt;Logan, William&lt;/author&gt;&lt;/authors&gt;&lt;/contributors&gt;&lt;titles&gt;&lt;title&gt;World Heritage and Sustainable Developement&lt;/title&gt;&lt;secondary-title&gt;New Directions in World Heritage Management; Routledge: London, UK&lt;/secondary-title&gt;&lt;/titles&gt;&lt;periodical&gt;&lt;full-title&gt;New Directions in World Heritage Management; Routledge: London, UK&lt;/full-title&gt;&lt;/periodical&gt;&lt;dates&gt;&lt;year&gt;2018&lt;/year&gt;&lt;/dates&gt;&lt;urls&gt;&lt;/urls&gt;&lt;/record&gt;&lt;/Cite&gt;&lt;/EndNote&gt;</w:instrText>
      </w:r>
      <w:r w:rsidRPr="00BF69AD">
        <w:rPr>
          <w:rFonts w:ascii="Candara" w:hAnsi="Candara"/>
          <w:sz w:val="18"/>
          <w:szCs w:val="18"/>
        </w:rPr>
        <w:fldChar w:fldCharType="separate"/>
      </w:r>
      <w:r w:rsidR="006141DF">
        <w:rPr>
          <w:rFonts w:ascii="Candara" w:hAnsi="Candara"/>
          <w:noProof/>
          <w:sz w:val="18"/>
          <w:szCs w:val="18"/>
        </w:rPr>
        <w:t>[12]</w:t>
      </w:r>
      <w:r w:rsidRPr="00BF69AD">
        <w:rPr>
          <w:rFonts w:ascii="Candara" w:hAnsi="Candara"/>
          <w:sz w:val="18"/>
          <w:szCs w:val="18"/>
        </w:rPr>
        <w:fldChar w:fldCharType="end"/>
      </w:r>
      <w:r w:rsidRPr="00BF69AD">
        <w:rPr>
          <w:rFonts w:ascii="Candara" w:hAnsi="Candara"/>
          <w:sz w:val="18"/>
          <w:szCs w:val="18"/>
        </w:rPr>
        <w:t>.</w:t>
      </w:r>
    </w:p>
    <w:bookmarkEnd w:id="0"/>
    <w:p w:rsidR="00BF69AD" w:rsidRDefault="00BF69AD" w:rsidP="00D94EE4">
      <w:pPr>
        <w:spacing w:after="0" w:line="264" w:lineRule="auto"/>
        <w:rPr>
          <w:rFonts w:ascii="Candara" w:hAnsi="Candara"/>
          <w:b/>
          <w:sz w:val="15"/>
          <w:szCs w:val="15"/>
        </w:rPr>
      </w:pPr>
    </w:p>
    <w:p w:rsidR="00C75057" w:rsidRDefault="00C75057" w:rsidP="00D94EE4">
      <w:pPr>
        <w:spacing w:after="0" w:line="264" w:lineRule="auto"/>
        <w:rPr>
          <w:rFonts w:ascii="Candara" w:hAnsi="Candara"/>
          <w:b/>
          <w:sz w:val="15"/>
          <w:szCs w:val="15"/>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8"/>
        <w:gridCol w:w="1232"/>
        <w:gridCol w:w="1027"/>
        <w:gridCol w:w="850"/>
      </w:tblGrid>
      <w:tr w:rsidR="00C75057" w:rsidRPr="00C75057" w:rsidTr="00FB4DC7">
        <w:trPr>
          <w:trHeight w:val="144"/>
          <w:jc w:val="center"/>
        </w:trPr>
        <w:tc>
          <w:tcPr>
            <w:tcW w:w="4397" w:type="dxa"/>
            <w:gridSpan w:val="4"/>
            <w:tcBorders>
              <w:bottom w:val="single" w:sz="4" w:space="0" w:color="auto"/>
            </w:tcBorders>
          </w:tcPr>
          <w:p w:rsidR="00C75057" w:rsidRPr="00FB4DC7" w:rsidRDefault="00FB4DC7" w:rsidP="00FB4DC7">
            <w:pPr>
              <w:spacing w:line="264" w:lineRule="auto"/>
              <w:jc w:val="center"/>
              <w:rPr>
                <w:rFonts w:ascii="Candara" w:hAnsi="Candara"/>
                <w:b/>
                <w:sz w:val="15"/>
                <w:szCs w:val="15"/>
                <w:lang w:val="id-ID"/>
              </w:rPr>
            </w:pPr>
            <w:r w:rsidRPr="004E6201">
              <w:rPr>
                <w:rFonts w:ascii="Candara" w:hAnsi="Candara"/>
                <w:b/>
                <w:sz w:val="15"/>
                <w:szCs w:val="15"/>
                <w:lang w:val="id-ID"/>
              </w:rPr>
              <w:t>Table 1. Six world heritage sites in Pakistan. Source: designed by author.</w:t>
            </w:r>
          </w:p>
        </w:tc>
      </w:tr>
      <w:tr w:rsidR="00AF7039" w:rsidRPr="00C75057" w:rsidTr="00FB4DC7">
        <w:trPr>
          <w:trHeight w:val="144"/>
          <w:jc w:val="center"/>
        </w:trPr>
        <w:tc>
          <w:tcPr>
            <w:tcW w:w="1288" w:type="dxa"/>
            <w:tcBorders>
              <w:top w:val="single" w:sz="4" w:space="0" w:color="auto"/>
            </w:tcBorders>
          </w:tcPr>
          <w:p w:rsidR="00C75057" w:rsidRPr="00C75057" w:rsidRDefault="00C75057" w:rsidP="00C75057">
            <w:pPr>
              <w:jc w:val="both"/>
              <w:rPr>
                <w:rFonts w:ascii="Candara" w:hAnsi="Candara"/>
                <w:b/>
                <w:bCs/>
                <w:sz w:val="18"/>
                <w:szCs w:val="18"/>
              </w:rPr>
            </w:pPr>
            <w:r w:rsidRPr="00C75057">
              <w:rPr>
                <w:rFonts w:ascii="Candara" w:hAnsi="Candara"/>
                <w:b/>
                <w:bCs/>
                <w:sz w:val="18"/>
                <w:szCs w:val="18"/>
              </w:rPr>
              <w:t>Name of Site</w:t>
            </w:r>
          </w:p>
        </w:tc>
        <w:tc>
          <w:tcPr>
            <w:tcW w:w="1232" w:type="dxa"/>
            <w:tcBorders>
              <w:top w:val="single" w:sz="4" w:space="0" w:color="auto"/>
            </w:tcBorders>
          </w:tcPr>
          <w:p w:rsidR="00C75057" w:rsidRPr="00C75057" w:rsidRDefault="00C75057" w:rsidP="00C75057">
            <w:pPr>
              <w:jc w:val="both"/>
              <w:rPr>
                <w:rFonts w:ascii="Candara" w:hAnsi="Candara"/>
                <w:b/>
                <w:bCs/>
                <w:sz w:val="18"/>
                <w:szCs w:val="18"/>
              </w:rPr>
            </w:pPr>
            <w:r w:rsidRPr="00C75057">
              <w:rPr>
                <w:rFonts w:ascii="Candara" w:hAnsi="Candara"/>
                <w:b/>
                <w:bCs/>
                <w:sz w:val="18"/>
                <w:szCs w:val="18"/>
              </w:rPr>
              <w:t>Location</w:t>
            </w:r>
          </w:p>
        </w:tc>
        <w:tc>
          <w:tcPr>
            <w:tcW w:w="1188" w:type="dxa"/>
            <w:tcBorders>
              <w:top w:val="single" w:sz="4" w:space="0" w:color="auto"/>
            </w:tcBorders>
          </w:tcPr>
          <w:p w:rsidR="00C75057" w:rsidRPr="00C75057" w:rsidRDefault="00C75057" w:rsidP="00C75057">
            <w:pPr>
              <w:jc w:val="both"/>
              <w:rPr>
                <w:rFonts w:ascii="Candara" w:hAnsi="Candara"/>
                <w:b/>
                <w:bCs/>
                <w:sz w:val="18"/>
                <w:szCs w:val="18"/>
              </w:rPr>
            </w:pPr>
            <w:r w:rsidRPr="00C75057">
              <w:rPr>
                <w:rFonts w:ascii="Candara" w:hAnsi="Candara"/>
                <w:b/>
                <w:bCs/>
                <w:sz w:val="18"/>
                <w:szCs w:val="18"/>
              </w:rPr>
              <w:t>Year of Enlistment</w:t>
            </w:r>
          </w:p>
        </w:tc>
        <w:tc>
          <w:tcPr>
            <w:tcW w:w="689" w:type="dxa"/>
            <w:tcBorders>
              <w:top w:val="single" w:sz="4" w:space="0" w:color="auto"/>
            </w:tcBorders>
          </w:tcPr>
          <w:p w:rsidR="00C75057" w:rsidRPr="00C75057" w:rsidRDefault="00C75057" w:rsidP="00C75057">
            <w:pPr>
              <w:jc w:val="both"/>
              <w:rPr>
                <w:rFonts w:ascii="Candara" w:hAnsi="Candara"/>
                <w:b/>
                <w:bCs/>
                <w:sz w:val="18"/>
                <w:szCs w:val="18"/>
              </w:rPr>
            </w:pPr>
            <w:r w:rsidRPr="00C75057">
              <w:rPr>
                <w:rFonts w:ascii="Candara" w:hAnsi="Candara"/>
                <w:b/>
                <w:bCs/>
                <w:sz w:val="18"/>
                <w:szCs w:val="18"/>
              </w:rPr>
              <w:t xml:space="preserve">Area of Interest by </w:t>
            </w:r>
            <w:r w:rsidRPr="00C75057">
              <w:rPr>
                <w:rFonts w:ascii="Candara" w:hAnsi="Candara"/>
                <w:b/>
                <w:bCs/>
                <w:sz w:val="18"/>
                <w:szCs w:val="18"/>
              </w:rPr>
              <w:t>UNESCO</w:t>
            </w:r>
          </w:p>
        </w:tc>
      </w:tr>
      <w:tr w:rsidR="00AF7039" w:rsidRPr="00C75057" w:rsidTr="00FB4DC7">
        <w:trPr>
          <w:trHeight w:val="144"/>
          <w:jc w:val="center"/>
        </w:trPr>
        <w:tc>
          <w:tcPr>
            <w:tcW w:w="1288" w:type="dxa"/>
          </w:tcPr>
          <w:p w:rsidR="00C75057" w:rsidRPr="00C75057" w:rsidRDefault="00C75057" w:rsidP="00C75057">
            <w:pPr>
              <w:jc w:val="both"/>
              <w:rPr>
                <w:rFonts w:ascii="Candara" w:hAnsi="Candara"/>
                <w:sz w:val="18"/>
                <w:szCs w:val="18"/>
              </w:rPr>
            </w:pPr>
            <w:r w:rsidRPr="00C75057">
              <w:rPr>
                <w:rFonts w:ascii="Candara" w:hAnsi="Candara"/>
                <w:sz w:val="18"/>
                <w:szCs w:val="18"/>
              </w:rPr>
              <w:t>Mohenjo-Daro’s archaeological ruins</w:t>
            </w:r>
          </w:p>
        </w:tc>
        <w:tc>
          <w:tcPr>
            <w:tcW w:w="1232" w:type="dxa"/>
          </w:tcPr>
          <w:p w:rsidR="00C75057" w:rsidRPr="00C75057" w:rsidRDefault="00C75057" w:rsidP="00C75057">
            <w:pPr>
              <w:jc w:val="both"/>
              <w:rPr>
                <w:rFonts w:ascii="Candara" w:hAnsi="Candara"/>
                <w:sz w:val="18"/>
                <w:szCs w:val="18"/>
              </w:rPr>
            </w:pPr>
            <w:r w:rsidRPr="00C75057">
              <w:rPr>
                <w:rFonts w:ascii="Candara" w:hAnsi="Candara"/>
                <w:sz w:val="18"/>
                <w:szCs w:val="18"/>
              </w:rPr>
              <w:t>Sindh province</w:t>
            </w:r>
          </w:p>
        </w:tc>
        <w:tc>
          <w:tcPr>
            <w:tcW w:w="1188" w:type="dxa"/>
          </w:tcPr>
          <w:p w:rsidR="00C75057" w:rsidRPr="00C75057" w:rsidRDefault="00C75057" w:rsidP="00C75057">
            <w:pPr>
              <w:jc w:val="both"/>
              <w:rPr>
                <w:rFonts w:ascii="Candara" w:hAnsi="Candara"/>
                <w:sz w:val="18"/>
                <w:szCs w:val="18"/>
              </w:rPr>
            </w:pPr>
            <w:r w:rsidRPr="00C75057">
              <w:rPr>
                <w:rFonts w:ascii="Candara" w:hAnsi="Candara"/>
                <w:sz w:val="18"/>
                <w:szCs w:val="18"/>
              </w:rPr>
              <w:t>1980</w:t>
            </w:r>
          </w:p>
        </w:tc>
        <w:tc>
          <w:tcPr>
            <w:tcW w:w="689" w:type="dxa"/>
          </w:tcPr>
          <w:p w:rsidR="00C75057" w:rsidRPr="00C75057" w:rsidRDefault="00C75057" w:rsidP="00C75057">
            <w:pPr>
              <w:jc w:val="both"/>
              <w:rPr>
                <w:rFonts w:ascii="Candara" w:hAnsi="Candara"/>
                <w:sz w:val="18"/>
                <w:szCs w:val="18"/>
              </w:rPr>
            </w:pPr>
            <w:r w:rsidRPr="00C75057">
              <w:rPr>
                <w:rFonts w:ascii="Candara" w:hAnsi="Candara"/>
                <w:sz w:val="18"/>
                <w:szCs w:val="18"/>
              </w:rPr>
              <w:t>Cultural Site</w:t>
            </w:r>
          </w:p>
        </w:tc>
      </w:tr>
      <w:tr w:rsidR="00AF7039" w:rsidRPr="00C75057" w:rsidTr="00FB4DC7">
        <w:trPr>
          <w:trHeight w:val="144"/>
          <w:jc w:val="center"/>
        </w:trPr>
        <w:tc>
          <w:tcPr>
            <w:tcW w:w="1288" w:type="dxa"/>
          </w:tcPr>
          <w:p w:rsidR="00C75057" w:rsidRPr="00C75057" w:rsidRDefault="00C75057" w:rsidP="00C75057">
            <w:pPr>
              <w:jc w:val="both"/>
              <w:rPr>
                <w:rFonts w:ascii="Candara" w:hAnsi="Candara"/>
                <w:sz w:val="18"/>
                <w:szCs w:val="18"/>
              </w:rPr>
            </w:pPr>
            <w:r w:rsidRPr="00C75057">
              <w:rPr>
                <w:rFonts w:ascii="Candara" w:hAnsi="Candara"/>
                <w:sz w:val="18"/>
                <w:szCs w:val="18"/>
              </w:rPr>
              <w:t>Ruins of Taxila</w:t>
            </w:r>
          </w:p>
        </w:tc>
        <w:tc>
          <w:tcPr>
            <w:tcW w:w="1232" w:type="dxa"/>
          </w:tcPr>
          <w:p w:rsidR="00C75057" w:rsidRPr="00C75057" w:rsidRDefault="00C75057" w:rsidP="00C75057">
            <w:pPr>
              <w:jc w:val="both"/>
              <w:rPr>
                <w:rFonts w:ascii="Candara" w:hAnsi="Candara"/>
                <w:sz w:val="18"/>
                <w:szCs w:val="18"/>
              </w:rPr>
            </w:pPr>
            <w:r w:rsidRPr="00C75057">
              <w:rPr>
                <w:rFonts w:ascii="Candara" w:hAnsi="Candara"/>
                <w:sz w:val="18"/>
                <w:szCs w:val="18"/>
              </w:rPr>
              <w:t>Taxila city Punjab province</w:t>
            </w:r>
          </w:p>
        </w:tc>
        <w:tc>
          <w:tcPr>
            <w:tcW w:w="1188" w:type="dxa"/>
          </w:tcPr>
          <w:p w:rsidR="00C75057" w:rsidRPr="00C75057" w:rsidRDefault="00C75057" w:rsidP="00C75057">
            <w:pPr>
              <w:jc w:val="both"/>
              <w:rPr>
                <w:rFonts w:ascii="Candara" w:hAnsi="Candara"/>
                <w:sz w:val="18"/>
                <w:szCs w:val="18"/>
              </w:rPr>
            </w:pPr>
            <w:r w:rsidRPr="00C75057">
              <w:rPr>
                <w:rFonts w:ascii="Candara" w:hAnsi="Candara"/>
                <w:sz w:val="18"/>
                <w:szCs w:val="18"/>
              </w:rPr>
              <w:t>1980</w:t>
            </w:r>
          </w:p>
        </w:tc>
        <w:tc>
          <w:tcPr>
            <w:tcW w:w="689" w:type="dxa"/>
          </w:tcPr>
          <w:p w:rsidR="00C75057" w:rsidRPr="00C75057" w:rsidRDefault="00C75057" w:rsidP="00C75057">
            <w:pPr>
              <w:jc w:val="both"/>
              <w:rPr>
                <w:rFonts w:ascii="Candara" w:hAnsi="Candara"/>
                <w:sz w:val="18"/>
                <w:szCs w:val="18"/>
              </w:rPr>
            </w:pPr>
            <w:r w:rsidRPr="00C75057">
              <w:rPr>
                <w:rFonts w:ascii="Candara" w:hAnsi="Candara"/>
                <w:sz w:val="18"/>
                <w:szCs w:val="18"/>
              </w:rPr>
              <w:t>Cultural Site</w:t>
            </w:r>
          </w:p>
        </w:tc>
      </w:tr>
      <w:tr w:rsidR="00AF7039" w:rsidRPr="00C75057" w:rsidTr="00FB4DC7">
        <w:trPr>
          <w:trHeight w:val="144"/>
          <w:jc w:val="center"/>
        </w:trPr>
        <w:tc>
          <w:tcPr>
            <w:tcW w:w="1288" w:type="dxa"/>
          </w:tcPr>
          <w:p w:rsidR="00C75057" w:rsidRPr="00C75057" w:rsidRDefault="00C75057" w:rsidP="00C75057">
            <w:pPr>
              <w:jc w:val="both"/>
              <w:rPr>
                <w:rFonts w:ascii="Candara" w:hAnsi="Candara"/>
                <w:sz w:val="18"/>
                <w:szCs w:val="18"/>
              </w:rPr>
            </w:pPr>
            <w:r w:rsidRPr="00C75057">
              <w:rPr>
                <w:rFonts w:ascii="Candara" w:hAnsi="Candara"/>
                <w:sz w:val="18"/>
                <w:szCs w:val="18"/>
              </w:rPr>
              <w:t xml:space="preserve">At </w:t>
            </w:r>
            <w:proofErr w:type="spellStart"/>
            <w:r w:rsidRPr="00C75057">
              <w:rPr>
                <w:rFonts w:ascii="Candara" w:hAnsi="Candara"/>
                <w:sz w:val="18"/>
                <w:szCs w:val="18"/>
              </w:rPr>
              <w:t>Sahr-i-Bahlol</w:t>
            </w:r>
            <w:proofErr w:type="spellEnd"/>
            <w:r w:rsidRPr="00C75057">
              <w:rPr>
                <w:rFonts w:ascii="Candara" w:hAnsi="Candara"/>
                <w:sz w:val="18"/>
                <w:szCs w:val="18"/>
              </w:rPr>
              <w:t>, there are Buddhist ruins from Takht-</w:t>
            </w:r>
            <w:proofErr w:type="spellStart"/>
            <w:r w:rsidRPr="00C75057">
              <w:rPr>
                <w:rFonts w:ascii="Candara" w:hAnsi="Candara"/>
                <w:sz w:val="18"/>
                <w:szCs w:val="18"/>
              </w:rPr>
              <w:t>i</w:t>
            </w:r>
            <w:proofErr w:type="spellEnd"/>
            <w:r w:rsidRPr="00C75057">
              <w:rPr>
                <w:rFonts w:ascii="Candara" w:hAnsi="Candara"/>
                <w:sz w:val="18"/>
                <w:szCs w:val="18"/>
              </w:rPr>
              <w:t>-</w:t>
            </w:r>
            <w:proofErr w:type="spellStart"/>
            <w:r w:rsidRPr="00C75057">
              <w:rPr>
                <w:rFonts w:ascii="Candara" w:hAnsi="Candara"/>
                <w:sz w:val="18"/>
                <w:szCs w:val="18"/>
              </w:rPr>
              <w:t>Bahi</w:t>
            </w:r>
            <w:proofErr w:type="spellEnd"/>
          </w:p>
        </w:tc>
        <w:tc>
          <w:tcPr>
            <w:tcW w:w="1232" w:type="dxa"/>
          </w:tcPr>
          <w:p w:rsidR="00C75057" w:rsidRPr="00C75057" w:rsidRDefault="00C75057" w:rsidP="00C75057">
            <w:pPr>
              <w:jc w:val="both"/>
              <w:rPr>
                <w:rFonts w:ascii="Candara" w:hAnsi="Candara"/>
                <w:sz w:val="18"/>
                <w:szCs w:val="18"/>
              </w:rPr>
            </w:pPr>
            <w:r w:rsidRPr="00C75057">
              <w:rPr>
                <w:rFonts w:ascii="Candara" w:hAnsi="Candara"/>
                <w:sz w:val="18"/>
                <w:szCs w:val="18"/>
              </w:rPr>
              <w:t>Takht-</w:t>
            </w:r>
            <w:proofErr w:type="spellStart"/>
            <w:r w:rsidRPr="00C75057">
              <w:rPr>
                <w:rFonts w:ascii="Candara" w:hAnsi="Candara"/>
                <w:sz w:val="18"/>
                <w:szCs w:val="18"/>
              </w:rPr>
              <w:t>i</w:t>
            </w:r>
            <w:proofErr w:type="spellEnd"/>
            <w:r w:rsidRPr="00C75057">
              <w:rPr>
                <w:rFonts w:ascii="Candara" w:hAnsi="Candara"/>
                <w:sz w:val="18"/>
                <w:szCs w:val="18"/>
              </w:rPr>
              <w:t>-</w:t>
            </w:r>
            <w:proofErr w:type="spellStart"/>
            <w:r w:rsidRPr="00C75057">
              <w:rPr>
                <w:rFonts w:ascii="Candara" w:hAnsi="Candara"/>
                <w:sz w:val="18"/>
                <w:szCs w:val="18"/>
              </w:rPr>
              <w:t>Bahi</w:t>
            </w:r>
            <w:proofErr w:type="spellEnd"/>
            <w:r w:rsidRPr="00C75057">
              <w:rPr>
                <w:rFonts w:ascii="Candara" w:hAnsi="Candara"/>
                <w:sz w:val="18"/>
                <w:szCs w:val="18"/>
              </w:rPr>
              <w:t>, Khyber Pakhtunkhwa</w:t>
            </w:r>
          </w:p>
        </w:tc>
        <w:tc>
          <w:tcPr>
            <w:tcW w:w="1188" w:type="dxa"/>
          </w:tcPr>
          <w:p w:rsidR="00C75057" w:rsidRPr="00C75057" w:rsidRDefault="00C75057" w:rsidP="00C75057">
            <w:pPr>
              <w:jc w:val="both"/>
              <w:rPr>
                <w:rFonts w:ascii="Candara" w:hAnsi="Candara"/>
                <w:sz w:val="18"/>
                <w:szCs w:val="18"/>
              </w:rPr>
            </w:pPr>
            <w:r w:rsidRPr="00C75057">
              <w:rPr>
                <w:rFonts w:ascii="Candara" w:hAnsi="Candara"/>
                <w:sz w:val="18"/>
                <w:szCs w:val="18"/>
              </w:rPr>
              <w:t>1980</w:t>
            </w:r>
          </w:p>
        </w:tc>
        <w:tc>
          <w:tcPr>
            <w:tcW w:w="689" w:type="dxa"/>
          </w:tcPr>
          <w:p w:rsidR="00C75057" w:rsidRPr="00C75057" w:rsidRDefault="00C75057" w:rsidP="00C75057">
            <w:pPr>
              <w:jc w:val="both"/>
              <w:rPr>
                <w:rFonts w:ascii="Candara" w:hAnsi="Candara"/>
                <w:sz w:val="18"/>
                <w:szCs w:val="18"/>
              </w:rPr>
            </w:pPr>
            <w:r w:rsidRPr="00C75057">
              <w:rPr>
                <w:rFonts w:ascii="Candara" w:hAnsi="Candara"/>
                <w:sz w:val="18"/>
                <w:szCs w:val="18"/>
              </w:rPr>
              <w:t>Cultural Site</w:t>
            </w:r>
          </w:p>
        </w:tc>
      </w:tr>
      <w:tr w:rsidR="00AF7039" w:rsidRPr="00C75057" w:rsidTr="00FB4DC7">
        <w:trPr>
          <w:trHeight w:val="144"/>
          <w:jc w:val="center"/>
        </w:trPr>
        <w:tc>
          <w:tcPr>
            <w:tcW w:w="1288" w:type="dxa"/>
          </w:tcPr>
          <w:p w:rsidR="00C75057" w:rsidRPr="00C75057" w:rsidRDefault="00C75057" w:rsidP="00C75057">
            <w:pPr>
              <w:jc w:val="both"/>
              <w:rPr>
                <w:rFonts w:ascii="Candara" w:hAnsi="Candara"/>
                <w:sz w:val="18"/>
                <w:szCs w:val="18"/>
              </w:rPr>
            </w:pPr>
            <w:r w:rsidRPr="00C75057">
              <w:rPr>
                <w:rFonts w:ascii="Candara" w:hAnsi="Candara"/>
                <w:sz w:val="18"/>
                <w:szCs w:val="18"/>
              </w:rPr>
              <w:t xml:space="preserve">Historical Monument of </w:t>
            </w:r>
            <w:proofErr w:type="spellStart"/>
            <w:r w:rsidRPr="00C75057">
              <w:rPr>
                <w:rFonts w:ascii="Candara" w:hAnsi="Candara"/>
                <w:sz w:val="18"/>
                <w:szCs w:val="18"/>
              </w:rPr>
              <w:t>Makli</w:t>
            </w:r>
            <w:proofErr w:type="spellEnd"/>
          </w:p>
        </w:tc>
        <w:tc>
          <w:tcPr>
            <w:tcW w:w="1232" w:type="dxa"/>
          </w:tcPr>
          <w:p w:rsidR="00C75057" w:rsidRPr="00C75057" w:rsidRDefault="00C75057" w:rsidP="00C75057">
            <w:pPr>
              <w:jc w:val="both"/>
              <w:rPr>
                <w:rFonts w:ascii="Candara" w:hAnsi="Candara"/>
                <w:sz w:val="18"/>
                <w:szCs w:val="18"/>
              </w:rPr>
            </w:pPr>
            <w:proofErr w:type="spellStart"/>
            <w:r w:rsidRPr="00C75057">
              <w:rPr>
                <w:rFonts w:ascii="Candara" w:hAnsi="Candara"/>
                <w:sz w:val="18"/>
                <w:szCs w:val="18"/>
              </w:rPr>
              <w:t>Thata</w:t>
            </w:r>
            <w:proofErr w:type="spellEnd"/>
            <w:r w:rsidRPr="00C75057">
              <w:rPr>
                <w:rFonts w:ascii="Candara" w:hAnsi="Candara"/>
                <w:sz w:val="18"/>
                <w:szCs w:val="18"/>
              </w:rPr>
              <w:t xml:space="preserve"> Sindh province</w:t>
            </w:r>
          </w:p>
        </w:tc>
        <w:tc>
          <w:tcPr>
            <w:tcW w:w="1188" w:type="dxa"/>
          </w:tcPr>
          <w:p w:rsidR="00C75057" w:rsidRPr="00C75057" w:rsidRDefault="00C75057" w:rsidP="00C75057">
            <w:pPr>
              <w:jc w:val="both"/>
              <w:rPr>
                <w:rFonts w:ascii="Candara" w:hAnsi="Candara"/>
                <w:sz w:val="18"/>
                <w:szCs w:val="18"/>
              </w:rPr>
            </w:pPr>
            <w:r w:rsidRPr="00C75057">
              <w:rPr>
                <w:rFonts w:ascii="Candara" w:hAnsi="Candara"/>
                <w:sz w:val="18"/>
                <w:szCs w:val="18"/>
              </w:rPr>
              <w:t>1981</w:t>
            </w:r>
          </w:p>
        </w:tc>
        <w:tc>
          <w:tcPr>
            <w:tcW w:w="689" w:type="dxa"/>
          </w:tcPr>
          <w:p w:rsidR="00C75057" w:rsidRPr="00C75057" w:rsidRDefault="00C75057" w:rsidP="00C75057">
            <w:pPr>
              <w:jc w:val="both"/>
              <w:rPr>
                <w:rFonts w:ascii="Candara" w:hAnsi="Candara"/>
                <w:sz w:val="18"/>
                <w:szCs w:val="18"/>
              </w:rPr>
            </w:pPr>
            <w:r w:rsidRPr="00C75057">
              <w:rPr>
                <w:rFonts w:ascii="Candara" w:hAnsi="Candara"/>
                <w:sz w:val="18"/>
                <w:szCs w:val="18"/>
              </w:rPr>
              <w:t>Cultural Site</w:t>
            </w:r>
          </w:p>
        </w:tc>
      </w:tr>
      <w:tr w:rsidR="00AF7039" w:rsidRPr="00C75057" w:rsidTr="00FB4DC7">
        <w:trPr>
          <w:trHeight w:val="144"/>
          <w:jc w:val="center"/>
        </w:trPr>
        <w:tc>
          <w:tcPr>
            <w:tcW w:w="1288" w:type="dxa"/>
          </w:tcPr>
          <w:p w:rsidR="00C75057" w:rsidRPr="00C75057" w:rsidRDefault="00C75057" w:rsidP="00C75057">
            <w:pPr>
              <w:jc w:val="both"/>
              <w:rPr>
                <w:rFonts w:ascii="Candara" w:hAnsi="Candara"/>
                <w:sz w:val="18"/>
                <w:szCs w:val="18"/>
              </w:rPr>
            </w:pPr>
            <w:r w:rsidRPr="00C75057">
              <w:rPr>
                <w:rFonts w:ascii="Candara" w:hAnsi="Candara"/>
                <w:sz w:val="18"/>
                <w:szCs w:val="18"/>
              </w:rPr>
              <w:t>Shalimar gardens &amp; fort</w:t>
            </w:r>
          </w:p>
        </w:tc>
        <w:tc>
          <w:tcPr>
            <w:tcW w:w="1232" w:type="dxa"/>
          </w:tcPr>
          <w:p w:rsidR="00C75057" w:rsidRPr="00C75057" w:rsidRDefault="00C75057" w:rsidP="00C75057">
            <w:pPr>
              <w:jc w:val="both"/>
              <w:rPr>
                <w:rFonts w:ascii="Candara" w:hAnsi="Candara"/>
                <w:sz w:val="18"/>
                <w:szCs w:val="18"/>
              </w:rPr>
            </w:pPr>
            <w:r w:rsidRPr="00C75057">
              <w:rPr>
                <w:rFonts w:ascii="Candara" w:hAnsi="Candara"/>
                <w:sz w:val="18"/>
                <w:szCs w:val="18"/>
              </w:rPr>
              <w:t>Lahore, Punjab province</w:t>
            </w:r>
          </w:p>
        </w:tc>
        <w:tc>
          <w:tcPr>
            <w:tcW w:w="1188" w:type="dxa"/>
          </w:tcPr>
          <w:p w:rsidR="00C75057" w:rsidRPr="00C75057" w:rsidRDefault="00C75057" w:rsidP="00C75057">
            <w:pPr>
              <w:jc w:val="both"/>
              <w:rPr>
                <w:rFonts w:ascii="Candara" w:hAnsi="Candara"/>
                <w:sz w:val="18"/>
                <w:szCs w:val="18"/>
              </w:rPr>
            </w:pPr>
            <w:r w:rsidRPr="00C75057">
              <w:rPr>
                <w:rFonts w:ascii="Candara" w:hAnsi="Candara"/>
                <w:sz w:val="18"/>
                <w:szCs w:val="18"/>
              </w:rPr>
              <w:t>1981</w:t>
            </w:r>
          </w:p>
        </w:tc>
        <w:tc>
          <w:tcPr>
            <w:tcW w:w="689" w:type="dxa"/>
          </w:tcPr>
          <w:p w:rsidR="00C75057" w:rsidRPr="00C75057" w:rsidRDefault="00C75057" w:rsidP="00C75057">
            <w:pPr>
              <w:jc w:val="both"/>
              <w:rPr>
                <w:rFonts w:ascii="Candara" w:hAnsi="Candara"/>
                <w:sz w:val="18"/>
                <w:szCs w:val="18"/>
              </w:rPr>
            </w:pPr>
            <w:r w:rsidRPr="00C75057">
              <w:rPr>
                <w:rFonts w:ascii="Candara" w:hAnsi="Candara"/>
                <w:sz w:val="18"/>
                <w:szCs w:val="18"/>
              </w:rPr>
              <w:t>Cultural Site</w:t>
            </w:r>
          </w:p>
        </w:tc>
      </w:tr>
      <w:tr w:rsidR="00AF7039" w:rsidRPr="00C75057" w:rsidTr="00FB4DC7">
        <w:trPr>
          <w:trHeight w:val="144"/>
          <w:jc w:val="center"/>
        </w:trPr>
        <w:tc>
          <w:tcPr>
            <w:tcW w:w="1288" w:type="dxa"/>
            <w:tcBorders>
              <w:bottom w:val="single" w:sz="4" w:space="0" w:color="auto"/>
            </w:tcBorders>
          </w:tcPr>
          <w:p w:rsidR="00C75057" w:rsidRPr="00C75057" w:rsidRDefault="00C75057" w:rsidP="00C75057">
            <w:pPr>
              <w:jc w:val="both"/>
              <w:rPr>
                <w:rFonts w:ascii="Candara" w:hAnsi="Candara"/>
                <w:sz w:val="18"/>
                <w:szCs w:val="18"/>
              </w:rPr>
            </w:pPr>
            <w:r w:rsidRPr="00C75057">
              <w:rPr>
                <w:rFonts w:ascii="Candara" w:hAnsi="Candara"/>
                <w:sz w:val="18"/>
                <w:szCs w:val="18"/>
              </w:rPr>
              <w:t xml:space="preserve">Fort of </w:t>
            </w:r>
            <w:proofErr w:type="spellStart"/>
            <w:r w:rsidRPr="00C75057">
              <w:rPr>
                <w:rFonts w:ascii="Candara" w:hAnsi="Candara"/>
                <w:sz w:val="18"/>
                <w:szCs w:val="18"/>
              </w:rPr>
              <w:t>Rohtas</w:t>
            </w:r>
            <w:proofErr w:type="spellEnd"/>
          </w:p>
        </w:tc>
        <w:tc>
          <w:tcPr>
            <w:tcW w:w="1232" w:type="dxa"/>
            <w:tcBorders>
              <w:bottom w:val="single" w:sz="4" w:space="0" w:color="auto"/>
            </w:tcBorders>
          </w:tcPr>
          <w:p w:rsidR="00C75057" w:rsidRPr="00C75057" w:rsidRDefault="00C75057" w:rsidP="00C75057">
            <w:pPr>
              <w:jc w:val="both"/>
              <w:rPr>
                <w:rFonts w:ascii="Candara" w:hAnsi="Candara"/>
                <w:sz w:val="18"/>
                <w:szCs w:val="18"/>
              </w:rPr>
            </w:pPr>
            <w:r w:rsidRPr="00C75057">
              <w:rPr>
                <w:rFonts w:ascii="Candara" w:hAnsi="Candara"/>
                <w:sz w:val="18"/>
                <w:szCs w:val="18"/>
              </w:rPr>
              <w:t>Near Jhelum, Punjab province</w:t>
            </w:r>
          </w:p>
        </w:tc>
        <w:tc>
          <w:tcPr>
            <w:tcW w:w="1188" w:type="dxa"/>
            <w:tcBorders>
              <w:bottom w:val="single" w:sz="4" w:space="0" w:color="auto"/>
            </w:tcBorders>
          </w:tcPr>
          <w:p w:rsidR="00C75057" w:rsidRPr="00C75057" w:rsidRDefault="00C75057" w:rsidP="00C75057">
            <w:pPr>
              <w:jc w:val="both"/>
              <w:rPr>
                <w:rFonts w:ascii="Candara" w:hAnsi="Candara"/>
                <w:sz w:val="18"/>
                <w:szCs w:val="18"/>
              </w:rPr>
            </w:pPr>
            <w:r w:rsidRPr="00C75057">
              <w:rPr>
                <w:rFonts w:ascii="Candara" w:hAnsi="Candara"/>
                <w:sz w:val="18"/>
                <w:szCs w:val="18"/>
              </w:rPr>
              <w:t>1997</w:t>
            </w:r>
          </w:p>
        </w:tc>
        <w:tc>
          <w:tcPr>
            <w:tcW w:w="689" w:type="dxa"/>
            <w:tcBorders>
              <w:bottom w:val="single" w:sz="4" w:space="0" w:color="auto"/>
            </w:tcBorders>
          </w:tcPr>
          <w:p w:rsidR="00C75057" w:rsidRPr="00C75057" w:rsidRDefault="00C75057" w:rsidP="00C75057">
            <w:pPr>
              <w:jc w:val="both"/>
              <w:rPr>
                <w:rFonts w:ascii="Candara" w:hAnsi="Candara"/>
                <w:sz w:val="18"/>
                <w:szCs w:val="18"/>
              </w:rPr>
            </w:pPr>
            <w:r w:rsidRPr="00C75057">
              <w:rPr>
                <w:rFonts w:ascii="Candara" w:hAnsi="Candara"/>
                <w:sz w:val="18"/>
                <w:szCs w:val="18"/>
              </w:rPr>
              <w:t>Cultural Site</w:t>
            </w:r>
          </w:p>
        </w:tc>
      </w:tr>
    </w:tbl>
    <w:p w:rsidR="00C75057" w:rsidRPr="00BF69AD" w:rsidRDefault="00C75057" w:rsidP="00D94EE4">
      <w:pPr>
        <w:spacing w:after="0" w:line="264" w:lineRule="auto"/>
        <w:rPr>
          <w:rFonts w:ascii="Candara" w:hAnsi="Candara"/>
          <w:b/>
          <w:sz w:val="15"/>
          <w:szCs w:val="15"/>
        </w:rPr>
      </w:pPr>
    </w:p>
    <w:p w:rsidR="004A3C3B" w:rsidRPr="00A343A5" w:rsidRDefault="004A3C3B" w:rsidP="00A343A5">
      <w:pPr>
        <w:spacing w:before="240" w:after="0" w:line="240" w:lineRule="auto"/>
        <w:jc w:val="both"/>
        <w:rPr>
          <w:rFonts w:ascii="Century Gothic" w:hAnsi="Century Gothic"/>
          <w:b/>
          <w:sz w:val="15"/>
          <w:szCs w:val="15"/>
        </w:rPr>
      </w:pPr>
      <w:r w:rsidRPr="00A343A5">
        <w:rPr>
          <w:rFonts w:ascii="Century Gothic" w:hAnsi="Century Gothic"/>
          <w:b/>
          <w:sz w:val="15"/>
          <w:szCs w:val="15"/>
        </w:rPr>
        <w:t>3.4. A</w:t>
      </w:r>
      <w:r w:rsidR="00F57915">
        <w:rPr>
          <w:rFonts w:ascii="Century Gothic" w:hAnsi="Century Gothic"/>
          <w:b/>
          <w:sz w:val="15"/>
          <w:szCs w:val="15"/>
        </w:rPr>
        <w:t>RCHITECTURE OF BADSHAHI MOSQUE</w:t>
      </w:r>
    </w:p>
    <w:p w:rsidR="004A3C3B" w:rsidRDefault="004A3C3B" w:rsidP="004A3C3B">
      <w:pPr>
        <w:spacing w:before="240" w:after="0" w:line="240" w:lineRule="auto"/>
        <w:ind w:firstLine="720"/>
        <w:jc w:val="both"/>
        <w:rPr>
          <w:rFonts w:asciiTheme="majorBidi" w:hAnsiTheme="majorBidi" w:cstheme="majorBidi"/>
          <w:sz w:val="24"/>
          <w:szCs w:val="24"/>
        </w:rPr>
      </w:pPr>
      <w:r w:rsidRPr="004A3C3B">
        <w:rPr>
          <w:rFonts w:ascii="Candara" w:hAnsi="Candara"/>
          <w:sz w:val="18"/>
          <w:szCs w:val="18"/>
        </w:rPr>
        <w:t>Due to its location as a gateway to the west and, in particular, Persia, Lahore developed a strong regional style that was heavily influenced by Persian and some regional architectural influences. Even though Aurangzeb constructed the Badshahi mosque on a far larger scale than Shah Jahan did, he nonetheless adopted an architectural style similar to the one Shah Jahan choose for the Jama Masjid in Delhi. Both mosques have red sandstone with white marble inlay, which contrasts with the typical mosque design in Lahore, which has superb tile work as decoration. The Figure 4 showing us the visual plan of Badshahi mosque.</w:t>
      </w:r>
    </w:p>
    <w:p w:rsidR="00D94EE4" w:rsidRDefault="004A3C3B" w:rsidP="008A20E9">
      <w:pPr>
        <w:spacing w:after="0" w:line="240" w:lineRule="auto"/>
        <w:jc w:val="both"/>
        <w:rPr>
          <w:rFonts w:ascii="Candara" w:hAnsi="Candara"/>
          <w:sz w:val="18"/>
          <w:szCs w:val="18"/>
        </w:rPr>
      </w:pPr>
      <w:r w:rsidRPr="00F94D1A">
        <w:rPr>
          <w:rFonts w:asciiTheme="majorBidi" w:eastAsia="SimSun" w:hAnsiTheme="majorBidi" w:cstheme="majorBidi"/>
          <w:noProof/>
          <w:sz w:val="24"/>
          <w:szCs w:val="24"/>
        </w:rPr>
        <w:drawing>
          <wp:inline distT="0" distB="0" distL="0" distR="0" wp14:anchorId="3E94A443" wp14:editId="676E697E">
            <wp:extent cx="2654935" cy="2608103"/>
            <wp:effectExtent l="0" t="0" r="0" b="0"/>
            <wp:docPr id="6" name="Picture 1">
              <a:extLst xmlns:a="http://schemas.openxmlformats.org/drawingml/2006/main">
                <a:ext uri="{FF2B5EF4-FFF2-40B4-BE49-F238E27FC236}">
                  <a16:creationId xmlns:a16="http://schemas.microsoft.com/office/drawing/2014/main" id="{7576C623-EED4-645C-0F74-7AA6B62791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576C623-EED4-645C-0F74-7AA6B627918F}"/>
                        </a:ext>
                      </a:extLst>
                    </pic:cNvPr>
                    <pic:cNvPicPr>
                      <a:picLocks noChangeAspect="1"/>
                    </pic:cNvPicPr>
                  </pic:nvPicPr>
                  <pic:blipFill rotWithShape="1">
                    <a:blip r:embed="rId19"/>
                    <a:srcRect l="10412" t="607" r="11498" b="24394"/>
                    <a:stretch/>
                  </pic:blipFill>
                  <pic:spPr>
                    <a:xfrm>
                      <a:off x="0" y="0"/>
                      <a:ext cx="2654935" cy="2608103"/>
                    </a:xfrm>
                    <a:prstGeom prst="rect">
                      <a:avLst/>
                    </a:prstGeom>
                  </pic:spPr>
                </pic:pic>
              </a:graphicData>
            </a:graphic>
          </wp:inline>
        </w:drawing>
      </w:r>
    </w:p>
    <w:p w:rsidR="004A3C3B" w:rsidRPr="004A3C3B" w:rsidRDefault="004A3C3B" w:rsidP="004A3C3B">
      <w:pPr>
        <w:spacing w:after="0" w:line="264" w:lineRule="auto"/>
        <w:jc w:val="center"/>
        <w:rPr>
          <w:rFonts w:ascii="Candara" w:hAnsi="Candara"/>
          <w:b/>
          <w:sz w:val="15"/>
          <w:szCs w:val="15"/>
          <w:lang w:val="id-ID"/>
        </w:rPr>
      </w:pPr>
      <w:r w:rsidRPr="004A3C3B">
        <w:rPr>
          <w:rFonts w:ascii="Candara" w:hAnsi="Candara"/>
          <w:b/>
          <w:sz w:val="15"/>
          <w:szCs w:val="15"/>
          <w:lang w:val="id-ID"/>
        </w:rPr>
        <w:t xml:space="preserve">Figure </w:t>
      </w:r>
      <w:r w:rsidRPr="004A3C3B">
        <w:rPr>
          <w:rFonts w:ascii="Candara" w:hAnsi="Candara"/>
          <w:b/>
          <w:sz w:val="15"/>
          <w:szCs w:val="15"/>
          <w:lang w:val="id-ID"/>
        </w:rPr>
        <w:fldChar w:fldCharType="begin"/>
      </w:r>
      <w:r w:rsidRPr="004A3C3B">
        <w:rPr>
          <w:rFonts w:ascii="Candara" w:hAnsi="Candara"/>
          <w:b/>
          <w:sz w:val="15"/>
          <w:szCs w:val="15"/>
          <w:lang w:val="id-ID"/>
        </w:rPr>
        <w:instrText xml:space="preserve"> SEQ Figure \* ARABIC </w:instrText>
      </w:r>
      <w:r w:rsidRPr="004A3C3B">
        <w:rPr>
          <w:rFonts w:ascii="Candara" w:hAnsi="Candara"/>
          <w:b/>
          <w:sz w:val="15"/>
          <w:szCs w:val="15"/>
          <w:lang w:val="id-ID"/>
        </w:rPr>
        <w:fldChar w:fldCharType="separate"/>
      </w:r>
      <w:r w:rsidRPr="004A3C3B">
        <w:rPr>
          <w:rFonts w:ascii="Candara" w:hAnsi="Candara"/>
          <w:b/>
          <w:sz w:val="15"/>
          <w:szCs w:val="15"/>
          <w:lang w:val="id-ID"/>
        </w:rPr>
        <w:t>4</w:t>
      </w:r>
      <w:r w:rsidRPr="004A3C3B">
        <w:rPr>
          <w:rFonts w:ascii="Candara" w:hAnsi="Candara"/>
          <w:b/>
          <w:sz w:val="15"/>
          <w:szCs w:val="15"/>
          <w:lang w:val="id-ID"/>
        </w:rPr>
        <w:fldChar w:fldCharType="end"/>
      </w:r>
      <w:r w:rsidRPr="004A3C3B">
        <w:rPr>
          <w:rFonts w:ascii="Candara" w:hAnsi="Candara"/>
          <w:b/>
          <w:sz w:val="15"/>
          <w:szCs w:val="15"/>
          <w:lang w:val="id-ID"/>
        </w:rPr>
        <w:t xml:space="preserve"> Architecture plan of spaces of Badshahi mosque. Source: drawn by author.</w:t>
      </w:r>
    </w:p>
    <w:p w:rsidR="001F4133" w:rsidRDefault="004A3C3B" w:rsidP="00A343A5">
      <w:pPr>
        <w:spacing w:before="240" w:after="0" w:line="240" w:lineRule="auto"/>
        <w:ind w:firstLine="720"/>
        <w:jc w:val="both"/>
        <w:rPr>
          <w:rFonts w:ascii="Candara" w:hAnsi="Candara"/>
          <w:sz w:val="18"/>
          <w:szCs w:val="18"/>
        </w:rPr>
      </w:pPr>
      <w:r w:rsidRPr="004A3C3B">
        <w:rPr>
          <w:rFonts w:ascii="Candara" w:hAnsi="Candara"/>
          <w:sz w:val="18"/>
          <w:szCs w:val="18"/>
        </w:rPr>
        <w:lastRenderedPageBreak/>
        <w:t>Mughal architecture is famous for their courtyard on large scale. In Badshahi mosque we can observe the same thing that its structure is heavy and the main building has occupied very less space. But on the other hand, it has very long courtyard surrounded by decorated walls. Minarets have been placed at all the corners of Badshahi mosque for making balanced proportion. Here below the measurements of Badshahi mosque are explained through Table 2.</w:t>
      </w:r>
    </w:p>
    <w:p w:rsidR="00AF7039" w:rsidRPr="001F4133" w:rsidRDefault="00000000" w:rsidP="001F4133">
      <w:pPr>
        <w:spacing w:after="0" w:line="264" w:lineRule="auto"/>
        <w:rPr>
          <w:rFonts w:ascii="Arial" w:hAnsi="Arial"/>
          <w:sz w:val="18"/>
        </w:rPr>
      </w:pPr>
      <w:r>
        <w:rPr>
          <w:noProof/>
        </w:rPr>
        <w:pict>
          <v:shapetype id="_x0000_t202" coordsize="21600,21600" o:spt="202" path="m,l,21600r21600,l21600,xe">
            <v:stroke joinstyle="miter"/>
            <v:path gradientshapeok="t" o:connecttype="rect"/>
          </v:shapetype>
          <v:shape id="Text Box 2" o:spid="_x0000_s2051" type="#_x0000_t202" style="position:absolute;margin-left:.9pt;margin-top:28.3pt;width:433.15pt;height:555.65pt;z-index:251657728;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">
            <v:textbox style="mso-next-textbox:#Text Box 2">
              <w:txbxContent>
                <w:tbl>
                  <w:tblPr>
                    <w:tblStyle w:val="TableGrid"/>
                    <w:tblW w:w="80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4"/>
                    <w:gridCol w:w="1904"/>
                    <w:gridCol w:w="1905"/>
                    <w:gridCol w:w="2358"/>
                  </w:tblGrid>
                  <w:tr w:rsidR="00AF7039" w:rsidRPr="00C97079" w:rsidTr="00FB4DC7">
                    <w:trPr>
                      <w:trHeight w:val="128"/>
                      <w:jc w:val="center"/>
                    </w:trPr>
                    <w:tc>
                      <w:tcPr>
                        <w:tcW w:w="8071" w:type="dxa"/>
                        <w:gridSpan w:val="4"/>
                        <w:tcBorders>
                          <w:bottom w:val="single" w:sz="4" w:space="0" w:color="auto"/>
                        </w:tcBorders>
                      </w:tcPr>
                      <w:p w:rsidR="00AF7039" w:rsidRPr="001F4133" w:rsidRDefault="00A343A5" w:rsidP="001F4133">
                        <w:pPr>
                          <w:spacing w:before="240"/>
                          <w:ind w:firstLine="720"/>
                          <w:jc w:val="center"/>
                          <w:rPr>
                            <w:rFonts w:ascii="Candara" w:hAnsi="Candara"/>
                            <w:b/>
                            <w:bCs/>
                            <w:sz w:val="18"/>
                            <w:szCs w:val="18"/>
                          </w:rPr>
                        </w:pPr>
                        <w:bookmarkStart w:id="1" w:name="_Hlk132671902"/>
                        <w:bookmarkStart w:id="2" w:name="_Hlk132671914"/>
                        <w:r w:rsidRPr="001F4133">
                          <w:rPr>
                            <w:rFonts w:ascii="Candara" w:hAnsi="Candara"/>
                            <w:b/>
                            <w:sz w:val="15"/>
                            <w:szCs w:val="15"/>
                            <w:lang w:val="id-ID"/>
                          </w:rPr>
                          <w:t>Table 2. Physical measurements of Badshahi mosque. Source: Table designed by author.</w:t>
                        </w:r>
                        <w:bookmarkEnd w:id="1"/>
                      </w:p>
                    </w:tc>
                  </w:tr>
                  <w:tr w:rsidR="00AF7039" w:rsidRPr="00C97079" w:rsidTr="00FB4DC7">
                    <w:trPr>
                      <w:trHeight w:val="128"/>
                      <w:jc w:val="center"/>
                    </w:trPr>
                    <w:tc>
                      <w:tcPr>
                        <w:tcW w:w="1904" w:type="dxa"/>
                        <w:tcBorders>
                          <w:top w:val="single" w:sz="4" w:space="0" w:color="auto"/>
                          <w:bottom w:val="single" w:sz="4" w:space="0" w:color="auto"/>
                        </w:tcBorders>
                      </w:tcPr>
                      <w:p w:rsidR="00AF7039" w:rsidRPr="001F4133" w:rsidRDefault="00AF7039" w:rsidP="001F4133">
                        <w:pPr>
                          <w:spacing w:before="240"/>
                          <w:ind w:firstLine="720"/>
                          <w:jc w:val="center"/>
                          <w:rPr>
                            <w:rFonts w:ascii="Candara" w:hAnsi="Candara"/>
                            <w:b/>
                            <w:bCs/>
                            <w:sz w:val="18"/>
                            <w:szCs w:val="18"/>
                          </w:rPr>
                        </w:pPr>
                        <w:r w:rsidRPr="001F4133">
                          <w:rPr>
                            <w:rFonts w:ascii="Candara" w:hAnsi="Candara"/>
                            <w:b/>
                            <w:bCs/>
                            <w:sz w:val="18"/>
                            <w:szCs w:val="18"/>
                          </w:rPr>
                          <w:t>Name of Area</w:t>
                        </w:r>
                      </w:p>
                    </w:tc>
                    <w:tc>
                      <w:tcPr>
                        <w:tcW w:w="1904" w:type="dxa"/>
                        <w:tcBorders>
                          <w:top w:val="single" w:sz="4" w:space="0" w:color="auto"/>
                          <w:bottom w:val="single" w:sz="4" w:space="0" w:color="auto"/>
                        </w:tcBorders>
                      </w:tcPr>
                      <w:p w:rsidR="00AF7039" w:rsidRPr="001F4133" w:rsidRDefault="00AF7039" w:rsidP="001F4133">
                        <w:pPr>
                          <w:spacing w:before="240"/>
                          <w:ind w:firstLine="720"/>
                          <w:jc w:val="center"/>
                          <w:rPr>
                            <w:rFonts w:ascii="Candara" w:hAnsi="Candara"/>
                            <w:b/>
                            <w:bCs/>
                            <w:sz w:val="18"/>
                            <w:szCs w:val="18"/>
                          </w:rPr>
                        </w:pPr>
                        <w:r w:rsidRPr="001F4133">
                          <w:rPr>
                            <w:rFonts w:ascii="Candara" w:hAnsi="Candara"/>
                            <w:b/>
                            <w:bCs/>
                            <w:sz w:val="18"/>
                            <w:szCs w:val="18"/>
                          </w:rPr>
                          <w:t>Measurements</w:t>
                        </w:r>
                      </w:p>
                    </w:tc>
                    <w:tc>
                      <w:tcPr>
                        <w:tcW w:w="1905" w:type="dxa"/>
                        <w:tcBorders>
                          <w:top w:val="single" w:sz="4" w:space="0" w:color="auto"/>
                          <w:bottom w:val="single" w:sz="4" w:space="0" w:color="auto"/>
                        </w:tcBorders>
                      </w:tcPr>
                      <w:p w:rsidR="00AF7039" w:rsidRPr="001F4133" w:rsidRDefault="00AF7039" w:rsidP="001F4133">
                        <w:pPr>
                          <w:spacing w:before="240"/>
                          <w:ind w:firstLine="720"/>
                          <w:jc w:val="center"/>
                          <w:rPr>
                            <w:rFonts w:ascii="Candara" w:hAnsi="Candara"/>
                            <w:b/>
                            <w:bCs/>
                            <w:sz w:val="18"/>
                            <w:szCs w:val="18"/>
                          </w:rPr>
                        </w:pPr>
                        <w:r w:rsidRPr="001F4133">
                          <w:rPr>
                            <w:rFonts w:ascii="Candara" w:hAnsi="Candara"/>
                            <w:b/>
                            <w:bCs/>
                            <w:sz w:val="18"/>
                            <w:szCs w:val="18"/>
                          </w:rPr>
                          <w:t xml:space="preserve">Area in </w:t>
                        </w:r>
                        <w:proofErr w:type="spellStart"/>
                        <w:r w:rsidRPr="001F4133">
                          <w:rPr>
                            <w:rFonts w:ascii="Candara" w:hAnsi="Candara"/>
                            <w:b/>
                            <w:bCs/>
                            <w:sz w:val="18"/>
                            <w:szCs w:val="18"/>
                          </w:rPr>
                          <w:t>sqft</w:t>
                        </w:r>
                        <w:proofErr w:type="spellEnd"/>
                      </w:p>
                    </w:tc>
                    <w:tc>
                      <w:tcPr>
                        <w:tcW w:w="2357" w:type="dxa"/>
                        <w:tcBorders>
                          <w:top w:val="single" w:sz="4" w:space="0" w:color="auto"/>
                          <w:bottom w:val="single" w:sz="4" w:space="0" w:color="auto"/>
                        </w:tcBorders>
                      </w:tcPr>
                      <w:p w:rsidR="00AF7039" w:rsidRPr="001F4133" w:rsidRDefault="00AF7039" w:rsidP="001F4133">
                        <w:pPr>
                          <w:spacing w:before="240"/>
                          <w:ind w:firstLine="720"/>
                          <w:jc w:val="center"/>
                          <w:rPr>
                            <w:rFonts w:ascii="Candara" w:hAnsi="Candara"/>
                            <w:b/>
                            <w:bCs/>
                            <w:sz w:val="18"/>
                            <w:szCs w:val="18"/>
                          </w:rPr>
                        </w:pPr>
                        <w:r w:rsidRPr="001F4133">
                          <w:rPr>
                            <w:rFonts w:ascii="Candara" w:hAnsi="Candara"/>
                            <w:b/>
                            <w:bCs/>
                            <w:sz w:val="18"/>
                            <w:szCs w:val="18"/>
                          </w:rPr>
                          <w:t>Details of Space / Element</w:t>
                        </w:r>
                      </w:p>
                    </w:tc>
                  </w:tr>
                  <w:tr w:rsidR="00AF7039" w:rsidRPr="00C97079" w:rsidTr="00FB4DC7">
                    <w:trPr>
                      <w:trHeight w:val="128"/>
                      <w:jc w:val="center"/>
                    </w:trPr>
                    <w:tc>
                      <w:tcPr>
                        <w:tcW w:w="1904" w:type="dxa"/>
                        <w:tcBorders>
                          <w:top w:val="single" w:sz="4" w:space="0" w:color="auto"/>
                        </w:tcBorders>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The courtyard</w:t>
                        </w:r>
                      </w:p>
                    </w:tc>
                    <w:tc>
                      <w:tcPr>
                        <w:tcW w:w="1904" w:type="dxa"/>
                        <w:tcBorders>
                          <w:top w:val="single" w:sz="4" w:space="0" w:color="auto"/>
                        </w:tcBorders>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528'-8" x 528'-4"</w:t>
                        </w:r>
                      </w:p>
                    </w:tc>
                    <w:tc>
                      <w:tcPr>
                        <w:tcW w:w="1905" w:type="dxa"/>
                        <w:tcBorders>
                          <w:top w:val="single" w:sz="4" w:space="0" w:color="auto"/>
                        </w:tcBorders>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 xml:space="preserve">278,784 </w:t>
                        </w:r>
                        <w:proofErr w:type="spellStart"/>
                        <w:r w:rsidRPr="001F4133">
                          <w:rPr>
                            <w:rFonts w:ascii="Candara" w:hAnsi="Candara"/>
                            <w:sz w:val="18"/>
                            <w:szCs w:val="18"/>
                          </w:rPr>
                          <w:t>sqft</w:t>
                        </w:r>
                        <w:proofErr w:type="spellEnd"/>
                      </w:p>
                    </w:tc>
                    <w:tc>
                      <w:tcPr>
                        <w:tcW w:w="2357" w:type="dxa"/>
                        <w:tcBorders>
                          <w:top w:val="single" w:sz="4" w:space="0" w:color="auto"/>
                        </w:tcBorders>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A division into two levels, upper and lower. Funeral rites include also performed in the latter</w:t>
                        </w:r>
                      </w:p>
                    </w:tc>
                  </w:tr>
                  <w:tr w:rsidR="00AF7039" w:rsidRPr="00C97079" w:rsidTr="00FB4DC7">
                    <w:trPr>
                      <w:trHeight w:val="128"/>
                      <w:jc w:val="center"/>
                    </w:trPr>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Prayer Hall</w:t>
                        </w:r>
                      </w:p>
                    </w:tc>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275'-8" x 83'-7" x 50'-6" (Internal height)</w:t>
                        </w:r>
                      </w:p>
                    </w:tc>
                    <w:tc>
                      <w:tcPr>
                        <w:tcW w:w="1905"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 xml:space="preserve">22,825 </w:t>
                        </w:r>
                        <w:proofErr w:type="spellStart"/>
                        <w:r w:rsidRPr="001F4133">
                          <w:rPr>
                            <w:rFonts w:ascii="Candara" w:hAnsi="Candara"/>
                            <w:sz w:val="18"/>
                            <w:szCs w:val="18"/>
                          </w:rPr>
                          <w:t>sqft</w:t>
                        </w:r>
                        <w:proofErr w:type="spellEnd"/>
                      </w:p>
                    </w:tc>
                    <w:tc>
                      <w:tcPr>
                        <w:tcW w:w="2357"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 xml:space="preserve">Its main vault is 37'-3" wide by 59'-4" tall, although the </w:t>
                        </w:r>
                        <w:proofErr w:type="spellStart"/>
                        <w:r w:rsidRPr="001F4133">
                          <w:rPr>
                            <w:rFonts w:ascii="Candara" w:hAnsi="Candara"/>
                            <w:sz w:val="18"/>
                            <w:szCs w:val="18"/>
                          </w:rPr>
                          <w:t>meplons</w:t>
                        </w:r>
                        <w:proofErr w:type="spellEnd"/>
                        <w:r w:rsidRPr="001F4133">
                          <w:rPr>
                            <w:rFonts w:ascii="Candara" w:hAnsi="Candara"/>
                            <w:sz w:val="18"/>
                            <w:szCs w:val="18"/>
                          </w:rPr>
                          <w:t xml:space="preserve"> are 74'-6"</w:t>
                        </w:r>
                      </w:p>
                    </w:tc>
                  </w:tr>
                  <w:tr w:rsidR="00AF7039" w:rsidRPr="00C97079" w:rsidTr="00FB4DC7">
                    <w:trPr>
                      <w:trHeight w:val="128"/>
                      <w:jc w:val="center"/>
                    </w:trPr>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Minarets at Corners</w:t>
                        </w:r>
                      </w:p>
                    </w:tc>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67' in circumference, 176'-4" high</w:t>
                        </w:r>
                      </w:p>
                    </w:tc>
                    <w:tc>
                      <w:tcPr>
                        <w:tcW w:w="1905" w:type="dxa"/>
                      </w:tcPr>
                      <w:p w:rsidR="00AF7039" w:rsidRPr="001F4133" w:rsidRDefault="00AF7039" w:rsidP="001F4133">
                        <w:pPr>
                          <w:spacing w:before="240"/>
                          <w:ind w:firstLine="720"/>
                          <w:jc w:val="center"/>
                          <w:rPr>
                            <w:rFonts w:ascii="Candara" w:hAnsi="Candara"/>
                            <w:sz w:val="18"/>
                            <w:szCs w:val="18"/>
                          </w:rPr>
                        </w:pPr>
                      </w:p>
                    </w:tc>
                    <w:tc>
                      <w:tcPr>
                        <w:tcW w:w="2357"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The height is divided into four parts and has a 204-step enclosed staircase</w:t>
                        </w:r>
                      </w:p>
                    </w:tc>
                  </w:tr>
                  <w:tr w:rsidR="00AF7039" w:rsidRPr="00C97079" w:rsidTr="00FB4DC7">
                    <w:trPr>
                      <w:trHeight w:val="128"/>
                      <w:jc w:val="center"/>
                    </w:trPr>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Centralized Dome</w:t>
                        </w:r>
                      </w:p>
                    </w:tc>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At bottom diameter is 65' (at bulging diameter 70'-6"); height 49'; pinnacle 24’ and neck 15’ height</w:t>
                        </w:r>
                      </w:p>
                    </w:tc>
                    <w:tc>
                      <w:tcPr>
                        <w:tcW w:w="1905" w:type="dxa"/>
                      </w:tcPr>
                      <w:p w:rsidR="00AF7039" w:rsidRPr="001F4133" w:rsidRDefault="00AF7039" w:rsidP="001F4133">
                        <w:pPr>
                          <w:spacing w:before="240"/>
                          <w:ind w:firstLine="720"/>
                          <w:jc w:val="center"/>
                          <w:rPr>
                            <w:rFonts w:ascii="Candara" w:hAnsi="Candara"/>
                            <w:sz w:val="18"/>
                            <w:szCs w:val="18"/>
                          </w:rPr>
                        </w:pPr>
                      </w:p>
                    </w:tc>
                    <w:tc>
                      <w:tcPr>
                        <w:tcW w:w="2357" w:type="dxa"/>
                      </w:tcPr>
                      <w:p w:rsidR="00AF7039" w:rsidRPr="001F4133" w:rsidRDefault="00AF7039" w:rsidP="001F4133">
                        <w:pPr>
                          <w:spacing w:before="240"/>
                          <w:ind w:firstLine="720"/>
                          <w:jc w:val="center"/>
                          <w:rPr>
                            <w:rFonts w:ascii="Candara" w:hAnsi="Candara"/>
                            <w:sz w:val="18"/>
                            <w:szCs w:val="18"/>
                          </w:rPr>
                        </w:pPr>
                      </w:p>
                    </w:tc>
                  </w:tr>
                  <w:tr w:rsidR="00AF7039" w:rsidRPr="00C97079" w:rsidTr="00FB4DC7">
                    <w:trPr>
                      <w:trHeight w:val="128"/>
                      <w:jc w:val="center"/>
                    </w:trPr>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Small Domes at each side of Central Dome</w:t>
                        </w:r>
                      </w:p>
                    </w:tc>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At bottom diameter is 51'-6" (at bulging diameter 54'-2"); height 32’ while pinnacle is 19’; neck 9'-6" heighted</w:t>
                        </w:r>
                      </w:p>
                    </w:tc>
                    <w:tc>
                      <w:tcPr>
                        <w:tcW w:w="1905" w:type="dxa"/>
                      </w:tcPr>
                      <w:p w:rsidR="00AF7039" w:rsidRPr="001F4133" w:rsidRDefault="00AF7039" w:rsidP="001F4133">
                        <w:pPr>
                          <w:spacing w:before="240"/>
                          <w:ind w:firstLine="720"/>
                          <w:jc w:val="center"/>
                          <w:rPr>
                            <w:rFonts w:ascii="Candara" w:hAnsi="Candara"/>
                            <w:sz w:val="18"/>
                            <w:szCs w:val="18"/>
                          </w:rPr>
                        </w:pPr>
                      </w:p>
                    </w:tc>
                    <w:tc>
                      <w:tcPr>
                        <w:tcW w:w="2357" w:type="dxa"/>
                      </w:tcPr>
                      <w:p w:rsidR="00AF7039" w:rsidRPr="001F4133" w:rsidRDefault="00AF7039" w:rsidP="001F4133">
                        <w:pPr>
                          <w:spacing w:before="240"/>
                          <w:ind w:firstLine="720"/>
                          <w:jc w:val="center"/>
                          <w:rPr>
                            <w:rFonts w:ascii="Candara" w:hAnsi="Candara"/>
                            <w:sz w:val="18"/>
                            <w:szCs w:val="18"/>
                          </w:rPr>
                        </w:pPr>
                      </w:p>
                    </w:tc>
                  </w:tr>
                  <w:tr w:rsidR="00AF7039" w:rsidRPr="00C97079" w:rsidTr="00FB4DC7">
                    <w:trPr>
                      <w:trHeight w:val="128"/>
                      <w:jc w:val="center"/>
                    </w:trPr>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Main Gateway</w:t>
                        </w:r>
                      </w:p>
                    </w:tc>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66'-7" x 62'-10" x 65’, vault 21'-6" x 32'-6" elevation</w:t>
                        </w:r>
                      </w:p>
                    </w:tc>
                    <w:tc>
                      <w:tcPr>
                        <w:tcW w:w="1905" w:type="dxa"/>
                      </w:tcPr>
                      <w:p w:rsidR="00AF7039" w:rsidRPr="001F4133" w:rsidRDefault="00AF7039" w:rsidP="001F4133">
                        <w:pPr>
                          <w:spacing w:before="240"/>
                          <w:ind w:firstLine="720"/>
                          <w:jc w:val="center"/>
                          <w:rPr>
                            <w:rFonts w:ascii="Candara" w:hAnsi="Candara"/>
                            <w:sz w:val="18"/>
                            <w:szCs w:val="18"/>
                          </w:rPr>
                        </w:pPr>
                      </w:p>
                    </w:tc>
                    <w:tc>
                      <w:tcPr>
                        <w:tcW w:w="2357"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It is approached by 22 steps</w:t>
                        </w:r>
                      </w:p>
                    </w:tc>
                  </w:tr>
                  <w:tr w:rsidR="00AF7039" w:rsidRPr="00C97079" w:rsidTr="00FB4DC7">
                    <w:trPr>
                      <w:trHeight w:val="128"/>
                      <w:jc w:val="center"/>
                    </w:trPr>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Aisles at Side (Dahlan)</w:t>
                        </w:r>
                      </w:p>
                    </w:tc>
                    <w:tc>
                      <w:tcPr>
                        <w:tcW w:w="1904"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Elevation above floor 23'-9"; plinth 2'-7”</w:t>
                        </w:r>
                      </w:p>
                    </w:tc>
                    <w:tc>
                      <w:tcPr>
                        <w:tcW w:w="1905" w:type="dxa"/>
                      </w:tcPr>
                      <w:p w:rsidR="00AF7039" w:rsidRPr="001F4133" w:rsidRDefault="00AF7039" w:rsidP="001F4133">
                        <w:pPr>
                          <w:spacing w:before="240"/>
                          <w:ind w:firstLine="720"/>
                          <w:jc w:val="center"/>
                          <w:rPr>
                            <w:rFonts w:ascii="Candara" w:hAnsi="Candara"/>
                            <w:sz w:val="18"/>
                            <w:szCs w:val="18"/>
                          </w:rPr>
                        </w:pPr>
                      </w:p>
                    </w:tc>
                    <w:tc>
                      <w:tcPr>
                        <w:tcW w:w="2357" w:type="dxa"/>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Total 80 in number</w:t>
                        </w:r>
                      </w:p>
                    </w:tc>
                  </w:tr>
                  <w:tr w:rsidR="00AF7039" w:rsidRPr="00C97079" w:rsidTr="00FB4DC7">
                    <w:trPr>
                      <w:trHeight w:val="861"/>
                      <w:jc w:val="center"/>
                    </w:trPr>
                    <w:tc>
                      <w:tcPr>
                        <w:tcW w:w="1904" w:type="dxa"/>
                        <w:tcBorders>
                          <w:bottom w:val="single" w:sz="4" w:space="0" w:color="auto"/>
                        </w:tcBorders>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Central water Tank</w:t>
                        </w:r>
                      </w:p>
                    </w:tc>
                    <w:tc>
                      <w:tcPr>
                        <w:tcW w:w="1904" w:type="dxa"/>
                        <w:tcBorders>
                          <w:bottom w:val="single" w:sz="4" w:space="0" w:color="auto"/>
                        </w:tcBorders>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50' x 50’ x 3' depth</w:t>
                        </w:r>
                      </w:p>
                    </w:tc>
                    <w:tc>
                      <w:tcPr>
                        <w:tcW w:w="1905" w:type="dxa"/>
                        <w:tcBorders>
                          <w:bottom w:val="single" w:sz="4" w:space="0" w:color="auto"/>
                        </w:tcBorders>
                      </w:tcPr>
                      <w:p w:rsidR="00AF7039" w:rsidRPr="001F4133" w:rsidRDefault="00AF7039" w:rsidP="001F4133">
                        <w:pPr>
                          <w:spacing w:before="240"/>
                          <w:ind w:firstLine="720"/>
                          <w:jc w:val="center"/>
                          <w:rPr>
                            <w:rFonts w:ascii="Candara" w:hAnsi="Candara"/>
                            <w:sz w:val="18"/>
                            <w:szCs w:val="18"/>
                          </w:rPr>
                        </w:pPr>
                        <w:r w:rsidRPr="001F4133">
                          <w:rPr>
                            <w:rFonts w:ascii="Candara" w:hAnsi="Candara"/>
                            <w:sz w:val="18"/>
                            <w:szCs w:val="18"/>
                          </w:rPr>
                          <w:t xml:space="preserve">2,500 </w:t>
                        </w:r>
                        <w:proofErr w:type="spellStart"/>
                        <w:r w:rsidRPr="001F4133">
                          <w:rPr>
                            <w:rFonts w:ascii="Candara" w:hAnsi="Candara"/>
                            <w:sz w:val="18"/>
                            <w:szCs w:val="18"/>
                          </w:rPr>
                          <w:t>sqft</w:t>
                        </w:r>
                        <w:proofErr w:type="spellEnd"/>
                      </w:p>
                    </w:tc>
                    <w:tc>
                      <w:tcPr>
                        <w:tcW w:w="2357" w:type="dxa"/>
                        <w:tcBorders>
                          <w:bottom w:val="single" w:sz="4" w:space="0" w:color="auto"/>
                        </w:tcBorders>
                      </w:tcPr>
                      <w:p w:rsidR="00AF7039" w:rsidRPr="001F4133" w:rsidRDefault="00AF7039" w:rsidP="001F4133">
                        <w:pPr>
                          <w:spacing w:before="240"/>
                          <w:ind w:firstLine="720"/>
                          <w:jc w:val="center"/>
                          <w:rPr>
                            <w:rFonts w:ascii="Candara" w:hAnsi="Candara"/>
                            <w:sz w:val="18"/>
                            <w:szCs w:val="18"/>
                          </w:rPr>
                        </w:pPr>
                      </w:p>
                    </w:tc>
                  </w:tr>
                  <w:bookmarkEnd w:id="2"/>
                </w:tbl>
                <w:p w:rsidR="00AF7039" w:rsidRDefault="00AF7039" w:rsidP="00AF7039">
                  <w:pPr>
                    <w:jc w:val="both"/>
                  </w:pPr>
                </w:p>
              </w:txbxContent>
            </v:textbox>
            <w10:wrap type="square"/>
          </v:shape>
        </w:pict>
      </w:r>
      <w:r w:rsidR="00AF7039">
        <w:rPr>
          <w:rFonts w:ascii="Candara" w:hAnsi="Candara"/>
          <w:sz w:val="18"/>
          <w:szCs w:val="18"/>
        </w:rPr>
        <w:br w:type="page"/>
      </w:r>
    </w:p>
    <w:p w:rsidR="007B21A4" w:rsidRPr="00A343A5" w:rsidRDefault="007B21A4" w:rsidP="00A343A5">
      <w:pPr>
        <w:spacing w:after="0" w:line="240" w:lineRule="auto"/>
        <w:jc w:val="both"/>
        <w:rPr>
          <w:rFonts w:ascii="Century Gothic" w:hAnsi="Century Gothic"/>
          <w:b/>
          <w:sz w:val="15"/>
          <w:szCs w:val="15"/>
        </w:rPr>
      </w:pPr>
      <w:r w:rsidRPr="00A343A5">
        <w:rPr>
          <w:rFonts w:ascii="Century Gothic" w:hAnsi="Century Gothic"/>
          <w:b/>
          <w:sz w:val="15"/>
          <w:szCs w:val="15"/>
        </w:rPr>
        <w:lastRenderedPageBreak/>
        <w:t>3.4.1. Courtyard</w:t>
      </w:r>
    </w:p>
    <w:p w:rsidR="007B21A4" w:rsidRPr="007B21A4" w:rsidRDefault="007B21A4" w:rsidP="007B21A4">
      <w:pPr>
        <w:spacing w:before="240" w:after="0" w:line="240" w:lineRule="auto"/>
        <w:ind w:firstLine="720"/>
        <w:jc w:val="both"/>
        <w:rPr>
          <w:rFonts w:ascii="Candara" w:hAnsi="Candara"/>
          <w:sz w:val="18"/>
          <w:szCs w:val="18"/>
        </w:rPr>
      </w:pPr>
      <w:r w:rsidRPr="007B21A4">
        <w:rPr>
          <w:rFonts w:ascii="Candara" w:hAnsi="Candara"/>
          <w:sz w:val="18"/>
          <w:szCs w:val="18"/>
        </w:rPr>
        <w:t xml:space="preserve">After passing past the large gate, visitors are greeted by a vast courtyard with a red sandstone floor that is 276,000 </w:t>
      </w:r>
      <w:proofErr w:type="spellStart"/>
      <w:r w:rsidRPr="007B21A4">
        <w:rPr>
          <w:rFonts w:ascii="Candara" w:hAnsi="Candara"/>
          <w:sz w:val="18"/>
          <w:szCs w:val="18"/>
        </w:rPr>
        <w:t>sqft</w:t>
      </w:r>
      <w:proofErr w:type="spellEnd"/>
      <w:r w:rsidRPr="007B21A4">
        <w:rPr>
          <w:rFonts w:ascii="Candara" w:hAnsi="Candara"/>
          <w:sz w:val="18"/>
          <w:szCs w:val="18"/>
        </w:rPr>
        <w:t xml:space="preserve"> in size and can hold 100,000 worshipers when used as an </w:t>
      </w:r>
      <w:proofErr w:type="spellStart"/>
      <w:r w:rsidRPr="007B21A4">
        <w:rPr>
          <w:rFonts w:ascii="Candara" w:hAnsi="Candara"/>
          <w:sz w:val="18"/>
          <w:szCs w:val="18"/>
        </w:rPr>
        <w:t>Idgah</w:t>
      </w:r>
      <w:proofErr w:type="spellEnd"/>
      <w:r w:rsidRPr="007B21A4">
        <w:rPr>
          <w:rFonts w:ascii="Candara" w:hAnsi="Candara"/>
          <w:sz w:val="18"/>
          <w:szCs w:val="18"/>
        </w:rPr>
        <w:t xml:space="preserve">. Arcades on one axis surround the courtyard. Small kiln-burnt bricks placed in the </w:t>
      </w:r>
      <w:proofErr w:type="spellStart"/>
      <w:r w:rsidRPr="007B21A4">
        <w:rPr>
          <w:rFonts w:ascii="Candara" w:hAnsi="Candara"/>
          <w:sz w:val="18"/>
          <w:szCs w:val="18"/>
        </w:rPr>
        <w:t>Mussalah</w:t>
      </w:r>
      <w:proofErr w:type="spellEnd"/>
      <w:r w:rsidRPr="007B21A4">
        <w:rPr>
          <w:rFonts w:ascii="Candara" w:hAnsi="Candara"/>
          <w:sz w:val="18"/>
          <w:szCs w:val="18"/>
        </w:rPr>
        <w:t xml:space="preserve"> pattern had been used to lay the courtyard’s original floor. The current red sandstone flooring was installed between 1939 and 1960, during the most recent significant restorations.</w:t>
      </w:r>
    </w:p>
    <w:p w:rsidR="007B21A4" w:rsidRPr="00A343A5" w:rsidRDefault="007B21A4" w:rsidP="00A343A5">
      <w:pPr>
        <w:spacing w:before="240" w:after="0" w:line="240" w:lineRule="auto"/>
        <w:jc w:val="both"/>
        <w:rPr>
          <w:rFonts w:ascii="Century Gothic" w:hAnsi="Century Gothic"/>
          <w:b/>
          <w:sz w:val="15"/>
          <w:szCs w:val="15"/>
        </w:rPr>
      </w:pPr>
      <w:r w:rsidRPr="00A343A5">
        <w:rPr>
          <w:rFonts w:ascii="Century Gothic" w:hAnsi="Century Gothic"/>
          <w:b/>
          <w:sz w:val="15"/>
          <w:szCs w:val="15"/>
        </w:rPr>
        <w:t>3.4.2. Domes</w:t>
      </w:r>
    </w:p>
    <w:p w:rsidR="00AF7039" w:rsidRDefault="007B21A4" w:rsidP="00762E50">
      <w:pPr>
        <w:spacing w:before="240" w:after="0" w:line="240" w:lineRule="auto"/>
        <w:ind w:firstLine="720"/>
        <w:jc w:val="both"/>
        <w:rPr>
          <w:rFonts w:ascii="Candara" w:hAnsi="Candara"/>
          <w:sz w:val="18"/>
          <w:szCs w:val="18"/>
        </w:rPr>
      </w:pPr>
      <w:r w:rsidRPr="007B21A4">
        <w:rPr>
          <w:rFonts w:ascii="Candara" w:hAnsi="Candara"/>
          <w:sz w:val="18"/>
          <w:szCs w:val="18"/>
        </w:rPr>
        <w:t xml:space="preserve">The addition of domes to the mosque’s building was inspired from al-Aqsa mosque (Israel), temples and churches around the world to facilitate clear and efficient sound propagation for the audiences through the principles of sound wave transportation and sound reflection physics. Since, Umayyad period (691 A.D), for the following centuries, the dome has been regarded as one of the most significant MAs element </w:t>
      </w:r>
      <w:r w:rsidRPr="007B21A4">
        <w:rPr>
          <w:rFonts w:ascii="Candara" w:hAnsi="Candara"/>
          <w:sz w:val="18"/>
          <w:szCs w:val="18"/>
        </w:rPr>
        <w:fldChar w:fldCharType="begin"/>
      </w:r>
      <w:r w:rsidR="006141DF">
        <w:rPr>
          <w:rFonts w:ascii="Candara" w:hAnsi="Candara"/>
          <w:sz w:val="18"/>
          <w:szCs w:val="18"/>
        </w:rPr>
        <w:instrText xml:space="preserve"> ADDIN EN.CITE &lt;EndNote&gt;&lt;Cite&gt;&lt;Author&gt;Tarrad&lt;/Author&gt;&lt;Year&gt;2012&lt;/Year&gt;&lt;RecNum&gt;11&lt;/RecNum&gt;&lt;DisplayText&gt;[13]&lt;/DisplayText&gt;&lt;record&gt;&lt;rec-number&gt;11&lt;/rec-number&gt;&lt;foreign-keys&gt;&lt;key app="EN" db-id="2verxes0odwrwteserr55ee2w2vfedtxfxx0" timestamp="1674916271"&gt;11&lt;/key&gt;&lt;/foreign-keys&gt;&lt;ref-type name="Conference Proceedings"&gt;10&lt;/ref-type&gt;&lt;contributors&gt;&lt;authors&gt;&lt;author&gt;Tarrad, Mohannad&lt;/author&gt;&lt;author&gt;Matrouk, Mohammad&lt;/author&gt;&lt;/authors&gt;&lt;/contributors&gt;&lt;titles&gt;&lt;title&gt;The dome in Islamic architecture and the contemporary orientations to the design of Mosques’ domes&lt;/title&gt;&lt;secondary-title&gt;Proceedings of the International Congress: Domes In The World, Florence, Italy&lt;/secondary-title&gt;&lt;/titles&gt;&lt;dates&gt;&lt;year&gt;2012&lt;/year&gt;&lt;/dates&gt;&lt;urls&gt;&lt;/urls&gt;&lt;/record&gt;&lt;/Cite&gt;&lt;/EndNote&gt;</w:instrText>
      </w:r>
      <w:r w:rsidRPr="007B21A4">
        <w:rPr>
          <w:rFonts w:ascii="Candara" w:hAnsi="Candara"/>
          <w:sz w:val="18"/>
          <w:szCs w:val="18"/>
        </w:rPr>
        <w:fldChar w:fldCharType="separate"/>
      </w:r>
      <w:r w:rsidR="006141DF">
        <w:rPr>
          <w:rFonts w:ascii="Candara" w:hAnsi="Candara"/>
          <w:noProof/>
          <w:sz w:val="18"/>
          <w:szCs w:val="18"/>
        </w:rPr>
        <w:t>[13]</w:t>
      </w:r>
      <w:r w:rsidRPr="007B21A4">
        <w:rPr>
          <w:rFonts w:ascii="Candara" w:hAnsi="Candara"/>
          <w:sz w:val="18"/>
          <w:szCs w:val="18"/>
        </w:rPr>
        <w:fldChar w:fldCharType="end"/>
      </w:r>
      <w:r w:rsidRPr="007B21A4">
        <w:rPr>
          <w:rFonts w:ascii="Candara" w:hAnsi="Candara"/>
          <w:sz w:val="18"/>
          <w:szCs w:val="18"/>
        </w:rPr>
        <w:t>. The three crowning bulbous domes in BMLH-AA at top of the back chamber of the prayer hall were regarded to be the mosque’s most striking characteristics. Compared to the right and left domes, the center dome is bigger and taller. The domes featured shining pinnacles that could be seen clearly from a large distance. They were constructed in an elegant and methodical manner on a squinch system that was coated in layers of marble. On top of them golden finials were placed to shine during the sunny days and increase the visibility from a long distance. In actuality, the domes were made up of separate masonry inner and outer shells that were separated from one another by voids that were 30 by 322 and 394 by 431 feet, respectively (Figure 5).</w:t>
      </w:r>
    </w:p>
    <w:p w:rsidR="007B21A4" w:rsidRPr="00762E50" w:rsidRDefault="00762E50" w:rsidP="00A343A5">
      <w:pPr>
        <w:spacing w:before="240" w:after="0" w:line="240" w:lineRule="auto"/>
        <w:ind w:firstLine="720"/>
        <w:jc w:val="center"/>
        <w:rPr>
          <w:rFonts w:ascii="Candara" w:hAnsi="Candara"/>
          <w:b/>
          <w:sz w:val="15"/>
          <w:szCs w:val="15"/>
          <w:lang w:val="id-ID"/>
        </w:rPr>
      </w:pPr>
      <w:r w:rsidRPr="00762E50">
        <w:rPr>
          <w:rFonts w:ascii="Candara" w:hAnsi="Candara"/>
          <w:b/>
          <w:noProof/>
          <w:sz w:val="15"/>
          <w:szCs w:val="15"/>
          <w:lang w:val="id-ID"/>
        </w:rPr>
        <w:drawing>
          <wp:anchor distT="45720" distB="45720" distL="114300" distR="114300" simplePos="0" relativeHeight="251661824" behindDoc="1" locked="0" layoutInCell="1" allowOverlap="1" wp14:anchorId="58A6C083">
            <wp:simplePos x="0" y="0"/>
            <wp:positionH relativeFrom="column">
              <wp:posOffset>-5715</wp:posOffset>
            </wp:positionH>
            <wp:positionV relativeFrom="paragraph">
              <wp:posOffset>99695</wp:posOffset>
            </wp:positionV>
            <wp:extent cx="2654935" cy="1136015"/>
            <wp:effectExtent l="0" t="0" r="0" b="0"/>
            <wp:wrapTight wrapText="bothSides">
              <wp:wrapPolygon edited="0">
                <wp:start x="0" y="0"/>
                <wp:lineTo x="0" y="21371"/>
                <wp:lineTo x="21388" y="21371"/>
                <wp:lineTo x="2138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54935" cy="11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21A4" w:rsidRPr="00762E50">
        <w:rPr>
          <w:rFonts w:ascii="Candara" w:hAnsi="Candara"/>
          <w:b/>
          <w:sz w:val="15"/>
          <w:szCs w:val="15"/>
          <w:lang w:val="id-ID"/>
        </w:rPr>
        <w:t xml:space="preserve">Figure </w:t>
      </w:r>
      <w:r w:rsidR="007B21A4" w:rsidRPr="00762E50">
        <w:rPr>
          <w:rFonts w:ascii="Candara" w:hAnsi="Candara"/>
          <w:b/>
          <w:sz w:val="15"/>
          <w:szCs w:val="15"/>
          <w:lang w:val="id-ID"/>
        </w:rPr>
        <w:fldChar w:fldCharType="begin"/>
      </w:r>
      <w:r w:rsidR="007B21A4" w:rsidRPr="00762E50">
        <w:rPr>
          <w:rFonts w:ascii="Candara" w:hAnsi="Candara"/>
          <w:b/>
          <w:sz w:val="15"/>
          <w:szCs w:val="15"/>
          <w:lang w:val="id-ID"/>
        </w:rPr>
        <w:instrText xml:space="preserve"> SEQ Figure \* ARABIC </w:instrText>
      </w:r>
      <w:r w:rsidR="007B21A4" w:rsidRPr="00762E50">
        <w:rPr>
          <w:rFonts w:ascii="Candara" w:hAnsi="Candara"/>
          <w:b/>
          <w:sz w:val="15"/>
          <w:szCs w:val="15"/>
          <w:lang w:val="id-ID"/>
        </w:rPr>
        <w:fldChar w:fldCharType="separate"/>
      </w:r>
      <w:r w:rsidR="007B21A4" w:rsidRPr="00762E50">
        <w:rPr>
          <w:rFonts w:ascii="Candara" w:hAnsi="Candara"/>
          <w:b/>
          <w:sz w:val="15"/>
          <w:szCs w:val="15"/>
          <w:lang w:val="id-ID"/>
        </w:rPr>
        <w:t>5</w:t>
      </w:r>
      <w:r w:rsidR="007B21A4" w:rsidRPr="00762E50">
        <w:rPr>
          <w:rFonts w:ascii="Candara" w:hAnsi="Candara"/>
          <w:b/>
          <w:sz w:val="15"/>
          <w:szCs w:val="15"/>
          <w:lang w:val="id-ID"/>
        </w:rPr>
        <w:fldChar w:fldCharType="end"/>
      </w:r>
      <w:r w:rsidR="007B21A4" w:rsidRPr="00762E50">
        <w:rPr>
          <w:rFonts w:ascii="Candara" w:hAnsi="Candara"/>
          <w:b/>
          <w:sz w:val="15"/>
          <w:szCs w:val="15"/>
          <w:lang w:val="id-ID"/>
        </w:rPr>
        <w:t xml:space="preserve"> Capturing domes of Badshahi mosque, Lahore, Pakistan. Source: captured by author.</w:t>
      </w:r>
    </w:p>
    <w:p w:rsidR="007B21A4" w:rsidRPr="007B21A4" w:rsidRDefault="007B21A4" w:rsidP="007B21A4">
      <w:pPr>
        <w:spacing w:before="240" w:after="0" w:line="240" w:lineRule="auto"/>
        <w:ind w:firstLine="720"/>
        <w:jc w:val="both"/>
        <w:rPr>
          <w:rFonts w:ascii="Candara" w:hAnsi="Candara"/>
          <w:sz w:val="18"/>
          <w:szCs w:val="18"/>
        </w:rPr>
      </w:pPr>
      <w:r w:rsidRPr="007B21A4">
        <w:rPr>
          <w:rFonts w:ascii="Candara" w:hAnsi="Candara"/>
          <w:sz w:val="18"/>
          <w:szCs w:val="18"/>
        </w:rPr>
        <w:t xml:space="preserve">They had the term “double domes”, this structural modification was required since there was a tendency to make domes taller and to allow for easier form expansion, giving the domes a loftier and more regal aspect. By directing and conveying the sound of the sermon emanating from the Mihrab (niche) beneath the central dome in such a way as to avoid an echo, this invention of the double dome had also aided acoustics. But without a doubt, the apex of this mosque’s elevation of the prayer room lay in the bulbous form and volume of these domes, which were supported by tall drums of 21 and 32 feet, respectively, in height </w:t>
      </w:r>
      <w:r w:rsidRPr="007B21A4">
        <w:rPr>
          <w:rFonts w:ascii="Candara" w:hAnsi="Candara"/>
          <w:sz w:val="18"/>
          <w:szCs w:val="18"/>
        </w:rPr>
        <w:fldChar w:fldCharType="begin"/>
      </w:r>
      <w:r w:rsidR="006141DF">
        <w:rPr>
          <w:rFonts w:ascii="Candara" w:hAnsi="Candara"/>
          <w:sz w:val="18"/>
          <w:szCs w:val="18"/>
        </w:rPr>
        <w:instrText xml:space="preserve"> ADDIN EN.CITE &lt;EndNote&gt;&lt;Cite&gt;&lt;Author&gt;BUKSH&lt;/Author&gt;&lt;Year&gt;2020&lt;/Year&gt;&lt;RecNum&gt;60&lt;/RecNum&gt;&lt;DisplayText&gt;[14]&lt;/DisplayText&gt;&lt;record&gt;&lt;rec-number&gt;60&lt;/rec-number&gt;&lt;foreign-keys&gt;&lt;key app="EN" db-id="tepstesptaexxnexzthxafzl5f99arwpaset" timestamp="1669819693"&gt;60&lt;/key&gt;&lt;/foreign-keys&gt;&lt;ref-type name="Journal Article"&gt;17&lt;/ref-type&gt;&lt;contributors&gt;&lt;authors&gt;&lt;author&gt;BUKSH, USMAN MUHAMMAD&lt;/author&gt;&lt;author&gt;MALIK, UMER MAHBOOB&lt;/author&gt;&lt;/authors&gt;&lt;/contributors&gt;&lt;titles&gt;&lt;title&gt;A Comparative Study of Domes of Contemporary Jami ‘Mosques and Mughul Historical Mosques of Lahore&lt;/title&gt;&lt;secondary-title&gt;Quarterly Journal of the Pakistan Historical Society&lt;/secondary-title&gt;&lt;/titles&gt;&lt;periodical&gt;&lt;full-title&gt;Quarterly Journal of the Pakistan Historical Society&lt;/full-title&gt;&lt;/periodical&gt;&lt;volume&gt;68&lt;/volume&gt;&lt;number&gt;2&lt;/number&gt;&lt;dates&gt;&lt;year&gt;2020&lt;/year&gt;&lt;/dates&gt;&lt;isbn&gt;0030-9796&lt;/isbn&gt;&lt;urls&gt;&lt;/urls&gt;&lt;/record&gt;&lt;/Cite&gt;&lt;/EndNote&gt;</w:instrText>
      </w:r>
      <w:r w:rsidRPr="007B21A4">
        <w:rPr>
          <w:rFonts w:ascii="Candara" w:hAnsi="Candara"/>
          <w:sz w:val="18"/>
          <w:szCs w:val="18"/>
        </w:rPr>
        <w:fldChar w:fldCharType="separate"/>
      </w:r>
      <w:r w:rsidR="006141DF">
        <w:rPr>
          <w:rFonts w:ascii="Candara" w:hAnsi="Candara"/>
          <w:noProof/>
          <w:sz w:val="18"/>
          <w:szCs w:val="18"/>
        </w:rPr>
        <w:t>[14]</w:t>
      </w:r>
      <w:r w:rsidRPr="007B21A4">
        <w:rPr>
          <w:rFonts w:ascii="Candara" w:hAnsi="Candara"/>
          <w:sz w:val="18"/>
          <w:szCs w:val="18"/>
        </w:rPr>
        <w:fldChar w:fldCharType="end"/>
      </w:r>
      <w:r w:rsidRPr="007B21A4">
        <w:rPr>
          <w:rFonts w:ascii="Candara" w:hAnsi="Candara"/>
          <w:sz w:val="18"/>
          <w:szCs w:val="18"/>
        </w:rPr>
        <w:t>.</w:t>
      </w:r>
    </w:p>
    <w:p w:rsidR="007B21A4" w:rsidRPr="00A343A5" w:rsidRDefault="007B21A4" w:rsidP="00A343A5">
      <w:pPr>
        <w:spacing w:before="240" w:after="0" w:line="240" w:lineRule="auto"/>
        <w:jc w:val="both"/>
        <w:rPr>
          <w:rFonts w:ascii="Century Gothic" w:hAnsi="Century Gothic"/>
          <w:b/>
          <w:sz w:val="15"/>
          <w:szCs w:val="15"/>
        </w:rPr>
      </w:pPr>
      <w:r w:rsidRPr="00A343A5">
        <w:rPr>
          <w:rFonts w:ascii="Century Gothic" w:hAnsi="Century Gothic"/>
          <w:b/>
          <w:sz w:val="15"/>
          <w:szCs w:val="15"/>
        </w:rPr>
        <w:t>3.4.3. Minaret</w:t>
      </w:r>
    </w:p>
    <w:p w:rsidR="007B21A4" w:rsidRPr="007B21A4" w:rsidRDefault="007B21A4" w:rsidP="007B21A4">
      <w:pPr>
        <w:spacing w:before="240" w:after="0" w:line="240" w:lineRule="auto"/>
        <w:ind w:firstLine="720"/>
        <w:jc w:val="both"/>
        <w:rPr>
          <w:rFonts w:ascii="Candara" w:hAnsi="Candara"/>
          <w:sz w:val="18"/>
          <w:szCs w:val="18"/>
        </w:rPr>
      </w:pPr>
      <w:r w:rsidRPr="007B21A4">
        <w:rPr>
          <w:rFonts w:ascii="Candara" w:hAnsi="Candara"/>
          <w:sz w:val="18"/>
          <w:szCs w:val="18"/>
        </w:rPr>
        <w:t>There are octagonal, three-story red sandstone minarets with an inner diameter of eight and a half feet that are 196 feet (60 m) tall, and have an outward circumference of 67 feet in each of the mosque’s four corners. A marble canopy adorns the top of each minaret. Four additional, lesser minarets are located at the mosque’s four corners of the main structure. In (Figure 6), If we observe the minaret, its each story has different height and thus it gives stars to its beauty due to its perfect proportion.</w:t>
      </w:r>
    </w:p>
    <w:p w:rsidR="007B21A4" w:rsidRDefault="007B21A4" w:rsidP="007B21A4">
      <w:pPr>
        <w:pStyle w:val="MDPI31text"/>
        <w:keepNext/>
        <w:spacing w:before="240" w:line="480" w:lineRule="auto"/>
        <w:ind w:left="0" w:firstLine="0"/>
        <w:jc w:val="center"/>
      </w:pPr>
      <w:r>
        <w:rPr>
          <w:noProof/>
        </w:rPr>
        <w:drawing>
          <wp:inline distT="0" distB="0" distL="0" distR="0" wp14:anchorId="2C8BB7B6" wp14:editId="07137F3D">
            <wp:extent cx="2385060" cy="42888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88214" cy="4294501"/>
                    </a:xfrm>
                    <a:prstGeom prst="rect">
                      <a:avLst/>
                    </a:prstGeom>
                    <a:noFill/>
                    <a:ln>
                      <a:noFill/>
                    </a:ln>
                  </pic:spPr>
                </pic:pic>
              </a:graphicData>
            </a:graphic>
          </wp:inline>
        </w:drawing>
      </w:r>
    </w:p>
    <w:p w:rsidR="007B21A4" w:rsidRPr="00762E50" w:rsidRDefault="007B21A4" w:rsidP="007B21A4">
      <w:pPr>
        <w:pStyle w:val="Caption"/>
        <w:rPr>
          <w:rFonts w:ascii="Candara" w:eastAsiaTheme="minorEastAsia" w:hAnsi="Candara" w:cstheme="minorBidi"/>
          <w:b/>
          <w:bCs w:val="0"/>
          <w:sz w:val="15"/>
          <w:szCs w:val="15"/>
          <w:lang w:val="id-ID"/>
        </w:rPr>
      </w:pPr>
      <w:r w:rsidRPr="00762E50">
        <w:rPr>
          <w:rFonts w:ascii="Candara" w:eastAsiaTheme="minorEastAsia" w:hAnsi="Candara" w:cstheme="minorBidi"/>
          <w:b/>
          <w:bCs w:val="0"/>
          <w:sz w:val="15"/>
          <w:szCs w:val="15"/>
          <w:lang w:val="id-ID"/>
        </w:rPr>
        <w:t xml:space="preserve">Figure </w:t>
      </w:r>
      <w:r w:rsidRPr="00762E50">
        <w:rPr>
          <w:rFonts w:ascii="Candara" w:eastAsiaTheme="minorEastAsia" w:hAnsi="Candara" w:cstheme="minorBidi"/>
          <w:b/>
          <w:bCs w:val="0"/>
          <w:sz w:val="15"/>
          <w:szCs w:val="15"/>
          <w:lang w:val="id-ID"/>
        </w:rPr>
        <w:fldChar w:fldCharType="begin"/>
      </w:r>
      <w:r w:rsidRPr="00762E50">
        <w:rPr>
          <w:rFonts w:ascii="Candara" w:eastAsiaTheme="minorEastAsia" w:hAnsi="Candara" w:cstheme="minorBidi"/>
          <w:b/>
          <w:bCs w:val="0"/>
          <w:sz w:val="15"/>
          <w:szCs w:val="15"/>
          <w:lang w:val="id-ID"/>
        </w:rPr>
        <w:instrText xml:space="preserve"> SEQ Figure \* ARABIC </w:instrText>
      </w:r>
      <w:r w:rsidRPr="00762E50">
        <w:rPr>
          <w:rFonts w:ascii="Candara" w:eastAsiaTheme="minorEastAsia" w:hAnsi="Candara" w:cstheme="minorBidi"/>
          <w:b/>
          <w:bCs w:val="0"/>
          <w:sz w:val="15"/>
          <w:szCs w:val="15"/>
          <w:lang w:val="id-ID"/>
        </w:rPr>
        <w:fldChar w:fldCharType="separate"/>
      </w:r>
      <w:r w:rsidRPr="00762E50">
        <w:rPr>
          <w:rFonts w:ascii="Candara" w:eastAsiaTheme="minorEastAsia" w:hAnsi="Candara" w:cstheme="minorBidi"/>
          <w:b/>
          <w:bCs w:val="0"/>
          <w:sz w:val="15"/>
          <w:szCs w:val="15"/>
          <w:lang w:val="id-ID"/>
        </w:rPr>
        <w:t>6</w:t>
      </w:r>
      <w:r w:rsidRPr="00762E50">
        <w:rPr>
          <w:rFonts w:ascii="Candara" w:eastAsiaTheme="minorEastAsia" w:hAnsi="Candara" w:cstheme="minorBidi"/>
          <w:b/>
          <w:bCs w:val="0"/>
          <w:sz w:val="15"/>
          <w:szCs w:val="15"/>
          <w:lang w:val="id-ID"/>
        </w:rPr>
        <w:fldChar w:fldCharType="end"/>
      </w:r>
      <w:r w:rsidRPr="00762E50">
        <w:rPr>
          <w:rFonts w:ascii="Candara" w:eastAsiaTheme="minorEastAsia" w:hAnsi="Candara" w:cstheme="minorBidi"/>
          <w:b/>
          <w:bCs w:val="0"/>
          <w:sz w:val="15"/>
          <w:szCs w:val="15"/>
          <w:lang w:val="id-ID"/>
        </w:rPr>
        <w:t xml:space="preserve"> Capturing minaret of Badshahi mosque. Source: captured by author.</w:t>
      </w:r>
    </w:p>
    <w:p w:rsidR="007B21A4" w:rsidRPr="00A343A5" w:rsidRDefault="007B21A4" w:rsidP="00A343A5">
      <w:pPr>
        <w:spacing w:before="240" w:after="0" w:line="240" w:lineRule="auto"/>
        <w:jc w:val="both"/>
        <w:rPr>
          <w:rFonts w:ascii="Century Gothic" w:hAnsi="Century Gothic"/>
          <w:b/>
          <w:sz w:val="15"/>
          <w:szCs w:val="15"/>
        </w:rPr>
      </w:pPr>
      <w:r w:rsidRPr="00A343A5">
        <w:rPr>
          <w:rFonts w:ascii="Century Gothic" w:hAnsi="Century Gothic"/>
          <w:b/>
          <w:sz w:val="15"/>
          <w:szCs w:val="15"/>
        </w:rPr>
        <w:t>3.4.4. Entryway of the Complex</w:t>
      </w:r>
    </w:p>
    <w:p w:rsidR="007B21A4" w:rsidRPr="007B21A4" w:rsidRDefault="007B21A4" w:rsidP="007B21A4">
      <w:pPr>
        <w:spacing w:before="240" w:after="0" w:line="240" w:lineRule="auto"/>
        <w:ind w:firstLine="720"/>
        <w:jc w:val="both"/>
        <w:rPr>
          <w:rFonts w:ascii="Candara" w:hAnsi="Candara"/>
          <w:snapToGrid w:val="0"/>
          <w:sz w:val="18"/>
          <w:szCs w:val="18"/>
        </w:rPr>
      </w:pPr>
      <w:r w:rsidRPr="007B21A4">
        <w:rPr>
          <w:rFonts w:ascii="Candara" w:hAnsi="Candara"/>
          <w:sz w:val="18"/>
          <w:szCs w:val="18"/>
        </w:rPr>
        <w:t xml:space="preserve">The mosque complex’s entryway is a two-story edifice composed of red sandstone with exquisitely framed and carved paneling on each of its facades. The mosque’s entrance, which faces east, has a view of the </w:t>
      </w:r>
      <w:proofErr w:type="spellStart"/>
      <w:r w:rsidRPr="007B21A4">
        <w:rPr>
          <w:rFonts w:ascii="Candara" w:hAnsi="Candara"/>
          <w:sz w:val="18"/>
          <w:szCs w:val="18"/>
        </w:rPr>
        <w:t>Alamgiri</w:t>
      </w:r>
      <w:proofErr w:type="spellEnd"/>
      <w:r w:rsidRPr="007B21A4">
        <w:rPr>
          <w:rFonts w:ascii="Candara" w:hAnsi="Candara"/>
          <w:sz w:val="18"/>
          <w:szCs w:val="18"/>
        </w:rPr>
        <w:t xml:space="preserve"> gate of the Lahore Fort, which Aurangzeb also built. (Figure 7) is well visual view to explain the entry and its steps. We can see that the main gate of the mosque features a sizable doorway that is set on a plinth and is accessible through a flight of 22 steps. The construction of a grand gateway on north side was prohibited since the mosque’s north perimeter wall was constructed near to the bank of </w:t>
      </w:r>
      <w:r w:rsidRPr="007B21A4">
        <w:rPr>
          <w:rFonts w:ascii="Candara" w:hAnsi="Candara"/>
          <w:sz w:val="18"/>
          <w:szCs w:val="18"/>
        </w:rPr>
        <w:lastRenderedPageBreak/>
        <w:t xml:space="preserve">the Ravi River. No imposing gate could be constructed on the south side as well in order to maintain the gate’s symmetry </w:t>
      </w:r>
      <w:r w:rsidRPr="007B21A4">
        <w:rPr>
          <w:rFonts w:ascii="Candara" w:hAnsi="Candara"/>
          <w:sz w:val="18"/>
          <w:szCs w:val="18"/>
        </w:rPr>
        <w:fldChar w:fldCharType="begin"/>
      </w:r>
      <w:r w:rsidR="006141DF">
        <w:rPr>
          <w:rFonts w:ascii="Candara" w:hAnsi="Candara"/>
          <w:sz w:val="18"/>
          <w:szCs w:val="18"/>
        </w:rPr>
        <w:instrText xml:space="preserve"> ADDIN EN.CITE &lt;EndNote&gt;&lt;Cite&gt;&lt;Author&gt;Mahboob&lt;/Author&gt;&lt;Year&gt;2020&lt;/Year&gt;&lt;RecNum&gt;62&lt;/RecNum&gt;&lt;DisplayText&gt;[15]&lt;/DisplayText&gt;&lt;record&gt;&lt;rec-number&gt;62&lt;/rec-number&gt;&lt;foreign-keys&gt;&lt;key app="EN" db-id="tepstesptaexxnexzthxafzl5f99arwpaset" timestamp="1669819830"&gt;62&lt;/key&gt;&lt;/foreign-keys&gt;&lt;ref-type name="Journal Article"&gt;17&lt;/ref-type&gt;&lt;contributors&gt;&lt;authors&gt;&lt;author&gt;Mahboob, Muhammad Hassan&lt;/author&gt;&lt;author&gt;Ashfaq, Muhammad&lt;/author&gt;&lt;/authors&gt;&lt;/contributors&gt;&lt;titles&gt;&lt;title&gt;Tourist’s Attitude Towards Cultural Heritage and Their Willingness to Pay for Visitation: A Case Study of Lahore-Pakistan&lt;/title&gt;&lt;secondary-title&gt;Preprints&lt;/secondary-title&gt;&lt;/titles&gt;&lt;periodical&gt;&lt;full-title&gt;Preprints&lt;/full-title&gt;&lt;/periodical&gt;&lt;dates&gt;&lt;year&gt;2020&lt;/year&gt;&lt;/dates&gt;&lt;urls&gt;&lt;/urls&gt;&lt;/record&gt;&lt;/Cite&gt;&lt;/EndNote&gt;</w:instrText>
      </w:r>
      <w:r w:rsidRPr="007B21A4">
        <w:rPr>
          <w:rFonts w:ascii="Candara" w:hAnsi="Candara"/>
          <w:sz w:val="18"/>
          <w:szCs w:val="18"/>
        </w:rPr>
        <w:fldChar w:fldCharType="separate"/>
      </w:r>
      <w:r w:rsidR="006141DF">
        <w:rPr>
          <w:rFonts w:ascii="Candara" w:hAnsi="Candara"/>
          <w:noProof/>
          <w:sz w:val="18"/>
          <w:szCs w:val="18"/>
        </w:rPr>
        <w:t>[15]</w:t>
      </w:r>
      <w:r w:rsidRPr="007B21A4">
        <w:rPr>
          <w:rFonts w:ascii="Candara" w:hAnsi="Candara"/>
          <w:sz w:val="18"/>
          <w:szCs w:val="18"/>
        </w:rPr>
        <w:fldChar w:fldCharType="end"/>
      </w:r>
      <w:r w:rsidRPr="007B21A4">
        <w:rPr>
          <w:rFonts w:ascii="Candara" w:hAnsi="Candara"/>
          <w:sz w:val="18"/>
          <w:szCs w:val="18"/>
        </w:rPr>
        <w:t>.</w:t>
      </w:r>
    </w:p>
    <w:p w:rsidR="007B21A4" w:rsidRDefault="007B21A4" w:rsidP="007B21A4">
      <w:pPr>
        <w:pStyle w:val="MDPI31text"/>
        <w:keepNext/>
        <w:spacing w:before="240" w:line="480" w:lineRule="auto"/>
        <w:ind w:left="0" w:firstLine="0"/>
        <w:jc w:val="center"/>
      </w:pPr>
      <w:r>
        <w:rPr>
          <w:noProof/>
        </w:rPr>
        <w:drawing>
          <wp:inline distT="0" distB="0" distL="0" distR="0" wp14:anchorId="1204EA88" wp14:editId="61A60CB1">
            <wp:extent cx="2857500" cy="2857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7B21A4" w:rsidRPr="00762E50" w:rsidRDefault="007B21A4" w:rsidP="007B21A4">
      <w:pPr>
        <w:pStyle w:val="Caption"/>
        <w:rPr>
          <w:rFonts w:ascii="Candara" w:eastAsiaTheme="minorEastAsia" w:hAnsi="Candara" w:cstheme="minorBidi"/>
          <w:b/>
          <w:bCs w:val="0"/>
          <w:sz w:val="15"/>
          <w:szCs w:val="15"/>
          <w:lang w:val="id-ID"/>
        </w:rPr>
      </w:pPr>
      <w:r w:rsidRPr="00762E50">
        <w:rPr>
          <w:rFonts w:ascii="Candara" w:eastAsiaTheme="minorEastAsia" w:hAnsi="Candara" w:cstheme="minorBidi"/>
          <w:b/>
          <w:bCs w:val="0"/>
          <w:sz w:val="15"/>
          <w:szCs w:val="15"/>
          <w:lang w:val="id-ID"/>
        </w:rPr>
        <w:t xml:space="preserve">Figure </w:t>
      </w:r>
      <w:r w:rsidRPr="00762E50">
        <w:rPr>
          <w:rFonts w:ascii="Candara" w:eastAsiaTheme="minorEastAsia" w:hAnsi="Candara" w:cstheme="minorBidi"/>
          <w:b/>
          <w:bCs w:val="0"/>
          <w:sz w:val="15"/>
          <w:szCs w:val="15"/>
          <w:lang w:val="id-ID"/>
        </w:rPr>
        <w:fldChar w:fldCharType="begin"/>
      </w:r>
      <w:r w:rsidRPr="00762E50">
        <w:rPr>
          <w:rFonts w:ascii="Candara" w:eastAsiaTheme="minorEastAsia" w:hAnsi="Candara" w:cstheme="minorBidi"/>
          <w:b/>
          <w:bCs w:val="0"/>
          <w:sz w:val="15"/>
          <w:szCs w:val="15"/>
          <w:lang w:val="id-ID"/>
        </w:rPr>
        <w:instrText xml:space="preserve"> SEQ Figure \* ARABIC </w:instrText>
      </w:r>
      <w:r w:rsidRPr="00762E50">
        <w:rPr>
          <w:rFonts w:ascii="Candara" w:eastAsiaTheme="minorEastAsia" w:hAnsi="Candara" w:cstheme="minorBidi"/>
          <w:b/>
          <w:bCs w:val="0"/>
          <w:sz w:val="15"/>
          <w:szCs w:val="15"/>
          <w:lang w:val="id-ID"/>
        </w:rPr>
        <w:fldChar w:fldCharType="separate"/>
      </w:r>
      <w:r w:rsidRPr="00762E50">
        <w:rPr>
          <w:rFonts w:ascii="Candara" w:eastAsiaTheme="minorEastAsia" w:hAnsi="Candara" w:cstheme="minorBidi"/>
          <w:b/>
          <w:bCs w:val="0"/>
          <w:sz w:val="15"/>
          <w:szCs w:val="15"/>
          <w:lang w:val="id-ID"/>
        </w:rPr>
        <w:t>7</w:t>
      </w:r>
      <w:r w:rsidRPr="00762E50">
        <w:rPr>
          <w:rFonts w:ascii="Candara" w:eastAsiaTheme="minorEastAsia" w:hAnsi="Candara" w:cstheme="minorBidi"/>
          <w:b/>
          <w:bCs w:val="0"/>
          <w:sz w:val="15"/>
          <w:szCs w:val="15"/>
          <w:lang w:val="id-ID"/>
        </w:rPr>
        <w:fldChar w:fldCharType="end"/>
      </w:r>
      <w:r w:rsidRPr="00762E50">
        <w:rPr>
          <w:rFonts w:ascii="Candara" w:eastAsiaTheme="minorEastAsia" w:hAnsi="Candara" w:cstheme="minorBidi"/>
          <w:b/>
          <w:bCs w:val="0"/>
          <w:sz w:val="15"/>
          <w:szCs w:val="15"/>
          <w:lang w:val="id-ID"/>
        </w:rPr>
        <w:t xml:space="preserve"> Entrance view of Badshahi mosque. Source: captured by author.</w:t>
      </w:r>
    </w:p>
    <w:p w:rsidR="007B21A4" w:rsidRPr="00A343A5" w:rsidRDefault="007B21A4" w:rsidP="00A343A5">
      <w:pPr>
        <w:spacing w:before="240" w:after="0" w:line="240" w:lineRule="auto"/>
        <w:jc w:val="both"/>
        <w:rPr>
          <w:rFonts w:ascii="Century Gothic" w:hAnsi="Century Gothic"/>
          <w:b/>
          <w:sz w:val="15"/>
          <w:szCs w:val="15"/>
        </w:rPr>
      </w:pPr>
      <w:r w:rsidRPr="00A343A5">
        <w:rPr>
          <w:rFonts w:ascii="Century Gothic" w:hAnsi="Century Gothic"/>
          <w:b/>
          <w:sz w:val="15"/>
          <w:szCs w:val="15"/>
        </w:rPr>
        <w:t>3.4.5. Prayer Hall</w:t>
      </w:r>
    </w:p>
    <w:p w:rsidR="007B21A4" w:rsidRPr="007B21A4" w:rsidRDefault="007B21A4" w:rsidP="00A343A5">
      <w:pPr>
        <w:pStyle w:val="MDPI31text"/>
        <w:spacing w:before="240" w:line="480" w:lineRule="auto"/>
        <w:ind w:left="180" w:firstLine="330"/>
        <w:rPr>
          <w:rFonts w:ascii="Candara" w:eastAsiaTheme="minorEastAsia" w:hAnsi="Candara" w:cstheme="minorBidi"/>
          <w:snapToGrid/>
          <w:color w:val="auto"/>
          <w:sz w:val="18"/>
          <w:szCs w:val="18"/>
          <w:lang w:eastAsia="en-US" w:bidi="ar-SA"/>
        </w:rPr>
      </w:pPr>
      <w:r w:rsidRPr="007B21A4">
        <w:rPr>
          <w:rFonts w:ascii="Candara" w:eastAsiaTheme="minorEastAsia" w:hAnsi="Candara" w:cstheme="minorBidi"/>
          <w:snapToGrid/>
          <w:color w:val="auto"/>
          <w:sz w:val="18"/>
          <w:szCs w:val="18"/>
          <w:lang w:eastAsia="en-US" w:bidi="ar-SA"/>
        </w:rPr>
        <w:t xml:space="preserve">The main structure of the prayer hall is similarly made of red sandstone and has white marble inlay as decoration. In the middle of the prayer chamber, an arched niche is surrounded by five niches that are each around one-third the size of the central niche. In architecture when we design a building for ceremonies then we focus on clear height of the building to be elevated more as compared to normal buildings and thus in the same concept has been mostly promoted by Mughals in the construction. The internal clear height of prayer hall is 50'-6" which makes a comfortable zone with good ventilation system and environment for meditation. Religious instruction took place in the apartments of the chambers on each side of the main chamber. The mosque’s prayer hall has enough for 10,000 </w:t>
      </w:r>
      <w:r w:rsidRPr="007B21A4">
        <w:rPr>
          <w:rFonts w:ascii="Candara" w:eastAsiaTheme="minorEastAsia" w:hAnsi="Candara" w:cstheme="minorBidi"/>
          <w:snapToGrid/>
          <w:color w:val="auto"/>
          <w:sz w:val="18"/>
          <w:szCs w:val="18"/>
          <w:lang w:eastAsia="en-US" w:bidi="ar-SA"/>
        </w:rPr>
        <w:t>worshipers. Originally, (Figure 8) explains us the prayer chamber’s floor was lined with marble and Sang-</w:t>
      </w:r>
      <w:proofErr w:type="spellStart"/>
      <w:r w:rsidRPr="007B21A4">
        <w:rPr>
          <w:rFonts w:ascii="Candara" w:eastAsiaTheme="minorEastAsia" w:hAnsi="Candara" w:cstheme="minorBidi"/>
          <w:snapToGrid/>
          <w:color w:val="auto"/>
          <w:sz w:val="18"/>
          <w:szCs w:val="18"/>
          <w:lang w:eastAsia="en-US" w:bidi="ar-SA"/>
        </w:rPr>
        <w:t>i</w:t>
      </w:r>
      <w:proofErr w:type="spellEnd"/>
      <w:r w:rsidRPr="007B21A4">
        <w:rPr>
          <w:rFonts w:ascii="Candara" w:eastAsiaTheme="minorEastAsia" w:hAnsi="Candara" w:cstheme="minorBidi"/>
          <w:snapToGrid/>
          <w:color w:val="auto"/>
          <w:sz w:val="18"/>
          <w:szCs w:val="18"/>
          <w:lang w:eastAsia="en-US" w:bidi="ar-SA"/>
        </w:rPr>
        <w:t xml:space="preserve">-Abri and constructed from cut and prepared bricks. After the most recent renovations, marble </w:t>
      </w:r>
      <w:proofErr w:type="spellStart"/>
      <w:r w:rsidRPr="007B21A4">
        <w:rPr>
          <w:rFonts w:ascii="Candara" w:eastAsiaTheme="minorEastAsia" w:hAnsi="Candara" w:cstheme="minorBidi"/>
          <w:snapToGrid/>
          <w:color w:val="auto"/>
          <w:sz w:val="18"/>
          <w:szCs w:val="18"/>
          <w:lang w:eastAsia="en-US" w:bidi="ar-SA"/>
        </w:rPr>
        <w:t>Mussalah</w:t>
      </w:r>
      <w:proofErr w:type="spellEnd"/>
      <w:r w:rsidRPr="007B21A4">
        <w:rPr>
          <w:rFonts w:ascii="Candara" w:eastAsiaTheme="minorEastAsia" w:hAnsi="Candara" w:cstheme="minorBidi"/>
          <w:snapToGrid/>
          <w:color w:val="auto"/>
          <w:sz w:val="18"/>
          <w:szCs w:val="18"/>
          <w:lang w:eastAsia="en-US" w:bidi="ar-SA"/>
        </w:rPr>
        <w:t xml:space="preserve"> has been installed in their stead.</w:t>
      </w:r>
    </w:p>
    <w:p w:rsidR="007B21A4" w:rsidRDefault="007B21A4" w:rsidP="007B21A4">
      <w:pPr>
        <w:pStyle w:val="MDPI31text"/>
        <w:keepNext/>
        <w:spacing w:before="240" w:line="480" w:lineRule="auto"/>
        <w:ind w:left="0" w:firstLine="0"/>
        <w:jc w:val="center"/>
      </w:pPr>
      <w:r w:rsidRPr="00535CB7">
        <w:rPr>
          <w:rFonts w:asciiTheme="majorBidi" w:hAnsiTheme="majorBidi" w:cstheme="majorBidi"/>
          <w:noProof/>
          <w:sz w:val="24"/>
          <w:szCs w:val="24"/>
        </w:rPr>
        <w:drawing>
          <wp:inline distT="0" distB="0" distL="0" distR="0" wp14:anchorId="3A41BF5D" wp14:editId="07571D31">
            <wp:extent cx="2614016" cy="4385310"/>
            <wp:effectExtent l="19050" t="19050" r="0" b="0"/>
            <wp:docPr id="8" name="Picture 8">
              <a:extLst xmlns:a="http://schemas.openxmlformats.org/drawingml/2006/main">
                <a:ext uri="{FF2B5EF4-FFF2-40B4-BE49-F238E27FC236}">
                  <a16:creationId xmlns:a16="http://schemas.microsoft.com/office/drawing/2014/main" id="{7290DE60-DB79-03AC-A92C-635BF6ABFF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290DE60-DB79-03AC-A92C-635BF6ABFFDD}"/>
                        </a:ext>
                      </a:extLst>
                    </pic:cNvPr>
                    <pic:cNvPicPr>
                      <a:picLocks noChangeAspect="1"/>
                    </pic:cNvPicPr>
                  </pic:nvPicPr>
                  <pic:blipFill rotWithShape="1">
                    <a:blip r:embed="rId23">
                      <a:extLst>
                        <a:ext uri="{28A0092B-C50C-407E-A947-70E740481C1C}">
                          <a14:useLocalDpi xmlns:a14="http://schemas.microsoft.com/office/drawing/2010/main" val="0"/>
                        </a:ext>
                      </a:extLst>
                    </a:blip>
                    <a:srcRect t="1" b="21795"/>
                    <a:stretch/>
                  </pic:blipFill>
                  <pic:spPr bwMode="auto">
                    <a:xfrm>
                      <a:off x="0" y="0"/>
                      <a:ext cx="2647148" cy="4440892"/>
                    </a:xfrm>
                    <a:prstGeom prst="rect">
                      <a:avLst/>
                    </a:prstGeom>
                    <a:noFill/>
                    <a:ln w="12700">
                      <a:solidFill>
                        <a:schemeClr val="tx2"/>
                      </a:solidFill>
                    </a:ln>
                    <a:extLst>
                      <a:ext uri="{53640926-AAD7-44D8-BBD7-CCE9431645EC}">
                        <a14:shadowObscured xmlns:a14="http://schemas.microsoft.com/office/drawing/2010/main"/>
                      </a:ext>
                    </a:extLst>
                  </pic:spPr>
                </pic:pic>
              </a:graphicData>
            </a:graphic>
          </wp:inline>
        </w:drawing>
      </w:r>
    </w:p>
    <w:p w:rsidR="007B21A4" w:rsidRPr="00762E50" w:rsidRDefault="007B21A4" w:rsidP="007B21A4">
      <w:pPr>
        <w:pStyle w:val="Caption"/>
        <w:rPr>
          <w:rFonts w:ascii="Candara" w:eastAsiaTheme="minorEastAsia" w:hAnsi="Candara" w:cstheme="minorBidi"/>
          <w:b/>
          <w:bCs w:val="0"/>
          <w:sz w:val="15"/>
          <w:szCs w:val="15"/>
          <w:lang w:val="id-ID"/>
        </w:rPr>
      </w:pPr>
      <w:r w:rsidRPr="00762E50">
        <w:rPr>
          <w:rFonts w:ascii="Candara" w:eastAsiaTheme="minorEastAsia" w:hAnsi="Candara" w:cstheme="minorBidi"/>
          <w:b/>
          <w:bCs w:val="0"/>
          <w:sz w:val="15"/>
          <w:szCs w:val="15"/>
          <w:lang w:val="id-ID"/>
        </w:rPr>
        <w:t xml:space="preserve">Figure </w:t>
      </w:r>
      <w:r w:rsidRPr="00762E50">
        <w:rPr>
          <w:rFonts w:ascii="Candara" w:eastAsiaTheme="minorEastAsia" w:hAnsi="Candara" w:cstheme="minorBidi"/>
          <w:b/>
          <w:bCs w:val="0"/>
          <w:sz w:val="15"/>
          <w:szCs w:val="15"/>
          <w:lang w:val="id-ID"/>
        </w:rPr>
        <w:fldChar w:fldCharType="begin"/>
      </w:r>
      <w:r w:rsidRPr="00762E50">
        <w:rPr>
          <w:rFonts w:ascii="Candara" w:eastAsiaTheme="minorEastAsia" w:hAnsi="Candara" w:cstheme="minorBidi"/>
          <w:b/>
          <w:bCs w:val="0"/>
          <w:sz w:val="15"/>
          <w:szCs w:val="15"/>
          <w:lang w:val="id-ID"/>
        </w:rPr>
        <w:instrText xml:space="preserve"> SEQ Figure \* ARABIC </w:instrText>
      </w:r>
      <w:r w:rsidRPr="00762E50">
        <w:rPr>
          <w:rFonts w:ascii="Candara" w:eastAsiaTheme="minorEastAsia" w:hAnsi="Candara" w:cstheme="minorBidi"/>
          <w:b/>
          <w:bCs w:val="0"/>
          <w:sz w:val="15"/>
          <w:szCs w:val="15"/>
          <w:lang w:val="id-ID"/>
        </w:rPr>
        <w:fldChar w:fldCharType="separate"/>
      </w:r>
      <w:r w:rsidRPr="00762E50">
        <w:rPr>
          <w:rFonts w:ascii="Candara" w:eastAsiaTheme="minorEastAsia" w:hAnsi="Candara" w:cstheme="minorBidi"/>
          <w:b/>
          <w:bCs w:val="0"/>
          <w:sz w:val="15"/>
          <w:szCs w:val="15"/>
          <w:lang w:val="id-ID"/>
        </w:rPr>
        <w:t>8</w:t>
      </w:r>
      <w:r w:rsidRPr="00762E50">
        <w:rPr>
          <w:rFonts w:ascii="Candara" w:eastAsiaTheme="minorEastAsia" w:hAnsi="Candara" w:cstheme="minorBidi"/>
          <w:b/>
          <w:bCs w:val="0"/>
          <w:sz w:val="15"/>
          <w:szCs w:val="15"/>
          <w:lang w:val="id-ID"/>
        </w:rPr>
        <w:fldChar w:fldCharType="end"/>
      </w:r>
      <w:r w:rsidRPr="00762E50">
        <w:rPr>
          <w:rFonts w:ascii="Candara" w:eastAsiaTheme="minorEastAsia" w:hAnsi="Candara" w:cstheme="minorBidi"/>
          <w:b/>
          <w:bCs w:val="0"/>
          <w:sz w:val="15"/>
          <w:szCs w:val="15"/>
          <w:lang w:val="id-ID"/>
        </w:rPr>
        <w:t xml:space="preserve"> Flooring and interior of Prayer Hall at Badshahi mosque. Source: captured by author.</w:t>
      </w:r>
    </w:p>
    <w:p w:rsidR="007B21A4" w:rsidRPr="00A343A5" w:rsidRDefault="007B21A4" w:rsidP="00A343A5">
      <w:pPr>
        <w:spacing w:before="240" w:after="0" w:line="240" w:lineRule="auto"/>
        <w:jc w:val="both"/>
        <w:rPr>
          <w:rFonts w:ascii="Century Gothic" w:hAnsi="Century Gothic"/>
          <w:b/>
          <w:sz w:val="15"/>
          <w:szCs w:val="15"/>
        </w:rPr>
      </w:pPr>
      <w:r w:rsidRPr="00A343A5">
        <w:rPr>
          <w:rFonts w:ascii="Century Gothic" w:hAnsi="Century Gothic"/>
          <w:b/>
          <w:sz w:val="15"/>
          <w:szCs w:val="15"/>
        </w:rPr>
        <w:t>3.4.6. Surface and Space</w:t>
      </w:r>
    </w:p>
    <w:p w:rsidR="007B21A4" w:rsidRPr="00762E50" w:rsidRDefault="007B21A4" w:rsidP="00762E50">
      <w:pPr>
        <w:spacing w:before="240" w:after="0" w:line="240" w:lineRule="auto"/>
        <w:ind w:firstLine="720"/>
        <w:jc w:val="both"/>
        <w:rPr>
          <w:rFonts w:ascii="Candara" w:hAnsi="Candara"/>
          <w:sz w:val="18"/>
          <w:szCs w:val="18"/>
        </w:rPr>
      </w:pPr>
      <w:r w:rsidRPr="00762E50">
        <w:rPr>
          <w:rFonts w:ascii="Candara" w:hAnsi="Candara"/>
          <w:sz w:val="18"/>
          <w:szCs w:val="18"/>
        </w:rPr>
        <w:t xml:space="preserve">Islamic architecture uses decorations that go beyond just covering surfaces to help change interiors. Throughout history, this idea of ornamentation has been viewed as being adaptable. It is unconstrained by scale, substance, or form, and it continues to have an infinite number of uses. The main goal of ornamentation in the architecture of Badshahi is to cultivate a fundamental surface propensity toward flexibility since these aids in easing transitions from one space to another. Sharp divisions are not permitted. In the Figure 9 (a, b) we can see that inside the same building different spaces have same theme of decoration. Moreover, also observe that its </w:t>
      </w:r>
      <w:r w:rsidRPr="00762E50">
        <w:rPr>
          <w:rFonts w:ascii="Candara" w:hAnsi="Candara"/>
          <w:sz w:val="18"/>
          <w:szCs w:val="18"/>
        </w:rPr>
        <w:lastRenderedPageBreak/>
        <w:t xml:space="preserve">ornamentation articulates the surface that eventually defines a space, forming a strong relationship between space and decoration </w:t>
      </w:r>
      <w:r w:rsidRPr="00762E50">
        <w:rPr>
          <w:rFonts w:ascii="Candara" w:hAnsi="Candara"/>
          <w:sz w:val="18"/>
          <w:szCs w:val="18"/>
        </w:rPr>
        <w:fldChar w:fldCharType="begin"/>
      </w:r>
      <w:r w:rsidR="006141DF">
        <w:rPr>
          <w:rFonts w:ascii="Candara" w:hAnsi="Candara"/>
          <w:sz w:val="18"/>
          <w:szCs w:val="18"/>
        </w:rPr>
        <w:instrText xml:space="preserve"> ADDIN EN.CITE &lt;EndNote&gt;&lt;Cite&gt;&lt;Author&gt;Zahra&lt;/Author&gt;&lt;Year&gt;2022&lt;/Year&gt;&lt;RecNum&gt;7&lt;/RecNum&gt;&lt;DisplayText&gt;[16]&lt;/DisplayText&gt;&lt;record&gt;&lt;rec-number&gt;7&lt;/rec-number&gt;&lt;foreign-keys&gt;&lt;key app="EN" db-id="2verxes0odwrwteserr55ee2w2vfedtxfxx0" timestamp="1673712005"&gt;7&lt;/key&gt;&lt;/foreign-keys&gt;&lt;ref-type name="Journal Article"&gt;17&lt;/ref-type&gt;&lt;contributors&gt;&lt;authors&gt;&lt;author&gt;Zahra, Fatima&lt;/author&gt;&lt;author&gt;Shahir, Safrizal Bin&lt;/author&gt;&lt;/authors&gt;&lt;/contributors&gt;&lt;titles&gt;&lt;title&gt;Spiritual Aesthetics of Islamic Ornamentation and the Aesthetic Value in Islamic Architecture&lt;/title&gt;&lt;secondary-title&gt;Journal of Islamic Thought and Civilization&lt;/secondary-title&gt;&lt;/titles&gt;&lt;periodical&gt;&lt;full-title&gt;Journal of Islamic Thought and Civilization&lt;/full-title&gt;&lt;/periodical&gt;&lt;pages&gt;164-175&lt;/pages&gt;&lt;volume&gt;12&lt;/volume&gt;&lt;number&gt;1&lt;/number&gt;&lt;dates&gt;&lt;year&gt;2022&lt;/year&gt;&lt;/dates&gt;&lt;isbn&gt;2520-0313&lt;/isbn&gt;&lt;urls&gt;&lt;/urls&gt;&lt;/record&gt;&lt;/Cite&gt;&lt;/EndNote&gt;</w:instrText>
      </w:r>
      <w:r w:rsidRPr="00762E50">
        <w:rPr>
          <w:rFonts w:ascii="Candara" w:hAnsi="Candara"/>
          <w:sz w:val="18"/>
          <w:szCs w:val="18"/>
        </w:rPr>
        <w:fldChar w:fldCharType="separate"/>
      </w:r>
      <w:r w:rsidR="006141DF">
        <w:rPr>
          <w:rFonts w:ascii="Candara" w:hAnsi="Candara"/>
          <w:noProof/>
          <w:sz w:val="18"/>
          <w:szCs w:val="18"/>
        </w:rPr>
        <w:t>[16]</w:t>
      </w:r>
      <w:r w:rsidRPr="00762E50">
        <w:rPr>
          <w:rFonts w:ascii="Candara" w:hAnsi="Candara"/>
          <w:sz w:val="18"/>
          <w:szCs w:val="18"/>
        </w:rPr>
        <w:fldChar w:fldCharType="end"/>
      </w:r>
      <w:r w:rsidRPr="00762E50">
        <w:rPr>
          <w:rFonts w:ascii="Candara" w:hAnsi="Candara"/>
          <w:sz w:val="18"/>
          <w:szCs w:val="18"/>
        </w:rPr>
        <w:t xml:space="preserve">. The structural components are concealed by a variety of lavish embellishments. The structures of Badshahi mosque distinctiveness and variation is accomplished through many combinations </w:t>
      </w:r>
      <w:r w:rsidRPr="00762E50">
        <w:rPr>
          <w:rFonts w:ascii="Candara" w:hAnsi="Candara"/>
          <w:sz w:val="18"/>
          <w:szCs w:val="18"/>
        </w:rPr>
        <w:fldChar w:fldCharType="begin"/>
      </w:r>
      <w:r w:rsidR="006141DF">
        <w:rPr>
          <w:rFonts w:ascii="Candara" w:hAnsi="Candara"/>
          <w:sz w:val="18"/>
          <w:szCs w:val="18"/>
        </w:rPr>
        <w:instrText xml:space="preserve"> ADDIN EN.CITE &lt;EndNote&gt;&lt;Cite&gt;&lt;Author&gt;Ejaz&lt;/Author&gt;&lt;Year&gt;2018&lt;/Year&gt;&lt;RecNum&gt;64&lt;/RecNum&gt;&lt;DisplayText&gt;[17]&lt;/DisplayText&gt;&lt;record&gt;&lt;rec-number&gt;64&lt;/rec-number&gt;&lt;foreign-keys&gt;&lt;key app="EN" db-id="tepstesptaexxnexzthxafzl5f99arwpaset" timestamp="1669820228"&gt;64&lt;/key&gt;&lt;/foreign-keys&gt;&lt;ref-type name="Journal Article"&gt;17&lt;/ref-type&gt;&lt;contributors&gt;&lt;authors&gt;&lt;author&gt;Ejaz, Amina&lt;/author&gt;&lt;/authors&gt;&lt;/contributors&gt;&lt;titles&gt;&lt;title&gt;Muhammad Sohaib Afzaal&lt;/title&gt;&lt;/titles&gt;&lt;dates&gt;&lt;year&gt;2018&lt;/year&gt;&lt;/dates&gt;&lt;urls&gt;&lt;/urls&gt;&lt;/record&gt;&lt;/Cite&gt;&lt;/EndNote&gt;</w:instrText>
      </w:r>
      <w:r w:rsidRPr="00762E50">
        <w:rPr>
          <w:rFonts w:ascii="Candara" w:hAnsi="Candara"/>
          <w:sz w:val="18"/>
          <w:szCs w:val="18"/>
        </w:rPr>
        <w:fldChar w:fldCharType="separate"/>
      </w:r>
      <w:r w:rsidR="006141DF">
        <w:rPr>
          <w:rFonts w:ascii="Candara" w:hAnsi="Candara"/>
          <w:noProof/>
          <w:sz w:val="18"/>
          <w:szCs w:val="18"/>
        </w:rPr>
        <w:t>[17]</w:t>
      </w:r>
      <w:r w:rsidRPr="00762E50">
        <w:rPr>
          <w:rFonts w:ascii="Candara" w:hAnsi="Candara"/>
          <w:sz w:val="18"/>
          <w:szCs w:val="18"/>
        </w:rPr>
        <w:fldChar w:fldCharType="end"/>
      </w:r>
      <w:r w:rsidRPr="00762E50">
        <w:rPr>
          <w:rFonts w:ascii="Candara" w:hAnsi="Candara"/>
          <w:sz w:val="18"/>
          <w:szCs w:val="18"/>
        </w:rPr>
        <w:t>.</w:t>
      </w:r>
    </w:p>
    <w:p w:rsidR="007B21A4" w:rsidRDefault="007B21A4" w:rsidP="007B21A4">
      <w:pPr>
        <w:pStyle w:val="MDPI31text"/>
        <w:keepNext/>
        <w:spacing w:before="240" w:line="480" w:lineRule="auto"/>
        <w:ind w:left="0" w:firstLine="0"/>
        <w:jc w:val="center"/>
      </w:pPr>
      <w:r>
        <w:rPr>
          <w:noProof/>
        </w:rPr>
        <w:drawing>
          <wp:inline distT="0" distB="0" distL="0" distR="0" wp14:anchorId="3407A270" wp14:editId="23EF8106">
            <wp:extent cx="2613859" cy="33299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8636" cy="3425202"/>
                    </a:xfrm>
                    <a:prstGeom prst="rect">
                      <a:avLst/>
                    </a:prstGeom>
                    <a:noFill/>
                    <a:ln>
                      <a:noFill/>
                    </a:ln>
                  </pic:spPr>
                </pic:pic>
              </a:graphicData>
            </a:graphic>
          </wp:inline>
        </w:drawing>
      </w:r>
    </w:p>
    <w:p w:rsidR="007B21A4" w:rsidRPr="00762E50" w:rsidRDefault="007B21A4" w:rsidP="007B21A4">
      <w:pPr>
        <w:pStyle w:val="Caption"/>
        <w:rPr>
          <w:rFonts w:ascii="Candara" w:eastAsiaTheme="minorEastAsia" w:hAnsi="Candara" w:cstheme="minorBidi"/>
          <w:b/>
          <w:bCs w:val="0"/>
          <w:sz w:val="15"/>
          <w:szCs w:val="15"/>
          <w:lang w:val="id-ID"/>
        </w:rPr>
      </w:pPr>
      <w:r w:rsidRPr="00762E50">
        <w:rPr>
          <w:rFonts w:ascii="Candara" w:eastAsiaTheme="minorEastAsia" w:hAnsi="Candara" w:cstheme="minorBidi"/>
          <w:b/>
          <w:bCs w:val="0"/>
          <w:sz w:val="15"/>
          <w:szCs w:val="15"/>
          <w:lang w:val="id-ID"/>
        </w:rPr>
        <w:t xml:space="preserve">Figure </w:t>
      </w:r>
      <w:r w:rsidRPr="00762E50">
        <w:rPr>
          <w:rFonts w:ascii="Candara" w:eastAsiaTheme="minorEastAsia" w:hAnsi="Candara" w:cstheme="minorBidi"/>
          <w:b/>
          <w:bCs w:val="0"/>
          <w:sz w:val="15"/>
          <w:szCs w:val="15"/>
          <w:lang w:val="id-ID"/>
        </w:rPr>
        <w:fldChar w:fldCharType="begin"/>
      </w:r>
      <w:r w:rsidRPr="00762E50">
        <w:rPr>
          <w:rFonts w:ascii="Candara" w:eastAsiaTheme="minorEastAsia" w:hAnsi="Candara" w:cstheme="minorBidi"/>
          <w:b/>
          <w:bCs w:val="0"/>
          <w:sz w:val="15"/>
          <w:szCs w:val="15"/>
          <w:lang w:val="id-ID"/>
        </w:rPr>
        <w:instrText xml:space="preserve"> SEQ Figure \* ARABIC </w:instrText>
      </w:r>
      <w:r w:rsidRPr="00762E50">
        <w:rPr>
          <w:rFonts w:ascii="Candara" w:eastAsiaTheme="minorEastAsia" w:hAnsi="Candara" w:cstheme="minorBidi"/>
          <w:b/>
          <w:bCs w:val="0"/>
          <w:sz w:val="15"/>
          <w:szCs w:val="15"/>
          <w:lang w:val="id-ID"/>
        </w:rPr>
        <w:fldChar w:fldCharType="separate"/>
      </w:r>
      <w:r w:rsidRPr="00762E50">
        <w:rPr>
          <w:rFonts w:ascii="Candara" w:eastAsiaTheme="minorEastAsia" w:hAnsi="Candara" w:cstheme="minorBidi"/>
          <w:b/>
          <w:bCs w:val="0"/>
          <w:sz w:val="15"/>
          <w:szCs w:val="15"/>
          <w:lang w:val="id-ID"/>
        </w:rPr>
        <w:t>9</w:t>
      </w:r>
      <w:r w:rsidRPr="00762E50">
        <w:rPr>
          <w:rFonts w:ascii="Candara" w:eastAsiaTheme="minorEastAsia" w:hAnsi="Candara" w:cstheme="minorBidi"/>
          <w:b/>
          <w:bCs w:val="0"/>
          <w:sz w:val="15"/>
          <w:szCs w:val="15"/>
          <w:lang w:val="id-ID"/>
        </w:rPr>
        <w:fldChar w:fldCharType="end"/>
      </w:r>
      <w:r w:rsidRPr="00762E50">
        <w:rPr>
          <w:rFonts w:ascii="Candara" w:eastAsiaTheme="minorEastAsia" w:hAnsi="Candara" w:cstheme="minorBidi"/>
          <w:b/>
          <w:bCs w:val="0"/>
          <w:sz w:val="15"/>
          <w:szCs w:val="15"/>
          <w:lang w:val="id-ID"/>
        </w:rPr>
        <w:t xml:space="preserve"> (a, b) Image showing decorated ceiling &amp; Arch and geometry of ornamentation at interior arcade of prayer hall and principles of Mughal architecture in the exterior &amp; interior elevation. Source: captured by author</w:t>
      </w:r>
    </w:p>
    <w:p w:rsidR="007B21A4" w:rsidRPr="00A343A5" w:rsidRDefault="007B21A4" w:rsidP="000C5DCB">
      <w:pPr>
        <w:spacing w:before="240" w:after="0" w:line="240" w:lineRule="auto"/>
        <w:jc w:val="both"/>
        <w:rPr>
          <w:rFonts w:ascii="Century Gothic" w:hAnsi="Century Gothic"/>
          <w:b/>
          <w:sz w:val="15"/>
          <w:szCs w:val="15"/>
        </w:rPr>
      </w:pPr>
      <w:r w:rsidRPr="00A343A5">
        <w:rPr>
          <w:rFonts w:ascii="Century Gothic" w:hAnsi="Century Gothic"/>
          <w:b/>
          <w:sz w:val="15"/>
          <w:szCs w:val="15"/>
        </w:rPr>
        <w:t>3.4.7. General Principles and Geometry</w:t>
      </w:r>
    </w:p>
    <w:p w:rsidR="007B21A4" w:rsidRPr="007B21A4" w:rsidRDefault="007B21A4" w:rsidP="007B21A4">
      <w:pPr>
        <w:spacing w:before="240" w:after="0" w:line="240" w:lineRule="auto"/>
        <w:ind w:firstLine="720"/>
        <w:jc w:val="both"/>
        <w:rPr>
          <w:rFonts w:ascii="Candara" w:hAnsi="Candara"/>
          <w:sz w:val="18"/>
          <w:szCs w:val="18"/>
        </w:rPr>
      </w:pPr>
      <w:r w:rsidRPr="007B21A4">
        <w:rPr>
          <w:rFonts w:ascii="Candara" w:hAnsi="Candara"/>
          <w:sz w:val="18"/>
          <w:szCs w:val="18"/>
        </w:rPr>
        <w:t xml:space="preserve">Patterning in both space and time is widespread. The capacity of the same designs to be reversed and changed frequently from one media to another inside the same structure. It may be further explained that each motif of design used in the architecture of Badshahi mosque preserves its individuality within a comprehensive composition as a component of a general surface pattern that can be achieved by superimposing and counterposing that motif in a variety of various materials and patterns. Therefore, no pattern or design has been assigned more importance than another. Every element of its structure and interior is designed by a symmetrical way which describes the basic concept of Islam regarding equality of humans. The symmetrical recurrence of each pattern gives the design a limitless feel, with its recurring decorating elements, the shape and structural components as well as the volumes may be increased. In the Figure 10 (a, b, c) it is clarified that repetition of shapes and geometry occurred in the architecture of Badshahi mosque. This repetition has been managed so technically by Mughal artists that it </w:t>
      </w:r>
      <w:r w:rsidRPr="007B21A4">
        <w:rPr>
          <w:rFonts w:ascii="Candara" w:hAnsi="Candara"/>
          <w:sz w:val="18"/>
          <w:szCs w:val="18"/>
        </w:rPr>
        <w:t xml:space="preserve">catches the eyes of every visitor. Perfect proportion in this repetition has also played a very important role </w:t>
      </w:r>
      <w:r w:rsidRPr="007B21A4">
        <w:rPr>
          <w:rFonts w:ascii="Candara" w:hAnsi="Candara"/>
          <w:sz w:val="18"/>
          <w:szCs w:val="18"/>
        </w:rPr>
        <w:fldChar w:fldCharType="begin"/>
      </w:r>
      <w:r w:rsidR="006141DF">
        <w:rPr>
          <w:rFonts w:ascii="Candara" w:hAnsi="Candara"/>
          <w:sz w:val="18"/>
          <w:szCs w:val="18"/>
        </w:rPr>
        <w:instrText xml:space="preserve"> ADDIN EN.CITE &lt;EndNote&gt;&lt;Cite&gt;&lt;Author&gt;Nawawi&lt;/Author&gt;&lt;Year&gt;2016&lt;/Year&gt;&lt;RecNum&gt;59&lt;/RecNum&gt;&lt;DisplayText&gt;[18]&lt;/DisplayText&gt;&lt;record&gt;&lt;rec-number&gt;59&lt;/rec-number&gt;&lt;foreign-keys&gt;&lt;key app="EN" db-id="tepstesptaexxnexzthxafzl5f99arwpaset" timestamp="1669819608"&gt;59&lt;/key&gt;&lt;/foreign-keys&gt;&lt;ref-type name="Journal Article"&gt;17&lt;/ref-type&gt;&lt;contributors&gt;&lt;authors&gt;&lt;author&gt;Nawawi, Norwina Mohd&lt;/author&gt;&lt;author&gt;Jahn Kassim, Puteri Shireen&lt;/author&gt;&lt;author&gt;Hamat, Sufian&lt;/author&gt;&lt;/authors&gt;&lt;/contributors&gt;&lt;titles&gt;&lt;title&gt;A historiography of the mosque: reconciling a renaissance of spirituality in the material forms of Islamic architecture&lt;/title&gt;&lt;secondary-title&gt;Advanced Science Letters&lt;/secondary-title&gt;&lt;/titles&gt;&lt;periodical&gt;&lt;full-title&gt;Advanced Science Letters&lt;/full-title&gt;&lt;/periodical&gt;&lt;pages&gt;2164-2169&lt;/pages&gt;&lt;volume&gt;22&lt;/volume&gt;&lt;number&gt;9&lt;/number&gt;&lt;dates&gt;&lt;year&gt;2016&lt;/year&gt;&lt;/dates&gt;&lt;isbn&gt;1936-6612&lt;/isbn&gt;&lt;urls&gt;&lt;/urls&gt;&lt;/record&gt;&lt;/Cite&gt;&lt;/EndNote&gt;</w:instrText>
      </w:r>
      <w:r w:rsidRPr="007B21A4">
        <w:rPr>
          <w:rFonts w:ascii="Candara" w:hAnsi="Candara"/>
          <w:sz w:val="18"/>
          <w:szCs w:val="18"/>
        </w:rPr>
        <w:fldChar w:fldCharType="separate"/>
      </w:r>
      <w:r w:rsidR="006141DF">
        <w:rPr>
          <w:rFonts w:ascii="Candara" w:hAnsi="Candara"/>
          <w:noProof/>
          <w:sz w:val="18"/>
          <w:szCs w:val="18"/>
        </w:rPr>
        <w:t>[18]</w:t>
      </w:r>
      <w:r w:rsidRPr="007B21A4">
        <w:rPr>
          <w:rFonts w:ascii="Candara" w:hAnsi="Candara"/>
          <w:sz w:val="18"/>
          <w:szCs w:val="18"/>
        </w:rPr>
        <w:fldChar w:fldCharType="end"/>
      </w:r>
      <w:r w:rsidRPr="007B21A4">
        <w:rPr>
          <w:rFonts w:ascii="Candara" w:hAnsi="Candara"/>
          <w:sz w:val="18"/>
          <w:szCs w:val="18"/>
        </w:rPr>
        <w:t>.</w:t>
      </w:r>
    </w:p>
    <w:p w:rsidR="007B21A4" w:rsidRPr="00762E50" w:rsidRDefault="007B21A4" w:rsidP="007B21A4">
      <w:pPr>
        <w:spacing w:before="240" w:after="0" w:line="240" w:lineRule="auto"/>
        <w:ind w:firstLine="720"/>
        <w:jc w:val="both"/>
        <w:rPr>
          <w:rFonts w:ascii="Candara" w:hAnsi="Candara"/>
          <w:sz w:val="18"/>
          <w:szCs w:val="18"/>
        </w:rPr>
      </w:pPr>
      <w:r w:rsidRPr="007B21A4">
        <w:rPr>
          <w:rFonts w:ascii="Candara" w:hAnsi="Candara"/>
          <w:sz w:val="18"/>
          <w:szCs w:val="18"/>
        </w:rPr>
        <w:t>Islamic art has refined geometric patterns to previously unheard-of levels of complexity and intricacy. These geometric patterns serve as an example of Islam’s emphasis on symmetry,</w:t>
      </w:r>
      <w:r w:rsidRPr="007B21A4">
        <w:rPr>
          <w:rFonts w:ascii="Candara" w:hAnsi="Candara"/>
          <w:snapToGrid w:val="0"/>
          <w:sz w:val="18"/>
          <w:szCs w:val="18"/>
        </w:rPr>
        <w:t xml:space="preserve"> </w:t>
      </w:r>
      <w:r w:rsidRPr="00762E50">
        <w:rPr>
          <w:rFonts w:ascii="Candara" w:hAnsi="Candara"/>
          <w:sz w:val="18"/>
          <w:szCs w:val="18"/>
        </w:rPr>
        <w:t xml:space="preserve">repetition, and the ongoing development of patterns. Islamic designers are known for their exquisite use of geometry and optical effects in their works of art. In Badshahi mosque these rules have been utilized by the artist of that time. When negative and positive sections are balanced, there are flowing overlaps, underpass strapwork and expert use of color and tone values. Islamic architecture utilizes geometric patterns to create a sense of connectedness between various architectural components </w:t>
      </w:r>
      <w:r w:rsidRPr="00762E50">
        <w:rPr>
          <w:rFonts w:ascii="Candara" w:hAnsi="Candara"/>
          <w:sz w:val="18"/>
          <w:szCs w:val="18"/>
        </w:rPr>
        <w:fldChar w:fldCharType="begin"/>
      </w:r>
      <w:r w:rsidR="006141DF">
        <w:rPr>
          <w:rFonts w:ascii="Candara" w:hAnsi="Candara"/>
          <w:sz w:val="18"/>
          <w:szCs w:val="18"/>
        </w:rPr>
        <w:instrText xml:space="preserve"> ADDIN EN.CITE &lt;EndNote&gt;&lt;Cite&gt;&lt;Author&gt;Ahmed&lt;/Author&gt;&lt;Year&gt;2014&lt;/Year&gt;&lt;RecNum&gt;8&lt;/RecNum&gt;&lt;DisplayText&gt;[19]&lt;/DisplayText&gt;&lt;record&gt;&lt;rec-number&gt;8&lt;/rec-number&gt;&lt;foreign-keys&gt;&lt;key app="EN" db-id="2verxes0odwrwteserr55ee2w2vfedtxfxx0" timestamp="1673712198"&gt;8&lt;/key&gt;&lt;/foreign-keys&gt;&lt;ref-type name="Journal Article"&gt;17&lt;/ref-type&gt;&lt;contributors&gt;&lt;authors&gt;&lt;author&gt;Ahmed, Ar Sayed&lt;/author&gt;&lt;/authors&gt;&lt;/contributors&gt;&lt;titles&gt;&lt;title&gt;The spiritual search of art over Islamic architecture with non-figurative representations&lt;/title&gt;&lt;secondary-title&gt;Journal of Islamic Architecture&lt;/secondary-title&gt;&lt;/titles&gt;&lt;periodical&gt;&lt;full-title&gt;Journal of Islamic Architecture&lt;/full-title&gt;&lt;/periodical&gt;&lt;pages&gt;1-13&lt;/pages&gt;&lt;volume&gt;3&lt;/volume&gt;&lt;number&gt;1&lt;/number&gt;&lt;dates&gt;&lt;year&gt;2014&lt;/year&gt;&lt;/dates&gt;&lt;isbn&gt;2356-4644&lt;/isbn&gt;&lt;urls&gt;&lt;/urls&gt;&lt;/record&gt;&lt;/Cite&gt;&lt;/EndNote&gt;</w:instrText>
      </w:r>
      <w:r w:rsidRPr="00762E50">
        <w:rPr>
          <w:rFonts w:ascii="Candara" w:hAnsi="Candara"/>
          <w:sz w:val="18"/>
          <w:szCs w:val="18"/>
        </w:rPr>
        <w:fldChar w:fldCharType="separate"/>
      </w:r>
      <w:r w:rsidR="006141DF">
        <w:rPr>
          <w:rFonts w:ascii="Candara" w:hAnsi="Candara"/>
          <w:noProof/>
          <w:sz w:val="18"/>
          <w:szCs w:val="18"/>
        </w:rPr>
        <w:t>[19]</w:t>
      </w:r>
      <w:r w:rsidRPr="00762E50">
        <w:rPr>
          <w:rFonts w:ascii="Candara" w:hAnsi="Candara"/>
          <w:sz w:val="18"/>
          <w:szCs w:val="18"/>
        </w:rPr>
        <w:fldChar w:fldCharType="end"/>
      </w:r>
      <w:r w:rsidRPr="00762E50">
        <w:rPr>
          <w:rFonts w:ascii="Candara" w:hAnsi="Candara"/>
          <w:sz w:val="18"/>
          <w:szCs w:val="18"/>
        </w:rPr>
        <w:t>.</w:t>
      </w:r>
    </w:p>
    <w:p w:rsidR="007B21A4" w:rsidRPr="000C5DCB" w:rsidRDefault="007B21A4" w:rsidP="000C5DCB">
      <w:pPr>
        <w:spacing w:before="240" w:after="0" w:line="240" w:lineRule="auto"/>
        <w:ind w:firstLine="720"/>
        <w:jc w:val="both"/>
        <w:rPr>
          <w:rFonts w:ascii="Candara" w:hAnsi="Candara"/>
          <w:sz w:val="18"/>
          <w:szCs w:val="18"/>
        </w:rPr>
      </w:pPr>
      <w:r w:rsidRPr="00762E50">
        <w:rPr>
          <w:rFonts w:ascii="Candara" w:hAnsi="Candara"/>
          <w:sz w:val="18"/>
          <w:szCs w:val="18"/>
        </w:rPr>
        <w:t>During the Mughal Period they played well with the geometry of Islamic architecture. They kept the proportions of each and every element with a specific ratio. Mostly the structures of Mughals including Badshahi mosque, follows golden ratio. The articulation of Badshahi mosque has been arranged in such a geometric way that it looks balanced and attractive through the eyes of every normal viewer Figure 10 (d, e). If we see the geometry in the articulation of Dome interior in (Figure 10 f), It is clarified that a very complex geometrical form is designed and then focusing towards one point. This reflects the Rhythm of Islamic architecture which focuses on unity and centralism.</w:t>
      </w:r>
    </w:p>
    <w:p w:rsidR="007B21A4" w:rsidRDefault="007B21A4" w:rsidP="000C5DCB">
      <w:pPr>
        <w:pStyle w:val="MDPI31text"/>
        <w:spacing w:before="240" w:line="480" w:lineRule="auto"/>
        <w:ind w:left="180" w:firstLine="330"/>
        <w:rPr>
          <w:rFonts w:ascii="Candara" w:eastAsiaTheme="minorEastAsia" w:hAnsi="Candara" w:cstheme="minorBidi"/>
          <w:snapToGrid/>
          <w:color w:val="auto"/>
          <w:sz w:val="18"/>
          <w:szCs w:val="18"/>
          <w:lang w:eastAsia="en-US" w:bidi="ar-SA"/>
        </w:rPr>
      </w:pPr>
      <w:r w:rsidRPr="007B21A4">
        <w:rPr>
          <w:rFonts w:ascii="Candara" w:eastAsiaTheme="minorEastAsia" w:hAnsi="Candara" w:cstheme="minorBidi"/>
          <w:snapToGrid/>
          <w:color w:val="auto"/>
          <w:sz w:val="18"/>
          <w:szCs w:val="18"/>
          <w:lang w:eastAsia="en-US" w:bidi="ar-SA"/>
        </w:rPr>
        <w:t xml:space="preserve">Geometric patterns create considerably greater interrelationships than any other sort of design when it comes to connecting outside and interior areas, the individual components and the entire building surface, as well as their furnishings. It can be observed very easily through the eye of a normal visitor that the facade of Badshahi mosque’s building reflects its interior geometry </w:t>
      </w:r>
      <w:r w:rsidRPr="007B21A4">
        <w:rPr>
          <w:rFonts w:ascii="Candara" w:eastAsiaTheme="minorEastAsia" w:hAnsi="Candara" w:cstheme="minorBidi"/>
          <w:snapToGrid/>
          <w:color w:val="auto"/>
          <w:sz w:val="18"/>
          <w:szCs w:val="18"/>
          <w:lang w:eastAsia="en-US" w:bidi="ar-SA"/>
        </w:rPr>
        <w:fldChar w:fldCharType="begin"/>
      </w:r>
      <w:r w:rsidR="006141DF">
        <w:rPr>
          <w:rFonts w:ascii="Candara" w:eastAsiaTheme="minorEastAsia" w:hAnsi="Candara" w:cstheme="minorBidi"/>
          <w:snapToGrid/>
          <w:color w:val="auto"/>
          <w:sz w:val="18"/>
          <w:szCs w:val="18"/>
          <w:lang w:eastAsia="en-US" w:bidi="ar-SA"/>
        </w:rPr>
        <w:instrText xml:space="preserve"> ADDIN EN.CITE &lt;EndNote&gt;&lt;Cite&gt;&lt;Author&gt;Bilal&lt;/Author&gt;&lt;RecNum&gt;65&lt;/RecNum&gt;&lt;DisplayText&gt;[20]&lt;/DisplayText&gt;&lt;record&gt;&lt;rec-number&gt;65&lt;/rec-number&gt;&lt;foreign-keys&gt;&lt;key app="EN" db-id="tepstesptaexxnexzthxafzl5f99arwpaset" timestamp="1669820295"&gt;65&lt;/key&gt;&lt;/foreign-keys&gt;&lt;ref-type name="Journal Article"&gt;17&lt;/ref-type&gt;&lt;contributors&gt;&lt;authors&gt;&lt;author&gt;Bilal, M Ahsan&lt;/author&gt;&lt;author&gt;Parvez, Amjad&lt;/author&gt;&lt;/authors&gt;&lt;/contributors&gt;&lt;titles&gt;&lt;title&gt;Kashi-kari at the Mosque Wazir Khan Lahore&lt;/title&gt;&lt;/titles&gt;&lt;dates&gt;&lt;/dates&gt;&lt;urls&gt;&lt;/urls&gt;&lt;/record&gt;&lt;/Cite&gt;&lt;/EndNote&gt;</w:instrText>
      </w:r>
      <w:r w:rsidRPr="007B21A4">
        <w:rPr>
          <w:rFonts w:ascii="Candara" w:eastAsiaTheme="minorEastAsia" w:hAnsi="Candara" w:cstheme="minorBidi"/>
          <w:snapToGrid/>
          <w:color w:val="auto"/>
          <w:sz w:val="18"/>
          <w:szCs w:val="18"/>
          <w:lang w:eastAsia="en-US" w:bidi="ar-SA"/>
        </w:rPr>
        <w:fldChar w:fldCharType="separate"/>
      </w:r>
      <w:r w:rsidR="006141DF">
        <w:rPr>
          <w:rFonts w:ascii="Candara" w:eastAsiaTheme="minorEastAsia" w:hAnsi="Candara" w:cstheme="minorBidi"/>
          <w:noProof/>
          <w:snapToGrid/>
          <w:color w:val="auto"/>
          <w:sz w:val="18"/>
          <w:szCs w:val="18"/>
          <w:lang w:eastAsia="en-US" w:bidi="ar-SA"/>
        </w:rPr>
        <w:t>[20]</w:t>
      </w:r>
      <w:r w:rsidRPr="007B21A4">
        <w:rPr>
          <w:rFonts w:ascii="Candara" w:eastAsiaTheme="minorEastAsia" w:hAnsi="Candara" w:cstheme="minorBidi"/>
          <w:snapToGrid/>
          <w:color w:val="auto"/>
          <w:sz w:val="18"/>
          <w:szCs w:val="18"/>
          <w:lang w:eastAsia="en-US" w:bidi="ar-SA"/>
        </w:rPr>
        <w:fldChar w:fldCharType="end"/>
      </w:r>
      <w:r w:rsidRPr="007B21A4">
        <w:rPr>
          <w:rFonts w:ascii="Candara" w:eastAsiaTheme="minorEastAsia" w:hAnsi="Candara" w:cstheme="minorBidi"/>
          <w:snapToGrid/>
          <w:color w:val="auto"/>
          <w:sz w:val="18"/>
          <w:szCs w:val="18"/>
          <w:lang w:eastAsia="en-US" w:bidi="ar-SA"/>
        </w:rPr>
        <w:t>.</w:t>
      </w: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00000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r>
        <w:rPr>
          <w:rFonts w:ascii="Candara" w:eastAsiaTheme="minorEastAsia" w:hAnsi="Candara" w:cstheme="minorBidi"/>
          <w:noProof/>
          <w:snapToGrid/>
          <w:color w:val="auto"/>
          <w:sz w:val="18"/>
          <w:szCs w:val="18"/>
          <w:lang w:eastAsia="en-US" w:bidi="ar-SA"/>
        </w:rPr>
        <w:lastRenderedPageBreak/>
        <w:pict>
          <v:rect id="_x0000_s2058" style="position:absolute;left:0;text-align:left;margin-left:1.2pt;margin-top:.9pt;width:451.5pt;height:268.55pt;z-index:251657983;mso-wrap-style:square;mso-wrap-distance-left:9pt;mso-wrap-distance-top:3.6pt;mso-wrap-distance-right:9pt;mso-wrap-distance-bottom:3.6pt;mso-position-horizontal-relative:text;mso-position-vertical-relative:text;mso-width-relative:margin;mso-height-relative:margin;mso-position-horizontal-col-start:0;mso-width-col-span:0;v-text-anchor:top">
            <v:textbox style="mso-next-textbox:#_x0000_s2058">
              <w:txbxContent>
                <w:p w:rsidR="00543108" w:rsidRDefault="00543108">
                  <w:r>
                    <w:rPr>
                      <w:noProof/>
                    </w:rPr>
                    <w:drawing>
                      <wp:inline distT="0" distB="0" distL="0" distR="0" wp14:anchorId="2F281EC0" wp14:editId="313073C2">
                        <wp:extent cx="5318760" cy="319430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96544" cy="3241023"/>
                                </a:xfrm>
                                <a:prstGeom prst="rect">
                                  <a:avLst/>
                                </a:prstGeom>
                                <a:noFill/>
                                <a:ln>
                                  <a:noFill/>
                                </a:ln>
                              </pic:spPr>
                            </pic:pic>
                          </a:graphicData>
                        </a:graphic>
                      </wp:inline>
                    </w:drawing>
                  </w:r>
                </w:p>
              </w:txbxContent>
            </v:textbox>
          </v:rect>
        </w:pict>
      </w: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0" w:firstLine="0"/>
        <w:rPr>
          <w:rFonts w:ascii="Candara" w:eastAsiaTheme="minorEastAsia" w:hAnsi="Candara" w:cstheme="minorBidi"/>
          <w:snapToGrid/>
          <w:color w:val="auto"/>
          <w:sz w:val="18"/>
          <w:szCs w:val="18"/>
          <w:lang w:eastAsia="en-US" w:bidi="ar-SA"/>
        </w:rPr>
      </w:pPr>
    </w:p>
    <w:p w:rsidR="00543108" w:rsidRDefault="00543108" w:rsidP="00EA3340">
      <w:pPr>
        <w:pStyle w:val="Caption"/>
        <w:rPr>
          <w:rFonts w:ascii="Candara" w:eastAsiaTheme="minorEastAsia" w:hAnsi="Candara" w:cstheme="minorBidi"/>
          <w:b/>
          <w:bCs w:val="0"/>
          <w:sz w:val="15"/>
          <w:szCs w:val="15"/>
          <w:lang w:val="id-ID"/>
        </w:rPr>
      </w:pPr>
    </w:p>
    <w:p w:rsidR="00543108" w:rsidRDefault="00543108" w:rsidP="00EA3340">
      <w:pPr>
        <w:pStyle w:val="Caption"/>
        <w:rPr>
          <w:rFonts w:ascii="Candara" w:eastAsiaTheme="minorEastAsia" w:hAnsi="Candara" w:cstheme="minorBidi"/>
          <w:b/>
          <w:bCs w:val="0"/>
          <w:sz w:val="15"/>
          <w:szCs w:val="15"/>
          <w:lang w:val="id-ID"/>
        </w:rPr>
      </w:pPr>
    </w:p>
    <w:p w:rsidR="00543108" w:rsidRDefault="00543108" w:rsidP="00EA3340">
      <w:pPr>
        <w:pStyle w:val="Caption"/>
        <w:rPr>
          <w:rFonts w:ascii="Candara" w:eastAsiaTheme="minorEastAsia" w:hAnsi="Candara" w:cstheme="minorBidi"/>
          <w:b/>
          <w:bCs w:val="0"/>
          <w:sz w:val="15"/>
          <w:szCs w:val="15"/>
          <w:lang w:val="id-ID"/>
        </w:rPr>
      </w:pPr>
    </w:p>
    <w:p w:rsidR="00543108" w:rsidRDefault="00543108" w:rsidP="00EA3340">
      <w:pPr>
        <w:pStyle w:val="Caption"/>
        <w:rPr>
          <w:rFonts w:ascii="Candara" w:eastAsiaTheme="minorEastAsia" w:hAnsi="Candara" w:cstheme="minorBidi"/>
          <w:b/>
          <w:bCs w:val="0"/>
          <w:sz w:val="15"/>
          <w:szCs w:val="15"/>
          <w:lang w:val="id-ID"/>
        </w:rPr>
      </w:pPr>
    </w:p>
    <w:p w:rsidR="00543108" w:rsidRDefault="00543108" w:rsidP="00EA3340">
      <w:pPr>
        <w:pStyle w:val="Caption"/>
        <w:rPr>
          <w:rFonts w:ascii="Candara" w:eastAsiaTheme="minorEastAsia" w:hAnsi="Candara" w:cstheme="minorBidi"/>
          <w:b/>
          <w:bCs w:val="0"/>
          <w:sz w:val="15"/>
          <w:szCs w:val="15"/>
          <w:lang w:val="id-ID"/>
        </w:rPr>
      </w:pPr>
    </w:p>
    <w:p w:rsidR="00543108" w:rsidRDefault="00543108" w:rsidP="00EA3340">
      <w:pPr>
        <w:pStyle w:val="Caption"/>
        <w:rPr>
          <w:rFonts w:ascii="Candara" w:eastAsiaTheme="minorEastAsia" w:hAnsi="Candara" w:cstheme="minorBidi"/>
          <w:b/>
          <w:bCs w:val="0"/>
          <w:sz w:val="15"/>
          <w:szCs w:val="15"/>
          <w:lang w:val="id-ID"/>
        </w:rPr>
      </w:pPr>
    </w:p>
    <w:p w:rsidR="00543108" w:rsidRDefault="00543108" w:rsidP="00EA3340">
      <w:pPr>
        <w:pStyle w:val="Caption"/>
        <w:rPr>
          <w:rFonts w:ascii="Candara" w:eastAsiaTheme="minorEastAsia" w:hAnsi="Candara" w:cstheme="minorBidi"/>
          <w:b/>
          <w:bCs w:val="0"/>
          <w:sz w:val="15"/>
          <w:szCs w:val="15"/>
          <w:lang w:val="id-ID"/>
        </w:rPr>
      </w:pPr>
    </w:p>
    <w:p w:rsidR="00543108" w:rsidRDefault="00543108" w:rsidP="00EA3340">
      <w:pPr>
        <w:pStyle w:val="Caption"/>
        <w:rPr>
          <w:rFonts w:ascii="Candara" w:eastAsiaTheme="minorEastAsia" w:hAnsi="Candara" w:cstheme="minorBidi"/>
          <w:b/>
          <w:bCs w:val="0"/>
          <w:sz w:val="15"/>
          <w:szCs w:val="15"/>
          <w:lang w:val="id-ID"/>
        </w:rPr>
      </w:pPr>
    </w:p>
    <w:p w:rsidR="00543108" w:rsidRDefault="00543108" w:rsidP="00EA3340">
      <w:pPr>
        <w:pStyle w:val="Caption"/>
        <w:rPr>
          <w:rFonts w:ascii="Candara" w:eastAsiaTheme="minorEastAsia" w:hAnsi="Candara" w:cstheme="minorBidi"/>
          <w:b/>
          <w:bCs w:val="0"/>
          <w:sz w:val="15"/>
          <w:szCs w:val="15"/>
          <w:lang w:val="id-ID"/>
        </w:rPr>
      </w:pPr>
    </w:p>
    <w:p w:rsidR="00543108" w:rsidRDefault="00543108" w:rsidP="00EA3340">
      <w:pPr>
        <w:pStyle w:val="Caption"/>
        <w:rPr>
          <w:rFonts w:ascii="Candara" w:eastAsiaTheme="minorEastAsia" w:hAnsi="Candara" w:cstheme="minorBidi"/>
          <w:b/>
          <w:bCs w:val="0"/>
          <w:sz w:val="15"/>
          <w:szCs w:val="15"/>
        </w:rPr>
      </w:pPr>
    </w:p>
    <w:p w:rsidR="00543108" w:rsidRDefault="00543108" w:rsidP="00EA3340">
      <w:pPr>
        <w:pStyle w:val="Caption"/>
        <w:rPr>
          <w:rFonts w:ascii="Candara" w:eastAsiaTheme="minorEastAsia" w:hAnsi="Candara" w:cstheme="minorBidi"/>
          <w:b/>
          <w:bCs w:val="0"/>
          <w:sz w:val="15"/>
          <w:szCs w:val="15"/>
        </w:rPr>
      </w:pPr>
    </w:p>
    <w:p w:rsidR="00762E50" w:rsidRPr="00EA3340" w:rsidRDefault="00EA3340" w:rsidP="00EA3340">
      <w:pPr>
        <w:pStyle w:val="Caption"/>
        <w:rPr>
          <w:rFonts w:ascii="Candara" w:eastAsiaTheme="minorEastAsia" w:hAnsi="Candara" w:cstheme="minorBidi"/>
          <w:b/>
          <w:bCs w:val="0"/>
          <w:sz w:val="15"/>
          <w:szCs w:val="15"/>
          <w:lang w:val="id-ID"/>
        </w:rPr>
      </w:pPr>
      <w:r w:rsidRPr="00EA3340">
        <w:rPr>
          <w:rFonts w:ascii="Candara" w:eastAsiaTheme="minorEastAsia" w:hAnsi="Candara" w:cstheme="minorBidi"/>
          <w:b/>
          <w:bCs w:val="0"/>
          <w:sz w:val="15"/>
          <w:szCs w:val="15"/>
          <w:lang w:val="id-ID"/>
        </w:rPr>
        <w:t xml:space="preserve">Figure </w:t>
      </w:r>
      <w:r w:rsidRPr="00EA3340">
        <w:rPr>
          <w:rFonts w:ascii="Candara" w:eastAsiaTheme="minorEastAsia" w:hAnsi="Candara" w:cstheme="minorBidi"/>
          <w:b/>
          <w:bCs w:val="0"/>
          <w:sz w:val="15"/>
          <w:szCs w:val="15"/>
          <w:lang w:val="id-ID"/>
        </w:rPr>
        <w:fldChar w:fldCharType="begin"/>
      </w:r>
      <w:r w:rsidRPr="00EA3340">
        <w:rPr>
          <w:rFonts w:ascii="Candara" w:eastAsiaTheme="minorEastAsia" w:hAnsi="Candara" w:cstheme="minorBidi"/>
          <w:b/>
          <w:bCs w:val="0"/>
          <w:sz w:val="15"/>
          <w:szCs w:val="15"/>
          <w:lang w:val="id-ID"/>
        </w:rPr>
        <w:instrText xml:space="preserve"> SEQ Figure \* ARABIC </w:instrText>
      </w:r>
      <w:r w:rsidRPr="00EA3340">
        <w:rPr>
          <w:rFonts w:ascii="Candara" w:eastAsiaTheme="minorEastAsia" w:hAnsi="Candara" w:cstheme="minorBidi"/>
          <w:b/>
          <w:bCs w:val="0"/>
          <w:sz w:val="15"/>
          <w:szCs w:val="15"/>
          <w:lang w:val="id-ID"/>
        </w:rPr>
        <w:fldChar w:fldCharType="separate"/>
      </w:r>
      <w:r w:rsidRPr="00EA3340">
        <w:rPr>
          <w:rFonts w:ascii="Candara" w:eastAsiaTheme="minorEastAsia" w:hAnsi="Candara" w:cstheme="minorBidi"/>
          <w:b/>
          <w:bCs w:val="0"/>
          <w:sz w:val="15"/>
          <w:szCs w:val="15"/>
          <w:lang w:val="id-ID"/>
        </w:rPr>
        <w:t>10</w:t>
      </w:r>
      <w:r w:rsidRPr="00EA3340">
        <w:rPr>
          <w:rFonts w:ascii="Candara" w:eastAsiaTheme="minorEastAsia" w:hAnsi="Candara" w:cstheme="minorBidi"/>
          <w:b/>
          <w:bCs w:val="0"/>
          <w:sz w:val="15"/>
          <w:szCs w:val="15"/>
          <w:lang w:val="id-ID"/>
        </w:rPr>
        <w:fldChar w:fldCharType="end"/>
      </w:r>
      <w:r w:rsidRPr="00EA3340">
        <w:rPr>
          <w:rFonts w:ascii="Candara" w:eastAsiaTheme="minorEastAsia" w:hAnsi="Candara" w:cstheme="minorBidi"/>
          <w:b/>
          <w:bCs w:val="0"/>
          <w:sz w:val="15"/>
          <w:szCs w:val="15"/>
          <w:lang w:val="id-ID"/>
        </w:rPr>
        <w:t xml:space="preserve"> (a, b, c) The repetition of decoration, (d, e) Balanced geometry of shapes, (f) Geometry of Dome's articulation at Badshahi Mosque. Source: captured by author.</w:t>
      </w:r>
    </w:p>
    <w:p w:rsidR="00762E50" w:rsidRPr="007B21A4" w:rsidRDefault="00762E50" w:rsidP="00EA3340">
      <w:pPr>
        <w:pStyle w:val="MDPI31text"/>
        <w:spacing w:line="480" w:lineRule="auto"/>
        <w:ind w:left="0" w:firstLine="0"/>
        <w:rPr>
          <w:rFonts w:ascii="Candara" w:eastAsiaTheme="minorEastAsia" w:hAnsi="Candara" w:cstheme="minorBidi"/>
          <w:snapToGrid/>
          <w:color w:val="auto"/>
          <w:sz w:val="18"/>
          <w:szCs w:val="18"/>
          <w:lang w:eastAsia="en-US" w:bidi="ar-SA"/>
        </w:rPr>
      </w:pPr>
    </w:p>
    <w:p w:rsidR="007B21A4" w:rsidRPr="00A343A5" w:rsidRDefault="007B21A4" w:rsidP="00A343A5">
      <w:pPr>
        <w:spacing w:after="0" w:line="240" w:lineRule="auto"/>
        <w:jc w:val="both"/>
        <w:rPr>
          <w:rFonts w:ascii="Century Gothic" w:hAnsi="Century Gothic"/>
          <w:b/>
          <w:sz w:val="15"/>
          <w:szCs w:val="15"/>
        </w:rPr>
      </w:pPr>
      <w:r w:rsidRPr="00A343A5">
        <w:rPr>
          <w:rFonts w:ascii="Century Gothic" w:hAnsi="Century Gothic"/>
          <w:b/>
          <w:sz w:val="15"/>
          <w:szCs w:val="15"/>
        </w:rPr>
        <w:t>3.4.8. Decoration of Badshahi Mosque</w:t>
      </w:r>
    </w:p>
    <w:p w:rsidR="00543108" w:rsidRDefault="007B21A4" w:rsidP="00543108">
      <w:pPr>
        <w:pStyle w:val="MDPI31text"/>
        <w:spacing w:before="240" w:line="480" w:lineRule="auto"/>
        <w:ind w:left="180" w:firstLine="330"/>
        <w:rPr>
          <w:rFonts w:ascii="Candara" w:eastAsiaTheme="minorEastAsia" w:hAnsi="Candara" w:cstheme="minorBidi"/>
          <w:snapToGrid/>
          <w:color w:val="auto"/>
          <w:sz w:val="18"/>
          <w:szCs w:val="18"/>
          <w:lang w:eastAsia="en-US" w:bidi="ar-SA"/>
        </w:rPr>
      </w:pPr>
      <w:r w:rsidRPr="007B21A4">
        <w:rPr>
          <w:rFonts w:ascii="Candara" w:eastAsiaTheme="minorEastAsia" w:hAnsi="Candara" w:cstheme="minorBidi"/>
          <w:snapToGrid/>
          <w:color w:val="auto"/>
          <w:sz w:val="18"/>
          <w:szCs w:val="18"/>
          <w:lang w:eastAsia="en-US" w:bidi="ar-SA"/>
        </w:rPr>
        <w:t xml:space="preserve">The main element that combines and unifies Islamic Mughal architecture and style is ornamentation. These have served as the fundamental connection between structures and items for about thirteen centuries, from Spain leading towards China and then Indonesia. Islamic architecture and art focus more on decorations and themes than on shapes; these decorations can be created using any method, regardless of scale, material, or method of expression, Figure 11 (a and b) are the best examples in Badshahi mosque to explain the method of expression in Islamic architecture </w:t>
      </w:r>
      <w:r w:rsidRPr="007B21A4">
        <w:rPr>
          <w:rFonts w:ascii="Candara" w:eastAsiaTheme="minorEastAsia" w:hAnsi="Candara" w:cstheme="minorBidi"/>
          <w:snapToGrid/>
          <w:color w:val="auto"/>
          <w:sz w:val="18"/>
          <w:szCs w:val="18"/>
          <w:lang w:eastAsia="en-US" w:bidi="ar-SA"/>
        </w:rPr>
        <w:fldChar w:fldCharType="begin"/>
      </w:r>
      <w:r w:rsidR="006141DF">
        <w:rPr>
          <w:rFonts w:ascii="Candara" w:eastAsiaTheme="minorEastAsia" w:hAnsi="Candara" w:cstheme="minorBidi"/>
          <w:snapToGrid/>
          <w:color w:val="auto"/>
          <w:sz w:val="18"/>
          <w:szCs w:val="18"/>
          <w:lang w:eastAsia="en-US" w:bidi="ar-SA"/>
        </w:rPr>
        <w:instrText xml:space="preserve"> ADDIN EN.CITE &lt;EndNote&gt;&lt;Cite&gt;&lt;Author&gt;Tabbaa&lt;/Author&gt;&lt;Year&gt;1997&lt;/Year&gt;&lt;RecNum&gt;6&lt;/RecNum&gt;&lt;DisplayText&gt;[21]&lt;/DisplayText&gt;&lt;record&gt;&lt;rec-number&gt;6&lt;/rec-number&gt;&lt;foreign-keys&gt;&lt;key app="EN" db-id="2verxes0odwrwteserr55ee2w2vfedtxfxx0" timestamp="1673711204"&gt;6&lt;/key&gt;&lt;/foreign-keys&gt;&lt;ref-type name="Generic"&gt;13&lt;/ref-type&gt;&lt;contributors&gt;&lt;authors&gt;&lt;author&gt;Tabbaa, Yasser&lt;/author&gt;&lt;/authors&gt;&lt;/contributors&gt;&lt;titles&gt;&lt;title&gt;Islamic architecture: Form, function and meaning&lt;/title&gt;&lt;/titles&gt;&lt;dates&gt;&lt;year&gt;1997&lt;/year&gt;&lt;/dates&gt;&lt;publisher&gt;JSTOR&lt;/publisher&gt;&lt;isbn&gt;0003-0279&lt;/isbn&gt;&lt;urls&gt;&lt;/urls&gt;&lt;/record&gt;&lt;/Cite&gt;&lt;/EndNote&gt;</w:instrText>
      </w:r>
      <w:r w:rsidRPr="007B21A4">
        <w:rPr>
          <w:rFonts w:ascii="Candara" w:eastAsiaTheme="minorEastAsia" w:hAnsi="Candara" w:cstheme="minorBidi"/>
          <w:snapToGrid/>
          <w:color w:val="auto"/>
          <w:sz w:val="18"/>
          <w:szCs w:val="18"/>
          <w:lang w:eastAsia="en-US" w:bidi="ar-SA"/>
        </w:rPr>
        <w:fldChar w:fldCharType="separate"/>
      </w:r>
      <w:r w:rsidR="006141DF">
        <w:rPr>
          <w:rFonts w:ascii="Candara" w:eastAsiaTheme="minorEastAsia" w:hAnsi="Candara" w:cstheme="minorBidi"/>
          <w:noProof/>
          <w:snapToGrid/>
          <w:color w:val="auto"/>
          <w:sz w:val="18"/>
          <w:szCs w:val="18"/>
          <w:lang w:eastAsia="en-US" w:bidi="ar-SA"/>
        </w:rPr>
        <w:t>[21]</w:t>
      </w:r>
      <w:r w:rsidRPr="007B21A4">
        <w:rPr>
          <w:rFonts w:ascii="Candara" w:eastAsiaTheme="minorEastAsia" w:hAnsi="Candara" w:cstheme="minorBidi"/>
          <w:snapToGrid/>
          <w:color w:val="auto"/>
          <w:sz w:val="18"/>
          <w:szCs w:val="18"/>
          <w:lang w:eastAsia="en-US" w:bidi="ar-SA"/>
        </w:rPr>
        <w:fldChar w:fldCharType="end"/>
      </w:r>
      <w:r w:rsidRPr="007B21A4">
        <w:rPr>
          <w:rFonts w:ascii="Candara" w:eastAsiaTheme="minorEastAsia" w:hAnsi="Candara" w:cstheme="minorBidi"/>
          <w:snapToGrid/>
          <w:color w:val="auto"/>
          <w:sz w:val="18"/>
          <w:szCs w:val="18"/>
          <w:lang w:eastAsia="en-US" w:bidi="ar-SA"/>
        </w:rPr>
        <w:t>.</w:t>
      </w:r>
    </w:p>
    <w:p w:rsidR="00543108" w:rsidRDefault="00543108"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543108" w:rsidRDefault="00543108"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543108" w:rsidRDefault="00543108"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180" w:firstLine="330"/>
        <w:rPr>
          <w:rFonts w:ascii="Candara" w:eastAsiaTheme="minorEastAsia" w:hAnsi="Candara" w:cstheme="minorBidi"/>
          <w:snapToGrid/>
          <w:color w:val="auto"/>
          <w:sz w:val="18"/>
          <w:szCs w:val="18"/>
          <w:lang w:eastAsia="en-US" w:bidi="ar-SA"/>
        </w:rPr>
      </w:pPr>
    </w:p>
    <w:p w:rsidR="00EA3340" w:rsidRDefault="00EA3340" w:rsidP="00EA3340">
      <w:pPr>
        <w:pStyle w:val="MDPI31text"/>
        <w:spacing w:line="480" w:lineRule="auto"/>
        <w:ind w:left="0" w:firstLine="0"/>
        <w:rPr>
          <w:rFonts w:ascii="Candara" w:eastAsiaTheme="minorEastAsia" w:hAnsi="Candara" w:cstheme="minorBidi"/>
          <w:snapToGrid/>
          <w:color w:val="auto"/>
          <w:sz w:val="18"/>
          <w:szCs w:val="18"/>
          <w:lang w:eastAsia="en-US" w:bidi="ar-SA"/>
        </w:rPr>
      </w:pPr>
    </w:p>
    <w:p w:rsidR="007B21A4" w:rsidRPr="00762E50" w:rsidRDefault="007B21A4" w:rsidP="00EA3340">
      <w:pPr>
        <w:pStyle w:val="MDPI31text"/>
        <w:spacing w:line="480" w:lineRule="auto"/>
        <w:ind w:left="0" w:firstLine="0"/>
        <w:rPr>
          <w:rFonts w:ascii="Candara" w:eastAsiaTheme="minorEastAsia" w:hAnsi="Candara" w:cstheme="minorBidi"/>
          <w:snapToGrid/>
          <w:color w:val="auto"/>
          <w:sz w:val="18"/>
          <w:szCs w:val="18"/>
          <w:lang w:eastAsia="en-US" w:bidi="ar-SA"/>
        </w:rPr>
      </w:pPr>
      <w:r w:rsidRPr="007B21A4">
        <w:rPr>
          <w:rFonts w:ascii="Candara" w:eastAsiaTheme="minorEastAsia" w:hAnsi="Candara" w:cstheme="minorBidi"/>
          <w:snapToGrid/>
          <w:color w:val="auto"/>
          <w:sz w:val="18"/>
          <w:szCs w:val="18"/>
          <w:lang w:eastAsia="en-US" w:bidi="ar-SA"/>
        </w:rPr>
        <w:t>There is never only one style of decorating for a certain type of structure or item. Instead, there are pan-Islamic enrichment principles that are appropriate for all objects and structures in all ages (when it comes to the link</w:t>
      </w:r>
      <w:r w:rsidRPr="00762E50">
        <w:rPr>
          <w:rFonts w:ascii="Candara" w:eastAsiaTheme="minorEastAsia" w:hAnsi="Candara" w:cstheme="minorBidi"/>
          <w:snapToGrid/>
          <w:color w:val="auto"/>
          <w:sz w:val="18"/>
          <w:szCs w:val="18"/>
          <w:lang w:eastAsia="en-US" w:bidi="ar-SA"/>
        </w:rPr>
        <w:t xml:space="preserve"> between art and architecture in Islam) </w:t>
      </w:r>
      <w:r w:rsidRPr="00762E50">
        <w:rPr>
          <w:rFonts w:ascii="Candara" w:eastAsiaTheme="minorEastAsia" w:hAnsi="Candara" w:cstheme="minorBidi"/>
          <w:snapToGrid/>
          <w:color w:val="auto"/>
          <w:sz w:val="18"/>
          <w:szCs w:val="18"/>
          <w:lang w:eastAsia="en-US" w:bidi="ar-SA"/>
        </w:rPr>
        <w:fldChar w:fldCharType="begin"/>
      </w:r>
      <w:r w:rsidR="006141DF">
        <w:rPr>
          <w:rFonts w:ascii="Candara" w:eastAsiaTheme="minorEastAsia" w:hAnsi="Candara" w:cstheme="minorBidi"/>
          <w:snapToGrid/>
          <w:color w:val="auto"/>
          <w:sz w:val="18"/>
          <w:szCs w:val="18"/>
          <w:lang w:eastAsia="en-US" w:bidi="ar-SA"/>
        </w:rPr>
        <w:instrText xml:space="preserve"> ADDIN EN.CITE &lt;EndNote&gt;&lt;Cite&gt;&lt;Author&gt;Bilal&lt;/Author&gt;&lt;RecNum&gt;63&lt;/RecNum&gt;&lt;DisplayText&gt;[20]&lt;/DisplayText&gt;&lt;record&gt;&lt;rec-number&gt;63&lt;/rec-number&gt;&lt;foreign-keys&gt;&lt;key app="EN" db-id="tepstesptaexxnexzthxafzl5f99arwpaset" timestamp="1669820142"&gt;63&lt;/key&gt;&lt;/foreign-keys&gt;&lt;ref-type name="Journal Article"&gt;17&lt;/ref-type&gt;&lt;contributors&gt;&lt;authors&gt;&lt;author&gt;Bilal, M Ahsan&lt;/author&gt;&lt;author&gt;Parvez, Amjad&lt;/author&gt;&lt;/authors&gt;&lt;/contributors&gt;&lt;titles&gt;&lt;title&gt;Kashi-kari at the Mosque Wazir Khan Lahore&lt;/title&gt;&lt;/titles&gt;&lt;dates&gt;&lt;/dates&gt;&lt;urls&gt;&lt;/urls&gt;&lt;/record&gt;&lt;/Cite&gt;&lt;/EndNote&gt;</w:instrText>
      </w:r>
      <w:r w:rsidRPr="00762E50">
        <w:rPr>
          <w:rFonts w:ascii="Candara" w:eastAsiaTheme="minorEastAsia" w:hAnsi="Candara" w:cstheme="minorBidi"/>
          <w:snapToGrid/>
          <w:color w:val="auto"/>
          <w:sz w:val="18"/>
          <w:szCs w:val="18"/>
          <w:lang w:eastAsia="en-US" w:bidi="ar-SA"/>
        </w:rPr>
        <w:fldChar w:fldCharType="separate"/>
      </w:r>
      <w:r w:rsidR="006141DF">
        <w:rPr>
          <w:rFonts w:ascii="Candara" w:eastAsiaTheme="minorEastAsia" w:hAnsi="Candara" w:cstheme="minorBidi"/>
          <w:noProof/>
          <w:snapToGrid/>
          <w:color w:val="auto"/>
          <w:sz w:val="18"/>
          <w:szCs w:val="18"/>
          <w:lang w:eastAsia="en-US" w:bidi="ar-SA"/>
        </w:rPr>
        <w:t>[20]</w:t>
      </w:r>
      <w:r w:rsidRPr="00762E50">
        <w:rPr>
          <w:rFonts w:ascii="Candara" w:eastAsiaTheme="minorEastAsia" w:hAnsi="Candara" w:cstheme="minorBidi"/>
          <w:snapToGrid/>
          <w:color w:val="auto"/>
          <w:sz w:val="18"/>
          <w:szCs w:val="18"/>
          <w:lang w:eastAsia="en-US" w:bidi="ar-SA"/>
        </w:rPr>
        <w:fldChar w:fldCharType="end"/>
      </w:r>
      <w:r w:rsidRPr="00762E50">
        <w:rPr>
          <w:rFonts w:ascii="Candara" w:eastAsiaTheme="minorEastAsia" w:hAnsi="Candara" w:cstheme="minorBidi"/>
          <w:snapToGrid/>
          <w:color w:val="auto"/>
          <w:sz w:val="18"/>
          <w:szCs w:val="18"/>
          <w:lang w:eastAsia="en-US" w:bidi="ar-SA"/>
        </w:rPr>
        <w:t>. In Badshahi mosque we observed that multiple artistic themes have been use but all are connecting and showing a harmony, mostly all the decorations are going in clay color. The patterns used have special type of harmony among outer and inner spaces.</w:t>
      </w:r>
    </w:p>
    <w:p w:rsidR="007B21A4" w:rsidRDefault="00EA3340" w:rsidP="00EA3340">
      <w:pPr>
        <w:pStyle w:val="MDPI31text"/>
        <w:keepNext/>
        <w:spacing w:line="480" w:lineRule="auto"/>
        <w:ind w:left="0" w:firstLine="0"/>
      </w:pPr>
      <w:r>
        <w:rPr>
          <w:noProof/>
        </w:rPr>
        <w:lastRenderedPageBreak/>
        <w:drawing>
          <wp:inline distT="0" distB="0" distL="0" distR="0" wp14:anchorId="3AAC7BC9" wp14:editId="0615938F">
            <wp:extent cx="2654935" cy="308434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54935" cy="3084346"/>
                    </a:xfrm>
                    <a:prstGeom prst="rect">
                      <a:avLst/>
                    </a:prstGeom>
                    <a:noFill/>
                    <a:ln>
                      <a:noFill/>
                    </a:ln>
                  </pic:spPr>
                </pic:pic>
              </a:graphicData>
            </a:graphic>
          </wp:inline>
        </w:drawing>
      </w:r>
    </w:p>
    <w:p w:rsidR="007B21A4" w:rsidRPr="00EA3340" w:rsidRDefault="007B21A4" w:rsidP="007B21A4">
      <w:pPr>
        <w:pStyle w:val="Caption"/>
        <w:rPr>
          <w:rFonts w:ascii="Candara" w:eastAsiaTheme="minorEastAsia" w:hAnsi="Candara" w:cstheme="minorBidi"/>
          <w:b/>
          <w:bCs w:val="0"/>
          <w:sz w:val="15"/>
          <w:szCs w:val="15"/>
          <w:lang w:val="id-ID"/>
        </w:rPr>
      </w:pPr>
      <w:r w:rsidRPr="00EA3340">
        <w:rPr>
          <w:rFonts w:ascii="Candara" w:eastAsiaTheme="minorEastAsia" w:hAnsi="Candara" w:cstheme="minorBidi"/>
          <w:b/>
          <w:bCs w:val="0"/>
          <w:sz w:val="15"/>
          <w:szCs w:val="15"/>
          <w:lang w:val="id-ID"/>
        </w:rPr>
        <w:t xml:space="preserve">Figure </w:t>
      </w:r>
      <w:r w:rsidRPr="00EA3340">
        <w:rPr>
          <w:rFonts w:ascii="Candara" w:eastAsiaTheme="minorEastAsia" w:hAnsi="Candara" w:cstheme="minorBidi"/>
          <w:b/>
          <w:bCs w:val="0"/>
          <w:sz w:val="15"/>
          <w:szCs w:val="15"/>
          <w:lang w:val="id-ID"/>
        </w:rPr>
        <w:fldChar w:fldCharType="begin"/>
      </w:r>
      <w:r w:rsidRPr="00EA3340">
        <w:rPr>
          <w:rFonts w:ascii="Candara" w:eastAsiaTheme="minorEastAsia" w:hAnsi="Candara" w:cstheme="minorBidi"/>
          <w:b/>
          <w:bCs w:val="0"/>
          <w:sz w:val="15"/>
          <w:szCs w:val="15"/>
          <w:lang w:val="id-ID"/>
        </w:rPr>
        <w:instrText xml:space="preserve"> SEQ Figure \* ARABIC </w:instrText>
      </w:r>
      <w:r w:rsidRPr="00EA3340">
        <w:rPr>
          <w:rFonts w:ascii="Candara" w:eastAsiaTheme="minorEastAsia" w:hAnsi="Candara" w:cstheme="minorBidi"/>
          <w:b/>
          <w:bCs w:val="0"/>
          <w:sz w:val="15"/>
          <w:szCs w:val="15"/>
          <w:lang w:val="id-ID"/>
        </w:rPr>
        <w:fldChar w:fldCharType="separate"/>
      </w:r>
      <w:r w:rsidRPr="00EA3340">
        <w:rPr>
          <w:rFonts w:ascii="Candara" w:eastAsiaTheme="minorEastAsia" w:hAnsi="Candara" w:cstheme="minorBidi"/>
          <w:b/>
          <w:bCs w:val="0"/>
          <w:sz w:val="15"/>
          <w:szCs w:val="15"/>
          <w:lang w:val="id-ID"/>
        </w:rPr>
        <w:t>11</w:t>
      </w:r>
      <w:r w:rsidRPr="00EA3340">
        <w:rPr>
          <w:rFonts w:ascii="Candara" w:eastAsiaTheme="minorEastAsia" w:hAnsi="Candara" w:cstheme="minorBidi"/>
          <w:b/>
          <w:bCs w:val="0"/>
          <w:sz w:val="15"/>
          <w:szCs w:val="15"/>
          <w:lang w:val="id-ID"/>
        </w:rPr>
        <w:fldChar w:fldCharType="end"/>
      </w:r>
      <w:r w:rsidRPr="00EA3340">
        <w:rPr>
          <w:rFonts w:ascii="Candara" w:eastAsiaTheme="minorEastAsia" w:hAnsi="Candara" w:cstheme="minorBidi"/>
          <w:b/>
          <w:bCs w:val="0"/>
          <w:sz w:val="15"/>
          <w:szCs w:val="15"/>
          <w:lang w:val="id-ID"/>
        </w:rPr>
        <w:t xml:space="preserve"> Interior decoration, (b) Surface of walls decorated with paintings and Lotif. Source: captured by author.</w:t>
      </w:r>
    </w:p>
    <w:p w:rsidR="007B21A4" w:rsidRPr="00A343A5" w:rsidRDefault="007B21A4" w:rsidP="00A343A5">
      <w:pPr>
        <w:spacing w:before="240" w:after="0" w:line="240" w:lineRule="auto"/>
        <w:jc w:val="both"/>
        <w:rPr>
          <w:rFonts w:ascii="Century Gothic" w:hAnsi="Century Gothic"/>
          <w:b/>
          <w:sz w:val="15"/>
          <w:szCs w:val="15"/>
        </w:rPr>
      </w:pPr>
      <w:r w:rsidRPr="00A343A5">
        <w:rPr>
          <w:rFonts w:ascii="Century Gothic" w:hAnsi="Century Gothic"/>
          <w:b/>
          <w:sz w:val="15"/>
          <w:szCs w:val="15"/>
        </w:rPr>
        <w:t>3.4.9. Feature of water</w:t>
      </w:r>
    </w:p>
    <w:p w:rsidR="007B21A4" w:rsidRDefault="007B21A4" w:rsidP="007B21A4">
      <w:pPr>
        <w:pStyle w:val="MDPI31text"/>
        <w:spacing w:before="240" w:line="480" w:lineRule="auto"/>
        <w:ind w:left="180" w:firstLine="330"/>
        <w:rPr>
          <w:rFonts w:asciiTheme="majorBidi" w:hAnsiTheme="majorBidi" w:cstheme="majorBidi"/>
          <w:sz w:val="24"/>
          <w:szCs w:val="24"/>
        </w:rPr>
      </w:pPr>
      <w:r w:rsidRPr="00762E50">
        <w:rPr>
          <w:rFonts w:ascii="Candara" w:eastAsiaTheme="minorEastAsia" w:hAnsi="Candara" w:cstheme="minorBidi"/>
          <w:snapToGrid/>
          <w:color w:val="auto"/>
          <w:sz w:val="18"/>
          <w:szCs w:val="18"/>
          <w:lang w:eastAsia="en-US" w:bidi="ar-SA"/>
        </w:rPr>
        <w:t>Islam uses water as a symbol of purification and elevates it to almost sacred status. In hot climes, water utilized in courtyard fountains and pools</w:t>
      </w:r>
      <w:r w:rsidRPr="00AF5591">
        <w:rPr>
          <w:rFonts w:asciiTheme="majorBidi" w:hAnsiTheme="majorBidi" w:cstheme="majorBidi"/>
          <w:sz w:val="24"/>
          <w:szCs w:val="24"/>
        </w:rPr>
        <w:t xml:space="preserve"> </w:t>
      </w:r>
      <w:r w:rsidRPr="00762E50">
        <w:rPr>
          <w:rFonts w:ascii="Candara" w:eastAsiaTheme="minorEastAsia" w:hAnsi="Candara" w:cstheme="minorBidi"/>
          <w:snapToGrid/>
          <w:color w:val="auto"/>
          <w:sz w:val="18"/>
          <w:szCs w:val="18"/>
          <w:lang w:eastAsia="en-US" w:bidi="ar-SA"/>
        </w:rPr>
        <w:t xml:space="preserve">functions as a cooling medium and an aesthetic element. The visual axes are highlighted with water. It offers a range of ornamental motifs and reflects architecture. Water pools are fluid and active but immobile, unchangeable but constantly renewing </w:t>
      </w:r>
      <w:r w:rsidRPr="00762E50">
        <w:rPr>
          <w:rFonts w:ascii="Candara" w:eastAsiaTheme="minorEastAsia" w:hAnsi="Candara" w:cstheme="minorBidi"/>
          <w:snapToGrid/>
          <w:color w:val="auto"/>
          <w:sz w:val="18"/>
          <w:szCs w:val="18"/>
          <w:lang w:eastAsia="en-US" w:bidi="ar-SA"/>
        </w:rPr>
        <w:fldChar w:fldCharType="begin"/>
      </w:r>
      <w:r w:rsidR="006141DF">
        <w:rPr>
          <w:rFonts w:ascii="Candara" w:eastAsiaTheme="minorEastAsia" w:hAnsi="Candara" w:cstheme="minorBidi"/>
          <w:snapToGrid/>
          <w:color w:val="auto"/>
          <w:sz w:val="18"/>
          <w:szCs w:val="18"/>
          <w:lang w:eastAsia="en-US" w:bidi="ar-SA"/>
        </w:rPr>
        <w:instrText xml:space="preserve"> ADDIN EN.CITE &lt;EndNote&gt;&lt;Cite&gt;&lt;Author&gt;Nejad&lt;/Author&gt;&lt;Year&gt;2016&lt;/Year&gt;&lt;RecNum&gt;9&lt;/RecNum&gt;&lt;DisplayText&gt;[22]&lt;/DisplayText&gt;&lt;record&gt;&lt;rec-number&gt;9&lt;/rec-number&gt;&lt;foreign-keys&gt;&lt;key app="EN" db-id="2verxes0odwrwteserr55ee2w2vfedtxfxx0" timestamp="1673712420"&gt;9&lt;/key&gt;&lt;/foreign-keys&gt;&lt;ref-type name="Journal Article"&gt;17&lt;/ref-type&gt;&lt;contributors&gt;&lt;authors&gt;&lt;author&gt;Nejad, J Mahdi&lt;/author&gt;&lt;author&gt;Zarghami, E&lt;/author&gt;&lt;author&gt;Abad, A Sadeghi Habib&lt;/author&gt;&lt;/authors&gt;&lt;/contributors&gt;&lt;titles&gt;&lt;title&gt;A study on the concepts and themes of color and light in the exquisite islamic architecture&lt;/title&gt;&lt;secondary-title&gt;Journal of Fundamental and Applied Sciences&lt;/secondary-title&gt;&lt;/titles&gt;&lt;periodical&gt;&lt;full-title&gt;Journal of Fundamental and Applied Sciences&lt;/full-title&gt;&lt;/periodical&gt;&lt;pages&gt;1077-1096&lt;/pages&gt;&lt;volume&gt;8&lt;/volume&gt;&lt;number&gt;3&lt;/number&gt;&lt;dates&gt;&lt;year&gt;2016&lt;/year&gt;&lt;/dates&gt;&lt;isbn&gt;1112-9867&lt;/isbn&gt;&lt;urls&gt;&lt;/urls&gt;&lt;/record&gt;&lt;/Cite&gt;&lt;/EndNote&gt;</w:instrText>
      </w:r>
      <w:r w:rsidRPr="00762E50">
        <w:rPr>
          <w:rFonts w:ascii="Candara" w:eastAsiaTheme="minorEastAsia" w:hAnsi="Candara" w:cstheme="minorBidi"/>
          <w:snapToGrid/>
          <w:color w:val="auto"/>
          <w:sz w:val="18"/>
          <w:szCs w:val="18"/>
          <w:lang w:eastAsia="en-US" w:bidi="ar-SA"/>
        </w:rPr>
        <w:fldChar w:fldCharType="separate"/>
      </w:r>
      <w:r w:rsidR="006141DF">
        <w:rPr>
          <w:rFonts w:ascii="Candara" w:eastAsiaTheme="minorEastAsia" w:hAnsi="Candara" w:cstheme="minorBidi"/>
          <w:noProof/>
          <w:snapToGrid/>
          <w:color w:val="auto"/>
          <w:sz w:val="18"/>
          <w:szCs w:val="18"/>
          <w:lang w:eastAsia="en-US" w:bidi="ar-SA"/>
        </w:rPr>
        <w:t>[22]</w:t>
      </w:r>
      <w:r w:rsidRPr="00762E50">
        <w:rPr>
          <w:rFonts w:ascii="Candara" w:eastAsiaTheme="minorEastAsia" w:hAnsi="Candara" w:cstheme="minorBidi"/>
          <w:snapToGrid/>
          <w:color w:val="auto"/>
          <w:sz w:val="18"/>
          <w:szCs w:val="18"/>
          <w:lang w:eastAsia="en-US" w:bidi="ar-SA"/>
        </w:rPr>
        <w:fldChar w:fldCharType="end"/>
      </w:r>
      <w:r w:rsidRPr="00762E50">
        <w:rPr>
          <w:rFonts w:ascii="Candara" w:eastAsiaTheme="minorEastAsia" w:hAnsi="Candara" w:cstheme="minorBidi"/>
          <w:snapToGrid/>
          <w:color w:val="auto"/>
          <w:sz w:val="18"/>
          <w:szCs w:val="18"/>
          <w:lang w:eastAsia="en-US" w:bidi="ar-SA"/>
        </w:rPr>
        <w:t>. In almost every building of Mughal the feature of water has been used and thus we can see in (Figure 12) that it is also used in the courtyard of Badshahi mosque for aesthetic purpose. Square shape water body has been created in the center of courtyard having dimensions 50’x50’ while 3’ deep.</w:t>
      </w:r>
    </w:p>
    <w:p w:rsidR="007B21A4" w:rsidRDefault="007B21A4" w:rsidP="007B21A4">
      <w:pPr>
        <w:pStyle w:val="MDPI31text"/>
        <w:keepNext/>
        <w:spacing w:before="240" w:line="480" w:lineRule="auto"/>
        <w:ind w:left="0" w:firstLine="0"/>
        <w:jc w:val="center"/>
      </w:pPr>
      <w:r>
        <w:rPr>
          <w:noProof/>
        </w:rPr>
        <w:drawing>
          <wp:inline distT="0" distB="0" distL="0" distR="0" wp14:anchorId="643F105F" wp14:editId="6263EAB2">
            <wp:extent cx="2673610" cy="148705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5077" cy="1504555"/>
                    </a:xfrm>
                    <a:prstGeom prst="rect">
                      <a:avLst/>
                    </a:prstGeom>
                    <a:noFill/>
                    <a:ln>
                      <a:noFill/>
                    </a:ln>
                  </pic:spPr>
                </pic:pic>
              </a:graphicData>
            </a:graphic>
          </wp:inline>
        </w:drawing>
      </w:r>
    </w:p>
    <w:p w:rsidR="00EA3340" w:rsidRPr="000C5DCB" w:rsidRDefault="007B21A4" w:rsidP="000C5DCB">
      <w:pPr>
        <w:pStyle w:val="Caption"/>
        <w:rPr>
          <w:rFonts w:ascii="Candara" w:eastAsiaTheme="minorEastAsia" w:hAnsi="Candara" w:cstheme="minorBidi"/>
          <w:b/>
          <w:bCs w:val="0"/>
          <w:sz w:val="15"/>
          <w:szCs w:val="15"/>
          <w:lang w:val="id-ID"/>
        </w:rPr>
      </w:pPr>
      <w:r w:rsidRPr="00EA3340">
        <w:rPr>
          <w:rFonts w:ascii="Candara" w:eastAsiaTheme="minorEastAsia" w:hAnsi="Candara" w:cstheme="minorBidi"/>
          <w:b/>
          <w:bCs w:val="0"/>
          <w:sz w:val="15"/>
          <w:szCs w:val="15"/>
          <w:lang w:val="id-ID"/>
        </w:rPr>
        <w:t xml:space="preserve">Figure </w:t>
      </w:r>
      <w:r w:rsidRPr="00EA3340">
        <w:rPr>
          <w:rFonts w:ascii="Candara" w:eastAsiaTheme="minorEastAsia" w:hAnsi="Candara" w:cstheme="minorBidi"/>
          <w:b/>
          <w:bCs w:val="0"/>
          <w:sz w:val="15"/>
          <w:szCs w:val="15"/>
          <w:lang w:val="id-ID"/>
        </w:rPr>
        <w:fldChar w:fldCharType="begin"/>
      </w:r>
      <w:r w:rsidRPr="00EA3340">
        <w:rPr>
          <w:rFonts w:ascii="Candara" w:eastAsiaTheme="minorEastAsia" w:hAnsi="Candara" w:cstheme="minorBidi"/>
          <w:b/>
          <w:bCs w:val="0"/>
          <w:sz w:val="15"/>
          <w:szCs w:val="15"/>
          <w:lang w:val="id-ID"/>
        </w:rPr>
        <w:instrText xml:space="preserve"> SEQ Figure \* ARABIC </w:instrText>
      </w:r>
      <w:r w:rsidRPr="00EA3340">
        <w:rPr>
          <w:rFonts w:ascii="Candara" w:eastAsiaTheme="minorEastAsia" w:hAnsi="Candara" w:cstheme="minorBidi"/>
          <w:b/>
          <w:bCs w:val="0"/>
          <w:sz w:val="15"/>
          <w:szCs w:val="15"/>
          <w:lang w:val="id-ID"/>
        </w:rPr>
        <w:fldChar w:fldCharType="separate"/>
      </w:r>
      <w:r w:rsidRPr="00EA3340">
        <w:rPr>
          <w:rFonts w:ascii="Candara" w:eastAsiaTheme="minorEastAsia" w:hAnsi="Candara" w:cstheme="minorBidi"/>
          <w:b/>
          <w:bCs w:val="0"/>
          <w:sz w:val="15"/>
          <w:szCs w:val="15"/>
          <w:lang w:val="id-ID"/>
        </w:rPr>
        <w:t>12</w:t>
      </w:r>
      <w:r w:rsidRPr="00EA3340">
        <w:rPr>
          <w:rFonts w:ascii="Candara" w:eastAsiaTheme="minorEastAsia" w:hAnsi="Candara" w:cstheme="minorBidi"/>
          <w:b/>
          <w:bCs w:val="0"/>
          <w:sz w:val="15"/>
          <w:szCs w:val="15"/>
          <w:lang w:val="id-ID"/>
        </w:rPr>
        <w:fldChar w:fldCharType="end"/>
      </w:r>
      <w:r w:rsidRPr="00EA3340">
        <w:rPr>
          <w:rFonts w:ascii="Candara" w:eastAsiaTheme="minorEastAsia" w:hAnsi="Candara" w:cstheme="minorBidi"/>
          <w:b/>
          <w:bCs w:val="0"/>
          <w:sz w:val="15"/>
          <w:szCs w:val="15"/>
          <w:lang w:val="id-ID"/>
        </w:rPr>
        <w:t xml:space="preserve"> View of water pool in the center of courtyard of Badshahi mosque. Source: captured by author.</w:t>
      </w:r>
    </w:p>
    <w:p w:rsidR="007B21A4" w:rsidRPr="00A343A5" w:rsidRDefault="007B21A4" w:rsidP="000C5DCB">
      <w:pPr>
        <w:spacing w:before="240" w:after="0" w:line="240" w:lineRule="auto"/>
        <w:jc w:val="both"/>
        <w:rPr>
          <w:rFonts w:ascii="Century Gothic" w:hAnsi="Century Gothic"/>
          <w:b/>
          <w:sz w:val="15"/>
          <w:szCs w:val="15"/>
        </w:rPr>
      </w:pPr>
      <w:r w:rsidRPr="00A343A5">
        <w:rPr>
          <w:rFonts w:ascii="Century Gothic" w:hAnsi="Century Gothic"/>
          <w:b/>
          <w:sz w:val="15"/>
          <w:szCs w:val="15"/>
        </w:rPr>
        <w:t>3.4.10. Materials used in the construction of Badshahi Mosque</w:t>
      </w:r>
    </w:p>
    <w:p w:rsidR="007B21A4" w:rsidRPr="00762E50" w:rsidRDefault="007B21A4" w:rsidP="000C5DCB">
      <w:pPr>
        <w:pStyle w:val="MDPI31text"/>
        <w:spacing w:before="240" w:line="480" w:lineRule="auto"/>
        <w:ind w:left="180" w:firstLine="330"/>
        <w:rPr>
          <w:rFonts w:ascii="Candara" w:eastAsiaTheme="minorEastAsia" w:hAnsi="Candara" w:cstheme="minorBidi"/>
          <w:snapToGrid/>
          <w:color w:val="auto"/>
          <w:sz w:val="18"/>
          <w:szCs w:val="18"/>
          <w:lang w:eastAsia="en-US" w:bidi="ar-SA"/>
        </w:rPr>
      </w:pPr>
      <w:r w:rsidRPr="00762E50">
        <w:rPr>
          <w:rFonts w:ascii="Candara" w:eastAsiaTheme="minorEastAsia" w:hAnsi="Candara" w:cstheme="minorBidi"/>
          <w:snapToGrid/>
          <w:color w:val="auto"/>
          <w:sz w:val="18"/>
          <w:szCs w:val="18"/>
          <w:lang w:eastAsia="en-US" w:bidi="ar-SA"/>
        </w:rPr>
        <w:t>The main Prayer Hall’s interior is lavishly decorated with art work, embedded marble and stucco tracery (</w:t>
      </w:r>
      <w:proofErr w:type="spellStart"/>
      <w:r w:rsidRPr="00762E50">
        <w:rPr>
          <w:rFonts w:ascii="Candara" w:eastAsiaTheme="minorEastAsia" w:hAnsi="Candara" w:cstheme="minorBidi"/>
          <w:snapToGrid/>
          <w:color w:val="auto"/>
          <w:sz w:val="18"/>
          <w:szCs w:val="18"/>
          <w:lang w:eastAsia="en-US" w:bidi="ar-SA"/>
        </w:rPr>
        <w:t>Manbatkari</w:t>
      </w:r>
      <w:proofErr w:type="spellEnd"/>
      <w:r w:rsidRPr="00762E50">
        <w:rPr>
          <w:rFonts w:ascii="Candara" w:eastAsiaTheme="minorEastAsia" w:hAnsi="Candara" w:cstheme="minorBidi"/>
          <w:snapToGrid/>
          <w:color w:val="auto"/>
          <w:sz w:val="18"/>
          <w:szCs w:val="18"/>
          <w:lang w:eastAsia="en-US" w:bidi="ar-SA"/>
        </w:rPr>
        <w:t xml:space="preserve">). Beautiful ornate merlons with marble inlay designs adorn the skyline, lending elegance to the mosque’s front. Small kiln-burnt bricks were used to construct the walls, which feature a red sandstone veneer on top of mortar of lime, </w:t>
      </w:r>
      <w:proofErr w:type="spellStart"/>
      <w:r w:rsidRPr="00762E50">
        <w:rPr>
          <w:rFonts w:ascii="Candara" w:eastAsiaTheme="minorEastAsia" w:hAnsi="Candara" w:cstheme="minorBidi"/>
          <w:snapToGrid/>
          <w:color w:val="auto"/>
          <w:sz w:val="18"/>
          <w:szCs w:val="18"/>
          <w:lang w:eastAsia="en-US" w:bidi="ar-SA"/>
        </w:rPr>
        <w:t>kankar</w:t>
      </w:r>
      <w:proofErr w:type="spellEnd"/>
      <w:r w:rsidRPr="00762E50">
        <w:rPr>
          <w:rFonts w:ascii="Candara" w:eastAsiaTheme="minorEastAsia" w:hAnsi="Candara" w:cstheme="minorBidi"/>
          <w:snapToGrid/>
          <w:color w:val="auto"/>
          <w:sz w:val="18"/>
          <w:szCs w:val="18"/>
          <w:lang w:eastAsia="en-US" w:bidi="ar-SA"/>
        </w:rPr>
        <w:t xml:space="preserve"> (a type of hydraulic lime). Variegated marble is used for the plinth and steps leading to the prayer room.</w:t>
      </w:r>
    </w:p>
    <w:p w:rsidR="007B21A4" w:rsidRPr="00762E50" w:rsidRDefault="007B21A4"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r w:rsidRPr="00762E50">
        <w:rPr>
          <w:rFonts w:ascii="Candara" w:eastAsiaTheme="minorEastAsia" w:hAnsi="Candara" w:cstheme="minorBidi"/>
          <w:snapToGrid/>
          <w:color w:val="auto"/>
          <w:sz w:val="18"/>
          <w:szCs w:val="18"/>
          <w:lang w:eastAsia="en-US" w:bidi="ar-SA"/>
        </w:rPr>
        <w:t>The main hall for prayers is quite deep and has seven compartments that are separated by richly etched arches supported by massive piers. Six of the seven compartments are made up of curved domes with a central rib in the inside and a flat roof above, while the curve of three double marble domes is exceptional. The Eastern front aisle compartment’s ceiling is level (</w:t>
      </w:r>
      <w:proofErr w:type="spellStart"/>
      <w:r w:rsidRPr="00762E50">
        <w:rPr>
          <w:rFonts w:ascii="Candara" w:eastAsiaTheme="minorEastAsia" w:hAnsi="Candara" w:cstheme="minorBidi"/>
          <w:snapToGrid/>
          <w:color w:val="auto"/>
          <w:sz w:val="18"/>
          <w:szCs w:val="18"/>
          <w:lang w:eastAsia="en-US" w:bidi="ar-SA"/>
        </w:rPr>
        <w:t>qalamdani</w:t>
      </w:r>
      <w:proofErr w:type="spellEnd"/>
      <w:r w:rsidRPr="00762E50">
        <w:rPr>
          <w:rFonts w:ascii="Candara" w:eastAsiaTheme="minorEastAsia" w:hAnsi="Candara" w:cstheme="minorBidi"/>
          <w:snapToGrid/>
          <w:color w:val="auto"/>
          <w:sz w:val="18"/>
          <w:szCs w:val="18"/>
          <w:lang w:eastAsia="en-US" w:bidi="ar-SA"/>
        </w:rPr>
        <w:t>) with a curved demarcation line (</w:t>
      </w:r>
      <w:proofErr w:type="spellStart"/>
      <w:r w:rsidRPr="00762E50">
        <w:rPr>
          <w:rFonts w:ascii="Candara" w:eastAsiaTheme="minorEastAsia" w:hAnsi="Candara" w:cstheme="minorBidi"/>
          <w:snapToGrid/>
          <w:color w:val="auto"/>
          <w:sz w:val="18"/>
          <w:szCs w:val="18"/>
          <w:lang w:eastAsia="en-US" w:bidi="ar-SA"/>
        </w:rPr>
        <w:t>ghalatan</w:t>
      </w:r>
      <w:proofErr w:type="spellEnd"/>
      <w:r w:rsidRPr="00762E50">
        <w:rPr>
          <w:rFonts w:ascii="Candara" w:eastAsiaTheme="minorEastAsia" w:hAnsi="Candara" w:cstheme="minorBidi"/>
          <w:snapToGrid/>
          <w:color w:val="auto"/>
          <w:sz w:val="18"/>
          <w:szCs w:val="18"/>
          <w:lang w:eastAsia="en-US" w:bidi="ar-SA"/>
        </w:rPr>
        <w:t xml:space="preserve">) at cornice level </w:t>
      </w:r>
      <w:r w:rsidRPr="00762E50">
        <w:rPr>
          <w:rFonts w:ascii="Candara" w:eastAsiaTheme="minorEastAsia" w:hAnsi="Candara" w:cstheme="minorBidi"/>
          <w:snapToGrid/>
          <w:color w:val="auto"/>
          <w:sz w:val="18"/>
          <w:szCs w:val="18"/>
          <w:lang w:eastAsia="en-US" w:bidi="ar-SA"/>
        </w:rPr>
        <w:fldChar w:fldCharType="begin"/>
      </w:r>
      <w:r w:rsidR="006141DF">
        <w:rPr>
          <w:rFonts w:ascii="Candara" w:eastAsiaTheme="minorEastAsia" w:hAnsi="Candara" w:cstheme="minorBidi"/>
          <w:snapToGrid/>
          <w:color w:val="auto"/>
          <w:sz w:val="18"/>
          <w:szCs w:val="18"/>
          <w:lang w:eastAsia="en-US" w:bidi="ar-SA"/>
        </w:rPr>
        <w:instrText xml:space="preserve"> ADDIN EN.CITE &lt;EndNote&gt;&lt;Cite&gt;&lt;Author&gt;JAMIL&lt;/Author&gt;&lt;Year&gt;2017&lt;/Year&gt;&lt;RecNum&gt;68&lt;/RecNum&gt;&lt;DisplayText&gt;[23]&lt;/DisplayText&gt;&lt;record&gt;&lt;rec-number&gt;68&lt;/rec-number&gt;&lt;foreign-keys&gt;&lt;key app="EN" db-id="tepstesptaexxnexzthxafzl5f99arwpaset" timestamp="1669820879"&gt;68&lt;/key&gt;&lt;/foreign-keys&gt;&lt;ref-type name="Journal Article"&gt;17&lt;/ref-type&gt;&lt;contributors&gt;&lt;authors&gt;&lt;author&gt;JAMIL, FARAH&lt;/author&gt;&lt;author&gt;GULZAR, SAIMA&lt;/author&gt;&lt;/authors&gt;&lt;/contributors&gt;&lt;titles&gt;&lt;title&gt;HISTORICAL DEVELOPMENT OF DADO ORNAMENTATION IN MUGHAL ARCHITECTURE&lt;/title&gt;&lt;secondary-title&gt;Structural Studies, Repairs and Maintenance of Heritage Architecture XV&lt;/secondary-title&gt;&lt;/titles&gt;&lt;periodical&gt;&lt;full-title&gt;Structural Studies, Repairs and Maintenance of Heritage Architecture XV&lt;/full-title&gt;&lt;/periodical&gt;&lt;pages&gt;97&lt;/pages&gt;&lt;volume&gt;171&lt;/volume&gt;&lt;dates&gt;&lt;year&gt;2017&lt;/year&gt;&lt;/dates&gt;&lt;isbn&gt;178466183X&lt;/isbn&gt;&lt;urls&gt;&lt;/urls&gt;&lt;/record&gt;&lt;/Cite&gt;&lt;/EndNote&gt;</w:instrText>
      </w:r>
      <w:r w:rsidRPr="00762E50">
        <w:rPr>
          <w:rFonts w:ascii="Candara" w:eastAsiaTheme="minorEastAsia" w:hAnsi="Candara" w:cstheme="minorBidi"/>
          <w:snapToGrid/>
          <w:color w:val="auto"/>
          <w:sz w:val="18"/>
          <w:szCs w:val="18"/>
          <w:lang w:eastAsia="en-US" w:bidi="ar-SA"/>
        </w:rPr>
        <w:fldChar w:fldCharType="separate"/>
      </w:r>
      <w:r w:rsidR="006141DF">
        <w:rPr>
          <w:rFonts w:ascii="Candara" w:eastAsiaTheme="minorEastAsia" w:hAnsi="Candara" w:cstheme="minorBidi"/>
          <w:noProof/>
          <w:snapToGrid/>
          <w:color w:val="auto"/>
          <w:sz w:val="18"/>
          <w:szCs w:val="18"/>
          <w:lang w:eastAsia="en-US" w:bidi="ar-SA"/>
        </w:rPr>
        <w:t>[23]</w:t>
      </w:r>
      <w:r w:rsidRPr="00762E50">
        <w:rPr>
          <w:rFonts w:ascii="Candara" w:eastAsiaTheme="minorEastAsia" w:hAnsi="Candara" w:cstheme="minorBidi"/>
          <w:snapToGrid/>
          <w:color w:val="auto"/>
          <w:sz w:val="18"/>
          <w:szCs w:val="18"/>
          <w:lang w:eastAsia="en-US" w:bidi="ar-SA"/>
        </w:rPr>
        <w:fldChar w:fldCharType="end"/>
      </w:r>
      <w:r w:rsidRPr="00762E50">
        <w:rPr>
          <w:rFonts w:ascii="Candara" w:eastAsiaTheme="minorEastAsia" w:hAnsi="Candara" w:cstheme="minorBidi"/>
          <w:snapToGrid/>
          <w:color w:val="auto"/>
          <w:sz w:val="18"/>
          <w:szCs w:val="18"/>
          <w:lang w:eastAsia="en-US" w:bidi="ar-SA"/>
        </w:rPr>
        <w:t>.</w:t>
      </w:r>
    </w:p>
    <w:p w:rsidR="007B21A4" w:rsidRPr="00762E50" w:rsidRDefault="007B21A4"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r w:rsidRPr="00762E50">
        <w:rPr>
          <w:rFonts w:ascii="Candara" w:eastAsiaTheme="minorEastAsia" w:hAnsi="Candara" w:cstheme="minorBidi"/>
          <w:snapToGrid/>
          <w:color w:val="auto"/>
          <w:sz w:val="18"/>
          <w:szCs w:val="18"/>
          <w:lang w:eastAsia="en-US" w:bidi="ar-SA"/>
        </w:rPr>
        <w:t xml:space="preserve">The courtyard’s original flooring was comprised of little kiln-burnt bricks arranged in a </w:t>
      </w:r>
      <w:proofErr w:type="spellStart"/>
      <w:r w:rsidRPr="00762E50">
        <w:rPr>
          <w:rFonts w:ascii="Candara" w:eastAsiaTheme="minorEastAsia" w:hAnsi="Candara" w:cstheme="minorBidi"/>
          <w:snapToGrid/>
          <w:color w:val="auto"/>
          <w:sz w:val="18"/>
          <w:szCs w:val="18"/>
          <w:lang w:eastAsia="en-US" w:bidi="ar-SA"/>
        </w:rPr>
        <w:t>Mussalah</w:t>
      </w:r>
      <w:proofErr w:type="spellEnd"/>
      <w:r w:rsidRPr="00762E50">
        <w:rPr>
          <w:rFonts w:ascii="Candara" w:eastAsiaTheme="minorEastAsia" w:hAnsi="Candara" w:cstheme="minorBidi"/>
          <w:snapToGrid/>
          <w:color w:val="auto"/>
          <w:sz w:val="18"/>
          <w:szCs w:val="18"/>
          <w:lang w:eastAsia="en-US" w:bidi="ar-SA"/>
        </w:rPr>
        <w:t xml:space="preserve"> pattern. The most recent substantial refurbishment was the installation of the existing red sandstone </w:t>
      </w:r>
      <w:r w:rsidRPr="00762E50">
        <w:rPr>
          <w:rFonts w:ascii="Candara" w:eastAsiaTheme="minorEastAsia" w:hAnsi="Candara" w:cstheme="minorBidi"/>
          <w:snapToGrid/>
          <w:color w:val="auto"/>
          <w:sz w:val="18"/>
          <w:szCs w:val="18"/>
          <w:lang w:eastAsia="en-US" w:bidi="ar-SA"/>
        </w:rPr>
        <w:lastRenderedPageBreak/>
        <w:t xml:space="preserve">flooring (1939–1960). Similar to this, during the most recent significant restorations, additionally, a marble </w:t>
      </w:r>
      <w:proofErr w:type="spellStart"/>
      <w:r w:rsidRPr="00762E50">
        <w:rPr>
          <w:rFonts w:ascii="Candara" w:eastAsiaTheme="minorEastAsia" w:hAnsi="Candara" w:cstheme="minorBidi"/>
          <w:snapToGrid/>
          <w:color w:val="auto"/>
          <w:sz w:val="18"/>
          <w:szCs w:val="18"/>
          <w:lang w:eastAsia="en-US" w:bidi="ar-SA"/>
        </w:rPr>
        <w:t>Mussalah</w:t>
      </w:r>
      <w:proofErr w:type="spellEnd"/>
      <w:r w:rsidRPr="00762E50">
        <w:rPr>
          <w:rFonts w:ascii="Candara" w:eastAsiaTheme="minorEastAsia" w:hAnsi="Candara" w:cstheme="minorBidi"/>
          <w:snapToGrid/>
          <w:color w:val="auto"/>
          <w:sz w:val="18"/>
          <w:szCs w:val="18"/>
          <w:lang w:eastAsia="en-US" w:bidi="ar-SA"/>
        </w:rPr>
        <w:t xml:space="preserve"> was installed to replace the main prayer room’s original floor, which was constructed of cut and finished brickwork with marbles and Sang-</w:t>
      </w:r>
      <w:proofErr w:type="spellStart"/>
      <w:r w:rsidRPr="00762E50">
        <w:rPr>
          <w:rFonts w:ascii="Candara" w:eastAsiaTheme="minorEastAsia" w:hAnsi="Candara" w:cstheme="minorBidi"/>
          <w:snapToGrid/>
          <w:color w:val="auto"/>
          <w:sz w:val="18"/>
          <w:szCs w:val="18"/>
          <w:lang w:eastAsia="en-US" w:bidi="ar-SA"/>
        </w:rPr>
        <w:t>i</w:t>
      </w:r>
      <w:proofErr w:type="spellEnd"/>
      <w:r w:rsidRPr="00762E50">
        <w:rPr>
          <w:rFonts w:ascii="Candara" w:eastAsiaTheme="minorEastAsia" w:hAnsi="Candara" w:cstheme="minorBidi"/>
          <w:snapToGrid/>
          <w:color w:val="auto"/>
          <w:sz w:val="18"/>
          <w:szCs w:val="18"/>
          <w:lang w:eastAsia="en-US" w:bidi="ar-SA"/>
        </w:rPr>
        <w:t xml:space="preserve">-Abri lining </w:t>
      </w:r>
      <w:r w:rsidRPr="00762E50">
        <w:rPr>
          <w:rFonts w:ascii="Candara" w:eastAsiaTheme="minorEastAsia" w:hAnsi="Candara" w:cstheme="minorBidi"/>
          <w:snapToGrid/>
          <w:color w:val="auto"/>
          <w:sz w:val="18"/>
          <w:szCs w:val="18"/>
          <w:lang w:eastAsia="en-US" w:bidi="ar-SA"/>
        </w:rPr>
        <w:fldChar w:fldCharType="begin"/>
      </w:r>
      <w:r w:rsidR="006141DF">
        <w:rPr>
          <w:rFonts w:ascii="Candara" w:eastAsiaTheme="minorEastAsia" w:hAnsi="Candara" w:cstheme="minorBidi"/>
          <w:snapToGrid/>
          <w:color w:val="auto"/>
          <w:sz w:val="18"/>
          <w:szCs w:val="18"/>
          <w:lang w:eastAsia="en-US" w:bidi="ar-SA"/>
        </w:rPr>
        <w:instrText xml:space="preserve"> ADDIN EN.CITE &lt;EndNote&gt;&lt;Cite&gt;&lt;Author&gt;Zahraa&lt;/Author&gt;&lt;RecNum&gt;66&lt;/RecNum&gt;&lt;DisplayText&gt;[24]&lt;/DisplayText&gt;&lt;record&gt;&lt;rec-number&gt;66&lt;/rec-number&gt;&lt;foreign-keys&gt;&lt;key app="EN" db-id="tepstesptaexxnexzthxafzl5f99arwpaset" timestamp="1669820363"&gt;66&lt;/key&gt;&lt;/foreign-keys&gt;&lt;ref-type name="Journal Article"&gt;17&lt;/ref-type&gt;&lt;contributors&gt;&lt;authors&gt;&lt;author&gt;Zahraa, Fatima&lt;/author&gt;&lt;author&gt;Abdullahb, Sarena&lt;/author&gt;&lt;/authors&gt;&lt;/contributors&gt;&lt;titles&gt;&lt;title&gt;Vehicular Art Themes: Five Indian Subcontinental Art Forms that Inspire Pakistani Truck Visuals&lt;/title&gt;&lt;/titles&gt;&lt;dates&gt;&lt;/dates&gt;&lt;urls&gt;&lt;/urls&gt;&lt;/record&gt;&lt;/Cite&gt;&lt;/EndNote&gt;</w:instrText>
      </w:r>
      <w:r w:rsidRPr="00762E50">
        <w:rPr>
          <w:rFonts w:ascii="Candara" w:eastAsiaTheme="minorEastAsia" w:hAnsi="Candara" w:cstheme="minorBidi"/>
          <w:snapToGrid/>
          <w:color w:val="auto"/>
          <w:sz w:val="18"/>
          <w:szCs w:val="18"/>
          <w:lang w:eastAsia="en-US" w:bidi="ar-SA"/>
        </w:rPr>
        <w:fldChar w:fldCharType="separate"/>
      </w:r>
      <w:r w:rsidR="006141DF">
        <w:rPr>
          <w:rFonts w:ascii="Candara" w:eastAsiaTheme="minorEastAsia" w:hAnsi="Candara" w:cstheme="minorBidi"/>
          <w:noProof/>
          <w:snapToGrid/>
          <w:color w:val="auto"/>
          <w:sz w:val="18"/>
          <w:szCs w:val="18"/>
          <w:lang w:eastAsia="en-US" w:bidi="ar-SA"/>
        </w:rPr>
        <w:t>[24]</w:t>
      </w:r>
      <w:r w:rsidRPr="00762E50">
        <w:rPr>
          <w:rFonts w:ascii="Candara" w:eastAsiaTheme="minorEastAsia" w:hAnsi="Candara" w:cstheme="minorBidi"/>
          <w:snapToGrid/>
          <w:color w:val="auto"/>
          <w:sz w:val="18"/>
          <w:szCs w:val="18"/>
          <w:lang w:eastAsia="en-US" w:bidi="ar-SA"/>
        </w:rPr>
        <w:fldChar w:fldCharType="end"/>
      </w:r>
      <w:r w:rsidRPr="00762E50">
        <w:rPr>
          <w:rFonts w:ascii="Candara" w:eastAsiaTheme="minorEastAsia" w:hAnsi="Candara" w:cstheme="minorBidi"/>
          <w:snapToGrid/>
          <w:color w:val="auto"/>
          <w:sz w:val="18"/>
          <w:szCs w:val="18"/>
          <w:lang w:eastAsia="en-US" w:bidi="ar-SA"/>
        </w:rPr>
        <w:t>.</w:t>
      </w:r>
    </w:p>
    <w:p w:rsidR="007B21A4" w:rsidRPr="00762E50" w:rsidRDefault="007B21A4"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r w:rsidRPr="00762E50">
        <w:rPr>
          <w:rFonts w:ascii="Candara" w:eastAsiaTheme="minorEastAsia" w:hAnsi="Candara" w:cstheme="minorBidi"/>
          <w:snapToGrid/>
          <w:color w:val="auto"/>
          <w:sz w:val="18"/>
          <w:szCs w:val="18"/>
          <w:lang w:eastAsia="en-US" w:bidi="ar-SA"/>
        </w:rPr>
        <w:t>The mosque’s outer walls are extremely ornately adorned and highly detailed, much like the majority of the remaining of the building. The walls are made of sculptured panels and a tower with a turret and a cupola is located at the corner of each wall. Sandstone makes construct the turrets, while pricey white marble is used for the cupolas.</w:t>
      </w:r>
    </w:p>
    <w:p w:rsidR="007B21A4" w:rsidRPr="00A343A5" w:rsidRDefault="007B21A4" w:rsidP="000C5DCB">
      <w:pPr>
        <w:spacing w:before="240" w:after="0" w:line="240" w:lineRule="auto"/>
        <w:jc w:val="both"/>
        <w:rPr>
          <w:rFonts w:ascii="Century Gothic" w:hAnsi="Century Gothic"/>
          <w:b/>
          <w:sz w:val="15"/>
          <w:szCs w:val="15"/>
        </w:rPr>
      </w:pPr>
      <w:r w:rsidRPr="00A343A5">
        <w:rPr>
          <w:rFonts w:ascii="Century Gothic" w:hAnsi="Century Gothic"/>
          <w:b/>
          <w:sz w:val="15"/>
          <w:szCs w:val="15"/>
        </w:rPr>
        <w:t xml:space="preserve">3.5. </w:t>
      </w:r>
      <w:r w:rsidR="009D3E89">
        <w:rPr>
          <w:rFonts w:ascii="Century Gothic" w:hAnsi="Century Gothic"/>
          <w:b/>
          <w:sz w:val="15"/>
          <w:szCs w:val="15"/>
        </w:rPr>
        <w:t xml:space="preserve">INFLUENCE </w:t>
      </w:r>
      <w:r w:rsidR="006870D7">
        <w:rPr>
          <w:rFonts w:ascii="Century Gothic" w:hAnsi="Century Gothic"/>
          <w:b/>
          <w:sz w:val="15"/>
          <w:szCs w:val="15"/>
        </w:rPr>
        <w:t>IN THE MUGHAL ARCHITECTURE</w:t>
      </w:r>
      <w:r w:rsidRPr="00A343A5">
        <w:rPr>
          <w:rFonts w:ascii="Century Gothic" w:hAnsi="Century Gothic"/>
          <w:b/>
          <w:sz w:val="15"/>
          <w:szCs w:val="15"/>
        </w:rPr>
        <w:t xml:space="preserve"> (Analyzing Badshahi Mosque’s Architecture)</w:t>
      </w:r>
    </w:p>
    <w:p w:rsidR="007B21A4" w:rsidRPr="00762E50" w:rsidRDefault="007B21A4" w:rsidP="000C5DCB">
      <w:pPr>
        <w:pStyle w:val="MDPI31text"/>
        <w:spacing w:before="240" w:line="480" w:lineRule="auto"/>
        <w:ind w:left="180" w:firstLine="330"/>
        <w:rPr>
          <w:rFonts w:ascii="Candara" w:eastAsiaTheme="minorEastAsia" w:hAnsi="Candara" w:cstheme="minorBidi"/>
          <w:snapToGrid/>
          <w:color w:val="auto"/>
          <w:sz w:val="18"/>
          <w:szCs w:val="18"/>
          <w:lang w:eastAsia="en-US" w:bidi="ar-SA"/>
        </w:rPr>
      </w:pPr>
      <w:r w:rsidRPr="00762E50">
        <w:rPr>
          <w:rFonts w:ascii="Candara" w:eastAsiaTheme="minorEastAsia" w:hAnsi="Candara" w:cstheme="minorBidi"/>
          <w:snapToGrid/>
          <w:color w:val="auto"/>
          <w:sz w:val="18"/>
          <w:szCs w:val="18"/>
          <w:lang w:eastAsia="en-US" w:bidi="ar-SA"/>
        </w:rPr>
        <w:t>Badshahi mosque is the gift with distinctive features of architecture phrased by Mughal empire. In the Figure 13, we can see clearly through the graphical representation that how Mughal architecture is inspired by different factors and thus brought a new and gorgeous look to Badshahi mosque and other Mughal buildings during their reign.</w:t>
      </w:r>
    </w:p>
    <w:p w:rsidR="007B21A4" w:rsidRPr="00762E50" w:rsidRDefault="007B21A4"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r w:rsidRPr="00762E50">
        <w:rPr>
          <w:rFonts w:ascii="Candara" w:eastAsiaTheme="minorEastAsia" w:hAnsi="Candara" w:cstheme="minorBidi"/>
          <w:snapToGrid/>
          <w:color w:val="auto"/>
          <w:sz w:val="18"/>
          <w:szCs w:val="18"/>
          <w:lang w:eastAsia="en-US" w:bidi="ar-SA"/>
        </w:rPr>
        <w:t>In Badshahi mosque we observed that the small domes over the entrance are traced back in inspiration to the stupa style (Pagoda) of Buddha, so this element in Mughal’s architecture was influenced by Buddha architecture style.</w:t>
      </w:r>
    </w:p>
    <w:p w:rsidR="007B21A4" w:rsidRPr="00762E50" w:rsidRDefault="007B21A4"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r w:rsidRPr="00762E50">
        <w:rPr>
          <w:rFonts w:ascii="Candara" w:eastAsiaTheme="minorEastAsia" w:hAnsi="Candara" w:cstheme="minorBidi"/>
          <w:snapToGrid/>
          <w:color w:val="auto"/>
          <w:sz w:val="18"/>
          <w:szCs w:val="18"/>
          <w:lang w:eastAsia="en-US" w:bidi="ar-SA"/>
        </w:rPr>
        <w:t xml:space="preserve">Moreover, according to Figure 13, Persian, Islamic and Hindu architectural styles all had an effect on Mughal architecture. The carvings and </w:t>
      </w:r>
      <w:r w:rsidRPr="00762E50">
        <w:rPr>
          <w:rFonts w:ascii="Candara" w:eastAsiaTheme="minorEastAsia" w:hAnsi="Candara" w:cstheme="minorBidi"/>
          <w:snapToGrid/>
          <w:color w:val="auto"/>
          <w:sz w:val="18"/>
          <w:szCs w:val="18"/>
          <w:lang w:eastAsia="en-US" w:bidi="ar-SA"/>
        </w:rPr>
        <w:t xml:space="preserve">embellishments on the buildings show this influence. Hinduism frequently employs the idea of flowers in its architecture, including the minarets, which resemble flower stems. In contrast to the smooth curves of Persian arches, Mughal architecture has groves in its arches, a direct borrowing from earlier Indian constructions. The arches in Badshahi mosque are basically the updated form came out of Persian and old Indian architecture </w:t>
      </w:r>
      <w:r w:rsidRPr="00762E50">
        <w:rPr>
          <w:rFonts w:ascii="Candara" w:eastAsiaTheme="minorEastAsia" w:hAnsi="Candara" w:cstheme="minorBidi"/>
          <w:snapToGrid/>
          <w:color w:val="auto"/>
          <w:sz w:val="18"/>
          <w:szCs w:val="18"/>
          <w:lang w:eastAsia="en-US" w:bidi="ar-SA"/>
        </w:rPr>
        <w:fldChar w:fldCharType="begin"/>
      </w:r>
      <w:r w:rsidR="006141DF">
        <w:rPr>
          <w:rFonts w:ascii="Candara" w:eastAsiaTheme="minorEastAsia" w:hAnsi="Candara" w:cstheme="minorBidi"/>
          <w:snapToGrid/>
          <w:color w:val="auto"/>
          <w:sz w:val="18"/>
          <w:szCs w:val="18"/>
          <w:lang w:eastAsia="en-US" w:bidi="ar-SA"/>
        </w:rPr>
        <w:instrText xml:space="preserve"> ADDIN EN.CITE &lt;EndNote&gt;&lt;Cite&gt;&lt;Author&gt;Kumari&lt;/Author&gt;&lt;Year&gt;2019&lt;/Year&gt;&lt;RecNum&gt;67&lt;/RecNum&gt;&lt;DisplayText&gt;[25]&lt;/DisplayText&gt;&lt;record&gt;&lt;rec-number&gt;67&lt;/rec-number&gt;&lt;foreign-keys&gt;&lt;key app="EN" db-id="tepstesptaexxnexzthxafzl5f99arwpaset" timestamp="1669820425"&gt;67&lt;/key&gt;&lt;/foreign-keys&gt;&lt;ref-type name="Journal Article"&gt;17&lt;/ref-type&gt;&lt;contributors&gt;&lt;authors&gt;&lt;author&gt;Kumari, Annu&lt;/author&gt;&lt;/authors&gt;&lt;/contributors&gt;&lt;titles&gt;&lt;title&gt;Elucidation of relationship between clothing silhouette and motifs with Indian Mughal architecture&lt;/title&gt;&lt;secondary-title&gt;Fashion and Textiles&lt;/secondary-title&gt;&lt;/titles&gt;&lt;periodical&gt;&lt;full-title&gt;Fashion and Textiles&lt;/full-title&gt;&lt;/periodical&gt;&lt;pages&gt;1-23&lt;/pages&gt;&lt;volume&gt;6&lt;/volume&gt;&lt;number&gt;1&lt;/number&gt;&lt;dates&gt;&lt;year&gt;2019&lt;/year&gt;&lt;/dates&gt;&lt;isbn&gt;2198-0802&lt;/isbn&gt;&lt;urls&gt;&lt;/urls&gt;&lt;/record&gt;&lt;/Cite&gt;&lt;/EndNote&gt;</w:instrText>
      </w:r>
      <w:r w:rsidRPr="00762E50">
        <w:rPr>
          <w:rFonts w:ascii="Candara" w:eastAsiaTheme="minorEastAsia" w:hAnsi="Candara" w:cstheme="minorBidi"/>
          <w:snapToGrid/>
          <w:color w:val="auto"/>
          <w:sz w:val="18"/>
          <w:szCs w:val="18"/>
          <w:lang w:eastAsia="en-US" w:bidi="ar-SA"/>
        </w:rPr>
        <w:fldChar w:fldCharType="separate"/>
      </w:r>
      <w:r w:rsidR="006141DF">
        <w:rPr>
          <w:rFonts w:ascii="Candara" w:eastAsiaTheme="minorEastAsia" w:hAnsi="Candara" w:cstheme="minorBidi"/>
          <w:noProof/>
          <w:snapToGrid/>
          <w:color w:val="auto"/>
          <w:sz w:val="18"/>
          <w:szCs w:val="18"/>
          <w:lang w:eastAsia="en-US" w:bidi="ar-SA"/>
        </w:rPr>
        <w:t>[25]</w:t>
      </w:r>
      <w:r w:rsidRPr="00762E50">
        <w:rPr>
          <w:rFonts w:ascii="Candara" w:eastAsiaTheme="minorEastAsia" w:hAnsi="Candara" w:cstheme="minorBidi"/>
          <w:snapToGrid/>
          <w:color w:val="auto"/>
          <w:sz w:val="18"/>
          <w:szCs w:val="18"/>
          <w:lang w:eastAsia="en-US" w:bidi="ar-SA"/>
        </w:rPr>
        <w:fldChar w:fldCharType="end"/>
      </w:r>
      <w:r w:rsidRPr="00762E50">
        <w:rPr>
          <w:rFonts w:ascii="Candara" w:eastAsiaTheme="minorEastAsia" w:hAnsi="Candara" w:cstheme="minorBidi"/>
          <w:snapToGrid/>
          <w:color w:val="auto"/>
          <w:sz w:val="18"/>
          <w:szCs w:val="18"/>
          <w:lang w:eastAsia="en-US" w:bidi="ar-SA"/>
        </w:rPr>
        <w:t>.</w:t>
      </w:r>
    </w:p>
    <w:p w:rsidR="007B21A4" w:rsidRDefault="007B21A4" w:rsidP="007B21A4">
      <w:pPr>
        <w:pStyle w:val="MDPI31text"/>
        <w:keepNext/>
        <w:spacing w:line="480" w:lineRule="auto"/>
        <w:ind w:left="0" w:firstLine="0"/>
        <w:jc w:val="center"/>
      </w:pPr>
      <w:r>
        <w:rPr>
          <w:noProof/>
        </w:rPr>
        <w:drawing>
          <wp:inline distT="0" distB="0" distL="0" distR="0" wp14:anchorId="2E2F94DE" wp14:editId="726ED932">
            <wp:extent cx="2651522" cy="14141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0683" cy="1429698"/>
                    </a:xfrm>
                    <a:prstGeom prst="rect">
                      <a:avLst/>
                    </a:prstGeom>
                    <a:noFill/>
                    <a:ln>
                      <a:noFill/>
                    </a:ln>
                  </pic:spPr>
                </pic:pic>
              </a:graphicData>
            </a:graphic>
          </wp:inline>
        </w:drawing>
      </w:r>
    </w:p>
    <w:p w:rsidR="007B21A4" w:rsidRDefault="007B21A4" w:rsidP="007B21A4">
      <w:pPr>
        <w:pStyle w:val="Caption"/>
        <w:rPr>
          <w:rFonts w:ascii="Candara" w:eastAsiaTheme="minorEastAsia" w:hAnsi="Candara" w:cstheme="minorBidi"/>
          <w:b/>
          <w:bCs w:val="0"/>
          <w:sz w:val="15"/>
          <w:szCs w:val="15"/>
          <w:lang w:val="id-ID"/>
        </w:rPr>
      </w:pPr>
      <w:r w:rsidRPr="00EA3340">
        <w:rPr>
          <w:rFonts w:ascii="Candara" w:eastAsiaTheme="minorEastAsia" w:hAnsi="Candara" w:cstheme="minorBidi"/>
          <w:b/>
          <w:bCs w:val="0"/>
          <w:sz w:val="15"/>
          <w:szCs w:val="15"/>
          <w:lang w:val="id-ID"/>
        </w:rPr>
        <w:t xml:space="preserve">Figure </w:t>
      </w:r>
      <w:r w:rsidRPr="00EA3340">
        <w:rPr>
          <w:rFonts w:ascii="Candara" w:eastAsiaTheme="minorEastAsia" w:hAnsi="Candara" w:cstheme="minorBidi"/>
          <w:b/>
          <w:bCs w:val="0"/>
          <w:sz w:val="15"/>
          <w:szCs w:val="15"/>
          <w:lang w:val="id-ID"/>
        </w:rPr>
        <w:fldChar w:fldCharType="begin"/>
      </w:r>
      <w:r w:rsidRPr="00EA3340">
        <w:rPr>
          <w:rFonts w:ascii="Candara" w:eastAsiaTheme="minorEastAsia" w:hAnsi="Candara" w:cstheme="minorBidi"/>
          <w:b/>
          <w:bCs w:val="0"/>
          <w:sz w:val="15"/>
          <w:szCs w:val="15"/>
          <w:lang w:val="id-ID"/>
        </w:rPr>
        <w:instrText xml:space="preserve"> SEQ Figure \* ARABIC </w:instrText>
      </w:r>
      <w:r w:rsidRPr="00EA3340">
        <w:rPr>
          <w:rFonts w:ascii="Candara" w:eastAsiaTheme="minorEastAsia" w:hAnsi="Candara" w:cstheme="minorBidi"/>
          <w:b/>
          <w:bCs w:val="0"/>
          <w:sz w:val="15"/>
          <w:szCs w:val="15"/>
          <w:lang w:val="id-ID"/>
        </w:rPr>
        <w:fldChar w:fldCharType="separate"/>
      </w:r>
      <w:r w:rsidRPr="00EA3340">
        <w:rPr>
          <w:rFonts w:ascii="Candara" w:eastAsiaTheme="minorEastAsia" w:hAnsi="Candara" w:cstheme="minorBidi"/>
          <w:b/>
          <w:bCs w:val="0"/>
          <w:sz w:val="15"/>
          <w:szCs w:val="15"/>
          <w:lang w:val="id-ID"/>
        </w:rPr>
        <w:t>13</w:t>
      </w:r>
      <w:r w:rsidRPr="00EA3340">
        <w:rPr>
          <w:rFonts w:ascii="Candara" w:eastAsiaTheme="minorEastAsia" w:hAnsi="Candara" w:cstheme="minorBidi"/>
          <w:b/>
          <w:bCs w:val="0"/>
          <w:sz w:val="15"/>
          <w:szCs w:val="15"/>
          <w:lang w:val="id-ID"/>
        </w:rPr>
        <w:fldChar w:fldCharType="end"/>
      </w:r>
      <w:r w:rsidRPr="00EA3340">
        <w:rPr>
          <w:rFonts w:ascii="Candara" w:eastAsiaTheme="minorEastAsia" w:hAnsi="Candara" w:cstheme="minorBidi"/>
          <w:b/>
          <w:bCs w:val="0"/>
          <w:sz w:val="15"/>
          <w:szCs w:val="15"/>
          <w:lang w:val="id-ID"/>
        </w:rPr>
        <w:t xml:space="preserve"> Representing the influence in architecture of Badshahi mosque, Lahore, Pakistan. Source: captured by author.</w:t>
      </w:r>
    </w:p>
    <w:p w:rsidR="00EA3340" w:rsidRPr="00EA3340" w:rsidRDefault="00EA3340" w:rsidP="00EA3340">
      <w:pPr>
        <w:rPr>
          <w:lang w:val="id-ID"/>
        </w:rPr>
      </w:pPr>
    </w:p>
    <w:p w:rsidR="007B21A4" w:rsidRPr="00762E50" w:rsidRDefault="007B21A4" w:rsidP="007B21A4">
      <w:pPr>
        <w:pStyle w:val="MDPI31text"/>
        <w:spacing w:line="480" w:lineRule="auto"/>
        <w:ind w:left="180" w:firstLine="330"/>
        <w:rPr>
          <w:rFonts w:ascii="Candara" w:eastAsiaTheme="minorEastAsia" w:hAnsi="Candara" w:cstheme="minorBidi"/>
          <w:snapToGrid/>
          <w:color w:val="auto"/>
          <w:sz w:val="18"/>
          <w:szCs w:val="18"/>
          <w:lang w:eastAsia="en-US" w:bidi="ar-SA"/>
        </w:rPr>
      </w:pPr>
      <w:r w:rsidRPr="00762E50">
        <w:rPr>
          <w:rFonts w:ascii="Candara" w:eastAsiaTheme="minorEastAsia" w:hAnsi="Candara" w:cstheme="minorBidi"/>
          <w:snapToGrid/>
          <w:color w:val="auto"/>
          <w:sz w:val="18"/>
          <w:szCs w:val="18"/>
          <w:lang w:eastAsia="en-US" w:bidi="ar-SA"/>
        </w:rPr>
        <w:t>Stone carving and marble inlay, particularly of loti form figures in striking relief, are used to embellish the facade on red sandstone. Indian, Central Asian, and Indo-Greek architectural influences may be seen in the embellishment’s technique and patterns.</w:t>
      </w:r>
    </w:p>
    <w:p w:rsidR="007B21A4" w:rsidRDefault="007B21A4" w:rsidP="007B21A4">
      <w:pPr>
        <w:pStyle w:val="MDPI31text"/>
        <w:spacing w:line="480" w:lineRule="auto"/>
        <w:ind w:left="180" w:firstLine="330"/>
        <w:rPr>
          <w:rFonts w:asciiTheme="majorBidi" w:hAnsiTheme="majorBidi" w:cstheme="majorBidi"/>
          <w:sz w:val="24"/>
          <w:szCs w:val="24"/>
        </w:rPr>
      </w:pPr>
      <w:r w:rsidRPr="00762E50">
        <w:rPr>
          <w:rFonts w:ascii="Candara" w:eastAsiaTheme="minorEastAsia" w:hAnsi="Candara" w:cstheme="minorBidi"/>
          <w:snapToGrid/>
          <w:color w:val="auto"/>
          <w:sz w:val="18"/>
          <w:szCs w:val="18"/>
          <w:lang w:eastAsia="en-US" w:bidi="ar-SA"/>
        </w:rPr>
        <w:t xml:space="preserve">When we talk about the height of the building of Badshahi mosque then it belongs directly to the nature and psychological behavior of the Mughal nation, who were famous for their dominancy and it was their desire to show a dominancy in their building. So, in the case of Badshahi mosque it is reflected in the double story heighted entrance. Also, Mughal were liking a prominent structure, so </w:t>
      </w:r>
      <w:r w:rsidRPr="00762E50">
        <w:rPr>
          <w:rFonts w:ascii="Candara" w:eastAsiaTheme="minorEastAsia" w:hAnsi="Candara" w:cstheme="minorBidi"/>
          <w:snapToGrid/>
          <w:color w:val="auto"/>
          <w:sz w:val="18"/>
          <w:szCs w:val="18"/>
          <w:lang w:eastAsia="en-US" w:bidi="ar-SA"/>
        </w:rPr>
        <w:lastRenderedPageBreak/>
        <w:t>at the entrance we see that it is dominated by a plinth level of twenty-two steps. The expression of colors in the Figure 14 has a psychological contact with each architecture style and thus represents it. So, it is cleared that Badshahi mosque is the best reflection of Mughal architecture and its architectural influence is traced back to Islamic, Indian, Persian, Buddhist and regional explained through graphical model in Figure 14.</w:t>
      </w:r>
    </w:p>
    <w:p w:rsidR="007B21A4" w:rsidRDefault="007B21A4" w:rsidP="007B21A4">
      <w:pPr>
        <w:pStyle w:val="MDPI31text"/>
        <w:keepNext/>
        <w:spacing w:line="480" w:lineRule="auto"/>
        <w:ind w:left="0" w:firstLine="0"/>
        <w:jc w:val="center"/>
      </w:pPr>
      <w:r w:rsidRPr="00F94D1A">
        <w:rPr>
          <w:rFonts w:asciiTheme="majorBidi" w:eastAsia="SimSun" w:hAnsiTheme="majorBidi" w:cstheme="majorBidi"/>
          <w:noProof/>
          <w:sz w:val="24"/>
          <w:szCs w:val="24"/>
        </w:rPr>
        <w:drawing>
          <wp:inline distT="0" distB="0" distL="0" distR="0" wp14:anchorId="218F371F" wp14:editId="0E425FBB">
            <wp:extent cx="5044440" cy="49520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94902" cy="5001629"/>
                    </a:xfrm>
                    <a:prstGeom prst="rect">
                      <a:avLst/>
                    </a:prstGeom>
                    <a:noFill/>
                    <a:ln>
                      <a:noFill/>
                    </a:ln>
                  </pic:spPr>
                </pic:pic>
              </a:graphicData>
            </a:graphic>
          </wp:inline>
        </w:drawing>
      </w:r>
    </w:p>
    <w:p w:rsidR="007B21A4" w:rsidRPr="00EA3340" w:rsidRDefault="007B21A4" w:rsidP="007B21A4">
      <w:pPr>
        <w:pStyle w:val="Caption"/>
        <w:rPr>
          <w:rFonts w:ascii="Candara" w:eastAsiaTheme="minorEastAsia" w:hAnsi="Candara" w:cstheme="minorBidi"/>
          <w:b/>
          <w:bCs w:val="0"/>
          <w:sz w:val="15"/>
          <w:szCs w:val="15"/>
          <w:lang w:val="id-ID"/>
        </w:rPr>
      </w:pPr>
      <w:r w:rsidRPr="00EA3340">
        <w:rPr>
          <w:rFonts w:ascii="Candara" w:eastAsiaTheme="minorEastAsia" w:hAnsi="Candara" w:cstheme="minorBidi"/>
          <w:b/>
          <w:bCs w:val="0"/>
          <w:sz w:val="15"/>
          <w:szCs w:val="15"/>
          <w:lang w:val="id-ID"/>
        </w:rPr>
        <w:t xml:space="preserve">Figure </w:t>
      </w:r>
      <w:r w:rsidRPr="00EA3340">
        <w:rPr>
          <w:rFonts w:ascii="Candara" w:eastAsiaTheme="minorEastAsia" w:hAnsi="Candara" w:cstheme="minorBidi"/>
          <w:b/>
          <w:bCs w:val="0"/>
          <w:sz w:val="15"/>
          <w:szCs w:val="15"/>
          <w:lang w:val="id-ID"/>
        </w:rPr>
        <w:fldChar w:fldCharType="begin"/>
      </w:r>
      <w:r w:rsidRPr="00EA3340">
        <w:rPr>
          <w:rFonts w:ascii="Candara" w:eastAsiaTheme="minorEastAsia" w:hAnsi="Candara" w:cstheme="minorBidi"/>
          <w:b/>
          <w:bCs w:val="0"/>
          <w:sz w:val="15"/>
          <w:szCs w:val="15"/>
          <w:lang w:val="id-ID"/>
        </w:rPr>
        <w:instrText xml:space="preserve"> SEQ Figure \* ARABIC </w:instrText>
      </w:r>
      <w:r w:rsidRPr="00EA3340">
        <w:rPr>
          <w:rFonts w:ascii="Candara" w:eastAsiaTheme="minorEastAsia" w:hAnsi="Candara" w:cstheme="minorBidi"/>
          <w:b/>
          <w:bCs w:val="0"/>
          <w:sz w:val="15"/>
          <w:szCs w:val="15"/>
          <w:lang w:val="id-ID"/>
        </w:rPr>
        <w:fldChar w:fldCharType="separate"/>
      </w:r>
      <w:r w:rsidRPr="00EA3340">
        <w:rPr>
          <w:rFonts w:ascii="Candara" w:eastAsiaTheme="minorEastAsia" w:hAnsi="Candara" w:cstheme="minorBidi"/>
          <w:b/>
          <w:bCs w:val="0"/>
          <w:sz w:val="15"/>
          <w:szCs w:val="15"/>
          <w:lang w:val="id-ID"/>
        </w:rPr>
        <w:t>14</w:t>
      </w:r>
      <w:r w:rsidRPr="00EA3340">
        <w:rPr>
          <w:rFonts w:ascii="Candara" w:eastAsiaTheme="minorEastAsia" w:hAnsi="Candara" w:cstheme="minorBidi"/>
          <w:b/>
          <w:bCs w:val="0"/>
          <w:sz w:val="15"/>
          <w:szCs w:val="15"/>
          <w:lang w:val="id-ID"/>
        </w:rPr>
        <w:fldChar w:fldCharType="end"/>
      </w:r>
      <w:r w:rsidRPr="00EA3340">
        <w:rPr>
          <w:rFonts w:ascii="Candara" w:eastAsiaTheme="minorEastAsia" w:hAnsi="Candara" w:cstheme="minorBidi"/>
          <w:b/>
          <w:bCs w:val="0"/>
          <w:sz w:val="15"/>
          <w:szCs w:val="15"/>
          <w:lang w:val="id-ID"/>
        </w:rPr>
        <w:t xml:space="preserve"> Circle of influence in Mughal architecture and applying to Badshahi mosque. Source: designed by author.</w:t>
      </w:r>
    </w:p>
    <w:p w:rsidR="007B21A4" w:rsidRPr="007B21A4" w:rsidRDefault="007B21A4" w:rsidP="007B21A4"/>
    <w:p w:rsidR="007B21A4" w:rsidRDefault="007B21A4" w:rsidP="008A20E9">
      <w:pPr>
        <w:spacing w:after="0" w:line="240" w:lineRule="auto"/>
        <w:jc w:val="both"/>
        <w:rPr>
          <w:rFonts w:ascii="Candara" w:hAnsi="Candara"/>
          <w:sz w:val="18"/>
          <w:szCs w:val="18"/>
        </w:rPr>
      </w:pPr>
    </w:p>
    <w:p w:rsidR="00AF7039" w:rsidRDefault="00AF7039">
      <w:pPr>
        <w:rPr>
          <w:rFonts w:ascii="Candara" w:hAnsi="Candara"/>
          <w:sz w:val="18"/>
          <w:szCs w:val="18"/>
        </w:rPr>
      </w:pPr>
      <w:r>
        <w:rPr>
          <w:rFonts w:ascii="Candara" w:hAnsi="Candara"/>
          <w:sz w:val="18"/>
          <w:szCs w:val="18"/>
        </w:rPr>
        <w:br w:type="page"/>
      </w:r>
    </w:p>
    <w:p w:rsidR="00E20FAD" w:rsidRPr="00E20FAD" w:rsidRDefault="00E20FAD" w:rsidP="00E20FAD">
      <w:pPr>
        <w:pStyle w:val="ListParagraph"/>
        <w:numPr>
          <w:ilvl w:val="0"/>
          <w:numId w:val="13"/>
        </w:numPr>
        <w:spacing w:before="240" w:after="0" w:line="240" w:lineRule="auto"/>
        <w:jc w:val="both"/>
        <w:rPr>
          <w:rFonts w:ascii="Century Gothic" w:hAnsi="Century Gothic"/>
          <w:b/>
          <w:sz w:val="18"/>
          <w:szCs w:val="18"/>
        </w:rPr>
      </w:pPr>
      <w:r w:rsidRPr="00E20FAD">
        <w:rPr>
          <w:rFonts w:ascii="Century Gothic" w:hAnsi="Century Gothic"/>
          <w:b/>
          <w:sz w:val="18"/>
          <w:szCs w:val="18"/>
        </w:rPr>
        <w:lastRenderedPageBreak/>
        <w:t>Conclusions</w:t>
      </w:r>
    </w:p>
    <w:p w:rsidR="00E20FAD" w:rsidRPr="00E20FAD" w:rsidRDefault="00E20FAD" w:rsidP="00E20FAD">
      <w:pPr>
        <w:spacing w:after="0" w:line="240" w:lineRule="auto"/>
        <w:ind w:firstLine="425"/>
        <w:jc w:val="both"/>
        <w:rPr>
          <w:rFonts w:ascii="Candara" w:hAnsi="Candara"/>
          <w:sz w:val="18"/>
          <w:szCs w:val="18"/>
        </w:rPr>
      </w:pPr>
      <w:r w:rsidRPr="00E20FAD">
        <w:rPr>
          <w:rFonts w:ascii="Candara" w:hAnsi="Candara"/>
          <w:sz w:val="18"/>
          <w:szCs w:val="18"/>
        </w:rPr>
        <w:t>In summary, BMLH has greatness in history and size, dignity and magnificence in architecture, great safety in style and shape. We discovered that the Badshahi mosque’s architectural ornamentation represents the Mughal’s beliefs, preferences, interests, standards, fashion and traditions. The many components of Islamic artistry and architecture have been blended in this style, which is renowned for its particular ornamental shapes that evolved as Mughal monarchs advanced. The design style of BMLH is distinctive because it collected and adapted many aesthetically attractive architecture techniques of previous Eras and formulated in a new style (Mughal Architecture). From its architectural form, it has been observed that its architecture is inspired by Persian, Buddhist, old Indian and Islamic architecture. It is concluded that there is a clear influence of regional, social, empire, traditions and civilizations over the architecture style of Badshahi mosque and thus it became able to be devoted by its visitors all over the world.</w:t>
      </w:r>
    </w:p>
    <w:p w:rsidR="00E20FAD" w:rsidRDefault="00E20FAD" w:rsidP="00C640B0">
      <w:pPr>
        <w:pStyle w:val="MDPI62BackMatter"/>
        <w:spacing w:line="480" w:lineRule="auto"/>
        <w:ind w:left="180"/>
        <w:rPr>
          <w:rFonts w:ascii="Candara" w:eastAsiaTheme="minorEastAsia" w:hAnsi="Candara" w:cstheme="minorBidi"/>
          <w:b/>
          <w:iCs/>
          <w:snapToGrid/>
          <w:color w:val="auto"/>
          <w:szCs w:val="18"/>
          <w:lang w:bidi="ar-SA"/>
        </w:rPr>
      </w:pPr>
    </w:p>
    <w:p w:rsidR="00C640B0" w:rsidRDefault="00C640B0" w:rsidP="00C640B0">
      <w:pPr>
        <w:pStyle w:val="MDPI62BackMatter"/>
        <w:spacing w:line="480" w:lineRule="auto"/>
        <w:ind w:left="180"/>
        <w:rPr>
          <w:rFonts w:asciiTheme="majorBidi" w:hAnsiTheme="majorBidi" w:cstheme="majorBidi"/>
          <w:b/>
          <w:sz w:val="24"/>
          <w:szCs w:val="24"/>
        </w:rPr>
      </w:pPr>
      <w:r w:rsidRPr="00C640B0">
        <w:rPr>
          <w:rFonts w:ascii="Candara" w:eastAsiaTheme="minorEastAsia" w:hAnsi="Candara" w:cstheme="minorBidi"/>
          <w:b/>
          <w:iCs/>
          <w:snapToGrid/>
          <w:color w:val="auto"/>
          <w:szCs w:val="18"/>
          <w:lang w:bidi="ar-SA"/>
        </w:rPr>
        <w:t>Author Contributions:</w:t>
      </w:r>
      <w:r w:rsidRPr="00AF5591">
        <w:rPr>
          <w:rFonts w:asciiTheme="majorBidi" w:hAnsiTheme="majorBidi" w:cstheme="majorBidi"/>
          <w:b/>
          <w:sz w:val="24"/>
          <w:szCs w:val="24"/>
        </w:rPr>
        <w:t xml:space="preserve"> </w:t>
      </w:r>
    </w:p>
    <w:p w:rsidR="00C640B0" w:rsidRPr="00C640B0" w:rsidRDefault="00C640B0" w:rsidP="00C640B0">
      <w:pPr>
        <w:pStyle w:val="MDPI62BackMatter"/>
        <w:spacing w:line="480" w:lineRule="auto"/>
        <w:ind w:left="180"/>
        <w:rPr>
          <w:rFonts w:ascii="Candara" w:eastAsiaTheme="minorEastAsia" w:hAnsi="Candara" w:cstheme="minorBidi"/>
          <w:snapToGrid/>
          <w:color w:val="auto"/>
          <w:szCs w:val="18"/>
          <w:lang w:bidi="ar-SA"/>
        </w:rPr>
      </w:pPr>
      <w:r w:rsidRPr="00C640B0">
        <w:rPr>
          <w:rFonts w:ascii="Candara" w:eastAsiaTheme="minorEastAsia" w:hAnsi="Candara" w:cstheme="minorBidi"/>
          <w:snapToGrid/>
          <w:color w:val="auto"/>
          <w:szCs w:val="18"/>
          <w:lang w:bidi="ar-SA"/>
        </w:rPr>
        <w:t xml:space="preserve">Conceptualization, </w:t>
      </w:r>
      <w:bookmarkStart w:id="3" w:name="_Hlk124499666"/>
      <w:r w:rsidRPr="00C640B0">
        <w:rPr>
          <w:rFonts w:ascii="Candara" w:eastAsiaTheme="minorEastAsia" w:hAnsi="Candara" w:cstheme="minorBidi"/>
          <w:snapToGrid/>
          <w:color w:val="auto"/>
          <w:szCs w:val="18"/>
          <w:lang w:bidi="ar-SA"/>
        </w:rPr>
        <w:t>S.H. and F.J.</w:t>
      </w:r>
      <w:bookmarkEnd w:id="3"/>
      <w:r w:rsidRPr="00C640B0">
        <w:rPr>
          <w:rFonts w:ascii="Candara" w:eastAsiaTheme="minorEastAsia" w:hAnsi="Candara" w:cstheme="minorBidi"/>
          <w:snapToGrid/>
          <w:color w:val="auto"/>
          <w:szCs w:val="18"/>
          <w:lang w:bidi="ar-SA"/>
        </w:rPr>
        <w:t>; methodology, S.H. and F.J.; software, S.H. and F.J.; validation, S.H. and F.J.; formal analysis, S.H. and F.J.; investigation, S.H. and F.J.; resources, S.H. and F.J.; data curation, S.H. and F.J.; writing—original draft preparation, S.H. and F.J.; writing—review and editing, S.H. and F.J.; visualization, S.H. and F.J.; supervision, F.J.; project administration, S.H. and F.J.; funding acquisition, S.H. and F.J. All authors have read and agreed to the published version of the manuscript.</w:t>
      </w:r>
    </w:p>
    <w:p w:rsidR="00C640B0" w:rsidRDefault="00C640B0" w:rsidP="00C640B0">
      <w:pPr>
        <w:pStyle w:val="MDPI62BackMatter"/>
        <w:spacing w:line="480" w:lineRule="auto"/>
        <w:ind w:left="180"/>
        <w:rPr>
          <w:rFonts w:ascii="Candara" w:eastAsiaTheme="minorEastAsia" w:hAnsi="Candara" w:cstheme="minorBidi"/>
          <w:snapToGrid/>
          <w:color w:val="auto"/>
          <w:szCs w:val="18"/>
          <w:lang w:bidi="ar-SA"/>
        </w:rPr>
      </w:pPr>
      <w:r w:rsidRPr="00C640B0">
        <w:rPr>
          <w:rFonts w:ascii="Candara" w:eastAsiaTheme="minorEastAsia" w:hAnsi="Candara" w:cstheme="minorBidi"/>
          <w:b/>
          <w:iCs/>
          <w:snapToGrid/>
          <w:color w:val="auto"/>
          <w:szCs w:val="18"/>
          <w:lang w:bidi="ar-SA"/>
        </w:rPr>
        <w:t>Funding:</w:t>
      </w:r>
      <w:r w:rsidRPr="00C640B0">
        <w:rPr>
          <w:rFonts w:ascii="Candara" w:eastAsiaTheme="minorEastAsia" w:hAnsi="Candara" w:cstheme="minorBidi"/>
          <w:snapToGrid/>
          <w:color w:val="auto"/>
          <w:szCs w:val="18"/>
          <w:lang w:bidi="ar-SA"/>
        </w:rPr>
        <w:t xml:space="preserve"> </w:t>
      </w:r>
    </w:p>
    <w:p w:rsidR="00C640B0" w:rsidRPr="00AF5591" w:rsidRDefault="00C640B0" w:rsidP="00C640B0">
      <w:pPr>
        <w:pStyle w:val="MDPI62BackMatter"/>
        <w:spacing w:line="480" w:lineRule="auto"/>
        <w:ind w:left="180"/>
        <w:rPr>
          <w:rFonts w:asciiTheme="majorBidi" w:hAnsiTheme="majorBidi" w:cstheme="majorBidi"/>
          <w:sz w:val="24"/>
          <w:szCs w:val="24"/>
        </w:rPr>
      </w:pPr>
      <w:r w:rsidRPr="00C640B0">
        <w:rPr>
          <w:rFonts w:ascii="Candara" w:eastAsiaTheme="minorEastAsia" w:hAnsi="Candara" w:cstheme="minorBidi"/>
          <w:snapToGrid/>
          <w:color w:val="auto"/>
          <w:szCs w:val="18"/>
          <w:lang w:bidi="ar-SA"/>
        </w:rPr>
        <w:t>This research was funded by Open Fund of State Key Lab of Subtropical Building Science, South China University of Technology (20201231).</w:t>
      </w:r>
    </w:p>
    <w:p w:rsidR="00C640B0" w:rsidRDefault="00C640B0" w:rsidP="00C640B0">
      <w:pPr>
        <w:pStyle w:val="MDPI62BackMatter"/>
        <w:spacing w:line="480" w:lineRule="auto"/>
        <w:ind w:left="180"/>
        <w:rPr>
          <w:rFonts w:ascii="Candara" w:eastAsiaTheme="minorEastAsia" w:hAnsi="Candara" w:cstheme="minorBidi"/>
          <w:snapToGrid/>
          <w:color w:val="auto"/>
          <w:szCs w:val="18"/>
          <w:lang w:bidi="ar-SA"/>
        </w:rPr>
      </w:pPr>
      <w:r w:rsidRPr="00C640B0">
        <w:rPr>
          <w:rFonts w:ascii="Candara" w:eastAsiaTheme="minorEastAsia" w:hAnsi="Candara" w:cstheme="minorBidi"/>
          <w:b/>
          <w:iCs/>
          <w:snapToGrid/>
          <w:color w:val="auto"/>
          <w:szCs w:val="18"/>
          <w:lang w:bidi="ar-SA"/>
        </w:rPr>
        <w:t>Conflicts of Interest:</w:t>
      </w:r>
      <w:r w:rsidRPr="00C640B0">
        <w:rPr>
          <w:rFonts w:ascii="Candara" w:eastAsiaTheme="minorEastAsia" w:hAnsi="Candara" w:cstheme="minorBidi"/>
          <w:snapToGrid/>
          <w:color w:val="auto"/>
          <w:szCs w:val="18"/>
          <w:lang w:bidi="ar-SA"/>
        </w:rPr>
        <w:t xml:space="preserve"> </w:t>
      </w:r>
    </w:p>
    <w:p w:rsidR="00C640B0" w:rsidRPr="00AF5591" w:rsidRDefault="00C640B0" w:rsidP="00C640B0">
      <w:pPr>
        <w:pStyle w:val="MDPI62BackMatter"/>
        <w:spacing w:line="480" w:lineRule="auto"/>
        <w:ind w:left="180"/>
        <w:rPr>
          <w:rFonts w:asciiTheme="majorBidi" w:hAnsiTheme="majorBidi" w:cstheme="majorBidi"/>
          <w:sz w:val="24"/>
          <w:szCs w:val="24"/>
        </w:rPr>
      </w:pPr>
      <w:r w:rsidRPr="00C640B0">
        <w:rPr>
          <w:rFonts w:ascii="Candara" w:eastAsiaTheme="minorEastAsia" w:hAnsi="Candara" w:cstheme="minorBidi"/>
          <w:snapToGrid/>
          <w:color w:val="auto"/>
          <w:szCs w:val="18"/>
          <w:lang w:bidi="ar-SA"/>
        </w:rPr>
        <w:t>The authors declare no conflict of interest.</w:t>
      </w:r>
    </w:p>
    <w:p w:rsidR="00AF7039" w:rsidRPr="008A20E9" w:rsidRDefault="00AF7039" w:rsidP="008A20E9">
      <w:pPr>
        <w:spacing w:after="0" w:line="240" w:lineRule="auto"/>
        <w:jc w:val="both"/>
        <w:rPr>
          <w:rFonts w:ascii="Candara" w:hAnsi="Candara"/>
          <w:sz w:val="18"/>
          <w:szCs w:val="18"/>
        </w:rPr>
      </w:pPr>
    </w:p>
    <w:p w:rsidR="008A20E9" w:rsidRDefault="00FB4DC7" w:rsidP="008B24E6">
      <w:pPr>
        <w:spacing w:before="20" w:after="20" w:line="240" w:lineRule="auto"/>
        <w:ind w:firstLine="426"/>
        <w:jc w:val="both"/>
        <w:rPr>
          <w:rFonts w:ascii="Candara" w:hAnsi="Candara"/>
          <w:b/>
          <w:iCs/>
          <w:sz w:val="18"/>
          <w:szCs w:val="18"/>
        </w:rPr>
      </w:pPr>
      <w:r>
        <w:rPr>
          <w:rFonts w:ascii="Candara" w:hAnsi="Candara"/>
          <w:b/>
          <w:iCs/>
          <w:sz w:val="18"/>
          <w:szCs w:val="18"/>
        </w:rPr>
        <w:t>REFERENCES:</w:t>
      </w:r>
    </w:p>
    <w:p w:rsidR="00FB4DC7" w:rsidRPr="00FB4DC7" w:rsidRDefault="00FB4DC7" w:rsidP="008B24E6">
      <w:pPr>
        <w:spacing w:before="20" w:after="20" w:line="240" w:lineRule="auto"/>
        <w:ind w:firstLine="426"/>
        <w:jc w:val="both"/>
        <w:rPr>
          <w:rFonts w:ascii="Candara" w:hAnsi="Candara"/>
          <w:b/>
          <w:iCs/>
          <w:sz w:val="18"/>
          <w:szCs w:val="18"/>
        </w:rPr>
      </w:pPr>
    </w:p>
    <w:p w:rsidR="006141DF" w:rsidRPr="006141DF" w:rsidRDefault="008A20E9" w:rsidP="006141DF">
      <w:pPr>
        <w:pStyle w:val="EndNoteBibliography"/>
        <w:spacing w:after="0"/>
        <w:ind w:left="720" w:hanging="720"/>
      </w:pPr>
      <w:r>
        <w:rPr>
          <w:rFonts w:ascii="Candara" w:hAnsi="Candara"/>
          <w:b/>
          <w:iCs/>
          <w:sz w:val="18"/>
          <w:szCs w:val="18"/>
          <w:lang w:val="id-ID"/>
        </w:rPr>
        <w:fldChar w:fldCharType="begin"/>
      </w:r>
      <w:r>
        <w:rPr>
          <w:rFonts w:ascii="Candara" w:hAnsi="Candara"/>
          <w:b/>
          <w:iCs/>
          <w:sz w:val="18"/>
          <w:szCs w:val="18"/>
          <w:lang w:val="id-ID"/>
        </w:rPr>
        <w:instrText xml:space="preserve"> ADDIN EN.REFLIST </w:instrText>
      </w:r>
      <w:r>
        <w:rPr>
          <w:rFonts w:ascii="Candara" w:hAnsi="Candara"/>
          <w:b/>
          <w:iCs/>
          <w:sz w:val="18"/>
          <w:szCs w:val="18"/>
          <w:lang w:val="id-ID"/>
        </w:rPr>
        <w:fldChar w:fldCharType="separate"/>
      </w:r>
      <w:r w:rsidR="006141DF" w:rsidRPr="006141DF">
        <w:t>1.</w:t>
      </w:r>
      <w:r w:rsidR="006141DF" w:rsidRPr="006141DF">
        <w:tab/>
        <w:t xml:space="preserve">Coley, J.S., D. Das, and G.J. Adler Jr, </w:t>
      </w:r>
      <w:r w:rsidR="006141DF" w:rsidRPr="006141DF">
        <w:rPr>
          <w:i/>
        </w:rPr>
        <w:t>Creating Sacred Spaces: Buddhist, Hindu, Jewish, and Muslim Student Groups at US Colleges and Universities.</w:t>
      </w:r>
      <w:r w:rsidR="006141DF" w:rsidRPr="006141DF">
        <w:t xml:space="preserve"> Sociology of Education, 2022. </w:t>
      </w:r>
      <w:r w:rsidR="006141DF" w:rsidRPr="006141DF">
        <w:rPr>
          <w:b/>
        </w:rPr>
        <w:t>95</w:t>
      </w:r>
      <w:r w:rsidR="006141DF" w:rsidRPr="006141DF">
        <w:t>(3): p. 171-188.</w:t>
      </w:r>
    </w:p>
    <w:p w:rsidR="006141DF" w:rsidRPr="006141DF" w:rsidRDefault="006141DF" w:rsidP="006141DF">
      <w:pPr>
        <w:pStyle w:val="EndNoteBibliography"/>
        <w:spacing w:after="0"/>
        <w:ind w:left="720" w:hanging="720"/>
      </w:pPr>
      <w:r w:rsidRPr="006141DF">
        <w:t>2.</w:t>
      </w:r>
      <w:r w:rsidRPr="006141DF">
        <w:tab/>
        <w:t xml:space="preserve">Khoso, A.A. and N. Akhter, </w:t>
      </w:r>
      <w:r w:rsidRPr="006141DF">
        <w:rPr>
          <w:i/>
        </w:rPr>
        <w:t>ENGLISH 6 THE NEED FOR ETHICAL TECHNIQUES IN THE DEVELOPMENT OF ISLAMIC SOCIETY AND EDUCATIONAL INSTITUTES:(A RESEARCH STUDY).</w:t>
      </w:r>
      <w:r w:rsidRPr="006141DF">
        <w:t xml:space="preserve"> The International Research Journal of Usooluddin, 2021. </w:t>
      </w:r>
      <w:r w:rsidRPr="006141DF">
        <w:rPr>
          <w:b/>
        </w:rPr>
        <w:t>5</w:t>
      </w:r>
      <w:r w:rsidRPr="006141DF">
        <w:t>(1): p. 49-60.</w:t>
      </w:r>
    </w:p>
    <w:p w:rsidR="006141DF" w:rsidRPr="006141DF" w:rsidRDefault="006141DF" w:rsidP="006141DF">
      <w:pPr>
        <w:pStyle w:val="EndNoteBibliography"/>
        <w:spacing w:after="0"/>
        <w:ind w:left="720" w:hanging="720"/>
      </w:pPr>
      <w:r w:rsidRPr="006141DF">
        <w:t>3.</w:t>
      </w:r>
      <w:r w:rsidRPr="006141DF">
        <w:tab/>
        <w:t xml:space="preserve">Qadir, J. and A. Zaman, </w:t>
      </w:r>
      <w:r w:rsidRPr="006141DF">
        <w:rPr>
          <w:i/>
        </w:rPr>
        <w:t>Sustainable development viewed from the lens of Islam.</w:t>
      </w:r>
      <w:r w:rsidRPr="006141DF">
        <w:t xml:space="preserve"> International Journal of Pluralism and Economics Education, 2019. </w:t>
      </w:r>
      <w:r w:rsidRPr="006141DF">
        <w:rPr>
          <w:b/>
        </w:rPr>
        <w:t>10</w:t>
      </w:r>
      <w:r w:rsidRPr="006141DF">
        <w:t>(1): p. 46-60.</w:t>
      </w:r>
    </w:p>
    <w:p w:rsidR="006141DF" w:rsidRPr="006141DF" w:rsidRDefault="006141DF" w:rsidP="006141DF">
      <w:pPr>
        <w:pStyle w:val="EndNoteBibliography"/>
        <w:spacing w:after="0"/>
        <w:ind w:left="720" w:hanging="720"/>
      </w:pPr>
      <w:r w:rsidRPr="006141DF">
        <w:t>4.</w:t>
      </w:r>
      <w:r w:rsidRPr="006141DF">
        <w:tab/>
        <w:t xml:space="preserve">Brand, M., </w:t>
      </w:r>
      <w:r w:rsidRPr="006141DF">
        <w:rPr>
          <w:i/>
        </w:rPr>
        <w:t>Orthodoxy, innovation, and revival: Considerations of the past in Imperial Mughal tomb architecture.</w:t>
      </w:r>
      <w:r w:rsidRPr="006141DF">
        <w:t xml:space="preserve"> Muqarnas, 1993. </w:t>
      </w:r>
      <w:r w:rsidRPr="006141DF">
        <w:rPr>
          <w:b/>
        </w:rPr>
        <w:t>10</w:t>
      </w:r>
      <w:r w:rsidRPr="006141DF">
        <w:t>: p. 323-334.</w:t>
      </w:r>
    </w:p>
    <w:p w:rsidR="006141DF" w:rsidRPr="006141DF" w:rsidRDefault="006141DF" w:rsidP="006141DF">
      <w:pPr>
        <w:pStyle w:val="EndNoteBibliography"/>
        <w:spacing w:after="0"/>
        <w:ind w:left="720" w:hanging="720"/>
      </w:pPr>
      <w:r w:rsidRPr="006141DF">
        <w:t>5.</w:t>
      </w:r>
      <w:r w:rsidRPr="006141DF">
        <w:tab/>
        <w:t xml:space="preserve">Awwad, B., </w:t>
      </w:r>
      <w:r w:rsidRPr="006141DF">
        <w:rPr>
          <w:i/>
        </w:rPr>
        <w:t>The development of the Islamic Heritage in Southeast Asia tradition and future Case study-Mosque Architecture in Malaysia Classification of Styles and Possible Influences Int.</w:t>
      </w:r>
      <w:r w:rsidRPr="006141DF">
        <w:t xml:space="preserve"> J. Eng. Res. Dev, 2017. </w:t>
      </w:r>
      <w:r w:rsidRPr="006141DF">
        <w:rPr>
          <w:b/>
        </w:rPr>
        <w:t>13</w:t>
      </w:r>
      <w:r w:rsidRPr="006141DF">
        <w:t>: p. 63-73.</w:t>
      </w:r>
    </w:p>
    <w:p w:rsidR="006141DF" w:rsidRPr="006141DF" w:rsidRDefault="006141DF" w:rsidP="006141DF">
      <w:pPr>
        <w:pStyle w:val="EndNoteBibliography"/>
        <w:spacing w:after="0"/>
        <w:ind w:left="720" w:hanging="720"/>
      </w:pPr>
      <w:r w:rsidRPr="006141DF">
        <w:t>6.</w:t>
      </w:r>
      <w:r w:rsidRPr="006141DF">
        <w:tab/>
        <w:t xml:space="preserve">Khazaee, M., et al., </w:t>
      </w:r>
      <w:r w:rsidRPr="006141DF">
        <w:rPr>
          <w:i/>
        </w:rPr>
        <w:t>Mughal or Moorish architecture: The origins of Malaysian mosques during colonial periods.</w:t>
      </w:r>
      <w:r w:rsidRPr="006141DF">
        <w:t xml:space="preserve"> Soc. Sci. Humanit, 2015. </w:t>
      </w:r>
      <w:r w:rsidRPr="006141DF">
        <w:rPr>
          <w:b/>
        </w:rPr>
        <w:t>23</w:t>
      </w:r>
      <w:r w:rsidRPr="006141DF">
        <w:t>(3): p. 639-654.</w:t>
      </w:r>
    </w:p>
    <w:p w:rsidR="006141DF" w:rsidRPr="006141DF" w:rsidRDefault="006141DF" w:rsidP="006141DF">
      <w:pPr>
        <w:pStyle w:val="EndNoteBibliography"/>
        <w:spacing w:after="0"/>
        <w:ind w:left="720" w:hanging="720"/>
      </w:pPr>
      <w:r w:rsidRPr="006141DF">
        <w:t>7.</w:t>
      </w:r>
      <w:r w:rsidRPr="006141DF">
        <w:tab/>
        <w:t xml:space="preserve">Maryam, K., </w:t>
      </w:r>
      <w:r w:rsidRPr="006141DF">
        <w:rPr>
          <w:i/>
        </w:rPr>
        <w:t>Influence of Timurid architecture on Safavid and Mughal mosques in India/Maryam Khazaee</w:t>
      </w:r>
      <w:r w:rsidRPr="006141DF">
        <w:t>. 2015, University of Malaya.</w:t>
      </w:r>
    </w:p>
    <w:p w:rsidR="006141DF" w:rsidRPr="006141DF" w:rsidRDefault="006141DF" w:rsidP="006141DF">
      <w:pPr>
        <w:pStyle w:val="EndNoteBibliography"/>
        <w:spacing w:after="0"/>
        <w:ind w:left="720" w:hanging="720"/>
      </w:pPr>
      <w:r w:rsidRPr="006141DF">
        <w:t>8.</w:t>
      </w:r>
      <w:r w:rsidRPr="006141DF">
        <w:tab/>
        <w:t xml:space="preserve">Agha, S.B. and M. Khubaib, </w:t>
      </w:r>
      <w:r w:rsidRPr="006141DF">
        <w:rPr>
          <w:i/>
        </w:rPr>
        <w:t>The three Mosques of Pakistan as an Islamic Heritage Architecture.</w:t>
      </w:r>
      <w:r w:rsidRPr="006141DF">
        <w:t xml:space="preserve"> Al-Azhār, 2020. </w:t>
      </w:r>
      <w:r w:rsidRPr="006141DF">
        <w:rPr>
          <w:b/>
        </w:rPr>
        <w:t>6</w:t>
      </w:r>
      <w:r w:rsidRPr="006141DF">
        <w:t>(1).</w:t>
      </w:r>
    </w:p>
    <w:p w:rsidR="006141DF" w:rsidRPr="006141DF" w:rsidRDefault="006141DF" w:rsidP="006141DF">
      <w:pPr>
        <w:pStyle w:val="EndNoteBibliography"/>
        <w:spacing w:after="0"/>
        <w:ind w:left="720" w:hanging="720"/>
      </w:pPr>
      <w:r w:rsidRPr="006141DF">
        <w:t>9.</w:t>
      </w:r>
      <w:r w:rsidRPr="006141DF">
        <w:tab/>
        <w:t xml:space="preserve">Labadi, S., </w:t>
      </w:r>
      <w:r w:rsidRPr="006141DF">
        <w:rPr>
          <w:i/>
        </w:rPr>
        <w:t>UNESCO, world heritage, and sustainable development: International discourses and local impacts</w:t>
      </w:r>
      <w:r w:rsidRPr="006141DF">
        <w:t xml:space="preserve">, in </w:t>
      </w:r>
      <w:r w:rsidRPr="006141DF">
        <w:rPr>
          <w:i/>
        </w:rPr>
        <w:t>Collision or collaboration</w:t>
      </w:r>
      <w:r w:rsidRPr="006141DF">
        <w:t>. 2017, Springer. p. 45-60.</w:t>
      </w:r>
    </w:p>
    <w:p w:rsidR="006141DF" w:rsidRPr="006141DF" w:rsidRDefault="006141DF" w:rsidP="006141DF">
      <w:pPr>
        <w:pStyle w:val="EndNoteBibliography"/>
        <w:spacing w:after="0"/>
        <w:ind w:left="720" w:hanging="720"/>
      </w:pPr>
      <w:r w:rsidRPr="006141DF">
        <w:lastRenderedPageBreak/>
        <w:t>10.</w:t>
      </w:r>
      <w:r w:rsidRPr="006141DF">
        <w:tab/>
        <w:t xml:space="preserve">Nasrolahi, A., et al. </w:t>
      </w:r>
      <w:r w:rsidRPr="006141DF">
        <w:rPr>
          <w:i/>
        </w:rPr>
        <w:t>Participatory Monitoring in Cultural Heritage Conservation: Case Study: The Landscape zone of the Bisotun World Heritage Site</w:t>
      </w:r>
      <w:r w:rsidRPr="006141DF">
        <w:t xml:space="preserve">. in </w:t>
      </w:r>
      <w:r w:rsidRPr="006141DF">
        <w:rPr>
          <w:i/>
        </w:rPr>
        <w:t>Adjunct Proceedings of the 29th ACM Conference on User Modeling, Adaptation and Personalization</w:t>
      </w:r>
      <w:r w:rsidRPr="006141DF">
        <w:t>. 2021.</w:t>
      </w:r>
    </w:p>
    <w:p w:rsidR="006141DF" w:rsidRPr="006141DF" w:rsidRDefault="006141DF" w:rsidP="006141DF">
      <w:pPr>
        <w:pStyle w:val="EndNoteBibliography"/>
        <w:spacing w:after="0"/>
        <w:ind w:left="720" w:hanging="720"/>
      </w:pPr>
      <w:r w:rsidRPr="006141DF">
        <w:t>11.</w:t>
      </w:r>
      <w:r w:rsidRPr="006141DF">
        <w:tab/>
        <w:t xml:space="preserve">Khan, N.A., et al., </w:t>
      </w:r>
      <w:r w:rsidRPr="006141DF">
        <w:rPr>
          <w:i/>
        </w:rPr>
        <w:t>Critical Review of Pakistani Current Legislation on Sustainable Protection of Cultural Heritage.</w:t>
      </w:r>
      <w:r w:rsidRPr="006141DF">
        <w:t xml:space="preserve"> Sustainability, 2022. </w:t>
      </w:r>
      <w:r w:rsidRPr="006141DF">
        <w:rPr>
          <w:b/>
        </w:rPr>
        <w:t>14</w:t>
      </w:r>
      <w:r w:rsidRPr="006141DF">
        <w:t>(6): p. 3633.</w:t>
      </w:r>
    </w:p>
    <w:p w:rsidR="006141DF" w:rsidRPr="006141DF" w:rsidRDefault="006141DF" w:rsidP="006141DF">
      <w:pPr>
        <w:pStyle w:val="EndNoteBibliography"/>
        <w:spacing w:after="0"/>
        <w:ind w:left="720" w:hanging="720"/>
      </w:pPr>
      <w:r w:rsidRPr="006141DF">
        <w:t>12.</w:t>
      </w:r>
      <w:r w:rsidRPr="006141DF">
        <w:tab/>
        <w:t xml:space="preserve">Larsen, P.B. and W. Logan, </w:t>
      </w:r>
      <w:r w:rsidRPr="006141DF">
        <w:rPr>
          <w:i/>
        </w:rPr>
        <w:t>World Heritage and Sustainable Developement.</w:t>
      </w:r>
      <w:r w:rsidRPr="006141DF">
        <w:t xml:space="preserve"> New Directions in World Heritage Management; Routledge: London, UK, 2018.</w:t>
      </w:r>
    </w:p>
    <w:p w:rsidR="006141DF" w:rsidRPr="006141DF" w:rsidRDefault="006141DF" w:rsidP="006141DF">
      <w:pPr>
        <w:pStyle w:val="EndNoteBibliography"/>
        <w:spacing w:after="0"/>
        <w:ind w:left="720" w:hanging="720"/>
      </w:pPr>
      <w:r w:rsidRPr="006141DF">
        <w:t>13.</w:t>
      </w:r>
      <w:r w:rsidRPr="006141DF">
        <w:tab/>
        <w:t xml:space="preserve">Tarrad, M. and M. Matrouk. </w:t>
      </w:r>
      <w:r w:rsidRPr="006141DF">
        <w:rPr>
          <w:i/>
        </w:rPr>
        <w:t>The dome in Islamic architecture and the contemporary orientations to the design of Mosques’ domes</w:t>
      </w:r>
      <w:r w:rsidRPr="006141DF">
        <w:t xml:space="preserve">. in </w:t>
      </w:r>
      <w:r w:rsidRPr="006141DF">
        <w:rPr>
          <w:i/>
        </w:rPr>
        <w:t>Proceedings of the International Congress: Domes In The World, Florence, Italy</w:t>
      </w:r>
      <w:r w:rsidRPr="006141DF">
        <w:t>. 2012.</w:t>
      </w:r>
    </w:p>
    <w:p w:rsidR="006141DF" w:rsidRPr="006141DF" w:rsidRDefault="006141DF" w:rsidP="006141DF">
      <w:pPr>
        <w:pStyle w:val="EndNoteBibliography"/>
        <w:spacing w:after="0"/>
        <w:ind w:left="720" w:hanging="720"/>
      </w:pPr>
      <w:r w:rsidRPr="006141DF">
        <w:t>14.</w:t>
      </w:r>
      <w:r w:rsidRPr="006141DF">
        <w:tab/>
        <w:t xml:space="preserve">BUKSH, U.M. and U.M. MALIK, </w:t>
      </w:r>
      <w:r w:rsidRPr="006141DF">
        <w:rPr>
          <w:i/>
        </w:rPr>
        <w:t>A Comparative Study of Domes of Contemporary Jami ‘Mosques and Mughul Historical Mosques of Lahore.</w:t>
      </w:r>
      <w:r w:rsidRPr="006141DF">
        <w:t xml:space="preserve"> Quarterly Journal of the Pakistan Historical Society, 2020. </w:t>
      </w:r>
      <w:r w:rsidRPr="006141DF">
        <w:rPr>
          <w:b/>
        </w:rPr>
        <w:t>68</w:t>
      </w:r>
      <w:r w:rsidRPr="006141DF">
        <w:t>(2).</w:t>
      </w:r>
    </w:p>
    <w:p w:rsidR="006141DF" w:rsidRPr="006141DF" w:rsidRDefault="006141DF" w:rsidP="006141DF">
      <w:pPr>
        <w:pStyle w:val="EndNoteBibliography"/>
        <w:spacing w:after="0"/>
        <w:ind w:left="720" w:hanging="720"/>
      </w:pPr>
      <w:r w:rsidRPr="006141DF">
        <w:t>15.</w:t>
      </w:r>
      <w:r w:rsidRPr="006141DF">
        <w:tab/>
        <w:t xml:space="preserve">Mahboob, M.H. and M. Ashfaq, </w:t>
      </w:r>
      <w:r w:rsidRPr="006141DF">
        <w:rPr>
          <w:i/>
        </w:rPr>
        <w:t>Tourist’s Attitude Towards Cultural Heritage and Their Willingness to Pay for Visitation: A Case Study of Lahore-Pakistan.</w:t>
      </w:r>
      <w:r w:rsidRPr="006141DF">
        <w:t xml:space="preserve"> Preprints, 2020.</w:t>
      </w:r>
    </w:p>
    <w:p w:rsidR="006141DF" w:rsidRPr="006141DF" w:rsidRDefault="006141DF" w:rsidP="006141DF">
      <w:pPr>
        <w:pStyle w:val="EndNoteBibliography"/>
        <w:spacing w:after="0"/>
        <w:ind w:left="720" w:hanging="720"/>
      </w:pPr>
      <w:r w:rsidRPr="006141DF">
        <w:t>16.</w:t>
      </w:r>
      <w:r w:rsidRPr="006141DF">
        <w:tab/>
        <w:t xml:space="preserve">Zahra, F. and S.B. Shahir, </w:t>
      </w:r>
      <w:r w:rsidRPr="006141DF">
        <w:rPr>
          <w:i/>
        </w:rPr>
        <w:t>Spiritual Aesthetics of Islamic Ornamentation and the Aesthetic Value in Islamic Architecture.</w:t>
      </w:r>
      <w:r w:rsidRPr="006141DF">
        <w:t xml:space="preserve"> Journal of Islamic Thought and Civilization, 2022. </w:t>
      </w:r>
      <w:r w:rsidRPr="006141DF">
        <w:rPr>
          <w:b/>
        </w:rPr>
        <w:t>12</w:t>
      </w:r>
      <w:r w:rsidRPr="006141DF">
        <w:t>(1): p. 164-175.</w:t>
      </w:r>
    </w:p>
    <w:p w:rsidR="006141DF" w:rsidRPr="006141DF" w:rsidRDefault="006141DF" w:rsidP="006141DF">
      <w:pPr>
        <w:pStyle w:val="EndNoteBibliography"/>
        <w:spacing w:after="0"/>
        <w:ind w:left="720" w:hanging="720"/>
      </w:pPr>
      <w:r w:rsidRPr="006141DF">
        <w:t>17.</w:t>
      </w:r>
      <w:r w:rsidRPr="006141DF">
        <w:tab/>
        <w:t xml:space="preserve">Ejaz, A., </w:t>
      </w:r>
      <w:r w:rsidRPr="006141DF">
        <w:rPr>
          <w:i/>
        </w:rPr>
        <w:t>Muhammad Sohaib Afzaal.</w:t>
      </w:r>
      <w:r w:rsidRPr="006141DF">
        <w:t xml:space="preserve"> 2018.</w:t>
      </w:r>
    </w:p>
    <w:p w:rsidR="006141DF" w:rsidRPr="006141DF" w:rsidRDefault="006141DF" w:rsidP="006141DF">
      <w:pPr>
        <w:pStyle w:val="EndNoteBibliography"/>
        <w:spacing w:after="0"/>
        <w:ind w:left="720" w:hanging="720"/>
      </w:pPr>
      <w:r w:rsidRPr="006141DF">
        <w:t>18.</w:t>
      </w:r>
      <w:r w:rsidRPr="006141DF">
        <w:tab/>
        <w:t xml:space="preserve">Nawawi, N.M., P.S. Jahn Kassim, and S. Hamat, </w:t>
      </w:r>
      <w:r w:rsidRPr="006141DF">
        <w:rPr>
          <w:i/>
        </w:rPr>
        <w:t>A historiography of the mosque: reconciling a renaissance of spirituality in the material forms of Islamic architecture.</w:t>
      </w:r>
      <w:r w:rsidRPr="006141DF">
        <w:t xml:space="preserve"> Advanced Science Letters, 2016. </w:t>
      </w:r>
      <w:r w:rsidRPr="006141DF">
        <w:rPr>
          <w:b/>
        </w:rPr>
        <w:t>22</w:t>
      </w:r>
      <w:r w:rsidRPr="006141DF">
        <w:t>(9): p. 2164-2169.</w:t>
      </w:r>
    </w:p>
    <w:p w:rsidR="006141DF" w:rsidRPr="006141DF" w:rsidRDefault="006141DF" w:rsidP="006141DF">
      <w:pPr>
        <w:pStyle w:val="EndNoteBibliography"/>
        <w:spacing w:after="0"/>
        <w:ind w:left="720" w:hanging="720"/>
      </w:pPr>
      <w:r w:rsidRPr="006141DF">
        <w:t>19.</w:t>
      </w:r>
      <w:r w:rsidRPr="006141DF">
        <w:tab/>
        <w:t xml:space="preserve">Ahmed, A.S., </w:t>
      </w:r>
      <w:r w:rsidRPr="006141DF">
        <w:rPr>
          <w:i/>
        </w:rPr>
        <w:t>The spiritual search of art over Islamic architecture with non-figurative representations.</w:t>
      </w:r>
      <w:r w:rsidRPr="006141DF">
        <w:t xml:space="preserve"> Journal of Islamic Architecture, 2014. </w:t>
      </w:r>
      <w:r w:rsidRPr="006141DF">
        <w:rPr>
          <w:b/>
        </w:rPr>
        <w:t>3</w:t>
      </w:r>
      <w:r w:rsidRPr="006141DF">
        <w:t>(1): p. 1-13.</w:t>
      </w:r>
    </w:p>
    <w:p w:rsidR="006141DF" w:rsidRPr="006141DF" w:rsidRDefault="006141DF" w:rsidP="006141DF">
      <w:pPr>
        <w:pStyle w:val="EndNoteBibliography"/>
        <w:spacing w:after="0"/>
        <w:ind w:left="720" w:hanging="720"/>
        <w:rPr>
          <w:i/>
        </w:rPr>
      </w:pPr>
      <w:r w:rsidRPr="006141DF">
        <w:t>20.</w:t>
      </w:r>
      <w:r w:rsidRPr="006141DF">
        <w:tab/>
        <w:t xml:space="preserve">Bilal, M.A. and A. Parvez, </w:t>
      </w:r>
      <w:r w:rsidRPr="006141DF">
        <w:rPr>
          <w:i/>
        </w:rPr>
        <w:t>Kashi-kari at the Mosque Wazir Khan Lahore.</w:t>
      </w:r>
    </w:p>
    <w:p w:rsidR="006141DF" w:rsidRPr="006141DF" w:rsidRDefault="006141DF" w:rsidP="006141DF">
      <w:pPr>
        <w:pStyle w:val="EndNoteBibliography"/>
        <w:spacing w:after="0"/>
        <w:ind w:left="720" w:hanging="720"/>
      </w:pPr>
      <w:r w:rsidRPr="006141DF">
        <w:t>21.</w:t>
      </w:r>
      <w:r w:rsidRPr="006141DF">
        <w:tab/>
        <w:t xml:space="preserve">Tabbaa, Y., </w:t>
      </w:r>
      <w:r w:rsidRPr="006141DF">
        <w:rPr>
          <w:i/>
        </w:rPr>
        <w:t>Islamic architecture: Form, function and meaning</w:t>
      </w:r>
      <w:r w:rsidRPr="006141DF">
        <w:t>. 1997, JSTOR.</w:t>
      </w:r>
    </w:p>
    <w:p w:rsidR="006141DF" w:rsidRPr="006141DF" w:rsidRDefault="006141DF" w:rsidP="006141DF">
      <w:pPr>
        <w:pStyle w:val="EndNoteBibliography"/>
        <w:spacing w:after="0"/>
        <w:ind w:left="720" w:hanging="720"/>
      </w:pPr>
      <w:r w:rsidRPr="006141DF">
        <w:t>22.</w:t>
      </w:r>
      <w:r w:rsidRPr="006141DF">
        <w:tab/>
        <w:t xml:space="preserve">Nejad, J.M., E. Zarghami, and A.S.H. Abad, </w:t>
      </w:r>
      <w:r w:rsidRPr="006141DF">
        <w:rPr>
          <w:i/>
        </w:rPr>
        <w:t>A study on the concepts and themes of color and light in the exquisite islamic architecture.</w:t>
      </w:r>
      <w:r w:rsidRPr="006141DF">
        <w:t xml:space="preserve"> Journal of Fundamental and Applied Sciences, 2016. </w:t>
      </w:r>
      <w:r w:rsidRPr="006141DF">
        <w:rPr>
          <w:b/>
        </w:rPr>
        <w:t>8</w:t>
      </w:r>
      <w:r w:rsidRPr="006141DF">
        <w:t>(3): p. 1077-1096.</w:t>
      </w:r>
    </w:p>
    <w:p w:rsidR="006141DF" w:rsidRPr="006141DF" w:rsidRDefault="006141DF" w:rsidP="006141DF">
      <w:pPr>
        <w:pStyle w:val="EndNoteBibliography"/>
        <w:spacing w:after="0"/>
        <w:ind w:left="720" w:hanging="720"/>
      </w:pPr>
      <w:r w:rsidRPr="006141DF">
        <w:t>23.</w:t>
      </w:r>
      <w:r w:rsidRPr="006141DF">
        <w:tab/>
        <w:t xml:space="preserve">JAMIL, F. and S. GULZAR, </w:t>
      </w:r>
      <w:r w:rsidRPr="006141DF">
        <w:rPr>
          <w:i/>
        </w:rPr>
        <w:t>HISTORICAL DEVELOPMENT OF DADO ORNAMENTATION IN MUGHAL ARCHITECTURE.</w:t>
      </w:r>
      <w:r w:rsidRPr="006141DF">
        <w:t xml:space="preserve"> Structural Studies, Repairs and Maintenance of Heritage Architecture XV, 2017. </w:t>
      </w:r>
      <w:r w:rsidRPr="006141DF">
        <w:rPr>
          <w:b/>
        </w:rPr>
        <w:t>171</w:t>
      </w:r>
      <w:r w:rsidRPr="006141DF">
        <w:t>: p. 97.</w:t>
      </w:r>
    </w:p>
    <w:p w:rsidR="006141DF" w:rsidRPr="006141DF" w:rsidRDefault="006141DF" w:rsidP="006141DF">
      <w:pPr>
        <w:pStyle w:val="EndNoteBibliography"/>
        <w:spacing w:after="0"/>
        <w:ind w:left="720" w:hanging="720"/>
        <w:rPr>
          <w:i/>
        </w:rPr>
      </w:pPr>
      <w:r w:rsidRPr="006141DF">
        <w:t>24.</w:t>
      </w:r>
      <w:r w:rsidRPr="006141DF">
        <w:tab/>
        <w:t xml:space="preserve">Zahraa, F. and S. Abdullahb, </w:t>
      </w:r>
      <w:r w:rsidRPr="006141DF">
        <w:rPr>
          <w:i/>
        </w:rPr>
        <w:t>Vehicular Art Themes: Five Indian Subcontinental Art Forms that Inspire Pakistani Truck Visuals.</w:t>
      </w:r>
    </w:p>
    <w:p w:rsidR="006141DF" w:rsidRPr="006141DF" w:rsidRDefault="006141DF" w:rsidP="006141DF">
      <w:pPr>
        <w:pStyle w:val="EndNoteBibliography"/>
        <w:ind w:left="720" w:hanging="720"/>
      </w:pPr>
      <w:r w:rsidRPr="006141DF">
        <w:t>25.</w:t>
      </w:r>
      <w:r w:rsidRPr="006141DF">
        <w:tab/>
        <w:t xml:space="preserve">Kumari, A., </w:t>
      </w:r>
      <w:r w:rsidRPr="006141DF">
        <w:rPr>
          <w:i/>
        </w:rPr>
        <w:t>Elucidation of relationship between clothing silhouette and motifs with Indian Mughal architecture.</w:t>
      </w:r>
      <w:r w:rsidRPr="006141DF">
        <w:t xml:space="preserve"> Fashion and Textiles, 2019. </w:t>
      </w:r>
      <w:r w:rsidRPr="006141DF">
        <w:rPr>
          <w:b/>
        </w:rPr>
        <w:t>6</w:t>
      </w:r>
      <w:r w:rsidRPr="006141DF">
        <w:t>(1): p. 1-23.</w:t>
      </w:r>
    </w:p>
    <w:p w:rsidR="00680487" w:rsidRPr="00680487" w:rsidRDefault="008A20E9" w:rsidP="006141DF">
      <w:pPr>
        <w:spacing w:before="20" w:after="20" w:line="240" w:lineRule="auto"/>
        <w:ind w:firstLine="426"/>
        <w:jc w:val="both"/>
        <w:rPr>
          <w:rFonts w:ascii="Candara" w:hAnsi="Candara"/>
          <w:b/>
          <w:iCs/>
          <w:sz w:val="18"/>
          <w:szCs w:val="18"/>
          <w:lang w:val="id-ID"/>
        </w:rPr>
      </w:pPr>
      <w:r>
        <w:rPr>
          <w:rFonts w:ascii="Candara" w:hAnsi="Candara"/>
          <w:b/>
          <w:iCs/>
          <w:sz w:val="18"/>
          <w:szCs w:val="18"/>
          <w:lang w:val="id-ID"/>
        </w:rPr>
        <w:fldChar w:fldCharType="end"/>
      </w:r>
    </w:p>
    <w:sectPr w:rsidR="00680487" w:rsidRPr="00680487" w:rsidSect="00E30F8B">
      <w:type w:val="continuous"/>
      <w:pgSz w:w="11906" w:h="16838" w:code="9"/>
      <w:pgMar w:top="1418" w:right="1134" w:bottom="1701" w:left="1701" w:header="567" w:footer="567" w:gutter="0"/>
      <w:cols w:num="2" w:space="708"/>
      <w:vAlign w:val="both"/>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0572C" w:rsidRDefault="00E0572C" w:rsidP="008513CE">
      <w:pPr>
        <w:spacing w:after="0" w:line="240" w:lineRule="auto"/>
      </w:pPr>
      <w:r>
        <w:separator/>
      </w:r>
    </w:p>
  </w:endnote>
  <w:endnote w:type="continuationSeparator" w:id="0">
    <w:p w:rsidR="00E0572C" w:rsidRDefault="00E0572C" w:rsidP="008513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Square721 BT">
    <w:altName w:val="Segoe Script"/>
    <w:panose1 w:val="020B0504020202060204"/>
    <w:charset w:val="00"/>
    <w:family w:val="swiss"/>
    <w:pitch w:val="variable"/>
    <w:sig w:usb0="800000AF" w:usb1="1000204A" w:usb2="00000000" w:usb3="00000000" w:csb0="00000011" w:csb1="00000000"/>
  </w:font>
  <w:font w:name="Trebuchet MS">
    <w:panose1 w:val="020B0603020202020204"/>
    <w:charset w:val="00"/>
    <w:family w:val="swiss"/>
    <w:pitch w:val="variable"/>
    <w:sig w:usb0="000006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2393"/>
      <w:docPartObj>
        <w:docPartGallery w:val="Page Numbers (Bottom of Page)"/>
        <w:docPartUnique/>
      </w:docPartObj>
    </w:sdtPr>
    <w:sdtEndPr>
      <w:rPr>
        <w:color w:val="7F7F7F" w:themeColor="background1" w:themeShade="7F"/>
        <w:spacing w:val="60"/>
      </w:rPr>
    </w:sdtEndPr>
    <w:sdtContent>
      <w:p w:rsidR="002C4D7A" w:rsidRDefault="00B435F1" w:rsidP="003327CF">
        <w:pPr>
          <w:pStyle w:val="Footer"/>
          <w:pBdr>
            <w:top w:val="single" w:sz="4" w:space="1" w:color="D9D9D9" w:themeColor="background1" w:themeShade="D9"/>
          </w:pBdr>
          <w:spacing w:after="0"/>
          <w:rPr>
            <w:b/>
          </w:rPr>
        </w:pPr>
        <w:r w:rsidRPr="009B382D">
          <w:rPr>
            <w:rFonts w:ascii="Square721 BT" w:hAnsi="Square721 BT"/>
            <w:sz w:val="16"/>
            <w:szCs w:val="16"/>
          </w:rPr>
          <w:fldChar w:fldCharType="begin"/>
        </w:r>
        <w:r w:rsidR="002C4D7A" w:rsidRPr="009B382D">
          <w:rPr>
            <w:rFonts w:ascii="Square721 BT" w:hAnsi="Square721 BT"/>
            <w:sz w:val="16"/>
            <w:szCs w:val="16"/>
          </w:rPr>
          <w:instrText xml:space="preserve"> PAGE   \* MERGEFORMAT </w:instrText>
        </w:r>
        <w:r w:rsidRPr="009B382D">
          <w:rPr>
            <w:rFonts w:ascii="Square721 BT" w:hAnsi="Square721 BT"/>
            <w:sz w:val="16"/>
            <w:szCs w:val="16"/>
          </w:rPr>
          <w:fldChar w:fldCharType="separate"/>
        </w:r>
        <w:r w:rsidR="004C2B9B" w:rsidRPr="004C2B9B">
          <w:rPr>
            <w:rFonts w:ascii="Square721 BT" w:hAnsi="Square721 BT"/>
            <w:b/>
            <w:noProof/>
            <w:sz w:val="16"/>
            <w:szCs w:val="16"/>
          </w:rPr>
          <w:t>2</w:t>
        </w:r>
        <w:r w:rsidRPr="009B382D">
          <w:rPr>
            <w:rFonts w:ascii="Square721 BT" w:hAnsi="Square721 BT"/>
            <w:sz w:val="16"/>
            <w:szCs w:val="16"/>
          </w:rPr>
          <w:fldChar w:fldCharType="end"/>
        </w:r>
        <w:r w:rsidR="002C4D7A" w:rsidRPr="001F5953">
          <w:rPr>
            <w:rFonts w:ascii="Square721 BT" w:hAnsi="Square721 BT"/>
            <w:b/>
            <w:sz w:val="14"/>
            <w:szCs w:val="14"/>
          </w:rPr>
          <w:t xml:space="preserve"> |</w:t>
        </w:r>
        <w:r w:rsidR="003327CF" w:rsidRPr="001F5953">
          <w:rPr>
            <w:rFonts w:ascii="Square721 BT" w:hAnsi="Square721 BT"/>
            <w:b/>
            <w:sz w:val="14"/>
            <w:szCs w:val="14"/>
            <w:lang w:val="id-ID"/>
          </w:rPr>
          <w:t xml:space="preserve"> </w:t>
        </w:r>
        <w:r w:rsidR="003327CF" w:rsidRPr="001F5953">
          <w:rPr>
            <w:rFonts w:ascii="Square721 BT" w:hAnsi="Square721 BT"/>
            <w:sz w:val="14"/>
            <w:szCs w:val="14"/>
            <w:lang w:val="id-ID"/>
          </w:rPr>
          <w:t>Jo</w:t>
        </w:r>
        <w:r w:rsidR="009B382D">
          <w:rPr>
            <w:rFonts w:ascii="Square721 BT" w:hAnsi="Square721 BT"/>
            <w:sz w:val="14"/>
            <w:szCs w:val="14"/>
            <w:lang w:val="id-ID"/>
          </w:rPr>
          <w:t>urnal of Islamic Architecture, 4(1) June 2016</w:t>
        </w:r>
      </w:p>
    </w:sdtContent>
  </w:sdt>
  <w:p w:rsidR="002C4D7A" w:rsidRDefault="002C4D7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ndara" w:hAnsi="Candara"/>
        <w:sz w:val="18"/>
        <w:szCs w:val="18"/>
      </w:rPr>
      <w:id w:val="1992392"/>
      <w:docPartObj>
        <w:docPartGallery w:val="Page Numbers (Bottom of Page)"/>
        <w:docPartUnique/>
      </w:docPartObj>
    </w:sdtPr>
    <w:sdtEndPr>
      <w:rPr>
        <w:color w:val="7F7F7F" w:themeColor="background1" w:themeShade="7F"/>
        <w:spacing w:val="60"/>
      </w:rPr>
    </w:sdtEndPr>
    <w:sdtContent>
      <w:p w:rsidR="001F5953" w:rsidRDefault="006E2FC0" w:rsidP="003327CF">
        <w:pPr>
          <w:pStyle w:val="Footer"/>
          <w:pBdr>
            <w:top w:val="single" w:sz="4" w:space="1" w:color="D9D9D9" w:themeColor="background1" w:themeShade="D9"/>
          </w:pBdr>
          <w:spacing w:after="0"/>
          <w:jc w:val="right"/>
          <w:rPr>
            <w:rFonts w:ascii="Square721 BT" w:hAnsi="Square721 BT"/>
            <w:sz w:val="14"/>
            <w:szCs w:val="14"/>
            <w:lang w:val="id-ID"/>
          </w:rPr>
        </w:pPr>
        <w:r w:rsidRPr="001F5953">
          <w:rPr>
            <w:rFonts w:ascii="Square721 BT" w:hAnsi="Square721 BT"/>
            <w:sz w:val="14"/>
            <w:szCs w:val="14"/>
            <w:lang w:val="id-ID"/>
          </w:rPr>
          <w:t xml:space="preserve"> Jo</w:t>
        </w:r>
        <w:r w:rsidR="009B382D">
          <w:rPr>
            <w:rFonts w:ascii="Square721 BT" w:hAnsi="Square721 BT"/>
            <w:sz w:val="14"/>
            <w:szCs w:val="14"/>
            <w:lang w:val="id-ID"/>
          </w:rPr>
          <w:t>urnal of Islamic Architecture, 4(1) June 2016</w:t>
        </w:r>
        <w:r w:rsidRPr="001F5953">
          <w:rPr>
            <w:rFonts w:ascii="Square721 BT" w:hAnsi="Square721 BT"/>
            <w:sz w:val="14"/>
            <w:szCs w:val="14"/>
            <w:lang w:val="id-ID"/>
          </w:rPr>
          <w:t xml:space="preserve"> </w:t>
        </w:r>
        <w:r w:rsidR="002C4D7A" w:rsidRPr="001F5953">
          <w:rPr>
            <w:rFonts w:ascii="Square721 BT" w:hAnsi="Square721 BT"/>
            <w:sz w:val="14"/>
            <w:szCs w:val="14"/>
          </w:rPr>
          <w:t xml:space="preserve">| </w:t>
        </w:r>
        <w:r w:rsidR="00B435F1" w:rsidRPr="009B382D">
          <w:rPr>
            <w:rFonts w:ascii="Square721 BT" w:hAnsi="Square721 BT"/>
            <w:b/>
            <w:sz w:val="16"/>
            <w:szCs w:val="16"/>
          </w:rPr>
          <w:fldChar w:fldCharType="begin"/>
        </w:r>
        <w:r w:rsidR="002C4D7A" w:rsidRPr="009B382D">
          <w:rPr>
            <w:rFonts w:ascii="Square721 BT" w:hAnsi="Square721 BT"/>
            <w:b/>
            <w:sz w:val="16"/>
            <w:szCs w:val="16"/>
          </w:rPr>
          <w:instrText xml:space="preserve"> PAGE   \* MERGEFORMAT </w:instrText>
        </w:r>
        <w:r w:rsidR="00B435F1" w:rsidRPr="009B382D">
          <w:rPr>
            <w:rFonts w:ascii="Square721 BT" w:hAnsi="Square721 BT"/>
            <w:b/>
            <w:sz w:val="16"/>
            <w:szCs w:val="16"/>
          </w:rPr>
          <w:fldChar w:fldCharType="separate"/>
        </w:r>
        <w:r w:rsidR="004C2B9B">
          <w:rPr>
            <w:rFonts w:ascii="Square721 BT" w:hAnsi="Square721 BT"/>
            <w:b/>
            <w:noProof/>
            <w:sz w:val="16"/>
            <w:szCs w:val="16"/>
          </w:rPr>
          <w:t>3</w:t>
        </w:r>
        <w:r w:rsidR="00B435F1" w:rsidRPr="009B382D">
          <w:rPr>
            <w:rFonts w:ascii="Square721 BT" w:hAnsi="Square721 BT"/>
            <w:b/>
            <w:sz w:val="16"/>
            <w:szCs w:val="16"/>
          </w:rPr>
          <w:fldChar w:fldCharType="end"/>
        </w:r>
      </w:p>
      <w:p w:rsidR="002C4D7A" w:rsidRPr="003327CF" w:rsidRDefault="00000000" w:rsidP="003327CF">
        <w:pPr>
          <w:pStyle w:val="Footer"/>
          <w:pBdr>
            <w:top w:val="single" w:sz="4" w:space="1" w:color="D9D9D9" w:themeColor="background1" w:themeShade="D9"/>
          </w:pBdr>
          <w:spacing w:after="0"/>
          <w:jc w:val="right"/>
          <w:rPr>
            <w:rFonts w:ascii="Candara" w:hAnsi="Candara"/>
            <w:sz w:val="18"/>
            <w:szCs w:val="18"/>
            <w:lang w:val="id-ID"/>
          </w:rPr>
        </w:pPr>
      </w:p>
    </w:sdtContent>
  </w:sdt>
  <w:p w:rsidR="002C4D7A" w:rsidRPr="003327CF" w:rsidRDefault="002C4D7A" w:rsidP="003327CF">
    <w:pPr>
      <w:pStyle w:val="Footer"/>
      <w:spacing w:after="0"/>
      <w:jc w:val="right"/>
      <w:rPr>
        <w:rFonts w:ascii="Candara" w:hAnsi="Candara"/>
        <w:sz w:val="18"/>
        <w:szCs w:val="18"/>
        <w:lang w:val="id-ID"/>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31320" w:rsidRPr="001F5953" w:rsidRDefault="00C31320" w:rsidP="00C31320">
    <w:pPr>
      <w:pStyle w:val="Footer"/>
      <w:spacing w:after="0" w:line="240" w:lineRule="auto"/>
      <w:jc w:val="center"/>
      <w:rPr>
        <w:rFonts w:ascii="Square721 BT" w:hAnsi="Square721 BT"/>
        <w:b/>
        <w:sz w:val="14"/>
        <w:szCs w:val="14"/>
        <w:lang w:val="id-ID"/>
      </w:rPr>
    </w:pPr>
  </w:p>
  <w:tbl>
    <w:tblPr>
      <w:tblStyle w:val="TableGrid"/>
      <w:tblW w:w="9322" w:type="dxa"/>
      <w:tblLook w:val="04A0" w:firstRow="1" w:lastRow="0" w:firstColumn="1" w:lastColumn="0" w:noHBand="0" w:noVBand="1"/>
    </w:tblPr>
    <w:tblGrid>
      <w:gridCol w:w="9322"/>
    </w:tblGrid>
    <w:tr w:rsidR="00C31320" w:rsidTr="001F5953">
      <w:trPr>
        <w:trHeight w:val="137"/>
      </w:trPr>
      <w:tc>
        <w:tcPr>
          <w:tcW w:w="9322" w:type="dxa"/>
          <w:tcBorders>
            <w:top w:val="dotted" w:sz="8" w:space="0" w:color="auto"/>
            <w:left w:val="nil"/>
            <w:bottom w:val="nil"/>
            <w:right w:val="nil"/>
          </w:tcBorders>
          <w:shd w:val="clear" w:color="auto" w:fill="auto"/>
        </w:tcPr>
        <w:p w:rsidR="00C31320" w:rsidRPr="00C718E7" w:rsidRDefault="00C31320" w:rsidP="00E82310">
          <w:pPr>
            <w:jc w:val="right"/>
            <w:rPr>
              <w:rFonts w:ascii="Square721 BT" w:hAnsi="Square721 BT"/>
              <w:sz w:val="4"/>
              <w:szCs w:val="4"/>
            </w:rPr>
          </w:pPr>
          <w:r w:rsidRPr="00D31910">
            <w:rPr>
              <w:rFonts w:ascii="Square721 BT" w:hAnsi="Square721 BT"/>
              <w:sz w:val="14"/>
              <w:szCs w:val="14"/>
            </w:rPr>
            <w:t>Journal of Islamic Architecture</w:t>
          </w:r>
          <w:r w:rsidR="009B382D">
            <w:rPr>
              <w:rFonts w:ascii="Square721 BT" w:hAnsi="Square721 BT"/>
              <w:sz w:val="14"/>
              <w:szCs w:val="14"/>
            </w:rPr>
            <w:t xml:space="preserve">, </w:t>
          </w:r>
          <w:r w:rsidR="00E82310">
            <w:rPr>
              <w:rFonts w:ascii="Square721 BT" w:hAnsi="Square721 BT"/>
              <w:sz w:val="14"/>
              <w:szCs w:val="14"/>
              <w:lang w:val="id-ID"/>
            </w:rPr>
            <w:t>volume</w:t>
          </w:r>
          <w:r w:rsidR="009B382D">
            <w:rPr>
              <w:rFonts w:ascii="Square721 BT" w:hAnsi="Square721 BT"/>
              <w:sz w:val="14"/>
              <w:szCs w:val="14"/>
            </w:rPr>
            <w:t>(</w:t>
          </w:r>
          <w:r w:rsidR="00E82310">
            <w:rPr>
              <w:rFonts w:ascii="Square721 BT" w:hAnsi="Square721 BT"/>
              <w:sz w:val="14"/>
              <w:szCs w:val="14"/>
              <w:lang w:val="id-ID"/>
            </w:rPr>
            <w:t>issue</w:t>
          </w:r>
          <w:r w:rsidR="009B382D">
            <w:rPr>
              <w:rFonts w:ascii="Square721 BT" w:hAnsi="Square721 BT"/>
              <w:sz w:val="14"/>
              <w:szCs w:val="14"/>
            </w:rPr>
            <w:t xml:space="preserve">) </w:t>
          </w:r>
          <w:r w:rsidR="00E82310">
            <w:rPr>
              <w:rFonts w:ascii="Square721 BT" w:hAnsi="Square721 BT"/>
              <w:sz w:val="14"/>
              <w:szCs w:val="14"/>
              <w:lang w:val="id-ID"/>
            </w:rPr>
            <w:t>month</w:t>
          </w:r>
          <w:r>
            <w:rPr>
              <w:rFonts w:ascii="Square721 BT" w:hAnsi="Square721 BT"/>
              <w:sz w:val="14"/>
              <w:szCs w:val="14"/>
            </w:rPr>
            <w:t xml:space="preserve"> </w:t>
          </w:r>
          <w:r w:rsidR="00E82310">
            <w:rPr>
              <w:rFonts w:ascii="Square721 BT" w:hAnsi="Square721 BT"/>
              <w:sz w:val="14"/>
              <w:szCs w:val="14"/>
              <w:lang w:val="id-ID"/>
            </w:rPr>
            <w:t>year</w:t>
          </w:r>
          <w:r>
            <w:rPr>
              <w:rFonts w:ascii="Square721 BT" w:hAnsi="Square721 BT"/>
              <w:sz w:val="14"/>
              <w:szCs w:val="14"/>
            </w:rPr>
            <w:t xml:space="preserve"> </w:t>
          </w:r>
          <w:r w:rsidRPr="001C1424">
            <w:rPr>
              <w:rFonts w:ascii="Square721 BT" w:hAnsi="Square721 BT"/>
              <w:b/>
              <w:sz w:val="16"/>
              <w:szCs w:val="16"/>
            </w:rPr>
            <w:t xml:space="preserve">| </w:t>
          </w:r>
          <w:r w:rsidR="00B435F1" w:rsidRPr="001C1424">
            <w:rPr>
              <w:rFonts w:ascii="Square721 BT" w:hAnsi="Square721 BT"/>
              <w:b/>
              <w:sz w:val="16"/>
              <w:szCs w:val="16"/>
            </w:rPr>
            <w:fldChar w:fldCharType="begin"/>
          </w:r>
          <w:r w:rsidRPr="001F5953">
            <w:rPr>
              <w:rFonts w:ascii="Square721 BT" w:hAnsi="Square721 BT"/>
              <w:b/>
              <w:sz w:val="16"/>
              <w:szCs w:val="16"/>
            </w:rPr>
            <w:instrText xml:space="preserve"> PAGE   \* MERGEFORMAT </w:instrText>
          </w:r>
          <w:r w:rsidR="00B435F1" w:rsidRPr="001C1424">
            <w:rPr>
              <w:rFonts w:ascii="Square721 BT" w:hAnsi="Square721 BT"/>
              <w:b/>
              <w:sz w:val="16"/>
              <w:szCs w:val="16"/>
            </w:rPr>
            <w:fldChar w:fldCharType="separate"/>
          </w:r>
          <w:r w:rsidR="004C2B9B">
            <w:rPr>
              <w:rFonts w:ascii="Square721 BT" w:hAnsi="Square721 BT"/>
              <w:b/>
              <w:noProof/>
              <w:sz w:val="16"/>
              <w:szCs w:val="16"/>
            </w:rPr>
            <w:t>1</w:t>
          </w:r>
          <w:r w:rsidR="00B435F1" w:rsidRPr="001C1424">
            <w:rPr>
              <w:rFonts w:ascii="Square721 BT" w:hAnsi="Square721 BT"/>
              <w:b/>
              <w:sz w:val="16"/>
              <w:szCs w:val="16"/>
            </w:rPr>
            <w:fldChar w:fldCharType="end"/>
          </w:r>
          <w:r w:rsidRPr="00C718E7">
            <w:rPr>
              <w:rFonts w:ascii="Square721 BT" w:hAnsi="Square721 BT"/>
              <w:sz w:val="4"/>
              <w:szCs w:val="4"/>
            </w:rPr>
            <w:t xml:space="preserve"> </w:t>
          </w:r>
        </w:p>
      </w:tc>
    </w:tr>
  </w:tbl>
  <w:p w:rsidR="00C31320" w:rsidRDefault="00C31320" w:rsidP="00C31320">
    <w:pPr>
      <w:pStyle w:val="Footer"/>
      <w:tabs>
        <w:tab w:val="left" w:pos="3105"/>
      </w:tabs>
      <w:spacing w:after="0" w:line="240" w:lineRule="auto"/>
      <w:rPr>
        <w:rFonts w:ascii="Trebuchet MS" w:hAnsi="Trebuchet MS"/>
        <w:sz w:val="18"/>
        <w:szCs w:val="18"/>
      </w:rPr>
    </w:pPr>
  </w:p>
  <w:p w:rsidR="00C31320" w:rsidRDefault="00C313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0572C" w:rsidRDefault="00E0572C" w:rsidP="008513CE">
      <w:pPr>
        <w:spacing w:after="0" w:line="240" w:lineRule="auto"/>
      </w:pPr>
      <w:r>
        <w:separator/>
      </w:r>
    </w:p>
  </w:footnote>
  <w:footnote w:type="continuationSeparator" w:id="0">
    <w:p w:rsidR="00E0572C" w:rsidRDefault="00E0572C" w:rsidP="008513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F5953" w:rsidRPr="00040CC6" w:rsidRDefault="00000000">
    <w:pPr>
      <w:pStyle w:val="Header"/>
      <w:rPr>
        <w:rFonts w:ascii="Square721 BT" w:hAnsi="Square721 BT"/>
        <w:sz w:val="14"/>
        <w:szCs w:val="14"/>
        <w:lang w:val="id-ID"/>
      </w:rPr>
    </w:pPr>
    <w:r>
      <w:rPr>
        <w:rFonts w:ascii="Square721 BT" w:hAnsi="Square721 BT"/>
        <w:noProof/>
        <w:sz w:val="14"/>
        <w:szCs w:val="14"/>
        <w:lang w:val="id-ID" w:eastAsia="ko-KR"/>
      </w:rPr>
      <w:pict>
        <v:shapetype id="_x0000_t32" coordsize="21600,21600" o:spt="32" o:oned="t" path="m,l21600,21600e" filled="f">
          <v:path arrowok="t" fillok="f" o:connecttype="none"/>
          <o:lock v:ext="edit" shapetype="t"/>
        </v:shapetype>
        <v:shape id="_x0000_s1027" type="#_x0000_t32" style="position:absolute;margin-left:1.55pt;margin-top:14.65pt;width:452pt;height:0;z-index:251658240" o:connectortype="straight">
          <v:stroke dashstyle="1 1" endcap="round"/>
        </v:shape>
      </w:pict>
    </w:r>
    <w:r w:rsidR="00E82310">
      <w:rPr>
        <w:rFonts w:ascii="Square721 BT" w:hAnsi="Square721 BT"/>
        <w:sz w:val="14"/>
        <w:szCs w:val="14"/>
        <w:lang w:val="id-ID"/>
      </w:rPr>
      <w:t>Article Title in square721BT 7</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40CC6" w:rsidRPr="00040CC6" w:rsidRDefault="00000000" w:rsidP="00040CC6">
    <w:pPr>
      <w:pStyle w:val="Header"/>
      <w:jc w:val="right"/>
      <w:rPr>
        <w:rFonts w:ascii="Square721 BT" w:hAnsi="Square721 BT"/>
        <w:sz w:val="14"/>
        <w:szCs w:val="14"/>
        <w:lang w:val="id-ID"/>
      </w:rPr>
    </w:pPr>
    <w:r>
      <w:rPr>
        <w:rFonts w:ascii="Square721 BT" w:hAnsi="Square721 BT"/>
        <w:noProof/>
        <w:sz w:val="14"/>
        <w:szCs w:val="14"/>
        <w:lang w:val="id-ID" w:eastAsia="ko-KR"/>
      </w:rPr>
      <w:pict>
        <v:shapetype id="_x0000_t32" coordsize="21600,21600" o:spt="32" o:oned="t" path="m,l21600,21600e" filled="f">
          <v:path arrowok="t" fillok="f" o:connecttype="none"/>
          <o:lock v:ext="edit" shapetype="t"/>
        </v:shapetype>
        <v:shape id="_x0000_s1028" type="#_x0000_t32" style="position:absolute;left:0;text-align:left;margin-left:1.35pt;margin-top:10.9pt;width:453.3pt;height:0;flip:x;z-index:251659264" o:connectortype="straight">
          <v:stroke dashstyle="1 1" endcap="round"/>
        </v:shape>
      </w:pict>
    </w:r>
    <w:r w:rsidR="004C2B9B">
      <w:rPr>
        <w:rFonts w:ascii="Square721 BT" w:hAnsi="Square721 BT"/>
        <w:sz w:val="14"/>
        <w:szCs w:val="14"/>
        <w:lang w:val="id-ID"/>
      </w:rPr>
      <w:t>Authors in Square721BT 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03538"/>
    <w:multiLevelType w:val="hybridMultilevel"/>
    <w:tmpl w:val="E8883AC2"/>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1" w15:restartNumberingAfterBreak="0">
    <w:nsid w:val="071E4876"/>
    <w:multiLevelType w:val="hybridMultilevel"/>
    <w:tmpl w:val="6C96114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15:restartNumberingAfterBreak="0">
    <w:nsid w:val="08A67926"/>
    <w:multiLevelType w:val="hybridMultilevel"/>
    <w:tmpl w:val="F9C460E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15:restartNumberingAfterBreak="0">
    <w:nsid w:val="131C3D56"/>
    <w:multiLevelType w:val="multilevel"/>
    <w:tmpl w:val="5A1A283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C651424"/>
    <w:multiLevelType w:val="hybridMultilevel"/>
    <w:tmpl w:val="C4C8BCC0"/>
    <w:lvl w:ilvl="0" w:tplc="04090019">
      <w:start w:val="1"/>
      <w:numFmt w:val="low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26B93C92"/>
    <w:multiLevelType w:val="hybridMultilevel"/>
    <w:tmpl w:val="F3CEC0F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 w15:restartNumberingAfterBreak="0">
    <w:nsid w:val="2F6028AD"/>
    <w:multiLevelType w:val="hybridMultilevel"/>
    <w:tmpl w:val="B804EDAC"/>
    <w:lvl w:ilvl="0" w:tplc="04090019">
      <w:start w:val="1"/>
      <w:numFmt w:val="low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 w15:restartNumberingAfterBreak="0">
    <w:nsid w:val="342417D9"/>
    <w:multiLevelType w:val="hybridMultilevel"/>
    <w:tmpl w:val="868C51A0"/>
    <w:lvl w:ilvl="0" w:tplc="E18EB65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25A4A7D"/>
    <w:multiLevelType w:val="hybridMultilevel"/>
    <w:tmpl w:val="D950817C"/>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9" w15:restartNumberingAfterBreak="0">
    <w:nsid w:val="48FE76CF"/>
    <w:multiLevelType w:val="hybridMultilevel"/>
    <w:tmpl w:val="73841AE8"/>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0" w15:restartNumberingAfterBreak="0">
    <w:nsid w:val="62023305"/>
    <w:multiLevelType w:val="hybridMultilevel"/>
    <w:tmpl w:val="E99A57B0"/>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11" w15:restartNumberingAfterBreak="0">
    <w:nsid w:val="63B7278E"/>
    <w:multiLevelType w:val="hybridMultilevel"/>
    <w:tmpl w:val="64B287F4"/>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2" w15:restartNumberingAfterBreak="0">
    <w:nsid w:val="6A72676A"/>
    <w:multiLevelType w:val="hybridMultilevel"/>
    <w:tmpl w:val="513A967C"/>
    <w:lvl w:ilvl="0" w:tplc="04090019">
      <w:start w:val="1"/>
      <w:numFmt w:val="low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num w:numId="1" w16cid:durableId="25329310">
    <w:abstractNumId w:val="1"/>
  </w:num>
  <w:num w:numId="2" w16cid:durableId="1342128399">
    <w:abstractNumId w:val="6"/>
  </w:num>
  <w:num w:numId="3" w16cid:durableId="570046433">
    <w:abstractNumId w:val="12"/>
  </w:num>
  <w:num w:numId="4" w16cid:durableId="1977373862">
    <w:abstractNumId w:val="4"/>
  </w:num>
  <w:num w:numId="5" w16cid:durableId="203056224">
    <w:abstractNumId w:val="2"/>
  </w:num>
  <w:num w:numId="6" w16cid:durableId="2018463287">
    <w:abstractNumId w:val="9"/>
  </w:num>
  <w:num w:numId="7" w16cid:durableId="16081618">
    <w:abstractNumId w:val="11"/>
  </w:num>
  <w:num w:numId="8" w16cid:durableId="1628121412">
    <w:abstractNumId w:val="7"/>
  </w:num>
  <w:num w:numId="9" w16cid:durableId="1249004155">
    <w:abstractNumId w:val="5"/>
  </w:num>
  <w:num w:numId="10" w16cid:durableId="2084519674">
    <w:abstractNumId w:val="8"/>
  </w:num>
  <w:num w:numId="11" w16cid:durableId="1093628777">
    <w:abstractNumId w:val="10"/>
  </w:num>
  <w:num w:numId="12" w16cid:durableId="1010913181">
    <w:abstractNumId w:val="0"/>
  </w:num>
  <w:num w:numId="13" w16cid:durableId="88286653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defaultTabStop w:val="720"/>
  <w:evenAndOddHeaders/>
  <w:drawingGridHorizontalSpacing w:val="110"/>
  <w:displayHorizontalDrawingGridEvery w:val="2"/>
  <w:characterSpacingControl w:val="doNotCompress"/>
  <w:hdrShapeDefaults>
    <o:shapedefaults v:ext="edit" spidmax="2059" style="mso-position-horizontal:center;mso-width-relative:margin;mso-height-relative:margin" fillcolor="white">
      <v:fill color="white"/>
    </o:shapedefaults>
    <o:shapelayout v:ext="edit">
      <o:idmap v:ext="edit" data="1"/>
      <o:rules v:ext="edit">
        <o:r id="V:Rule1" type="connector" idref="#_x0000_s1027"/>
        <o:r id="V:Rule2" type="connector" idref="#_x0000_s1028"/>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A95160"/>
    <w:rsid w:val="000077E5"/>
    <w:rsid w:val="00017C1F"/>
    <w:rsid w:val="00017C98"/>
    <w:rsid w:val="00021E8F"/>
    <w:rsid w:val="000278AC"/>
    <w:rsid w:val="00040CC6"/>
    <w:rsid w:val="000428EC"/>
    <w:rsid w:val="00054E00"/>
    <w:rsid w:val="00062170"/>
    <w:rsid w:val="0006278D"/>
    <w:rsid w:val="00075AD2"/>
    <w:rsid w:val="00082BA0"/>
    <w:rsid w:val="00083E42"/>
    <w:rsid w:val="000904D7"/>
    <w:rsid w:val="00092EF4"/>
    <w:rsid w:val="00094C41"/>
    <w:rsid w:val="000A52FF"/>
    <w:rsid w:val="000A6135"/>
    <w:rsid w:val="000A663C"/>
    <w:rsid w:val="000B11CC"/>
    <w:rsid w:val="000C5DCB"/>
    <w:rsid w:val="001130F3"/>
    <w:rsid w:val="00114263"/>
    <w:rsid w:val="001344B9"/>
    <w:rsid w:val="0014007A"/>
    <w:rsid w:val="00163A03"/>
    <w:rsid w:val="00166EC6"/>
    <w:rsid w:val="00191997"/>
    <w:rsid w:val="001B36D0"/>
    <w:rsid w:val="001D1048"/>
    <w:rsid w:val="001F4133"/>
    <w:rsid w:val="001F5953"/>
    <w:rsid w:val="00204E04"/>
    <w:rsid w:val="00205297"/>
    <w:rsid w:val="0021459C"/>
    <w:rsid w:val="00216EC9"/>
    <w:rsid w:val="0022500B"/>
    <w:rsid w:val="00232E04"/>
    <w:rsid w:val="002537E5"/>
    <w:rsid w:val="00271EBA"/>
    <w:rsid w:val="002745BF"/>
    <w:rsid w:val="002B4E1F"/>
    <w:rsid w:val="002C4D7A"/>
    <w:rsid w:val="002D0733"/>
    <w:rsid w:val="002F6A6E"/>
    <w:rsid w:val="00310127"/>
    <w:rsid w:val="003327CF"/>
    <w:rsid w:val="00332CB8"/>
    <w:rsid w:val="00334241"/>
    <w:rsid w:val="00355839"/>
    <w:rsid w:val="0037199F"/>
    <w:rsid w:val="00380C85"/>
    <w:rsid w:val="00382257"/>
    <w:rsid w:val="00396094"/>
    <w:rsid w:val="003B6C91"/>
    <w:rsid w:val="003B73CC"/>
    <w:rsid w:val="003B747B"/>
    <w:rsid w:val="003C47CE"/>
    <w:rsid w:val="00403B76"/>
    <w:rsid w:val="00403D1F"/>
    <w:rsid w:val="00412043"/>
    <w:rsid w:val="00436A9A"/>
    <w:rsid w:val="0045347E"/>
    <w:rsid w:val="004732BA"/>
    <w:rsid w:val="004A3C3B"/>
    <w:rsid w:val="004B0FCD"/>
    <w:rsid w:val="004B1EC8"/>
    <w:rsid w:val="004C2B9B"/>
    <w:rsid w:val="004E6201"/>
    <w:rsid w:val="00507201"/>
    <w:rsid w:val="00514A11"/>
    <w:rsid w:val="00526799"/>
    <w:rsid w:val="00535DFF"/>
    <w:rsid w:val="00543108"/>
    <w:rsid w:val="00552DB8"/>
    <w:rsid w:val="00554916"/>
    <w:rsid w:val="005664F3"/>
    <w:rsid w:val="005A6E68"/>
    <w:rsid w:val="005B0922"/>
    <w:rsid w:val="005B0CAF"/>
    <w:rsid w:val="005E56DA"/>
    <w:rsid w:val="006141DF"/>
    <w:rsid w:val="00620850"/>
    <w:rsid w:val="006267E4"/>
    <w:rsid w:val="00630917"/>
    <w:rsid w:val="00637EE4"/>
    <w:rsid w:val="00652DF7"/>
    <w:rsid w:val="00680487"/>
    <w:rsid w:val="006870D7"/>
    <w:rsid w:val="006D20C7"/>
    <w:rsid w:val="006D4174"/>
    <w:rsid w:val="006E2FC0"/>
    <w:rsid w:val="006F4F05"/>
    <w:rsid w:val="00702D41"/>
    <w:rsid w:val="00707E14"/>
    <w:rsid w:val="0071792B"/>
    <w:rsid w:val="00723017"/>
    <w:rsid w:val="007273AD"/>
    <w:rsid w:val="00730B70"/>
    <w:rsid w:val="00736C6F"/>
    <w:rsid w:val="00742825"/>
    <w:rsid w:val="00745A67"/>
    <w:rsid w:val="00762E50"/>
    <w:rsid w:val="007645E6"/>
    <w:rsid w:val="00771EDE"/>
    <w:rsid w:val="00793043"/>
    <w:rsid w:val="007935E9"/>
    <w:rsid w:val="007B21A4"/>
    <w:rsid w:val="007B25C6"/>
    <w:rsid w:val="007C44A0"/>
    <w:rsid w:val="007C6436"/>
    <w:rsid w:val="007E0042"/>
    <w:rsid w:val="007E4043"/>
    <w:rsid w:val="007F1E59"/>
    <w:rsid w:val="007F3AB9"/>
    <w:rsid w:val="008012F5"/>
    <w:rsid w:val="00806BF2"/>
    <w:rsid w:val="00814CEE"/>
    <w:rsid w:val="0082478B"/>
    <w:rsid w:val="008476CF"/>
    <w:rsid w:val="008513CE"/>
    <w:rsid w:val="008521F7"/>
    <w:rsid w:val="008915C8"/>
    <w:rsid w:val="008A20E9"/>
    <w:rsid w:val="008A3DB5"/>
    <w:rsid w:val="008B24E6"/>
    <w:rsid w:val="008C1284"/>
    <w:rsid w:val="008D5F97"/>
    <w:rsid w:val="008D7095"/>
    <w:rsid w:val="008D7CF3"/>
    <w:rsid w:val="008E3B81"/>
    <w:rsid w:val="008E4FAC"/>
    <w:rsid w:val="008F2BA5"/>
    <w:rsid w:val="008F2FA5"/>
    <w:rsid w:val="00903EAA"/>
    <w:rsid w:val="0090652C"/>
    <w:rsid w:val="00907841"/>
    <w:rsid w:val="00912056"/>
    <w:rsid w:val="00914AC2"/>
    <w:rsid w:val="00935467"/>
    <w:rsid w:val="00947498"/>
    <w:rsid w:val="009A02C7"/>
    <w:rsid w:val="009B382D"/>
    <w:rsid w:val="009C3166"/>
    <w:rsid w:val="009D3E89"/>
    <w:rsid w:val="009D417D"/>
    <w:rsid w:val="009F21CF"/>
    <w:rsid w:val="009F2D05"/>
    <w:rsid w:val="009F75EC"/>
    <w:rsid w:val="00A129BB"/>
    <w:rsid w:val="00A243F7"/>
    <w:rsid w:val="00A26C2B"/>
    <w:rsid w:val="00A27C45"/>
    <w:rsid w:val="00A343A5"/>
    <w:rsid w:val="00A40418"/>
    <w:rsid w:val="00A6596B"/>
    <w:rsid w:val="00A7199F"/>
    <w:rsid w:val="00A72C11"/>
    <w:rsid w:val="00A74579"/>
    <w:rsid w:val="00A80FCC"/>
    <w:rsid w:val="00A84C7A"/>
    <w:rsid w:val="00A93BE9"/>
    <w:rsid w:val="00A95160"/>
    <w:rsid w:val="00AA44D6"/>
    <w:rsid w:val="00AA483A"/>
    <w:rsid w:val="00AB02BE"/>
    <w:rsid w:val="00AC15ED"/>
    <w:rsid w:val="00AD6926"/>
    <w:rsid w:val="00AF42E4"/>
    <w:rsid w:val="00AF5228"/>
    <w:rsid w:val="00AF6D76"/>
    <w:rsid w:val="00AF7039"/>
    <w:rsid w:val="00B00115"/>
    <w:rsid w:val="00B00A23"/>
    <w:rsid w:val="00B110D5"/>
    <w:rsid w:val="00B13627"/>
    <w:rsid w:val="00B15457"/>
    <w:rsid w:val="00B435F1"/>
    <w:rsid w:val="00B51CC9"/>
    <w:rsid w:val="00B542BC"/>
    <w:rsid w:val="00B8429E"/>
    <w:rsid w:val="00B90806"/>
    <w:rsid w:val="00B920C6"/>
    <w:rsid w:val="00BA37B1"/>
    <w:rsid w:val="00BA3C1A"/>
    <w:rsid w:val="00BA66E9"/>
    <w:rsid w:val="00BA71CD"/>
    <w:rsid w:val="00BB002A"/>
    <w:rsid w:val="00BB4C72"/>
    <w:rsid w:val="00BC4F53"/>
    <w:rsid w:val="00BC7997"/>
    <w:rsid w:val="00BE45AB"/>
    <w:rsid w:val="00BF2B50"/>
    <w:rsid w:val="00BF69AD"/>
    <w:rsid w:val="00C11890"/>
    <w:rsid w:val="00C21F4A"/>
    <w:rsid w:val="00C264EF"/>
    <w:rsid w:val="00C31320"/>
    <w:rsid w:val="00C32C4F"/>
    <w:rsid w:val="00C4623A"/>
    <w:rsid w:val="00C54521"/>
    <w:rsid w:val="00C640B0"/>
    <w:rsid w:val="00C718E7"/>
    <w:rsid w:val="00C72CEB"/>
    <w:rsid w:val="00C75057"/>
    <w:rsid w:val="00C766B2"/>
    <w:rsid w:val="00C851CF"/>
    <w:rsid w:val="00C862E3"/>
    <w:rsid w:val="00C91DCA"/>
    <w:rsid w:val="00CA47B7"/>
    <w:rsid w:val="00CA77A5"/>
    <w:rsid w:val="00CB4B6C"/>
    <w:rsid w:val="00CC0C2D"/>
    <w:rsid w:val="00CD08A7"/>
    <w:rsid w:val="00CE7E2F"/>
    <w:rsid w:val="00CF0956"/>
    <w:rsid w:val="00D055E4"/>
    <w:rsid w:val="00D31910"/>
    <w:rsid w:val="00D42D15"/>
    <w:rsid w:val="00D53A85"/>
    <w:rsid w:val="00D939F2"/>
    <w:rsid w:val="00D94EE4"/>
    <w:rsid w:val="00DA533C"/>
    <w:rsid w:val="00DA7FF0"/>
    <w:rsid w:val="00DC352A"/>
    <w:rsid w:val="00DE4BD8"/>
    <w:rsid w:val="00E0572C"/>
    <w:rsid w:val="00E138DC"/>
    <w:rsid w:val="00E20FAD"/>
    <w:rsid w:val="00E30F8B"/>
    <w:rsid w:val="00E417A9"/>
    <w:rsid w:val="00E425B2"/>
    <w:rsid w:val="00E42995"/>
    <w:rsid w:val="00E436F8"/>
    <w:rsid w:val="00E45BB4"/>
    <w:rsid w:val="00E548D7"/>
    <w:rsid w:val="00E60234"/>
    <w:rsid w:val="00E82310"/>
    <w:rsid w:val="00E8579A"/>
    <w:rsid w:val="00EA3340"/>
    <w:rsid w:val="00ED3E6D"/>
    <w:rsid w:val="00EE49E9"/>
    <w:rsid w:val="00EE7C5E"/>
    <w:rsid w:val="00F032F8"/>
    <w:rsid w:val="00F10359"/>
    <w:rsid w:val="00F21AD0"/>
    <w:rsid w:val="00F26E6F"/>
    <w:rsid w:val="00F3513A"/>
    <w:rsid w:val="00F37E44"/>
    <w:rsid w:val="00F40DD9"/>
    <w:rsid w:val="00F446AB"/>
    <w:rsid w:val="00F46F4A"/>
    <w:rsid w:val="00F53934"/>
    <w:rsid w:val="00F54236"/>
    <w:rsid w:val="00F57304"/>
    <w:rsid w:val="00F57915"/>
    <w:rsid w:val="00F7001D"/>
    <w:rsid w:val="00F90435"/>
    <w:rsid w:val="00F913A0"/>
    <w:rsid w:val="00FA414D"/>
    <w:rsid w:val="00FB4DC7"/>
    <w:rsid w:val="00FB64E4"/>
    <w:rsid w:val="00FB6C7B"/>
    <w:rsid w:val="00FD1DC8"/>
    <w:rsid w:val="00FD1F36"/>
    <w:rsid w:val="00FF4A42"/>
  </w:rsids>
  <m:mathPr>
    <m:mathFont m:val="Cambria Math"/>
    <m:brkBin m:val="before"/>
    <m:brkBinSub m:val="--"/>
    <m:smallFrac m:val="0"/>
    <m:dispDef/>
    <m:lMargin m:val="0"/>
    <m:rMargin m:val="0"/>
    <m:defJc m:val="centerGroup"/>
    <m:wrapIndent m:val="1440"/>
    <m:intLim m:val="subSup"/>
    <m:naryLim m:val="undOvr"/>
  </m:mathPr>
  <w:themeFontLang w:val="id-ID"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9" style="mso-position-horizontal:center;mso-width-relative:margin;mso-height-relative:margin" fillcolor="white">
      <v:fill color="white"/>
    </o:shapedefaults>
    <o:shapelayout v:ext="edit">
      <o:idmap v:ext="edit" data="2"/>
    </o:shapelayout>
  </w:shapeDefaults>
  <w:decimalSymbol w:val="."/>
  <w:listSeparator w:val=","/>
  <w14:docId w14:val="566DF3B8"/>
  <w15:docId w15:val="{0464F111-C37E-4488-9D0F-3D89E0AA7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5160"/>
    <w:rPr>
      <w:rFonts w:eastAsiaTheme="minorEastAsia"/>
    </w:rPr>
  </w:style>
  <w:style w:type="paragraph" w:styleId="Heading1">
    <w:name w:val="heading 1"/>
    <w:basedOn w:val="Normal"/>
    <w:next w:val="Normal"/>
    <w:link w:val="Heading1Char"/>
    <w:uiPriority w:val="9"/>
    <w:qFormat/>
    <w:rsid w:val="00A4041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Heading1"/>
    <w:next w:val="Normal"/>
    <w:link w:val="Heading2Char"/>
    <w:semiHidden/>
    <w:unhideWhenUsed/>
    <w:qFormat/>
    <w:rsid w:val="00A40418"/>
    <w:pPr>
      <w:keepLines w:val="0"/>
      <w:tabs>
        <w:tab w:val="left" w:pos="432"/>
        <w:tab w:val="left" w:pos="576"/>
        <w:tab w:val="left" w:pos="720"/>
      </w:tabs>
      <w:spacing w:before="240" w:after="120" w:line="480" w:lineRule="auto"/>
      <w:outlineLvl w:val="1"/>
    </w:pPr>
    <w:rPr>
      <w:rFonts w:ascii="Times New Roman" w:eastAsia="Times New Roman" w:hAnsi="Times New Roman" w:cs="Times New Roman"/>
      <w:b w:val="0"/>
      <w:bCs w:val="0"/>
      <w:i/>
      <w:color w:val="auto"/>
      <w:sz w:val="24"/>
      <w:szCs w:val="24"/>
    </w:rPr>
  </w:style>
  <w:style w:type="paragraph" w:styleId="Heading3">
    <w:name w:val="heading 3"/>
    <w:basedOn w:val="Normal"/>
    <w:next w:val="Normal"/>
    <w:link w:val="Heading3Char"/>
    <w:uiPriority w:val="9"/>
    <w:semiHidden/>
    <w:unhideWhenUsed/>
    <w:qFormat/>
    <w:rsid w:val="007645E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BA3C1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A95160"/>
    <w:pPr>
      <w:spacing w:after="0" w:line="240" w:lineRule="auto"/>
      <w:jc w:val="both"/>
    </w:pPr>
    <w:rPr>
      <w:rFonts w:ascii="Times New Roman" w:eastAsia="Times New Roman" w:hAnsi="Times New Roman" w:cs="Times New Roman"/>
      <w:b/>
      <w:szCs w:val="20"/>
    </w:rPr>
  </w:style>
  <w:style w:type="character" w:customStyle="1" w:styleId="BodyTextChar">
    <w:name w:val="Body Text Char"/>
    <w:basedOn w:val="DefaultParagraphFont"/>
    <w:link w:val="BodyText"/>
    <w:rsid w:val="00A95160"/>
    <w:rPr>
      <w:rFonts w:ascii="Times New Roman" w:eastAsia="Times New Roman" w:hAnsi="Times New Roman" w:cs="Times New Roman"/>
      <w:b/>
      <w:szCs w:val="20"/>
    </w:rPr>
  </w:style>
  <w:style w:type="paragraph" w:customStyle="1" w:styleId="Author">
    <w:name w:val="Author"/>
    <w:basedOn w:val="Normal"/>
    <w:rsid w:val="00A95160"/>
    <w:pPr>
      <w:widowControl w:val="0"/>
      <w:spacing w:after="0" w:line="340" w:lineRule="exact"/>
      <w:jc w:val="center"/>
    </w:pPr>
    <w:rPr>
      <w:rFonts w:ascii="Times New Roman" w:eastAsia="MS Mincho" w:hAnsi="Times New Roman" w:cs="Times New Roman"/>
      <w:kern w:val="2"/>
      <w:szCs w:val="24"/>
      <w:lang w:eastAsia="ja-JP"/>
    </w:rPr>
  </w:style>
  <w:style w:type="paragraph" w:customStyle="1" w:styleId="affiliation">
    <w:name w:val="affiliation"/>
    <w:basedOn w:val="Normal"/>
    <w:rsid w:val="00A95160"/>
    <w:pPr>
      <w:widowControl w:val="0"/>
      <w:spacing w:after="0" w:line="250" w:lineRule="exact"/>
      <w:jc w:val="center"/>
    </w:pPr>
    <w:rPr>
      <w:rFonts w:ascii="Times New Roman" w:eastAsia="MS Mincho" w:hAnsi="Times New Roman" w:cs="Times New Roman"/>
      <w:kern w:val="2"/>
      <w:sz w:val="18"/>
      <w:szCs w:val="24"/>
      <w:lang w:eastAsia="ja-JP"/>
    </w:rPr>
  </w:style>
  <w:style w:type="paragraph" w:customStyle="1" w:styleId="Abstract">
    <w:name w:val="Abstract"/>
    <w:basedOn w:val="Normal"/>
    <w:rsid w:val="00A95160"/>
    <w:pPr>
      <w:widowControl w:val="0"/>
      <w:spacing w:after="0" w:line="250" w:lineRule="exact"/>
      <w:jc w:val="both"/>
    </w:pPr>
    <w:rPr>
      <w:rFonts w:ascii="Times New Roman" w:eastAsia="MS Mincho" w:hAnsi="Times New Roman" w:cs="Times New Roman"/>
      <w:kern w:val="2"/>
      <w:szCs w:val="24"/>
      <w:lang w:eastAsia="ja-JP"/>
    </w:rPr>
  </w:style>
  <w:style w:type="paragraph" w:customStyle="1" w:styleId="Keywords">
    <w:name w:val="Keywords"/>
    <w:basedOn w:val="Normal"/>
    <w:rsid w:val="00A95160"/>
    <w:pPr>
      <w:widowControl w:val="0"/>
      <w:spacing w:after="0" w:line="190" w:lineRule="exact"/>
    </w:pPr>
    <w:rPr>
      <w:rFonts w:ascii="Times New Roman" w:eastAsia="MS Mincho" w:hAnsi="Times New Roman" w:cs="Times New Roman"/>
      <w:kern w:val="2"/>
      <w:sz w:val="18"/>
      <w:szCs w:val="24"/>
      <w:lang w:eastAsia="ja-JP"/>
    </w:rPr>
  </w:style>
  <w:style w:type="paragraph" w:styleId="Footer">
    <w:name w:val="footer"/>
    <w:basedOn w:val="Normal"/>
    <w:link w:val="FooterChar"/>
    <w:uiPriority w:val="99"/>
    <w:unhideWhenUsed/>
    <w:rsid w:val="00A95160"/>
    <w:pPr>
      <w:tabs>
        <w:tab w:val="center" w:pos="4513"/>
        <w:tab w:val="right" w:pos="9026"/>
      </w:tabs>
    </w:pPr>
    <w:rPr>
      <w:rFonts w:ascii="Calibri" w:eastAsia="Calibri" w:hAnsi="Calibri" w:cs="Times New Roman"/>
    </w:rPr>
  </w:style>
  <w:style w:type="character" w:customStyle="1" w:styleId="FooterChar">
    <w:name w:val="Footer Char"/>
    <w:basedOn w:val="DefaultParagraphFont"/>
    <w:link w:val="Footer"/>
    <w:uiPriority w:val="99"/>
    <w:rsid w:val="00A95160"/>
    <w:rPr>
      <w:rFonts w:ascii="Calibri" w:eastAsia="Calibri" w:hAnsi="Calibri" w:cs="Times New Roman"/>
    </w:rPr>
  </w:style>
  <w:style w:type="table" w:styleId="TableGrid">
    <w:name w:val="Table Grid"/>
    <w:basedOn w:val="TableNormal"/>
    <w:uiPriority w:val="39"/>
    <w:rsid w:val="00A951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951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5160"/>
    <w:rPr>
      <w:rFonts w:ascii="Tahoma" w:eastAsiaTheme="minorEastAsia" w:hAnsi="Tahoma" w:cs="Tahoma"/>
      <w:sz w:val="16"/>
      <w:szCs w:val="16"/>
    </w:rPr>
  </w:style>
  <w:style w:type="paragraph" w:styleId="Header">
    <w:name w:val="header"/>
    <w:basedOn w:val="Normal"/>
    <w:link w:val="HeaderChar"/>
    <w:uiPriority w:val="99"/>
    <w:unhideWhenUsed/>
    <w:rsid w:val="008513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513CE"/>
    <w:rPr>
      <w:rFonts w:eastAsiaTheme="minorEastAsia"/>
    </w:rPr>
  </w:style>
  <w:style w:type="paragraph" w:styleId="Caption">
    <w:name w:val="caption"/>
    <w:basedOn w:val="Normal"/>
    <w:next w:val="Normal"/>
    <w:uiPriority w:val="35"/>
    <w:qFormat/>
    <w:rsid w:val="00AA44D6"/>
    <w:pPr>
      <w:spacing w:after="0" w:line="240" w:lineRule="auto"/>
      <w:jc w:val="center"/>
    </w:pPr>
    <w:rPr>
      <w:rFonts w:ascii="Arial" w:eastAsia="Times New Roman" w:hAnsi="Arial" w:cs="Times New Roman"/>
      <w:bCs/>
      <w:sz w:val="18"/>
    </w:rPr>
  </w:style>
  <w:style w:type="paragraph" w:customStyle="1" w:styleId="Table">
    <w:name w:val="Table"/>
    <w:basedOn w:val="Normal"/>
    <w:rsid w:val="00AA44D6"/>
    <w:pPr>
      <w:widowControl w:val="0"/>
      <w:spacing w:after="0" w:line="240" w:lineRule="auto"/>
      <w:jc w:val="both"/>
    </w:pPr>
    <w:rPr>
      <w:rFonts w:ascii="Times New Roman" w:eastAsia="MS Mincho" w:hAnsi="Times New Roman" w:cs="Times New Roman"/>
      <w:kern w:val="2"/>
      <w:sz w:val="18"/>
      <w:szCs w:val="24"/>
      <w:lang w:eastAsia="ja-JP"/>
    </w:rPr>
  </w:style>
  <w:style w:type="paragraph" w:styleId="NormalWeb">
    <w:name w:val="Normal (Web)"/>
    <w:basedOn w:val="Normal"/>
    <w:uiPriority w:val="99"/>
    <w:unhideWhenUsed/>
    <w:rsid w:val="00AA44D6"/>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unhideWhenUsed/>
    <w:rsid w:val="00382257"/>
    <w:rPr>
      <w:color w:val="0000FF" w:themeColor="hyperlink"/>
      <w:u w:val="single"/>
    </w:rPr>
  </w:style>
  <w:style w:type="character" w:customStyle="1" w:styleId="Heading2Char">
    <w:name w:val="Heading 2 Char"/>
    <w:basedOn w:val="DefaultParagraphFont"/>
    <w:link w:val="Heading2"/>
    <w:semiHidden/>
    <w:rsid w:val="00A40418"/>
    <w:rPr>
      <w:rFonts w:ascii="Times New Roman" w:eastAsia="Times New Roman" w:hAnsi="Times New Roman" w:cs="Times New Roman"/>
      <w:i/>
      <w:sz w:val="24"/>
      <w:szCs w:val="24"/>
    </w:rPr>
  </w:style>
  <w:style w:type="character" w:customStyle="1" w:styleId="Heading1Char">
    <w:name w:val="Heading 1 Char"/>
    <w:basedOn w:val="DefaultParagraphFont"/>
    <w:link w:val="Heading1"/>
    <w:uiPriority w:val="9"/>
    <w:rsid w:val="00A40418"/>
    <w:rPr>
      <w:rFonts w:asciiTheme="majorHAnsi" w:eastAsiaTheme="majorEastAsia" w:hAnsiTheme="majorHAnsi" w:cstheme="majorBidi"/>
      <w:b/>
      <w:bCs/>
      <w:color w:val="365F91" w:themeColor="accent1" w:themeShade="BF"/>
      <w:sz w:val="28"/>
      <w:szCs w:val="28"/>
    </w:rPr>
  </w:style>
  <w:style w:type="character" w:styleId="Emphasis">
    <w:name w:val="Emphasis"/>
    <w:basedOn w:val="DefaultParagraphFont"/>
    <w:uiPriority w:val="20"/>
    <w:qFormat/>
    <w:rsid w:val="002537E5"/>
    <w:rPr>
      <w:i/>
      <w:iCs/>
    </w:rPr>
  </w:style>
  <w:style w:type="paragraph" w:styleId="ListParagraph">
    <w:name w:val="List Paragraph"/>
    <w:basedOn w:val="Normal"/>
    <w:uiPriority w:val="34"/>
    <w:qFormat/>
    <w:rsid w:val="00054E00"/>
    <w:pPr>
      <w:ind w:left="720"/>
      <w:contextualSpacing/>
    </w:pPr>
  </w:style>
  <w:style w:type="character" w:customStyle="1" w:styleId="hps">
    <w:name w:val="hps"/>
    <w:basedOn w:val="DefaultParagraphFont"/>
    <w:rsid w:val="009F21CF"/>
  </w:style>
  <w:style w:type="paragraph" w:customStyle="1" w:styleId="MDPI31text">
    <w:name w:val="MDPI_3.1_text"/>
    <w:link w:val="MDPI31textChar"/>
    <w:qFormat/>
    <w:rsid w:val="00CD08A7"/>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character" w:customStyle="1" w:styleId="MDPI31textChar">
    <w:name w:val="MDPI_3.1_text Char"/>
    <w:basedOn w:val="DefaultParagraphFont"/>
    <w:link w:val="MDPI31text"/>
    <w:rsid w:val="00CD08A7"/>
    <w:rPr>
      <w:rFonts w:ascii="Palatino Linotype" w:eastAsia="Times New Roman" w:hAnsi="Palatino Linotype" w:cs="Times New Roman"/>
      <w:snapToGrid w:val="0"/>
      <w:color w:val="000000"/>
      <w:sz w:val="20"/>
      <w:lang w:eastAsia="de-DE" w:bidi="en-US"/>
    </w:rPr>
  </w:style>
  <w:style w:type="character" w:customStyle="1" w:styleId="Heading3Char">
    <w:name w:val="Heading 3 Char"/>
    <w:basedOn w:val="DefaultParagraphFont"/>
    <w:link w:val="Heading3"/>
    <w:uiPriority w:val="9"/>
    <w:semiHidden/>
    <w:rsid w:val="007645E6"/>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BA3C1A"/>
    <w:rPr>
      <w:rFonts w:asciiTheme="majorHAnsi" w:eastAsiaTheme="majorEastAsia" w:hAnsiTheme="majorHAnsi" w:cstheme="majorBidi"/>
      <w:i/>
      <w:iCs/>
      <w:color w:val="365F91" w:themeColor="accent1" w:themeShade="BF"/>
    </w:rPr>
  </w:style>
  <w:style w:type="paragraph" w:customStyle="1" w:styleId="EndNoteBibliography">
    <w:name w:val="EndNote Bibliography"/>
    <w:basedOn w:val="Normal"/>
    <w:link w:val="EndNoteBibliographyChar"/>
    <w:rsid w:val="003B6C91"/>
    <w:pPr>
      <w:spacing w:after="160" w:line="240" w:lineRule="auto"/>
    </w:pPr>
    <w:rPr>
      <w:rFonts w:ascii="Calibri" w:hAnsi="Calibri" w:cs="Calibri"/>
      <w:noProof/>
      <w:lang w:eastAsia="zh-CN"/>
    </w:rPr>
  </w:style>
  <w:style w:type="character" w:customStyle="1" w:styleId="EndNoteBibliographyChar">
    <w:name w:val="EndNote Bibliography Char"/>
    <w:basedOn w:val="DefaultParagraphFont"/>
    <w:link w:val="EndNoteBibliography"/>
    <w:rsid w:val="003B6C91"/>
    <w:rPr>
      <w:rFonts w:ascii="Calibri" w:eastAsiaTheme="minorEastAsia" w:hAnsi="Calibri" w:cs="Calibri"/>
      <w:noProof/>
      <w:lang w:eastAsia="zh-CN"/>
    </w:rPr>
  </w:style>
  <w:style w:type="paragraph" w:customStyle="1" w:styleId="MDPI12title">
    <w:name w:val="MDPI_1.2_title"/>
    <w:next w:val="Normal"/>
    <w:qFormat/>
    <w:rsid w:val="00CA77A5"/>
    <w:pPr>
      <w:adjustRightInd w:val="0"/>
      <w:snapToGrid w:val="0"/>
      <w:spacing w:after="240" w:line="240" w:lineRule="atLeast"/>
    </w:pPr>
    <w:rPr>
      <w:rFonts w:ascii="Palatino Linotype" w:eastAsia="Times New Roman" w:hAnsi="Palatino Linotype" w:cs="Times New Roman"/>
      <w:b/>
      <w:snapToGrid w:val="0"/>
      <w:color w:val="000000"/>
      <w:sz w:val="36"/>
      <w:szCs w:val="20"/>
      <w:lang w:eastAsia="de-DE" w:bidi="en-US"/>
    </w:rPr>
  </w:style>
  <w:style w:type="paragraph" w:customStyle="1" w:styleId="heading20">
    <w:name w:val="heading2"/>
    <w:qFormat/>
    <w:rsid w:val="008A3DB5"/>
    <w:pPr>
      <w:adjustRightInd w:val="0"/>
      <w:snapToGrid w:val="0"/>
      <w:spacing w:before="60" w:after="60" w:line="360" w:lineRule="auto"/>
      <w:ind w:left="510"/>
      <w:outlineLvl w:val="1"/>
    </w:pPr>
    <w:rPr>
      <w:rFonts w:ascii="Times New Roman" w:eastAsia="Times New Roman" w:hAnsi="Times New Roman" w:cs="Times New Roman"/>
      <w:b/>
      <w:noProof/>
      <w:snapToGrid w:val="0"/>
      <w:color w:val="000000"/>
      <w:lang w:eastAsia="de-DE" w:bidi="en-US"/>
    </w:rPr>
  </w:style>
  <w:style w:type="paragraph" w:customStyle="1" w:styleId="EndNoteBibliographyTitle">
    <w:name w:val="EndNote Bibliography Title"/>
    <w:basedOn w:val="Normal"/>
    <w:link w:val="EndNoteBibliographyTitleChar"/>
    <w:rsid w:val="008A20E9"/>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8A20E9"/>
    <w:rPr>
      <w:rFonts w:ascii="Calibri" w:eastAsiaTheme="minorEastAsia" w:hAnsi="Calibri" w:cs="Calibri"/>
      <w:noProof/>
    </w:rPr>
  </w:style>
  <w:style w:type="paragraph" w:customStyle="1" w:styleId="heading10">
    <w:name w:val="heading1"/>
    <w:qFormat/>
    <w:rsid w:val="008A20E9"/>
    <w:pPr>
      <w:adjustRightInd w:val="0"/>
      <w:snapToGrid w:val="0"/>
      <w:spacing w:before="240" w:after="60" w:line="228" w:lineRule="auto"/>
      <w:outlineLvl w:val="0"/>
    </w:pPr>
    <w:rPr>
      <w:rFonts w:ascii="Times New Roman" w:eastAsia="Times New Roman" w:hAnsi="Times New Roman" w:cs="Times New Roman"/>
      <w:b/>
      <w:snapToGrid w:val="0"/>
      <w:color w:val="000000"/>
      <w:sz w:val="24"/>
      <w:lang w:eastAsia="de-DE" w:bidi="en-US"/>
    </w:rPr>
  </w:style>
  <w:style w:type="paragraph" w:customStyle="1" w:styleId="MDPI63Notes">
    <w:name w:val="MDPI_6.3_Notes"/>
    <w:qFormat/>
    <w:rsid w:val="00AF7039"/>
    <w:pPr>
      <w:adjustRightInd w:val="0"/>
      <w:snapToGrid w:val="0"/>
      <w:spacing w:before="240" w:after="0" w:line="228" w:lineRule="auto"/>
      <w:jc w:val="both"/>
    </w:pPr>
    <w:rPr>
      <w:rFonts w:ascii="Palatino Linotype" w:eastAsia="SimSun" w:hAnsi="Palatino Linotype" w:cs="Times New Roman"/>
      <w:snapToGrid w:val="0"/>
      <w:color w:val="000000"/>
      <w:sz w:val="18"/>
      <w:szCs w:val="20"/>
      <w:lang w:bidi="en-US"/>
    </w:rPr>
  </w:style>
  <w:style w:type="paragraph" w:customStyle="1" w:styleId="heading30">
    <w:name w:val="heading3"/>
    <w:qFormat/>
    <w:rsid w:val="007B21A4"/>
    <w:pPr>
      <w:adjustRightInd w:val="0"/>
      <w:snapToGrid w:val="0"/>
      <w:spacing w:before="60" w:after="60" w:line="360" w:lineRule="auto"/>
      <w:ind w:left="1020"/>
      <w:outlineLvl w:val="2"/>
    </w:pPr>
    <w:rPr>
      <w:rFonts w:ascii="Times New Roman" w:eastAsia="Times New Roman" w:hAnsi="Times New Roman" w:cs="Times New Roman"/>
      <w:b/>
      <w:i/>
      <w:snapToGrid w:val="0"/>
      <w:color w:val="000000"/>
      <w:lang w:eastAsia="de-DE" w:bidi="en-US"/>
    </w:rPr>
  </w:style>
  <w:style w:type="paragraph" w:customStyle="1" w:styleId="MDPI62BackMatter">
    <w:name w:val="MDPI_6.2_BackMatter"/>
    <w:qFormat/>
    <w:rsid w:val="00C640B0"/>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51081">
      <w:bodyDiv w:val="1"/>
      <w:marLeft w:val="0"/>
      <w:marRight w:val="0"/>
      <w:marTop w:val="0"/>
      <w:marBottom w:val="0"/>
      <w:divBdr>
        <w:top w:val="none" w:sz="0" w:space="0" w:color="auto"/>
        <w:left w:val="none" w:sz="0" w:space="0" w:color="auto"/>
        <w:bottom w:val="none" w:sz="0" w:space="0" w:color="auto"/>
        <w:right w:val="none" w:sz="0" w:space="0" w:color="auto"/>
      </w:divBdr>
    </w:div>
    <w:div w:id="351301580">
      <w:bodyDiv w:val="1"/>
      <w:marLeft w:val="0"/>
      <w:marRight w:val="0"/>
      <w:marTop w:val="0"/>
      <w:marBottom w:val="0"/>
      <w:divBdr>
        <w:top w:val="none" w:sz="0" w:space="0" w:color="auto"/>
        <w:left w:val="none" w:sz="0" w:space="0" w:color="auto"/>
        <w:bottom w:val="none" w:sz="0" w:space="0" w:color="auto"/>
        <w:right w:val="none" w:sz="0" w:space="0" w:color="auto"/>
      </w:divBdr>
    </w:div>
    <w:div w:id="585924083">
      <w:bodyDiv w:val="1"/>
      <w:marLeft w:val="0"/>
      <w:marRight w:val="0"/>
      <w:marTop w:val="0"/>
      <w:marBottom w:val="0"/>
      <w:divBdr>
        <w:top w:val="none" w:sz="0" w:space="0" w:color="auto"/>
        <w:left w:val="none" w:sz="0" w:space="0" w:color="auto"/>
        <w:bottom w:val="none" w:sz="0" w:space="0" w:color="auto"/>
        <w:right w:val="none" w:sz="0" w:space="0" w:color="auto"/>
      </w:divBdr>
    </w:div>
    <w:div w:id="759641178">
      <w:bodyDiv w:val="1"/>
      <w:marLeft w:val="0"/>
      <w:marRight w:val="0"/>
      <w:marTop w:val="0"/>
      <w:marBottom w:val="0"/>
      <w:divBdr>
        <w:top w:val="none" w:sz="0" w:space="0" w:color="auto"/>
        <w:left w:val="none" w:sz="0" w:space="0" w:color="auto"/>
        <w:bottom w:val="none" w:sz="0" w:space="0" w:color="auto"/>
        <w:right w:val="none" w:sz="0" w:space="0" w:color="auto"/>
      </w:divBdr>
    </w:div>
    <w:div w:id="1106537792">
      <w:bodyDiv w:val="1"/>
      <w:marLeft w:val="0"/>
      <w:marRight w:val="0"/>
      <w:marTop w:val="0"/>
      <w:marBottom w:val="0"/>
      <w:divBdr>
        <w:top w:val="none" w:sz="0" w:space="0" w:color="auto"/>
        <w:left w:val="none" w:sz="0" w:space="0" w:color="auto"/>
        <w:bottom w:val="none" w:sz="0" w:space="0" w:color="auto"/>
        <w:right w:val="none" w:sz="0" w:space="0" w:color="auto"/>
      </w:divBdr>
      <w:divsChild>
        <w:div w:id="49773790">
          <w:marLeft w:val="0"/>
          <w:marRight w:val="0"/>
          <w:marTop w:val="0"/>
          <w:marBottom w:val="0"/>
          <w:divBdr>
            <w:top w:val="none" w:sz="0" w:space="0" w:color="auto"/>
            <w:left w:val="none" w:sz="0" w:space="0" w:color="auto"/>
            <w:bottom w:val="none" w:sz="0" w:space="0" w:color="auto"/>
            <w:right w:val="none" w:sz="0" w:space="0" w:color="auto"/>
          </w:divBdr>
        </w:div>
        <w:div w:id="213151146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4.wmf"/><Relationship Id="rId26" Type="http://schemas.openxmlformats.org/officeDocument/2006/relationships/image" Target="media/image12.tiff"/><Relationship Id="rId3" Type="http://schemas.openxmlformats.org/officeDocument/2006/relationships/styles" Target="styles.xml"/><Relationship Id="rId21" Type="http://schemas.openxmlformats.org/officeDocument/2006/relationships/image" Target="media/image7.tiff"/><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3.wmf"/><Relationship Id="rId25" Type="http://schemas.openxmlformats.org/officeDocument/2006/relationships/image" Target="media/image11.tiff"/><Relationship Id="rId2" Type="http://schemas.openxmlformats.org/officeDocument/2006/relationships/numbering" Target="numbering.xml"/><Relationship Id="rId16" Type="http://schemas.openxmlformats.org/officeDocument/2006/relationships/image" Target="media/image2.wmf"/><Relationship Id="rId20" Type="http://schemas.openxmlformats.org/officeDocument/2006/relationships/image" Target="media/image6.tiff"/><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0.tiff"/><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4.tiff"/><Relationship Id="rId10" Type="http://schemas.openxmlformats.org/officeDocument/2006/relationships/hyperlink" Target="mailto:592507595@qq.com" TargetMode="External"/><Relationship Id="rId19" Type="http://schemas.openxmlformats.org/officeDocument/2006/relationships/image" Target="media/image5.w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dx.doi.org/10.18860/jia.v4i1.3466" TargetMode="External"/><Relationship Id="rId14" Type="http://schemas.openxmlformats.org/officeDocument/2006/relationships/footer" Target="footer2.xml"/><Relationship Id="rId22" Type="http://schemas.openxmlformats.org/officeDocument/2006/relationships/image" Target="media/image8.tiff"/><Relationship Id="rId27" Type="http://schemas.openxmlformats.org/officeDocument/2006/relationships/image" Target="media/image13.tif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F093B6-CC0A-4271-B7DE-5E972295B3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2333</TotalTime>
  <Pages>13</Pages>
  <Words>8100</Words>
  <Characters>46170</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Journal of Islamic Architecture, x(x) month 2016, Pages x-x</Company>
  <LinksUpToDate>false</LinksUpToDate>
  <CharactersWithSpaces>54162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Aulia Fikriarini</dc:creator>
  <cp:lastModifiedBy>Saddam hussain</cp:lastModifiedBy>
  <cp:revision>124</cp:revision>
  <cp:lastPrinted>2016-05-12T06:37:00Z</cp:lastPrinted>
  <dcterms:created xsi:type="dcterms:W3CDTF">2016-06-22T02:15:00Z</dcterms:created>
  <dcterms:modified xsi:type="dcterms:W3CDTF">2023-05-07T14:55:00Z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ninkarch99@yahoo.com@www.mendeley.com</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