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16" w:rsidRPr="009C7116" w:rsidRDefault="009C7116" w:rsidP="009C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0"/>
          <w:lang/>
        </w:rPr>
      </w:pPr>
      <w:r w:rsidRPr="009C7116">
        <w:rPr>
          <w:rFonts w:ascii="Times New Roman" w:eastAsia="Times New Roman" w:hAnsi="Times New Roman"/>
          <w:b/>
          <w:sz w:val="24"/>
          <w:szCs w:val="20"/>
          <w:lang/>
        </w:rPr>
        <w:t>Profitability, Capital Structure and Fund Allocation of Corporate Social Responsibility (CSR) to Company Values ​​in Basic Industrial and Chemical Sector Companies</w:t>
      </w:r>
    </w:p>
    <w:p w:rsidR="009C7116" w:rsidRPr="009C7116" w:rsidRDefault="009C7116" w:rsidP="009C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0"/>
        </w:rPr>
      </w:pPr>
      <w:r w:rsidRPr="009C7116">
        <w:rPr>
          <w:rFonts w:ascii="Times New Roman" w:eastAsia="Times New Roman" w:hAnsi="Times New Roman"/>
          <w:b/>
          <w:sz w:val="24"/>
          <w:szCs w:val="20"/>
          <w:lang/>
        </w:rPr>
        <w:t>in Indonesia</w:t>
      </w:r>
    </w:p>
    <w:p w:rsidR="009C7116" w:rsidRPr="002C1543" w:rsidRDefault="009C7116" w:rsidP="009C7116">
      <w:pPr>
        <w:pStyle w:val="Default"/>
        <w:jc w:val="center"/>
        <w:rPr>
          <w:b/>
          <w:szCs w:val="23"/>
        </w:rPr>
      </w:pPr>
    </w:p>
    <w:p w:rsidR="009C7116" w:rsidRPr="004925ED" w:rsidRDefault="009C7116" w:rsidP="009C7116">
      <w:pPr>
        <w:pStyle w:val="HTMLPreformatted"/>
        <w:jc w:val="center"/>
        <w:rPr>
          <w:rFonts w:ascii="Times New Roman" w:hAnsi="Times New Roman" w:cs="Times New Roman"/>
          <w:sz w:val="24"/>
          <w:szCs w:val="24"/>
          <w:lang/>
        </w:rPr>
      </w:pPr>
      <w:r w:rsidRPr="004925ED">
        <w:rPr>
          <w:rFonts w:ascii="Times New Roman" w:hAnsi="Times New Roman" w:cs="Times New Roman"/>
          <w:sz w:val="24"/>
          <w:szCs w:val="24"/>
          <w:lang/>
        </w:rPr>
        <w:t xml:space="preserve">Indah </w:t>
      </w:r>
      <w:proofErr w:type="spellStart"/>
      <w:r w:rsidRPr="004925ED">
        <w:rPr>
          <w:rFonts w:ascii="Times New Roman" w:hAnsi="Times New Roman" w:cs="Times New Roman"/>
          <w:sz w:val="24"/>
          <w:szCs w:val="24"/>
          <w:lang/>
        </w:rPr>
        <w:t>Yuliana</w:t>
      </w:r>
      <w:proofErr w:type="spellEnd"/>
    </w:p>
    <w:p w:rsidR="009C7116" w:rsidRPr="004925ED" w:rsidRDefault="009C7116" w:rsidP="009C7116">
      <w:pPr>
        <w:pStyle w:val="HTMLPreformatted"/>
        <w:jc w:val="center"/>
        <w:rPr>
          <w:rFonts w:ascii="Times New Roman" w:hAnsi="Times New Roman" w:cs="Times New Roman"/>
          <w:sz w:val="24"/>
          <w:szCs w:val="24"/>
          <w:lang/>
        </w:rPr>
      </w:pPr>
      <w:r w:rsidRPr="004925ED">
        <w:rPr>
          <w:rFonts w:ascii="Times New Roman" w:hAnsi="Times New Roman" w:cs="Times New Roman"/>
          <w:sz w:val="24"/>
          <w:szCs w:val="24"/>
          <w:lang/>
        </w:rPr>
        <w:t xml:space="preserve">Faculty of Economics UIN </w:t>
      </w:r>
      <w:proofErr w:type="spellStart"/>
      <w:r w:rsidRPr="004925ED">
        <w:rPr>
          <w:rFonts w:ascii="Times New Roman" w:hAnsi="Times New Roman" w:cs="Times New Roman"/>
          <w:sz w:val="24"/>
          <w:szCs w:val="24"/>
          <w:lang/>
        </w:rPr>
        <w:t>Maulana</w:t>
      </w:r>
      <w:proofErr w:type="spellEnd"/>
      <w:r w:rsidRPr="004925ED">
        <w:rPr>
          <w:rFonts w:ascii="Times New Roman" w:hAnsi="Times New Roman" w:cs="Times New Roman"/>
          <w:sz w:val="24"/>
          <w:szCs w:val="24"/>
          <w:lang/>
        </w:rPr>
        <w:t xml:space="preserve"> </w:t>
      </w:r>
      <w:proofErr w:type="spellStart"/>
      <w:r w:rsidRPr="004925ED">
        <w:rPr>
          <w:rFonts w:ascii="Times New Roman" w:hAnsi="Times New Roman" w:cs="Times New Roman"/>
          <w:sz w:val="24"/>
          <w:szCs w:val="24"/>
          <w:lang/>
        </w:rPr>
        <w:t>Malik</w:t>
      </w:r>
      <w:proofErr w:type="spellEnd"/>
      <w:r w:rsidRPr="004925ED">
        <w:rPr>
          <w:rFonts w:ascii="Times New Roman" w:hAnsi="Times New Roman" w:cs="Times New Roman"/>
          <w:sz w:val="24"/>
          <w:szCs w:val="24"/>
          <w:lang/>
        </w:rPr>
        <w:t xml:space="preserve"> Ibrahim Malang</w:t>
      </w:r>
    </w:p>
    <w:p w:rsidR="009C7116" w:rsidRDefault="009C7116" w:rsidP="009C7116">
      <w:pPr>
        <w:pStyle w:val="HTMLPreformatted"/>
        <w:jc w:val="center"/>
        <w:rPr>
          <w:rFonts w:ascii="Times New Roman" w:hAnsi="Times New Roman" w:cs="Times New Roman"/>
          <w:sz w:val="24"/>
          <w:szCs w:val="24"/>
          <w:lang/>
        </w:rPr>
      </w:pPr>
      <w:r w:rsidRPr="004925ED">
        <w:rPr>
          <w:rFonts w:ascii="Times New Roman" w:hAnsi="Times New Roman" w:cs="Times New Roman"/>
          <w:sz w:val="24"/>
          <w:szCs w:val="24"/>
          <w:lang/>
        </w:rPr>
        <w:t xml:space="preserve">Email </w:t>
      </w:r>
      <w:hyperlink r:id="rId5" w:history="1">
        <w:r w:rsidRPr="004925ED">
          <w:rPr>
            <w:rStyle w:val="Hyperlink"/>
            <w:rFonts w:ascii="Times New Roman" w:hAnsi="Times New Roman" w:cs="Times New Roman"/>
            <w:sz w:val="24"/>
            <w:szCs w:val="24"/>
            <w:lang/>
          </w:rPr>
          <w:t>indahoty@manajemen.uin-malang.ac.id</w:t>
        </w:r>
      </w:hyperlink>
    </w:p>
    <w:p w:rsidR="009C7116" w:rsidRDefault="009C7116" w:rsidP="009C7116">
      <w:pPr>
        <w:pStyle w:val="HTMLPreformatted"/>
        <w:rPr>
          <w:rFonts w:ascii="Times New Roman" w:hAnsi="Times New Roman" w:cs="Times New Roman"/>
          <w:sz w:val="24"/>
          <w:szCs w:val="24"/>
          <w:lang/>
        </w:rPr>
      </w:pPr>
    </w:p>
    <w:p w:rsidR="00700C5C" w:rsidRPr="00700C5C" w:rsidRDefault="009C7116" w:rsidP="0070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0"/>
          <w:lang/>
        </w:rPr>
      </w:pPr>
      <w:r w:rsidRPr="009C7116">
        <w:rPr>
          <w:rFonts w:ascii="Times New Roman" w:eastAsia="Times New Roman" w:hAnsi="Times New Roman"/>
          <w:b/>
          <w:sz w:val="24"/>
          <w:szCs w:val="20"/>
          <w:lang/>
        </w:rPr>
        <w:t>P</w:t>
      </w:r>
      <w:r w:rsidR="00700C5C" w:rsidRPr="00700C5C">
        <w:rPr>
          <w:rFonts w:ascii="Times New Roman" w:eastAsia="Times New Roman" w:hAnsi="Times New Roman"/>
          <w:b/>
          <w:sz w:val="24"/>
          <w:szCs w:val="20"/>
          <w:lang/>
        </w:rPr>
        <w:t>reliminary</w:t>
      </w:r>
    </w:p>
    <w:p w:rsidR="00700C5C" w:rsidRPr="00700C5C" w:rsidRDefault="009C7116" w:rsidP="0070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0"/>
          <w:lang/>
        </w:rPr>
      </w:pPr>
      <w:r>
        <w:rPr>
          <w:rFonts w:ascii="Times New Roman" w:eastAsia="Times New Roman" w:hAnsi="Times New Roman"/>
          <w:sz w:val="24"/>
          <w:szCs w:val="20"/>
          <w:lang/>
        </w:rPr>
        <w:tab/>
      </w:r>
      <w:r w:rsidR="00700C5C" w:rsidRPr="00700C5C">
        <w:rPr>
          <w:rFonts w:ascii="Times New Roman" w:eastAsia="Times New Roman" w:hAnsi="Times New Roman"/>
          <w:sz w:val="24"/>
          <w:szCs w:val="20"/>
          <w:lang/>
        </w:rPr>
        <w:t xml:space="preserve">Interest payments will reduce the company's basis for paying taxes. Debt costs are lower than the cost of equity because interest payments reduce taxable income. Taxes encourage the value of companies with debt that is higher than the value of the same company without obligation. The tax benefits derived from the obligation to produce optimal capital structure theory, which shows that there is an optimal capital structure that is implicit and that the capital structure influences the value of the company. Trade-off theory (Myers, 1984) states that the right capital structure is useful to increase capital from liabilities as a tax shield and reduce agency costs from the careful operations of directors because companies have an obligation to pay principal and interest. Therefore, as for the trade-off theory, there is no optimal debt for all companies. The right debt ratio is different in each company. The company determines the proportion of liabilities in its capital structure and will try to move gradually towards the target. The pecking order theory, introduced by Myers and </w:t>
      </w:r>
      <w:proofErr w:type="spellStart"/>
      <w:r w:rsidR="00700C5C" w:rsidRPr="00700C5C">
        <w:rPr>
          <w:rFonts w:ascii="Times New Roman" w:eastAsia="Times New Roman" w:hAnsi="Times New Roman"/>
          <w:sz w:val="24"/>
          <w:szCs w:val="20"/>
          <w:lang/>
        </w:rPr>
        <w:t>Majluf</w:t>
      </w:r>
      <w:proofErr w:type="spellEnd"/>
      <w:r w:rsidR="00700C5C" w:rsidRPr="00700C5C">
        <w:rPr>
          <w:rFonts w:ascii="Times New Roman" w:eastAsia="Times New Roman" w:hAnsi="Times New Roman"/>
          <w:sz w:val="24"/>
          <w:szCs w:val="20"/>
          <w:lang/>
        </w:rPr>
        <w:t xml:space="preserve"> (1984) shows that there is asymmetric information between managers and investors regarding corporate investment opportunities. For new capital, directors are happy to get capital from deep capital sources. If the source of capital in the company's internal is insufficient, the directors will obtain capital from liabilities and buy new ordinary shares as a last resort. </w:t>
      </w:r>
      <w:proofErr w:type="spellStart"/>
      <w:r w:rsidR="00700C5C" w:rsidRPr="00700C5C">
        <w:rPr>
          <w:rFonts w:ascii="Times New Roman" w:eastAsia="Times New Roman" w:hAnsi="Times New Roman"/>
          <w:sz w:val="24"/>
          <w:szCs w:val="20"/>
          <w:lang/>
        </w:rPr>
        <w:t>Hamidy</w:t>
      </w:r>
      <w:proofErr w:type="spellEnd"/>
      <w:r w:rsidR="00700C5C" w:rsidRPr="00700C5C">
        <w:rPr>
          <w:rFonts w:ascii="Times New Roman" w:eastAsia="Times New Roman" w:hAnsi="Times New Roman"/>
          <w:sz w:val="24"/>
          <w:szCs w:val="20"/>
          <w:lang/>
        </w:rPr>
        <w:t xml:space="preserve"> (2015) states that debt can increase the value of the company, and the increase in the value of this company is greater if the debt can increase the profitability of the company, including </w:t>
      </w:r>
      <w:proofErr w:type="spellStart"/>
      <w:r w:rsidR="00700C5C" w:rsidRPr="00700C5C">
        <w:rPr>
          <w:rFonts w:ascii="Times New Roman" w:eastAsia="Times New Roman" w:hAnsi="Times New Roman"/>
          <w:sz w:val="24"/>
          <w:szCs w:val="20"/>
          <w:lang/>
        </w:rPr>
        <w:t>Ogbulu</w:t>
      </w:r>
      <w:proofErr w:type="spellEnd"/>
      <w:r w:rsidR="00700C5C" w:rsidRPr="00700C5C">
        <w:rPr>
          <w:rFonts w:ascii="Times New Roman" w:eastAsia="Times New Roman" w:hAnsi="Times New Roman"/>
          <w:sz w:val="24"/>
          <w:szCs w:val="20"/>
          <w:lang/>
        </w:rPr>
        <w:t xml:space="preserve">, et al (2012) and </w:t>
      </w:r>
      <w:proofErr w:type="spellStart"/>
      <w:r w:rsidR="00700C5C" w:rsidRPr="00700C5C">
        <w:rPr>
          <w:rFonts w:ascii="Times New Roman" w:eastAsia="Times New Roman" w:hAnsi="Times New Roman"/>
          <w:sz w:val="24"/>
          <w:szCs w:val="20"/>
          <w:lang/>
        </w:rPr>
        <w:t>Kusumajaya</w:t>
      </w:r>
      <w:proofErr w:type="spellEnd"/>
      <w:r w:rsidR="00700C5C" w:rsidRPr="00700C5C">
        <w:rPr>
          <w:rFonts w:ascii="Times New Roman" w:eastAsia="Times New Roman" w:hAnsi="Times New Roman"/>
          <w:sz w:val="24"/>
          <w:szCs w:val="20"/>
          <w:lang/>
        </w:rPr>
        <w:t xml:space="preserve"> (2011) find the capital structure has a positive effect on firm value. While the research by </w:t>
      </w:r>
      <w:proofErr w:type="spellStart"/>
      <w:r w:rsidR="00700C5C" w:rsidRPr="00700C5C">
        <w:rPr>
          <w:rFonts w:ascii="Times New Roman" w:eastAsia="Times New Roman" w:hAnsi="Times New Roman"/>
          <w:sz w:val="24"/>
          <w:szCs w:val="20"/>
          <w:lang/>
        </w:rPr>
        <w:t>Dewi</w:t>
      </w:r>
      <w:proofErr w:type="spellEnd"/>
      <w:r w:rsidR="00700C5C" w:rsidRPr="00700C5C">
        <w:rPr>
          <w:rFonts w:ascii="Times New Roman" w:eastAsia="Times New Roman" w:hAnsi="Times New Roman"/>
          <w:sz w:val="24"/>
          <w:szCs w:val="20"/>
          <w:lang/>
        </w:rPr>
        <w:t xml:space="preserve"> and </w:t>
      </w:r>
      <w:proofErr w:type="spellStart"/>
      <w:r w:rsidR="00700C5C" w:rsidRPr="00700C5C">
        <w:rPr>
          <w:rFonts w:ascii="Times New Roman" w:eastAsia="Times New Roman" w:hAnsi="Times New Roman"/>
          <w:sz w:val="24"/>
          <w:szCs w:val="20"/>
          <w:lang/>
        </w:rPr>
        <w:t>Wirajaya</w:t>
      </w:r>
      <w:proofErr w:type="spellEnd"/>
      <w:r w:rsidR="00700C5C" w:rsidRPr="00700C5C">
        <w:rPr>
          <w:rFonts w:ascii="Times New Roman" w:eastAsia="Times New Roman" w:hAnsi="Times New Roman"/>
          <w:sz w:val="24"/>
          <w:szCs w:val="20"/>
          <w:lang/>
        </w:rPr>
        <w:t xml:space="preserve"> (2013) suggests that capital structure has a negative and insignificant effect on firm value.</w:t>
      </w:r>
    </w:p>
    <w:p w:rsidR="00700C5C" w:rsidRPr="00700C5C" w:rsidRDefault="009C7116" w:rsidP="0070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rPr>
      </w:pPr>
      <w:r>
        <w:rPr>
          <w:rFonts w:ascii="Times New Roman" w:eastAsia="Times New Roman" w:hAnsi="Times New Roman"/>
          <w:sz w:val="24"/>
          <w:szCs w:val="24"/>
          <w:lang/>
        </w:rPr>
        <w:tab/>
      </w:r>
      <w:proofErr w:type="spellStart"/>
      <w:r w:rsidR="00700C5C" w:rsidRPr="00700C5C">
        <w:rPr>
          <w:rFonts w:ascii="Times New Roman" w:eastAsia="Times New Roman" w:hAnsi="Times New Roman"/>
          <w:sz w:val="24"/>
          <w:szCs w:val="24"/>
          <w:lang/>
        </w:rPr>
        <w:t>Carrol</w:t>
      </w:r>
      <w:proofErr w:type="spellEnd"/>
      <w:r w:rsidR="00700C5C" w:rsidRPr="00700C5C">
        <w:rPr>
          <w:rFonts w:ascii="Times New Roman" w:eastAsia="Times New Roman" w:hAnsi="Times New Roman"/>
          <w:sz w:val="24"/>
          <w:szCs w:val="24"/>
          <w:lang/>
        </w:rPr>
        <w:t xml:space="preserve">, A. and </w:t>
      </w:r>
      <w:proofErr w:type="spellStart"/>
      <w:r w:rsidR="00700C5C" w:rsidRPr="00700C5C">
        <w:rPr>
          <w:rFonts w:ascii="Times New Roman" w:eastAsia="Times New Roman" w:hAnsi="Times New Roman"/>
          <w:sz w:val="24"/>
          <w:szCs w:val="24"/>
          <w:lang/>
        </w:rPr>
        <w:t>Buchholtz</w:t>
      </w:r>
      <w:proofErr w:type="spellEnd"/>
      <w:r w:rsidR="00700C5C" w:rsidRPr="00700C5C">
        <w:rPr>
          <w:rFonts w:ascii="Times New Roman" w:eastAsia="Times New Roman" w:hAnsi="Times New Roman"/>
          <w:sz w:val="24"/>
          <w:szCs w:val="24"/>
          <w:lang/>
        </w:rPr>
        <w:t xml:space="preserve">, A. (2003) state that the development of the level of awareness and debate of society opens up opportunities for increasing demands for environmental health awareness. Company. </w:t>
      </w:r>
      <w:proofErr w:type="spellStart"/>
      <w:r w:rsidR="00700C5C" w:rsidRPr="00700C5C">
        <w:rPr>
          <w:rFonts w:ascii="Times New Roman" w:eastAsia="Times New Roman" w:hAnsi="Times New Roman"/>
          <w:sz w:val="24"/>
          <w:szCs w:val="24"/>
          <w:lang/>
        </w:rPr>
        <w:t>Hadi</w:t>
      </w:r>
      <w:proofErr w:type="spellEnd"/>
      <w:r w:rsidR="00700C5C" w:rsidRPr="00700C5C">
        <w:rPr>
          <w:rFonts w:ascii="Times New Roman" w:eastAsia="Times New Roman" w:hAnsi="Times New Roman"/>
          <w:sz w:val="24"/>
          <w:szCs w:val="24"/>
          <w:lang/>
        </w:rPr>
        <w:t xml:space="preserve"> (2009) stated that the practice of social responsibility is actually a matter of business ethics. Considering, carrying out social responsibility cannot be separated from the call of conscience of business people. Company legitimacy in the eyes of stakeholders can be done with the integrity of the implementation of ethics in business as well as improving corporate social responsibility. </w:t>
      </w:r>
      <w:proofErr w:type="spellStart"/>
      <w:r w:rsidR="00700C5C" w:rsidRPr="00700C5C">
        <w:rPr>
          <w:rFonts w:ascii="Times New Roman" w:eastAsia="Times New Roman" w:hAnsi="Times New Roman"/>
          <w:sz w:val="24"/>
          <w:szCs w:val="24"/>
          <w:lang/>
        </w:rPr>
        <w:t>Wibisono</w:t>
      </w:r>
      <w:proofErr w:type="spellEnd"/>
      <w:r w:rsidR="00700C5C" w:rsidRPr="00700C5C">
        <w:rPr>
          <w:rFonts w:ascii="Times New Roman" w:eastAsia="Times New Roman" w:hAnsi="Times New Roman"/>
          <w:sz w:val="24"/>
          <w:szCs w:val="24"/>
          <w:lang/>
        </w:rPr>
        <w:t xml:space="preserve"> (2007) stated that corporate social responsibility has the benefit of improving the company's reputation, maintaining image and strategy.</w:t>
      </w:r>
    </w:p>
    <w:p w:rsidR="00700C5C" w:rsidRPr="00700C5C" w:rsidRDefault="00700C5C" w:rsidP="00700C5C">
      <w:pPr>
        <w:pStyle w:val="HTMLPreformatted"/>
        <w:jc w:val="both"/>
        <w:rPr>
          <w:rFonts w:ascii="Times New Roman" w:hAnsi="Times New Roman" w:cs="Times New Roman"/>
          <w:sz w:val="24"/>
          <w:szCs w:val="24"/>
          <w:lang/>
        </w:rPr>
      </w:pPr>
      <w:r w:rsidRPr="00700C5C">
        <w:rPr>
          <w:rFonts w:ascii="Times New Roman" w:hAnsi="Times New Roman" w:cs="Times New Roman"/>
          <w:sz w:val="24"/>
          <w:szCs w:val="24"/>
          <w:lang/>
        </w:rPr>
        <w:t>According to Chen and Lee (2017) corporate value has a positive effect on corporate social responsibility, investing in corporate social responsibility, will increase the ratio of institutional shareholders, and the expansion of company scale can lead to profit growth, which increases the value of the company. In addition to the form of caring for the community, corporate social responsibility (CSR) is one of the strategies implemented by the company to maintain the company, by collaborating and maintaining good relations with stakeholder and shareholder interest groups (</w:t>
      </w:r>
      <w:proofErr w:type="spellStart"/>
      <w:r w:rsidRPr="00700C5C">
        <w:rPr>
          <w:rFonts w:ascii="Times New Roman" w:hAnsi="Times New Roman" w:cs="Times New Roman"/>
          <w:sz w:val="24"/>
          <w:szCs w:val="24"/>
          <w:lang/>
        </w:rPr>
        <w:t>Irawan</w:t>
      </w:r>
      <w:proofErr w:type="spellEnd"/>
      <w:r w:rsidRPr="00700C5C">
        <w:rPr>
          <w:rFonts w:ascii="Times New Roman" w:hAnsi="Times New Roman" w:cs="Times New Roman"/>
          <w:sz w:val="24"/>
          <w:szCs w:val="24"/>
          <w:lang/>
        </w:rPr>
        <w:t xml:space="preserve">, 2016). The purpose of this study was the purpose of this study was to </w:t>
      </w:r>
      <w:r w:rsidRPr="00700C5C">
        <w:rPr>
          <w:rFonts w:ascii="Times New Roman" w:hAnsi="Times New Roman" w:cs="Times New Roman"/>
          <w:sz w:val="24"/>
          <w:szCs w:val="24"/>
          <w:lang/>
        </w:rPr>
        <w:lastRenderedPageBreak/>
        <w:t>examine empirical evidence as follows: Analyze the effect of profitability and capital structure on firm value, (2) Analyze variable moderation of funds allocation Corporate Social Responsibility to the relationship of profitability and capital structure to firm value</w:t>
      </w:r>
    </w:p>
    <w:p w:rsidR="00700C5C" w:rsidRDefault="00700C5C" w:rsidP="00700C5C">
      <w:pPr>
        <w:pStyle w:val="HTMLPreformatted"/>
        <w:rPr>
          <w:lang/>
        </w:rPr>
      </w:pPr>
    </w:p>
    <w:p w:rsidR="00700C5C" w:rsidRPr="009C7116" w:rsidRDefault="00700C5C" w:rsidP="00700C5C">
      <w:pPr>
        <w:pStyle w:val="HTMLPreformatted"/>
        <w:rPr>
          <w:rFonts w:ascii="Times New Roman" w:hAnsi="Times New Roman" w:cs="Times New Roman"/>
          <w:b/>
          <w:sz w:val="24"/>
          <w:lang/>
        </w:rPr>
      </w:pPr>
      <w:proofErr w:type="spellStart"/>
      <w:r w:rsidRPr="009C7116">
        <w:rPr>
          <w:rFonts w:ascii="Times New Roman" w:hAnsi="Times New Roman" w:cs="Times New Roman"/>
          <w:b/>
          <w:sz w:val="24"/>
          <w:lang/>
        </w:rPr>
        <w:t>Theoritical</w:t>
      </w:r>
      <w:proofErr w:type="spellEnd"/>
      <w:r w:rsidRPr="009C7116">
        <w:rPr>
          <w:rFonts w:ascii="Times New Roman" w:hAnsi="Times New Roman" w:cs="Times New Roman"/>
          <w:b/>
          <w:sz w:val="24"/>
          <w:lang/>
        </w:rPr>
        <w:t xml:space="preserve"> review</w:t>
      </w:r>
    </w:p>
    <w:p w:rsidR="00700C5C" w:rsidRPr="009C7116" w:rsidRDefault="00700C5C" w:rsidP="00700C5C">
      <w:pPr>
        <w:pStyle w:val="HTMLPreformatted"/>
        <w:jc w:val="both"/>
        <w:rPr>
          <w:rFonts w:ascii="Times New Roman" w:hAnsi="Times New Roman" w:cs="Times New Roman"/>
          <w:b/>
          <w:sz w:val="24"/>
          <w:lang/>
        </w:rPr>
      </w:pPr>
      <w:r w:rsidRPr="009C7116">
        <w:rPr>
          <w:rFonts w:ascii="Times New Roman" w:hAnsi="Times New Roman" w:cs="Times New Roman"/>
          <w:b/>
          <w:sz w:val="24"/>
          <w:lang/>
        </w:rPr>
        <w:t>Capital Structure Theory</w:t>
      </w:r>
    </w:p>
    <w:p w:rsidR="00700C5C" w:rsidRPr="00700C5C" w:rsidRDefault="00700C5C" w:rsidP="00700C5C">
      <w:pPr>
        <w:pStyle w:val="HTMLPreformatted"/>
        <w:jc w:val="both"/>
        <w:rPr>
          <w:rFonts w:ascii="Times New Roman" w:hAnsi="Times New Roman" w:cs="Times New Roman"/>
          <w:sz w:val="24"/>
          <w:szCs w:val="24"/>
        </w:rPr>
      </w:pPr>
      <w:r w:rsidRPr="00700C5C">
        <w:rPr>
          <w:rFonts w:ascii="Times New Roman" w:hAnsi="Times New Roman" w:cs="Times New Roman"/>
          <w:sz w:val="24"/>
          <w:szCs w:val="24"/>
          <w:lang/>
        </w:rPr>
        <w:t>Modern capital structure theory begins with Professor Modigliani and Miller (1958) proposing that in a perfect capital market that assumes no tax and no transaction costs, investors will have the same expectations. Thus, the capital structure does not affect the cost of capital or company value. However, this assumption is not realistic. In (1963), Modigliani and Miller submitted a second proposal that interest payments would reduce the company's basis for paying taxes. So, debt costs are lower than the cost of equity because interest payments reduce taxable income. Taxes encourage the value of companies with debt that is higher than the value of the same company without obligation. The tax benefits derived from the obligation to produce optimal capital structure theory, which shows that there is an optimal capital structure that is implicit and that the capital structure influences the value of the company.</w:t>
      </w:r>
    </w:p>
    <w:p w:rsidR="009C7116" w:rsidRDefault="009C7116" w:rsidP="00700C5C">
      <w:pPr>
        <w:pStyle w:val="HTMLPreformatted"/>
        <w:jc w:val="both"/>
        <w:rPr>
          <w:rFonts w:ascii="Times New Roman" w:hAnsi="Times New Roman" w:cs="Times New Roman"/>
          <w:b/>
          <w:sz w:val="24"/>
          <w:szCs w:val="24"/>
          <w:lang/>
        </w:rPr>
      </w:pPr>
    </w:p>
    <w:p w:rsidR="00700C5C" w:rsidRPr="009C7116" w:rsidRDefault="00700C5C" w:rsidP="00700C5C">
      <w:pPr>
        <w:pStyle w:val="HTMLPreformatted"/>
        <w:jc w:val="both"/>
        <w:rPr>
          <w:rFonts w:ascii="Times New Roman" w:hAnsi="Times New Roman" w:cs="Times New Roman"/>
          <w:b/>
          <w:sz w:val="24"/>
          <w:szCs w:val="24"/>
          <w:lang/>
        </w:rPr>
      </w:pPr>
      <w:r w:rsidRPr="009C7116">
        <w:rPr>
          <w:rFonts w:ascii="Times New Roman" w:hAnsi="Times New Roman" w:cs="Times New Roman"/>
          <w:b/>
          <w:sz w:val="24"/>
          <w:szCs w:val="24"/>
          <w:lang/>
        </w:rPr>
        <w:t>Trade-Off Theory</w:t>
      </w:r>
    </w:p>
    <w:p w:rsidR="00700C5C" w:rsidRPr="00700C5C" w:rsidRDefault="00700C5C" w:rsidP="00700C5C">
      <w:pPr>
        <w:pStyle w:val="HTMLPreformatted"/>
        <w:jc w:val="both"/>
        <w:rPr>
          <w:rFonts w:ascii="Times New Roman" w:hAnsi="Times New Roman" w:cs="Times New Roman"/>
          <w:sz w:val="24"/>
          <w:szCs w:val="24"/>
          <w:lang/>
        </w:rPr>
      </w:pPr>
      <w:r w:rsidRPr="00700C5C">
        <w:rPr>
          <w:rFonts w:ascii="Times New Roman" w:hAnsi="Times New Roman" w:cs="Times New Roman"/>
          <w:sz w:val="24"/>
          <w:szCs w:val="24"/>
          <w:lang/>
        </w:rPr>
        <w:t>Trade-off theory (Myers, 1984) states that the right capital structure is useful for raising capital from liabilities as a tax shield and reducing agency costs from the careful operations of directors because companies have an obligation to pay principal and interest. If the company cannot pay its debt, it may be forced to go bankrupt. This situation means reducing the free cash flow for directors without increasing the value of the company. Off Trade Theory explains that the increase in corporate value is caused because the position of the capital structure is below the optimal point and the increase in debt. Conversely, the decline in corporate value is caused by the position of the capital structure above the optimal point.</w:t>
      </w:r>
    </w:p>
    <w:p w:rsidR="00700C5C" w:rsidRPr="00700C5C" w:rsidRDefault="00700C5C" w:rsidP="00700C5C">
      <w:pPr>
        <w:pStyle w:val="HTMLPreformatted"/>
        <w:jc w:val="both"/>
        <w:rPr>
          <w:rFonts w:ascii="Times New Roman" w:hAnsi="Times New Roman" w:cs="Times New Roman"/>
          <w:sz w:val="24"/>
          <w:szCs w:val="24"/>
          <w:lang/>
        </w:rPr>
      </w:pPr>
    </w:p>
    <w:p w:rsidR="00700C5C" w:rsidRPr="009C7116" w:rsidRDefault="00700C5C" w:rsidP="00700C5C">
      <w:pPr>
        <w:pStyle w:val="HTMLPreformatted"/>
        <w:jc w:val="both"/>
        <w:rPr>
          <w:rFonts w:ascii="Times New Roman" w:hAnsi="Times New Roman" w:cs="Times New Roman"/>
          <w:b/>
          <w:sz w:val="24"/>
          <w:szCs w:val="24"/>
          <w:lang/>
        </w:rPr>
      </w:pPr>
      <w:r w:rsidRPr="009C7116">
        <w:rPr>
          <w:rFonts w:ascii="Times New Roman" w:hAnsi="Times New Roman" w:cs="Times New Roman"/>
          <w:b/>
          <w:sz w:val="24"/>
          <w:szCs w:val="24"/>
          <w:lang/>
        </w:rPr>
        <w:t>Pecking Order Theory</w:t>
      </w:r>
    </w:p>
    <w:p w:rsidR="00700C5C" w:rsidRPr="00700C5C" w:rsidRDefault="00700C5C" w:rsidP="00700C5C">
      <w:pPr>
        <w:pStyle w:val="HTMLPreformatted"/>
        <w:jc w:val="both"/>
        <w:rPr>
          <w:rFonts w:ascii="Times New Roman" w:hAnsi="Times New Roman" w:cs="Times New Roman"/>
          <w:sz w:val="24"/>
          <w:szCs w:val="24"/>
          <w:lang/>
        </w:rPr>
      </w:pPr>
      <w:r w:rsidRPr="00700C5C">
        <w:rPr>
          <w:rFonts w:ascii="Times New Roman" w:hAnsi="Times New Roman" w:cs="Times New Roman"/>
          <w:sz w:val="24"/>
          <w:szCs w:val="24"/>
          <w:lang/>
        </w:rPr>
        <w:t xml:space="preserve">Myers and </w:t>
      </w:r>
      <w:proofErr w:type="spellStart"/>
      <w:r w:rsidRPr="00700C5C">
        <w:rPr>
          <w:rFonts w:ascii="Times New Roman" w:hAnsi="Times New Roman" w:cs="Times New Roman"/>
          <w:sz w:val="24"/>
          <w:szCs w:val="24"/>
          <w:lang/>
        </w:rPr>
        <w:t>Majluf</w:t>
      </w:r>
      <w:proofErr w:type="spellEnd"/>
      <w:r w:rsidRPr="00700C5C">
        <w:rPr>
          <w:rFonts w:ascii="Times New Roman" w:hAnsi="Times New Roman" w:cs="Times New Roman"/>
          <w:sz w:val="24"/>
          <w:szCs w:val="24"/>
          <w:lang/>
        </w:rPr>
        <w:t xml:space="preserve"> (1984) suggested preferences in choosing funding sources for companies. The first, namely using own capital, both retained earnings, third debt, and finally the use of external funds. Profitable companies generally borrow in small amounts, because they need little external financing. Companies that are less profitable tend to have larger debt because internal funds that do not cover needs and the debt arena are preferred external sources. External funds are preferred in the form of debt rather than equity because of the cheaper cost of long-term debt emissions compared to stock issuance costs.</w:t>
      </w:r>
    </w:p>
    <w:p w:rsidR="00700C5C" w:rsidRPr="00700C5C" w:rsidRDefault="00700C5C" w:rsidP="00700C5C">
      <w:pPr>
        <w:pStyle w:val="HTMLPreformatted"/>
        <w:jc w:val="both"/>
        <w:rPr>
          <w:rFonts w:ascii="Times New Roman" w:hAnsi="Times New Roman" w:cs="Times New Roman"/>
          <w:sz w:val="24"/>
          <w:szCs w:val="24"/>
          <w:lang/>
        </w:rPr>
      </w:pPr>
    </w:p>
    <w:p w:rsidR="00700C5C" w:rsidRPr="009C7116" w:rsidRDefault="00700C5C" w:rsidP="00700C5C">
      <w:pPr>
        <w:pStyle w:val="HTMLPreformatted"/>
        <w:jc w:val="both"/>
        <w:rPr>
          <w:rFonts w:ascii="Times New Roman" w:hAnsi="Times New Roman" w:cs="Times New Roman"/>
          <w:b/>
          <w:sz w:val="24"/>
          <w:szCs w:val="24"/>
          <w:lang/>
        </w:rPr>
      </w:pPr>
      <w:r w:rsidRPr="009C7116">
        <w:rPr>
          <w:rFonts w:ascii="Times New Roman" w:hAnsi="Times New Roman" w:cs="Times New Roman"/>
          <w:b/>
          <w:sz w:val="24"/>
          <w:szCs w:val="24"/>
          <w:lang/>
        </w:rPr>
        <w:t>Legitimacy Theory (Legitimacy Theory)</w:t>
      </w:r>
    </w:p>
    <w:p w:rsidR="00700C5C" w:rsidRPr="00700C5C" w:rsidRDefault="00700C5C" w:rsidP="00700C5C">
      <w:pPr>
        <w:pStyle w:val="HTMLPreformatted"/>
        <w:jc w:val="both"/>
        <w:rPr>
          <w:rFonts w:ascii="Times New Roman" w:hAnsi="Times New Roman" w:cs="Times New Roman"/>
          <w:sz w:val="24"/>
          <w:szCs w:val="24"/>
          <w:lang/>
        </w:rPr>
      </w:pPr>
      <w:r w:rsidRPr="00700C5C">
        <w:rPr>
          <w:rFonts w:ascii="Times New Roman" w:hAnsi="Times New Roman" w:cs="Times New Roman"/>
          <w:sz w:val="24"/>
          <w:szCs w:val="24"/>
          <w:lang/>
        </w:rPr>
        <w:t>Community legitimacy is a strategic factor for companies in order to develop the company in the future. That, can be used as a vehicle to construct the company's strategy, in an effort to position itself in an increasingly advanced society. O'Donovan (2002) argues that organizational legitimacy can be seen as something that society gives to companies and something that companies want or seek from the community. Thus, legitimacy is a potential benefit or resource for the company to survive (going corner). Patten (1992) states that the effort that needs to be done by the company in order to manage legitimacy to be effective, namely by: (1) Identifying and communicating / dialogue with the public, (2) communicating dialogues about social and environmental values, and building perceptions about the company, (3) carrying out a strategy of legitimacy and disclosure, especially related to the issue of social responsibility</w:t>
      </w:r>
    </w:p>
    <w:p w:rsidR="00700C5C" w:rsidRPr="00700C5C" w:rsidRDefault="00700C5C" w:rsidP="00700C5C">
      <w:pPr>
        <w:pStyle w:val="HTMLPreformatted"/>
        <w:jc w:val="both"/>
        <w:rPr>
          <w:rFonts w:ascii="Times New Roman" w:hAnsi="Times New Roman" w:cs="Times New Roman"/>
          <w:sz w:val="24"/>
          <w:szCs w:val="24"/>
          <w:lang/>
        </w:rPr>
      </w:pPr>
      <w:r w:rsidRPr="00700C5C">
        <w:rPr>
          <w:rFonts w:ascii="Times New Roman" w:hAnsi="Times New Roman" w:cs="Times New Roman"/>
          <w:sz w:val="24"/>
          <w:szCs w:val="24"/>
          <w:lang/>
        </w:rPr>
        <w:lastRenderedPageBreak/>
        <w:t>Companies cannot break away with the surrounding social environment. The company should reduce the expectation gap with the surrounding community to increase the legitimacy (community). For this reason, the company should maintain its reputation by shifting the orientation pattern (goal) which was originally solely measured by economic measurement that tends to shareholder orientation, towards stakeholder orientation by taking into account social factors (social factors) as a form of concern and alignment with social issues ( stakeholder orientation (</w:t>
      </w:r>
      <w:proofErr w:type="spellStart"/>
      <w:r w:rsidRPr="00700C5C">
        <w:rPr>
          <w:rFonts w:ascii="Times New Roman" w:hAnsi="Times New Roman" w:cs="Times New Roman"/>
          <w:sz w:val="24"/>
          <w:szCs w:val="24"/>
          <w:lang/>
        </w:rPr>
        <w:t>Hadi</w:t>
      </w:r>
      <w:proofErr w:type="spellEnd"/>
      <w:r w:rsidRPr="00700C5C">
        <w:rPr>
          <w:rFonts w:ascii="Times New Roman" w:hAnsi="Times New Roman" w:cs="Times New Roman"/>
          <w:sz w:val="24"/>
          <w:szCs w:val="24"/>
          <w:lang/>
        </w:rPr>
        <w:t>. 2011: 95). The company maintains the legitimacy of stakeholders and occupies it in the policy framework and decision making, so that it can support in achieving company goals, namely business stability and going concern guarantee (Adam. C. H, 2002)</w:t>
      </w:r>
    </w:p>
    <w:p w:rsidR="00700C5C" w:rsidRPr="00700C5C" w:rsidRDefault="00700C5C" w:rsidP="00700C5C">
      <w:pPr>
        <w:pStyle w:val="HTMLPreformatted"/>
        <w:jc w:val="both"/>
        <w:rPr>
          <w:rFonts w:ascii="Times New Roman" w:hAnsi="Times New Roman" w:cs="Times New Roman"/>
          <w:sz w:val="24"/>
          <w:szCs w:val="24"/>
          <w:lang/>
        </w:rPr>
      </w:pPr>
    </w:p>
    <w:p w:rsidR="00700C5C" w:rsidRPr="009C7116" w:rsidRDefault="00700C5C" w:rsidP="00700C5C">
      <w:pPr>
        <w:pStyle w:val="HTMLPreformatted"/>
        <w:jc w:val="both"/>
        <w:rPr>
          <w:rFonts w:ascii="Times New Roman" w:hAnsi="Times New Roman" w:cs="Times New Roman"/>
          <w:b/>
          <w:sz w:val="24"/>
          <w:szCs w:val="24"/>
          <w:lang/>
        </w:rPr>
      </w:pPr>
      <w:r w:rsidRPr="009C7116">
        <w:rPr>
          <w:rFonts w:ascii="Times New Roman" w:hAnsi="Times New Roman" w:cs="Times New Roman"/>
          <w:b/>
          <w:sz w:val="24"/>
          <w:szCs w:val="24"/>
          <w:lang/>
        </w:rPr>
        <w:t>Research methods</w:t>
      </w:r>
    </w:p>
    <w:p w:rsidR="00700C5C" w:rsidRPr="00700C5C" w:rsidRDefault="00700C5C" w:rsidP="00700C5C">
      <w:pPr>
        <w:pStyle w:val="HTMLPreformatted"/>
        <w:jc w:val="both"/>
        <w:rPr>
          <w:rFonts w:ascii="Times New Roman" w:hAnsi="Times New Roman" w:cs="Times New Roman"/>
          <w:sz w:val="24"/>
          <w:szCs w:val="24"/>
          <w:lang/>
        </w:rPr>
      </w:pPr>
      <w:r w:rsidRPr="00700C5C">
        <w:rPr>
          <w:rFonts w:ascii="Times New Roman" w:hAnsi="Times New Roman" w:cs="Times New Roman"/>
          <w:sz w:val="24"/>
          <w:szCs w:val="24"/>
          <w:lang/>
        </w:rPr>
        <w:t> This study uses a quantitative approach using statistical tools and testing hypotheses. The population of this study were 65 basic industrial and chemical sector companies in Indonesia which are listed on the Indonesia Stock Exchange (IDX). The sampling technique was carried out by purposive sampling, with the aim of obtaining a representative sample based on predetermined criteria. Criteria for determining the sample in this study</w:t>
      </w:r>
    </w:p>
    <w:p w:rsidR="00700C5C" w:rsidRDefault="00700C5C" w:rsidP="00700C5C">
      <w:pPr>
        <w:pStyle w:val="HTMLPreformatted"/>
        <w:jc w:val="both"/>
        <w:rPr>
          <w:rFonts w:ascii="Times New Roman" w:hAnsi="Times New Roman" w:cs="Times New Roman"/>
          <w:sz w:val="24"/>
          <w:szCs w:val="24"/>
          <w:lang/>
        </w:rPr>
      </w:pPr>
    </w:p>
    <w:p w:rsidR="00700C5C" w:rsidRPr="00700C5C" w:rsidRDefault="00700C5C" w:rsidP="00700C5C">
      <w:pPr>
        <w:pStyle w:val="HTMLPreformatted"/>
        <w:jc w:val="center"/>
        <w:rPr>
          <w:rFonts w:ascii="Times New Roman" w:hAnsi="Times New Roman" w:cs="Times New Roman"/>
          <w:sz w:val="24"/>
          <w:szCs w:val="24"/>
          <w:lang/>
        </w:rPr>
      </w:pPr>
      <w:r>
        <w:rPr>
          <w:rFonts w:ascii="Times New Roman" w:hAnsi="Times New Roman" w:cs="Times New Roman"/>
          <w:sz w:val="24"/>
          <w:szCs w:val="24"/>
          <w:lang/>
        </w:rPr>
        <w:t>T</w:t>
      </w:r>
      <w:r w:rsidRPr="00700C5C">
        <w:rPr>
          <w:rFonts w:ascii="Times New Roman" w:hAnsi="Times New Roman" w:cs="Times New Roman"/>
          <w:sz w:val="24"/>
          <w:szCs w:val="24"/>
          <w:lang/>
        </w:rPr>
        <w:t>able 1. Criteria for sample selection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7088"/>
        <w:gridCol w:w="1671"/>
      </w:tblGrid>
      <w:tr w:rsidR="009C7116" w:rsidRPr="0084266F" w:rsidTr="0084266F">
        <w:tc>
          <w:tcPr>
            <w:tcW w:w="817"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No</w:t>
            </w:r>
          </w:p>
        </w:tc>
        <w:tc>
          <w:tcPr>
            <w:tcW w:w="7088" w:type="dxa"/>
          </w:tcPr>
          <w:p w:rsidR="00700C5C" w:rsidRPr="0084266F" w:rsidRDefault="00700C5C" w:rsidP="0084266F">
            <w:pPr>
              <w:pStyle w:val="HTMLPreformatted"/>
              <w:jc w:val="both"/>
              <w:rPr>
                <w:rFonts w:ascii="Times New Roman" w:hAnsi="Times New Roman" w:cs="Times New Roman"/>
                <w:sz w:val="24"/>
                <w:szCs w:val="24"/>
                <w:lang/>
              </w:rPr>
            </w:pPr>
            <w:r w:rsidRPr="0084266F">
              <w:rPr>
                <w:rFonts w:ascii="Times New Roman" w:hAnsi="Times New Roman" w:cs="Times New Roman"/>
                <w:sz w:val="24"/>
                <w:szCs w:val="24"/>
                <w:lang/>
              </w:rPr>
              <w:t>Information</w:t>
            </w:r>
          </w:p>
        </w:tc>
        <w:tc>
          <w:tcPr>
            <w:tcW w:w="1671"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Amount</w:t>
            </w:r>
          </w:p>
        </w:tc>
      </w:tr>
      <w:tr w:rsidR="009C7116" w:rsidRPr="0084266F" w:rsidTr="0084266F">
        <w:tc>
          <w:tcPr>
            <w:tcW w:w="817"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1</w:t>
            </w:r>
          </w:p>
        </w:tc>
        <w:tc>
          <w:tcPr>
            <w:tcW w:w="7088" w:type="dxa"/>
          </w:tcPr>
          <w:p w:rsidR="00700C5C" w:rsidRPr="0084266F" w:rsidRDefault="00700C5C" w:rsidP="0084266F">
            <w:pPr>
              <w:pStyle w:val="HTMLPreformatted"/>
              <w:jc w:val="both"/>
              <w:rPr>
                <w:rFonts w:ascii="Times New Roman" w:hAnsi="Times New Roman" w:cs="Times New Roman"/>
                <w:sz w:val="24"/>
                <w:szCs w:val="24"/>
                <w:lang/>
              </w:rPr>
            </w:pPr>
            <w:r w:rsidRPr="0084266F">
              <w:rPr>
                <w:rFonts w:ascii="Times New Roman" w:hAnsi="Times New Roman" w:cs="Times New Roman"/>
                <w:sz w:val="24"/>
                <w:szCs w:val="24"/>
                <w:lang/>
              </w:rPr>
              <w:t>Company registered in the basic industrial and chemical sectors on the IDX</w:t>
            </w:r>
          </w:p>
        </w:tc>
        <w:tc>
          <w:tcPr>
            <w:tcW w:w="1671"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65</w:t>
            </w:r>
          </w:p>
        </w:tc>
      </w:tr>
      <w:tr w:rsidR="009C7116" w:rsidRPr="0084266F" w:rsidTr="0084266F">
        <w:tc>
          <w:tcPr>
            <w:tcW w:w="817"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2</w:t>
            </w:r>
          </w:p>
        </w:tc>
        <w:tc>
          <w:tcPr>
            <w:tcW w:w="7088" w:type="dxa"/>
          </w:tcPr>
          <w:p w:rsidR="00700C5C" w:rsidRPr="0084266F" w:rsidRDefault="00700C5C" w:rsidP="0084266F">
            <w:pPr>
              <w:pStyle w:val="HTMLPreformatted"/>
              <w:jc w:val="both"/>
              <w:rPr>
                <w:rFonts w:ascii="Times New Roman" w:hAnsi="Times New Roman" w:cs="Times New Roman"/>
                <w:sz w:val="24"/>
                <w:szCs w:val="24"/>
                <w:lang/>
              </w:rPr>
            </w:pPr>
            <w:r w:rsidRPr="0084266F">
              <w:rPr>
                <w:rFonts w:ascii="Times New Roman" w:hAnsi="Times New Roman" w:cs="Times New Roman"/>
                <w:sz w:val="24"/>
                <w:szCs w:val="24"/>
                <w:lang/>
              </w:rPr>
              <w:t>Companies that do not publish annual reports on the IDX 2014-2016</w:t>
            </w:r>
          </w:p>
        </w:tc>
        <w:tc>
          <w:tcPr>
            <w:tcW w:w="1671"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(11)</w:t>
            </w:r>
          </w:p>
        </w:tc>
      </w:tr>
      <w:tr w:rsidR="009C7116" w:rsidRPr="0084266F" w:rsidTr="0084266F">
        <w:tc>
          <w:tcPr>
            <w:tcW w:w="817"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3</w:t>
            </w:r>
          </w:p>
        </w:tc>
        <w:tc>
          <w:tcPr>
            <w:tcW w:w="7088" w:type="dxa"/>
          </w:tcPr>
          <w:p w:rsidR="00700C5C" w:rsidRPr="0084266F" w:rsidRDefault="00700C5C" w:rsidP="0084266F">
            <w:pPr>
              <w:pStyle w:val="HTMLPreformatted"/>
              <w:jc w:val="both"/>
              <w:rPr>
                <w:rFonts w:ascii="Times New Roman" w:hAnsi="Times New Roman" w:cs="Times New Roman"/>
                <w:sz w:val="24"/>
                <w:szCs w:val="24"/>
                <w:lang/>
              </w:rPr>
            </w:pPr>
            <w:r w:rsidRPr="0084266F">
              <w:rPr>
                <w:rFonts w:ascii="Times New Roman" w:hAnsi="Times New Roman" w:cs="Times New Roman"/>
                <w:sz w:val="24"/>
                <w:szCs w:val="24"/>
                <w:lang/>
              </w:rPr>
              <w:t>Basic industrial and chemical sector companies in 2014-2016 that did not experience profit</w:t>
            </w:r>
          </w:p>
        </w:tc>
        <w:tc>
          <w:tcPr>
            <w:tcW w:w="1671"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(26)</w:t>
            </w:r>
          </w:p>
        </w:tc>
      </w:tr>
      <w:tr w:rsidR="009C7116" w:rsidRPr="0084266F" w:rsidTr="0084266F">
        <w:tc>
          <w:tcPr>
            <w:tcW w:w="817"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4</w:t>
            </w:r>
          </w:p>
        </w:tc>
        <w:tc>
          <w:tcPr>
            <w:tcW w:w="7088" w:type="dxa"/>
          </w:tcPr>
          <w:p w:rsidR="00700C5C" w:rsidRPr="0084266F" w:rsidRDefault="00700C5C" w:rsidP="0084266F">
            <w:pPr>
              <w:pStyle w:val="HTMLPreformatted"/>
              <w:jc w:val="both"/>
              <w:rPr>
                <w:rFonts w:ascii="Times New Roman" w:hAnsi="Times New Roman" w:cs="Times New Roman"/>
                <w:sz w:val="24"/>
                <w:szCs w:val="24"/>
                <w:lang/>
              </w:rPr>
            </w:pPr>
            <w:r w:rsidRPr="0084266F">
              <w:rPr>
                <w:rFonts w:ascii="Times New Roman" w:hAnsi="Times New Roman" w:cs="Times New Roman"/>
                <w:sz w:val="24"/>
                <w:szCs w:val="24"/>
                <w:lang/>
              </w:rPr>
              <w:t>Companies that do not publish information on fund allocation for Corporate Social Responsibility (CSR)</w:t>
            </w:r>
          </w:p>
        </w:tc>
        <w:tc>
          <w:tcPr>
            <w:tcW w:w="1671"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(13)</w:t>
            </w:r>
          </w:p>
        </w:tc>
      </w:tr>
      <w:tr w:rsidR="009C7116" w:rsidRPr="0084266F" w:rsidTr="0084266F">
        <w:tc>
          <w:tcPr>
            <w:tcW w:w="817"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5</w:t>
            </w:r>
          </w:p>
        </w:tc>
        <w:tc>
          <w:tcPr>
            <w:tcW w:w="7088" w:type="dxa"/>
          </w:tcPr>
          <w:p w:rsidR="00700C5C" w:rsidRPr="0084266F" w:rsidRDefault="00700C5C" w:rsidP="0084266F">
            <w:pPr>
              <w:pStyle w:val="HTMLPreformatted"/>
              <w:jc w:val="both"/>
              <w:rPr>
                <w:rFonts w:ascii="Times New Roman" w:hAnsi="Times New Roman" w:cs="Times New Roman"/>
                <w:sz w:val="24"/>
                <w:szCs w:val="24"/>
                <w:lang/>
              </w:rPr>
            </w:pPr>
            <w:r w:rsidRPr="0084266F">
              <w:rPr>
                <w:rFonts w:ascii="Times New Roman" w:hAnsi="Times New Roman" w:cs="Times New Roman"/>
                <w:sz w:val="24"/>
                <w:szCs w:val="24"/>
                <w:lang/>
              </w:rPr>
              <w:t>Amount</w:t>
            </w:r>
          </w:p>
        </w:tc>
        <w:tc>
          <w:tcPr>
            <w:tcW w:w="1671" w:type="dxa"/>
          </w:tcPr>
          <w:p w:rsidR="00700C5C" w:rsidRPr="0084266F" w:rsidRDefault="00700C5C" w:rsidP="0084266F">
            <w:pPr>
              <w:pStyle w:val="HTMLPreformatted"/>
              <w:jc w:val="center"/>
              <w:rPr>
                <w:rFonts w:ascii="Times New Roman" w:hAnsi="Times New Roman" w:cs="Times New Roman"/>
                <w:sz w:val="24"/>
                <w:szCs w:val="24"/>
                <w:lang/>
              </w:rPr>
            </w:pPr>
            <w:r w:rsidRPr="0084266F">
              <w:rPr>
                <w:rFonts w:ascii="Times New Roman" w:hAnsi="Times New Roman" w:cs="Times New Roman"/>
                <w:sz w:val="24"/>
                <w:szCs w:val="24"/>
                <w:lang/>
              </w:rPr>
              <w:t>15</w:t>
            </w:r>
          </w:p>
        </w:tc>
      </w:tr>
    </w:tbl>
    <w:p w:rsidR="00700C5C" w:rsidRPr="00700C5C" w:rsidRDefault="00700C5C" w:rsidP="00700C5C">
      <w:pPr>
        <w:pStyle w:val="HTMLPreformatted"/>
        <w:jc w:val="both"/>
        <w:rPr>
          <w:rFonts w:ascii="Times New Roman" w:hAnsi="Times New Roman" w:cs="Times New Roman"/>
          <w:sz w:val="24"/>
          <w:szCs w:val="24"/>
        </w:rPr>
      </w:pPr>
      <w:r w:rsidRPr="00700C5C">
        <w:rPr>
          <w:rFonts w:ascii="Times New Roman" w:hAnsi="Times New Roman" w:cs="Times New Roman"/>
          <w:sz w:val="24"/>
          <w:szCs w:val="24"/>
          <w:lang/>
        </w:rPr>
        <w:t>Data analysis used multiple linear regression analysis and modern regression.</w:t>
      </w:r>
    </w:p>
    <w:p w:rsidR="00700C5C" w:rsidRPr="00700C5C" w:rsidRDefault="00700C5C" w:rsidP="00700C5C">
      <w:pPr>
        <w:pStyle w:val="HTMLPreformatted"/>
        <w:jc w:val="both"/>
        <w:rPr>
          <w:rFonts w:ascii="Times New Roman" w:hAnsi="Times New Roman" w:cs="Times New Roman"/>
          <w:sz w:val="24"/>
          <w:szCs w:val="24"/>
        </w:rPr>
      </w:pPr>
    </w:p>
    <w:p w:rsidR="00700C5C" w:rsidRPr="004857BE" w:rsidRDefault="00700C5C" w:rsidP="00700C5C">
      <w:pPr>
        <w:pStyle w:val="Default"/>
        <w:rPr>
          <w:b/>
          <w:sz w:val="23"/>
          <w:szCs w:val="23"/>
        </w:rPr>
      </w:pPr>
      <w:proofErr w:type="spellStart"/>
      <w:r w:rsidRPr="004857BE">
        <w:rPr>
          <w:b/>
          <w:sz w:val="23"/>
          <w:szCs w:val="23"/>
        </w:rPr>
        <w:t>Hasil</w:t>
      </w:r>
      <w:proofErr w:type="spellEnd"/>
      <w:r w:rsidRPr="004857BE">
        <w:rPr>
          <w:b/>
          <w:sz w:val="23"/>
          <w:szCs w:val="23"/>
        </w:rPr>
        <w:t xml:space="preserve"> </w:t>
      </w:r>
      <w:proofErr w:type="spellStart"/>
      <w:r w:rsidRPr="004857BE">
        <w:rPr>
          <w:b/>
          <w:sz w:val="23"/>
          <w:szCs w:val="23"/>
        </w:rPr>
        <w:t>Penelitian</w:t>
      </w:r>
      <w:proofErr w:type="spellEnd"/>
    </w:p>
    <w:p w:rsidR="00700C5C" w:rsidRDefault="00700C5C" w:rsidP="00700C5C">
      <w:pPr>
        <w:pStyle w:val="Default"/>
        <w:rPr>
          <w:sz w:val="23"/>
          <w:szCs w:val="23"/>
        </w:rPr>
      </w:pPr>
      <w:proofErr w:type="spellStart"/>
      <w:r>
        <w:rPr>
          <w:sz w:val="23"/>
          <w:szCs w:val="23"/>
        </w:rPr>
        <w:t>Uji</w:t>
      </w:r>
      <w:proofErr w:type="spellEnd"/>
      <w:r>
        <w:rPr>
          <w:sz w:val="23"/>
          <w:szCs w:val="23"/>
        </w:rPr>
        <w:t xml:space="preserve"> </w:t>
      </w:r>
      <w:proofErr w:type="spellStart"/>
      <w:r>
        <w:rPr>
          <w:sz w:val="23"/>
          <w:szCs w:val="23"/>
        </w:rPr>
        <w:t>Hipotesis</w:t>
      </w:r>
      <w:proofErr w:type="spellEnd"/>
    </w:p>
    <w:p w:rsidR="00700C5C" w:rsidRDefault="00700C5C" w:rsidP="00700C5C">
      <w:pPr>
        <w:pStyle w:val="Default"/>
        <w:jc w:val="center"/>
        <w:rPr>
          <w:sz w:val="23"/>
          <w:szCs w:val="23"/>
        </w:rPr>
      </w:pPr>
      <w:proofErr w:type="spellStart"/>
      <w:r>
        <w:rPr>
          <w:sz w:val="23"/>
          <w:szCs w:val="23"/>
        </w:rPr>
        <w:t>Tabel</w:t>
      </w:r>
      <w:proofErr w:type="spellEnd"/>
      <w:r>
        <w:rPr>
          <w:sz w:val="23"/>
          <w:szCs w:val="23"/>
        </w:rPr>
        <w:t xml:space="preserve"> 2. Durbin-Watson test result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8"/>
        <w:gridCol w:w="922"/>
        <w:gridCol w:w="1134"/>
        <w:gridCol w:w="1843"/>
        <w:gridCol w:w="1843"/>
        <w:gridCol w:w="2238"/>
      </w:tblGrid>
      <w:tr w:rsidR="00700C5C" w:rsidRPr="0084266F" w:rsidTr="00DD05F2">
        <w:tc>
          <w:tcPr>
            <w:tcW w:w="1488" w:type="dxa"/>
          </w:tcPr>
          <w:p w:rsidR="00700C5C" w:rsidRPr="004857BE" w:rsidRDefault="00700C5C" w:rsidP="00DD05F2">
            <w:pPr>
              <w:pStyle w:val="Default"/>
              <w:jc w:val="center"/>
              <w:rPr>
                <w:sz w:val="22"/>
                <w:szCs w:val="23"/>
              </w:rPr>
            </w:pPr>
            <w:r w:rsidRPr="004857BE">
              <w:rPr>
                <w:sz w:val="22"/>
                <w:szCs w:val="23"/>
              </w:rPr>
              <w:t>Model</w:t>
            </w:r>
          </w:p>
        </w:tc>
        <w:tc>
          <w:tcPr>
            <w:tcW w:w="922" w:type="dxa"/>
          </w:tcPr>
          <w:p w:rsidR="00700C5C" w:rsidRPr="004857BE" w:rsidRDefault="00700C5C" w:rsidP="00DD05F2">
            <w:pPr>
              <w:pStyle w:val="Default"/>
              <w:jc w:val="center"/>
              <w:rPr>
                <w:sz w:val="22"/>
                <w:szCs w:val="23"/>
              </w:rPr>
            </w:pPr>
            <w:r w:rsidRPr="004857BE">
              <w:rPr>
                <w:sz w:val="22"/>
                <w:szCs w:val="23"/>
              </w:rPr>
              <w:t>R</w:t>
            </w:r>
          </w:p>
        </w:tc>
        <w:tc>
          <w:tcPr>
            <w:tcW w:w="1134" w:type="dxa"/>
          </w:tcPr>
          <w:p w:rsidR="00700C5C" w:rsidRPr="004857BE" w:rsidRDefault="00700C5C" w:rsidP="00DD05F2">
            <w:pPr>
              <w:pStyle w:val="Default"/>
              <w:jc w:val="center"/>
              <w:rPr>
                <w:sz w:val="22"/>
                <w:szCs w:val="23"/>
              </w:rPr>
            </w:pPr>
            <w:r w:rsidRPr="004857BE">
              <w:rPr>
                <w:sz w:val="22"/>
                <w:szCs w:val="23"/>
              </w:rPr>
              <w:t>R Square</w:t>
            </w:r>
          </w:p>
        </w:tc>
        <w:tc>
          <w:tcPr>
            <w:tcW w:w="1843" w:type="dxa"/>
          </w:tcPr>
          <w:p w:rsidR="00700C5C" w:rsidRPr="004857BE" w:rsidRDefault="00700C5C" w:rsidP="00DD05F2">
            <w:pPr>
              <w:pStyle w:val="Default"/>
              <w:jc w:val="center"/>
              <w:rPr>
                <w:sz w:val="22"/>
                <w:szCs w:val="23"/>
              </w:rPr>
            </w:pPr>
            <w:r w:rsidRPr="004857BE">
              <w:rPr>
                <w:sz w:val="22"/>
                <w:szCs w:val="23"/>
              </w:rPr>
              <w:t>Adjusted R Square</w:t>
            </w:r>
          </w:p>
        </w:tc>
        <w:tc>
          <w:tcPr>
            <w:tcW w:w="1843" w:type="dxa"/>
          </w:tcPr>
          <w:p w:rsidR="00700C5C" w:rsidRPr="004857BE" w:rsidRDefault="00700C5C" w:rsidP="00DD05F2">
            <w:pPr>
              <w:pStyle w:val="Default"/>
              <w:jc w:val="center"/>
              <w:rPr>
                <w:sz w:val="22"/>
                <w:szCs w:val="23"/>
              </w:rPr>
            </w:pPr>
            <w:r w:rsidRPr="004857BE">
              <w:rPr>
                <w:sz w:val="22"/>
                <w:szCs w:val="23"/>
              </w:rPr>
              <w:t>Std Error of the Estimate</w:t>
            </w:r>
          </w:p>
        </w:tc>
        <w:tc>
          <w:tcPr>
            <w:tcW w:w="2238" w:type="dxa"/>
          </w:tcPr>
          <w:p w:rsidR="00700C5C" w:rsidRPr="004857BE" w:rsidRDefault="00700C5C" w:rsidP="00DD05F2">
            <w:pPr>
              <w:pStyle w:val="Default"/>
              <w:jc w:val="center"/>
              <w:rPr>
                <w:sz w:val="22"/>
                <w:szCs w:val="23"/>
              </w:rPr>
            </w:pPr>
            <w:r w:rsidRPr="004857BE">
              <w:rPr>
                <w:sz w:val="22"/>
                <w:szCs w:val="23"/>
              </w:rPr>
              <w:t>Durbin-Watson</w:t>
            </w:r>
          </w:p>
        </w:tc>
      </w:tr>
      <w:tr w:rsidR="00700C5C" w:rsidRPr="0084266F" w:rsidTr="00DD05F2">
        <w:tc>
          <w:tcPr>
            <w:tcW w:w="1488" w:type="dxa"/>
          </w:tcPr>
          <w:p w:rsidR="00700C5C" w:rsidRPr="004857BE" w:rsidRDefault="00700C5C" w:rsidP="00DD05F2">
            <w:pPr>
              <w:pStyle w:val="Default"/>
              <w:rPr>
                <w:sz w:val="22"/>
                <w:szCs w:val="23"/>
              </w:rPr>
            </w:pPr>
            <w:r w:rsidRPr="004857BE">
              <w:rPr>
                <w:sz w:val="22"/>
                <w:szCs w:val="23"/>
              </w:rPr>
              <w:t>1</w:t>
            </w:r>
          </w:p>
        </w:tc>
        <w:tc>
          <w:tcPr>
            <w:tcW w:w="922" w:type="dxa"/>
          </w:tcPr>
          <w:p w:rsidR="00700C5C" w:rsidRPr="004857BE" w:rsidRDefault="00700C5C" w:rsidP="00DD05F2">
            <w:pPr>
              <w:pStyle w:val="Default"/>
              <w:jc w:val="right"/>
              <w:rPr>
                <w:sz w:val="22"/>
                <w:szCs w:val="23"/>
              </w:rPr>
            </w:pPr>
            <w:r w:rsidRPr="004857BE">
              <w:rPr>
                <w:sz w:val="22"/>
                <w:szCs w:val="23"/>
              </w:rPr>
              <w:t>.761</w:t>
            </w:r>
          </w:p>
        </w:tc>
        <w:tc>
          <w:tcPr>
            <w:tcW w:w="1134" w:type="dxa"/>
          </w:tcPr>
          <w:p w:rsidR="00700C5C" w:rsidRPr="004857BE" w:rsidRDefault="00700C5C" w:rsidP="00DD05F2">
            <w:pPr>
              <w:pStyle w:val="Default"/>
              <w:jc w:val="right"/>
              <w:rPr>
                <w:sz w:val="22"/>
                <w:szCs w:val="23"/>
              </w:rPr>
            </w:pPr>
            <w:r w:rsidRPr="004857BE">
              <w:rPr>
                <w:sz w:val="22"/>
                <w:szCs w:val="23"/>
              </w:rPr>
              <w:t>.57</w:t>
            </w:r>
            <w:r>
              <w:rPr>
                <w:sz w:val="22"/>
                <w:szCs w:val="23"/>
              </w:rPr>
              <w:t>9</w:t>
            </w:r>
          </w:p>
        </w:tc>
        <w:tc>
          <w:tcPr>
            <w:tcW w:w="1843" w:type="dxa"/>
          </w:tcPr>
          <w:p w:rsidR="00700C5C" w:rsidRPr="004857BE" w:rsidRDefault="00700C5C" w:rsidP="00DD05F2">
            <w:pPr>
              <w:pStyle w:val="Default"/>
              <w:jc w:val="right"/>
              <w:rPr>
                <w:sz w:val="22"/>
                <w:szCs w:val="23"/>
              </w:rPr>
            </w:pPr>
            <w:r w:rsidRPr="004857BE">
              <w:rPr>
                <w:sz w:val="22"/>
                <w:szCs w:val="23"/>
              </w:rPr>
              <w:t>.499</w:t>
            </w:r>
          </w:p>
        </w:tc>
        <w:tc>
          <w:tcPr>
            <w:tcW w:w="1843" w:type="dxa"/>
          </w:tcPr>
          <w:p w:rsidR="00700C5C" w:rsidRPr="004857BE" w:rsidRDefault="00700C5C" w:rsidP="00DD05F2">
            <w:pPr>
              <w:pStyle w:val="Default"/>
              <w:jc w:val="right"/>
              <w:rPr>
                <w:sz w:val="22"/>
                <w:szCs w:val="23"/>
              </w:rPr>
            </w:pPr>
            <w:r w:rsidRPr="004857BE">
              <w:rPr>
                <w:sz w:val="22"/>
                <w:szCs w:val="23"/>
              </w:rPr>
              <w:t>.27426</w:t>
            </w:r>
          </w:p>
        </w:tc>
        <w:tc>
          <w:tcPr>
            <w:tcW w:w="2238" w:type="dxa"/>
          </w:tcPr>
          <w:p w:rsidR="00700C5C" w:rsidRPr="004857BE" w:rsidRDefault="00700C5C" w:rsidP="00DD05F2">
            <w:pPr>
              <w:pStyle w:val="Default"/>
              <w:jc w:val="right"/>
              <w:rPr>
                <w:sz w:val="22"/>
                <w:szCs w:val="23"/>
              </w:rPr>
            </w:pPr>
            <w:r w:rsidRPr="004857BE">
              <w:rPr>
                <w:sz w:val="22"/>
                <w:szCs w:val="23"/>
              </w:rPr>
              <w:t>2.129</w:t>
            </w:r>
          </w:p>
        </w:tc>
      </w:tr>
    </w:tbl>
    <w:p w:rsidR="00700C5C" w:rsidRPr="004857BE" w:rsidRDefault="00700C5C" w:rsidP="00700C5C">
      <w:pPr>
        <w:pStyle w:val="Default"/>
        <w:numPr>
          <w:ilvl w:val="0"/>
          <w:numId w:val="1"/>
        </w:numPr>
        <w:rPr>
          <w:sz w:val="18"/>
          <w:szCs w:val="23"/>
        </w:rPr>
      </w:pPr>
      <w:r w:rsidRPr="004857BE">
        <w:rPr>
          <w:sz w:val="18"/>
          <w:szCs w:val="23"/>
        </w:rPr>
        <w:t>Predictors: (Constant), CSR, DAR,ROE,EAR,NPM,DER,ROA</w:t>
      </w:r>
    </w:p>
    <w:p w:rsidR="00700C5C" w:rsidRPr="004857BE" w:rsidRDefault="00700C5C" w:rsidP="00700C5C">
      <w:pPr>
        <w:pStyle w:val="Default"/>
        <w:numPr>
          <w:ilvl w:val="0"/>
          <w:numId w:val="1"/>
        </w:numPr>
        <w:rPr>
          <w:sz w:val="18"/>
          <w:szCs w:val="23"/>
        </w:rPr>
      </w:pPr>
      <w:r w:rsidRPr="004857BE">
        <w:rPr>
          <w:sz w:val="18"/>
          <w:szCs w:val="23"/>
        </w:rPr>
        <w:t>Dependent Variable: PBV</w:t>
      </w:r>
    </w:p>
    <w:p w:rsidR="00700C5C" w:rsidRPr="004857BE" w:rsidRDefault="00700C5C" w:rsidP="00700C5C">
      <w:pPr>
        <w:pStyle w:val="Default"/>
        <w:ind w:left="360"/>
        <w:rPr>
          <w:sz w:val="18"/>
          <w:szCs w:val="23"/>
        </w:rPr>
      </w:pPr>
    </w:p>
    <w:p w:rsidR="00700C5C" w:rsidRPr="00700C5C" w:rsidRDefault="00700C5C" w:rsidP="00700C5C">
      <w:pPr>
        <w:pStyle w:val="HTMLPreformatted"/>
        <w:jc w:val="both"/>
        <w:rPr>
          <w:rFonts w:ascii="Times New Roman" w:hAnsi="Times New Roman" w:cs="Times New Roman"/>
          <w:sz w:val="24"/>
        </w:rPr>
      </w:pPr>
      <w:r w:rsidRPr="00700C5C">
        <w:rPr>
          <w:rFonts w:ascii="Times New Roman" w:hAnsi="Times New Roman" w:cs="Times New Roman"/>
          <w:sz w:val="24"/>
          <w:lang/>
        </w:rPr>
        <w:t xml:space="preserve">Based on the analysis that has been done, the adjusted R Square value is 0.579 or 57.9%, which means that the company's value variable </w:t>
      </w:r>
      <w:proofErr w:type="spellStart"/>
      <w:r w:rsidRPr="00700C5C">
        <w:rPr>
          <w:rFonts w:ascii="Times New Roman" w:hAnsi="Times New Roman" w:cs="Times New Roman"/>
          <w:sz w:val="24"/>
          <w:lang/>
        </w:rPr>
        <w:t>proxied</w:t>
      </w:r>
      <w:proofErr w:type="spellEnd"/>
      <w:r w:rsidRPr="00700C5C">
        <w:rPr>
          <w:rFonts w:ascii="Times New Roman" w:hAnsi="Times New Roman" w:cs="Times New Roman"/>
          <w:sz w:val="24"/>
          <w:lang/>
        </w:rPr>
        <w:t xml:space="preserve"> by using PBV can be explained by ROA, ROE, NPM, DER, DAR and EAR, and the remaining 42.1% explained by other variables outside the equation.</w:t>
      </w:r>
    </w:p>
    <w:p w:rsidR="00700C5C" w:rsidRDefault="00700C5C" w:rsidP="00700C5C">
      <w:pPr>
        <w:pStyle w:val="Default"/>
        <w:ind w:left="360"/>
        <w:jc w:val="both"/>
        <w:rPr>
          <w:sz w:val="23"/>
          <w:szCs w:val="23"/>
        </w:rPr>
      </w:pPr>
    </w:p>
    <w:p w:rsidR="00700C5C" w:rsidRDefault="00700C5C" w:rsidP="00700C5C">
      <w:pPr>
        <w:pStyle w:val="Default"/>
        <w:ind w:left="360"/>
        <w:jc w:val="center"/>
        <w:rPr>
          <w:sz w:val="23"/>
          <w:szCs w:val="23"/>
        </w:rPr>
      </w:pPr>
      <w:r>
        <w:rPr>
          <w:sz w:val="23"/>
          <w:szCs w:val="23"/>
        </w:rPr>
        <w:t>Table 3. T test result</w:t>
      </w:r>
    </w:p>
    <w:p w:rsidR="00700C5C" w:rsidRDefault="00700C5C" w:rsidP="00700C5C">
      <w:pPr>
        <w:pStyle w:val="Default"/>
        <w:ind w:left="360"/>
        <w:jc w:val="center"/>
        <w:rPr>
          <w:sz w:val="23"/>
          <w:szCs w:val="23"/>
        </w:rPr>
      </w:pPr>
      <w:r>
        <w:rPr>
          <w:sz w:val="23"/>
          <w:szCs w:val="23"/>
        </w:rPr>
        <w:t>Coefficients</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183"/>
        <w:gridCol w:w="1140"/>
        <w:gridCol w:w="1424"/>
        <w:gridCol w:w="997"/>
        <w:gridCol w:w="1283"/>
      </w:tblGrid>
      <w:tr w:rsidR="00700C5C" w:rsidRPr="0084266F" w:rsidTr="00DD05F2">
        <w:trPr>
          <w:trHeight w:val="661"/>
          <w:jc w:val="center"/>
        </w:trPr>
        <w:tc>
          <w:tcPr>
            <w:tcW w:w="1842" w:type="dxa"/>
            <w:vMerge w:val="restart"/>
          </w:tcPr>
          <w:p w:rsidR="00700C5C" w:rsidRPr="004D0014" w:rsidRDefault="00700C5C" w:rsidP="00DD05F2">
            <w:pPr>
              <w:pStyle w:val="Default"/>
              <w:jc w:val="both"/>
              <w:rPr>
                <w:sz w:val="20"/>
                <w:szCs w:val="20"/>
              </w:rPr>
            </w:pPr>
            <w:r w:rsidRPr="004D0014">
              <w:rPr>
                <w:sz w:val="20"/>
                <w:szCs w:val="20"/>
              </w:rPr>
              <w:t>Model</w:t>
            </w:r>
          </w:p>
        </w:tc>
        <w:tc>
          <w:tcPr>
            <w:tcW w:w="2323" w:type="dxa"/>
            <w:gridSpan w:val="2"/>
            <w:tcBorders>
              <w:bottom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Unstandardized</w:t>
            </w:r>
            <w:proofErr w:type="spellEnd"/>
            <w:r w:rsidRPr="004D0014">
              <w:rPr>
                <w:sz w:val="20"/>
                <w:szCs w:val="20"/>
              </w:rPr>
              <w:t xml:space="preserve"> Coefficients</w:t>
            </w:r>
          </w:p>
          <w:p w:rsidR="00700C5C" w:rsidRPr="004D0014" w:rsidRDefault="00700C5C" w:rsidP="00DD05F2">
            <w:pPr>
              <w:pStyle w:val="Default"/>
              <w:jc w:val="both"/>
              <w:rPr>
                <w:sz w:val="20"/>
                <w:szCs w:val="20"/>
              </w:rPr>
            </w:pPr>
          </w:p>
        </w:tc>
        <w:tc>
          <w:tcPr>
            <w:tcW w:w="1424" w:type="dxa"/>
            <w:tcBorders>
              <w:bottom w:val="single" w:sz="4" w:space="0" w:color="auto"/>
            </w:tcBorders>
          </w:tcPr>
          <w:p w:rsidR="00700C5C" w:rsidRPr="004D0014" w:rsidRDefault="00700C5C" w:rsidP="00DD05F2">
            <w:pPr>
              <w:pStyle w:val="Default"/>
              <w:jc w:val="both"/>
              <w:rPr>
                <w:sz w:val="20"/>
                <w:szCs w:val="20"/>
              </w:rPr>
            </w:pPr>
            <w:r w:rsidRPr="004D0014">
              <w:rPr>
                <w:sz w:val="20"/>
                <w:szCs w:val="20"/>
              </w:rPr>
              <w:t>Standardized Coefficients</w:t>
            </w:r>
          </w:p>
        </w:tc>
        <w:tc>
          <w:tcPr>
            <w:tcW w:w="997"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lastRenderedPageBreak/>
              <w:t>t</w:t>
            </w:r>
          </w:p>
        </w:tc>
        <w:tc>
          <w:tcPr>
            <w:tcW w:w="1283"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lastRenderedPageBreak/>
              <w:t>Sig.</w:t>
            </w:r>
          </w:p>
        </w:tc>
      </w:tr>
      <w:tr w:rsidR="00700C5C" w:rsidRPr="0084266F" w:rsidTr="00DD05F2">
        <w:trPr>
          <w:trHeight w:val="369"/>
          <w:jc w:val="center"/>
        </w:trPr>
        <w:tc>
          <w:tcPr>
            <w:tcW w:w="1842" w:type="dxa"/>
            <w:vMerge/>
          </w:tcPr>
          <w:p w:rsidR="00700C5C" w:rsidRPr="004D0014" w:rsidRDefault="00700C5C" w:rsidP="00DD05F2">
            <w:pPr>
              <w:pStyle w:val="Default"/>
              <w:jc w:val="both"/>
              <w:rPr>
                <w:sz w:val="20"/>
                <w:szCs w:val="20"/>
              </w:rPr>
            </w:pPr>
          </w:p>
        </w:tc>
        <w:tc>
          <w:tcPr>
            <w:tcW w:w="1183" w:type="dxa"/>
            <w:tcBorders>
              <w:top w:val="single" w:sz="4" w:space="0" w:color="auto"/>
              <w:right w:val="single" w:sz="4" w:space="0" w:color="auto"/>
            </w:tcBorders>
          </w:tcPr>
          <w:p w:rsidR="00700C5C" w:rsidRPr="004D0014" w:rsidRDefault="00700C5C" w:rsidP="00DD05F2">
            <w:pPr>
              <w:pStyle w:val="Default"/>
              <w:jc w:val="center"/>
              <w:rPr>
                <w:sz w:val="20"/>
                <w:szCs w:val="20"/>
              </w:rPr>
            </w:pPr>
            <w:r w:rsidRPr="004D0014">
              <w:rPr>
                <w:sz w:val="20"/>
                <w:szCs w:val="20"/>
              </w:rPr>
              <w:t>B</w:t>
            </w:r>
          </w:p>
        </w:tc>
        <w:tc>
          <w:tcPr>
            <w:tcW w:w="1140" w:type="dxa"/>
            <w:tcBorders>
              <w:top w:val="single" w:sz="4" w:space="0" w:color="auto"/>
              <w:left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Std.Error</w:t>
            </w:r>
            <w:proofErr w:type="spellEnd"/>
          </w:p>
        </w:tc>
        <w:tc>
          <w:tcPr>
            <w:tcW w:w="1424" w:type="dxa"/>
            <w:tcBorders>
              <w:top w:val="single" w:sz="4" w:space="0" w:color="auto"/>
            </w:tcBorders>
          </w:tcPr>
          <w:p w:rsidR="00700C5C" w:rsidRPr="004D0014" w:rsidRDefault="00700C5C" w:rsidP="00DD05F2">
            <w:pPr>
              <w:pStyle w:val="Default"/>
              <w:jc w:val="center"/>
              <w:rPr>
                <w:sz w:val="20"/>
                <w:szCs w:val="20"/>
              </w:rPr>
            </w:pPr>
            <w:r w:rsidRPr="004D0014">
              <w:rPr>
                <w:sz w:val="20"/>
                <w:szCs w:val="20"/>
              </w:rPr>
              <w:t>Beta</w:t>
            </w:r>
          </w:p>
        </w:tc>
        <w:tc>
          <w:tcPr>
            <w:tcW w:w="997" w:type="dxa"/>
            <w:vMerge/>
          </w:tcPr>
          <w:p w:rsidR="00700C5C" w:rsidRPr="004D0014" w:rsidRDefault="00700C5C" w:rsidP="00DD05F2">
            <w:pPr>
              <w:pStyle w:val="Default"/>
              <w:jc w:val="both"/>
              <w:rPr>
                <w:sz w:val="20"/>
                <w:szCs w:val="20"/>
              </w:rPr>
            </w:pPr>
          </w:p>
        </w:tc>
        <w:tc>
          <w:tcPr>
            <w:tcW w:w="1283" w:type="dxa"/>
            <w:vMerge/>
          </w:tcPr>
          <w:p w:rsidR="00700C5C" w:rsidRPr="004D0014" w:rsidRDefault="00700C5C" w:rsidP="00DD05F2">
            <w:pPr>
              <w:pStyle w:val="Default"/>
              <w:jc w:val="both"/>
              <w:rPr>
                <w:sz w:val="20"/>
                <w:szCs w:val="20"/>
              </w:rPr>
            </w:pPr>
          </w:p>
        </w:tc>
      </w:tr>
      <w:tr w:rsidR="00700C5C" w:rsidRPr="0084266F" w:rsidTr="00DD05F2">
        <w:trPr>
          <w:trHeight w:val="1729"/>
          <w:jc w:val="center"/>
        </w:trPr>
        <w:tc>
          <w:tcPr>
            <w:tcW w:w="1842" w:type="dxa"/>
          </w:tcPr>
          <w:p w:rsidR="00700C5C" w:rsidRPr="004D0014" w:rsidRDefault="00700C5C" w:rsidP="00DD05F2">
            <w:pPr>
              <w:pStyle w:val="Default"/>
              <w:numPr>
                <w:ilvl w:val="0"/>
                <w:numId w:val="2"/>
              </w:numPr>
              <w:ind w:left="349" w:hanging="349"/>
              <w:jc w:val="both"/>
              <w:rPr>
                <w:sz w:val="20"/>
                <w:szCs w:val="20"/>
              </w:rPr>
            </w:pPr>
            <w:r w:rsidRPr="004D0014">
              <w:rPr>
                <w:sz w:val="20"/>
                <w:szCs w:val="20"/>
              </w:rPr>
              <w:lastRenderedPageBreak/>
              <w:t>(Constant)</w:t>
            </w:r>
          </w:p>
          <w:p w:rsidR="00700C5C" w:rsidRPr="004D0014" w:rsidRDefault="00700C5C" w:rsidP="00DD05F2">
            <w:pPr>
              <w:pStyle w:val="Default"/>
              <w:ind w:left="360"/>
              <w:jc w:val="both"/>
              <w:rPr>
                <w:sz w:val="20"/>
                <w:szCs w:val="20"/>
              </w:rPr>
            </w:pPr>
            <w:r w:rsidRPr="004D0014">
              <w:rPr>
                <w:sz w:val="20"/>
                <w:szCs w:val="20"/>
              </w:rPr>
              <w:t>ROA</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w:t>
            </w:r>
            <w:r w:rsidRPr="004D0014">
              <w:rPr>
                <w:sz w:val="20"/>
                <w:szCs w:val="20"/>
              </w:rPr>
              <w:t>ROE</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w:t>
            </w:r>
            <w:r w:rsidRPr="004D0014">
              <w:rPr>
                <w:sz w:val="20"/>
                <w:szCs w:val="20"/>
              </w:rPr>
              <w:t>NPM</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w:t>
            </w:r>
            <w:r w:rsidRPr="004D0014">
              <w:rPr>
                <w:sz w:val="20"/>
                <w:szCs w:val="20"/>
              </w:rPr>
              <w:t>DER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w:t>
            </w:r>
            <w:r w:rsidRPr="004D0014">
              <w:rPr>
                <w:sz w:val="20"/>
                <w:szCs w:val="20"/>
              </w:rPr>
              <w:t xml:space="preserve"> DAR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w:t>
            </w:r>
            <w:r w:rsidRPr="004D0014">
              <w:rPr>
                <w:sz w:val="20"/>
                <w:szCs w:val="20"/>
              </w:rPr>
              <w:t>EAR</w:t>
            </w:r>
          </w:p>
        </w:tc>
        <w:tc>
          <w:tcPr>
            <w:tcW w:w="1183" w:type="dxa"/>
            <w:tcBorders>
              <w:right w:val="single" w:sz="4" w:space="0" w:color="auto"/>
            </w:tcBorders>
          </w:tcPr>
          <w:p w:rsidR="00700C5C" w:rsidRPr="004D0014" w:rsidRDefault="00700C5C" w:rsidP="00DD05F2">
            <w:pPr>
              <w:pStyle w:val="Default"/>
              <w:jc w:val="right"/>
              <w:rPr>
                <w:sz w:val="20"/>
                <w:szCs w:val="20"/>
              </w:rPr>
            </w:pPr>
            <w:r w:rsidRPr="004D0014">
              <w:rPr>
                <w:sz w:val="20"/>
                <w:szCs w:val="20"/>
              </w:rPr>
              <w:t>-.318</w:t>
            </w:r>
          </w:p>
          <w:p w:rsidR="00700C5C" w:rsidRPr="004D0014" w:rsidRDefault="00700C5C" w:rsidP="00DD05F2">
            <w:pPr>
              <w:pStyle w:val="Default"/>
              <w:jc w:val="right"/>
              <w:rPr>
                <w:sz w:val="20"/>
                <w:szCs w:val="20"/>
              </w:rPr>
            </w:pPr>
            <w:r w:rsidRPr="004D0014">
              <w:rPr>
                <w:sz w:val="20"/>
                <w:szCs w:val="20"/>
              </w:rPr>
              <w:t>.622</w:t>
            </w:r>
          </w:p>
          <w:p w:rsidR="00700C5C" w:rsidRPr="004D0014" w:rsidRDefault="00700C5C" w:rsidP="00DD05F2">
            <w:pPr>
              <w:pStyle w:val="Default"/>
              <w:jc w:val="right"/>
              <w:rPr>
                <w:sz w:val="20"/>
                <w:szCs w:val="20"/>
              </w:rPr>
            </w:pPr>
            <w:r w:rsidRPr="004D0014">
              <w:rPr>
                <w:sz w:val="20"/>
                <w:szCs w:val="20"/>
              </w:rPr>
              <w:t>.782</w:t>
            </w:r>
          </w:p>
          <w:p w:rsidR="00700C5C" w:rsidRPr="004D0014" w:rsidRDefault="00700C5C" w:rsidP="00DD05F2">
            <w:pPr>
              <w:pStyle w:val="Default"/>
              <w:jc w:val="right"/>
              <w:rPr>
                <w:sz w:val="20"/>
                <w:szCs w:val="20"/>
              </w:rPr>
            </w:pPr>
            <w:r w:rsidRPr="004D0014">
              <w:rPr>
                <w:sz w:val="20"/>
                <w:szCs w:val="20"/>
              </w:rPr>
              <w:t>.382</w:t>
            </w:r>
          </w:p>
          <w:p w:rsidR="00700C5C" w:rsidRPr="004D0014" w:rsidRDefault="00700C5C" w:rsidP="00DD05F2">
            <w:pPr>
              <w:pStyle w:val="Default"/>
              <w:jc w:val="right"/>
              <w:rPr>
                <w:sz w:val="20"/>
                <w:szCs w:val="20"/>
              </w:rPr>
            </w:pPr>
            <w:r w:rsidRPr="004D0014">
              <w:rPr>
                <w:sz w:val="20"/>
                <w:szCs w:val="20"/>
              </w:rPr>
              <w:t>-.099</w:t>
            </w:r>
          </w:p>
          <w:p w:rsidR="00700C5C" w:rsidRPr="004D0014" w:rsidRDefault="00700C5C" w:rsidP="00DD05F2">
            <w:pPr>
              <w:pStyle w:val="Default"/>
              <w:jc w:val="right"/>
              <w:rPr>
                <w:sz w:val="20"/>
                <w:szCs w:val="20"/>
              </w:rPr>
            </w:pPr>
            <w:r w:rsidRPr="004D0014">
              <w:rPr>
                <w:sz w:val="20"/>
                <w:szCs w:val="20"/>
              </w:rPr>
              <w:t>-.054</w:t>
            </w:r>
          </w:p>
          <w:p w:rsidR="00700C5C" w:rsidRPr="004D0014" w:rsidRDefault="00700C5C" w:rsidP="00DD05F2">
            <w:pPr>
              <w:pStyle w:val="Default"/>
              <w:jc w:val="right"/>
              <w:rPr>
                <w:sz w:val="20"/>
                <w:szCs w:val="20"/>
              </w:rPr>
            </w:pPr>
            <w:r w:rsidRPr="004D0014">
              <w:rPr>
                <w:sz w:val="20"/>
                <w:szCs w:val="20"/>
              </w:rPr>
              <w:t>.426</w:t>
            </w:r>
          </w:p>
        </w:tc>
        <w:tc>
          <w:tcPr>
            <w:tcW w:w="1140" w:type="dxa"/>
            <w:tcBorders>
              <w:left w:val="single" w:sz="4" w:space="0" w:color="auto"/>
            </w:tcBorders>
          </w:tcPr>
          <w:p w:rsidR="00700C5C" w:rsidRPr="004D0014" w:rsidRDefault="00700C5C" w:rsidP="00DD05F2">
            <w:pPr>
              <w:pStyle w:val="Default"/>
              <w:jc w:val="right"/>
              <w:rPr>
                <w:sz w:val="20"/>
                <w:szCs w:val="20"/>
              </w:rPr>
            </w:pPr>
            <w:r w:rsidRPr="004D0014">
              <w:rPr>
                <w:sz w:val="20"/>
                <w:szCs w:val="20"/>
              </w:rPr>
              <w:t>.091</w:t>
            </w:r>
          </w:p>
          <w:p w:rsidR="00700C5C" w:rsidRPr="004D0014" w:rsidRDefault="00700C5C" w:rsidP="00DD05F2">
            <w:pPr>
              <w:pStyle w:val="Default"/>
              <w:jc w:val="right"/>
              <w:rPr>
                <w:sz w:val="20"/>
                <w:szCs w:val="20"/>
              </w:rPr>
            </w:pPr>
            <w:r w:rsidRPr="004D0014">
              <w:rPr>
                <w:sz w:val="20"/>
                <w:szCs w:val="20"/>
              </w:rPr>
              <w:t>.117</w:t>
            </w:r>
          </w:p>
          <w:p w:rsidR="00700C5C" w:rsidRPr="004D0014" w:rsidRDefault="00700C5C" w:rsidP="00DD05F2">
            <w:pPr>
              <w:pStyle w:val="Default"/>
              <w:jc w:val="right"/>
              <w:rPr>
                <w:sz w:val="20"/>
                <w:szCs w:val="20"/>
              </w:rPr>
            </w:pPr>
            <w:r w:rsidRPr="004D0014">
              <w:rPr>
                <w:sz w:val="20"/>
                <w:szCs w:val="20"/>
              </w:rPr>
              <w:t>.130</w:t>
            </w:r>
          </w:p>
          <w:p w:rsidR="00700C5C" w:rsidRPr="004D0014" w:rsidRDefault="00700C5C" w:rsidP="00DD05F2">
            <w:pPr>
              <w:pStyle w:val="Default"/>
              <w:jc w:val="right"/>
              <w:rPr>
                <w:sz w:val="20"/>
                <w:szCs w:val="20"/>
              </w:rPr>
            </w:pPr>
            <w:r w:rsidRPr="004D0014">
              <w:rPr>
                <w:sz w:val="20"/>
                <w:szCs w:val="20"/>
              </w:rPr>
              <w:t>.113</w:t>
            </w:r>
          </w:p>
          <w:p w:rsidR="00700C5C" w:rsidRPr="004D0014" w:rsidRDefault="00700C5C" w:rsidP="00DD05F2">
            <w:pPr>
              <w:pStyle w:val="Default"/>
              <w:jc w:val="right"/>
              <w:rPr>
                <w:sz w:val="20"/>
                <w:szCs w:val="20"/>
              </w:rPr>
            </w:pPr>
            <w:r w:rsidRPr="004D0014">
              <w:rPr>
                <w:sz w:val="20"/>
                <w:szCs w:val="20"/>
              </w:rPr>
              <w:t>.169</w:t>
            </w:r>
          </w:p>
          <w:p w:rsidR="00700C5C" w:rsidRPr="004D0014" w:rsidRDefault="00700C5C" w:rsidP="00DD05F2">
            <w:pPr>
              <w:pStyle w:val="Default"/>
              <w:jc w:val="right"/>
              <w:rPr>
                <w:sz w:val="20"/>
                <w:szCs w:val="20"/>
              </w:rPr>
            </w:pPr>
            <w:r w:rsidRPr="004D0014">
              <w:rPr>
                <w:sz w:val="20"/>
                <w:szCs w:val="20"/>
              </w:rPr>
              <w:t>.228</w:t>
            </w:r>
          </w:p>
          <w:p w:rsidR="00700C5C" w:rsidRPr="004D0014" w:rsidRDefault="00700C5C" w:rsidP="00DD05F2">
            <w:pPr>
              <w:pStyle w:val="Default"/>
              <w:jc w:val="right"/>
              <w:rPr>
                <w:sz w:val="20"/>
                <w:szCs w:val="20"/>
              </w:rPr>
            </w:pPr>
            <w:r w:rsidRPr="004D0014">
              <w:rPr>
                <w:sz w:val="20"/>
                <w:szCs w:val="20"/>
              </w:rPr>
              <w:t>.519</w:t>
            </w:r>
          </w:p>
          <w:p w:rsidR="00700C5C" w:rsidRPr="004D0014" w:rsidRDefault="00700C5C" w:rsidP="00DD05F2">
            <w:pPr>
              <w:pStyle w:val="Default"/>
              <w:jc w:val="right"/>
              <w:rPr>
                <w:sz w:val="20"/>
                <w:szCs w:val="20"/>
              </w:rPr>
            </w:pPr>
          </w:p>
        </w:tc>
        <w:tc>
          <w:tcPr>
            <w:tcW w:w="1424" w:type="dxa"/>
          </w:tcPr>
          <w:p w:rsidR="00700C5C" w:rsidRPr="004D0014" w:rsidRDefault="00700C5C" w:rsidP="00DD05F2">
            <w:pPr>
              <w:pStyle w:val="Default"/>
              <w:jc w:val="right"/>
              <w:rPr>
                <w:sz w:val="20"/>
                <w:szCs w:val="20"/>
              </w:rPr>
            </w:pPr>
          </w:p>
          <w:p w:rsidR="00700C5C" w:rsidRPr="004D0014" w:rsidRDefault="00700C5C" w:rsidP="00DD05F2">
            <w:pPr>
              <w:pStyle w:val="Default"/>
              <w:jc w:val="right"/>
              <w:rPr>
                <w:sz w:val="20"/>
                <w:szCs w:val="20"/>
              </w:rPr>
            </w:pPr>
            <w:r w:rsidRPr="004D0014">
              <w:rPr>
                <w:sz w:val="20"/>
                <w:szCs w:val="20"/>
              </w:rPr>
              <w:t>.630</w:t>
            </w:r>
          </w:p>
          <w:p w:rsidR="00700C5C" w:rsidRPr="004D0014" w:rsidRDefault="00700C5C" w:rsidP="00DD05F2">
            <w:pPr>
              <w:pStyle w:val="Default"/>
              <w:jc w:val="right"/>
              <w:rPr>
                <w:sz w:val="20"/>
                <w:szCs w:val="20"/>
              </w:rPr>
            </w:pPr>
            <w:r w:rsidRPr="004D0014">
              <w:rPr>
                <w:sz w:val="20"/>
                <w:szCs w:val="20"/>
              </w:rPr>
              <w:t>.676</w:t>
            </w:r>
          </w:p>
          <w:p w:rsidR="00700C5C" w:rsidRPr="004D0014" w:rsidRDefault="00700C5C" w:rsidP="00DD05F2">
            <w:pPr>
              <w:pStyle w:val="Default"/>
              <w:jc w:val="right"/>
              <w:rPr>
                <w:sz w:val="20"/>
                <w:szCs w:val="20"/>
              </w:rPr>
            </w:pPr>
            <w:r w:rsidRPr="004D0014">
              <w:rPr>
                <w:sz w:val="20"/>
                <w:szCs w:val="20"/>
              </w:rPr>
              <w:t>.457</w:t>
            </w:r>
          </w:p>
          <w:p w:rsidR="00700C5C" w:rsidRPr="004D0014" w:rsidRDefault="00700C5C" w:rsidP="00DD05F2">
            <w:pPr>
              <w:pStyle w:val="Default"/>
              <w:jc w:val="right"/>
              <w:rPr>
                <w:sz w:val="20"/>
                <w:szCs w:val="20"/>
              </w:rPr>
            </w:pPr>
            <w:r w:rsidRPr="004D0014">
              <w:rPr>
                <w:sz w:val="20"/>
                <w:szCs w:val="20"/>
              </w:rPr>
              <w:t>-.089</w:t>
            </w:r>
          </w:p>
          <w:p w:rsidR="00700C5C" w:rsidRPr="004D0014" w:rsidRDefault="00700C5C" w:rsidP="00DD05F2">
            <w:pPr>
              <w:pStyle w:val="Default"/>
              <w:jc w:val="right"/>
              <w:rPr>
                <w:sz w:val="20"/>
                <w:szCs w:val="20"/>
              </w:rPr>
            </w:pPr>
            <w:r w:rsidRPr="004D0014">
              <w:rPr>
                <w:sz w:val="20"/>
                <w:szCs w:val="20"/>
              </w:rPr>
              <w:t>-.036</w:t>
            </w:r>
          </w:p>
          <w:p w:rsidR="00700C5C" w:rsidRPr="004D0014" w:rsidRDefault="00700C5C" w:rsidP="00DD05F2">
            <w:pPr>
              <w:pStyle w:val="Default"/>
              <w:jc w:val="right"/>
              <w:rPr>
                <w:sz w:val="20"/>
                <w:szCs w:val="20"/>
              </w:rPr>
            </w:pPr>
            <w:r w:rsidRPr="004D0014">
              <w:rPr>
                <w:sz w:val="20"/>
                <w:szCs w:val="20"/>
              </w:rPr>
              <w:t>.124</w:t>
            </w:r>
          </w:p>
        </w:tc>
        <w:tc>
          <w:tcPr>
            <w:tcW w:w="997" w:type="dxa"/>
          </w:tcPr>
          <w:p w:rsidR="00700C5C" w:rsidRPr="004D0014" w:rsidRDefault="00700C5C" w:rsidP="00DD05F2">
            <w:pPr>
              <w:pStyle w:val="Default"/>
              <w:jc w:val="right"/>
              <w:rPr>
                <w:sz w:val="20"/>
                <w:szCs w:val="20"/>
              </w:rPr>
            </w:pPr>
            <w:r w:rsidRPr="004D0014">
              <w:rPr>
                <w:sz w:val="20"/>
                <w:szCs w:val="20"/>
              </w:rPr>
              <w:t>-3.499</w:t>
            </w:r>
          </w:p>
          <w:p w:rsidR="00700C5C" w:rsidRPr="004D0014" w:rsidRDefault="00700C5C" w:rsidP="00DD05F2">
            <w:pPr>
              <w:pStyle w:val="Default"/>
              <w:jc w:val="right"/>
              <w:rPr>
                <w:sz w:val="20"/>
                <w:szCs w:val="20"/>
              </w:rPr>
            </w:pPr>
            <w:r w:rsidRPr="004D0014">
              <w:rPr>
                <w:sz w:val="20"/>
                <w:szCs w:val="20"/>
              </w:rPr>
              <w:t>5.314</w:t>
            </w:r>
          </w:p>
          <w:p w:rsidR="00700C5C" w:rsidRPr="004D0014" w:rsidRDefault="00700C5C" w:rsidP="00DD05F2">
            <w:pPr>
              <w:pStyle w:val="Default"/>
              <w:jc w:val="right"/>
              <w:rPr>
                <w:sz w:val="20"/>
                <w:szCs w:val="20"/>
              </w:rPr>
            </w:pPr>
            <w:r w:rsidRPr="004D0014">
              <w:rPr>
                <w:sz w:val="20"/>
                <w:szCs w:val="20"/>
              </w:rPr>
              <w:t>6.008</w:t>
            </w:r>
          </w:p>
          <w:p w:rsidR="00700C5C" w:rsidRPr="004D0014" w:rsidRDefault="00700C5C" w:rsidP="00DD05F2">
            <w:pPr>
              <w:pStyle w:val="Default"/>
              <w:jc w:val="right"/>
              <w:rPr>
                <w:sz w:val="20"/>
                <w:szCs w:val="20"/>
              </w:rPr>
            </w:pPr>
            <w:r w:rsidRPr="004D0014">
              <w:rPr>
                <w:sz w:val="20"/>
                <w:szCs w:val="20"/>
              </w:rPr>
              <w:t>3.370</w:t>
            </w:r>
          </w:p>
          <w:p w:rsidR="00700C5C" w:rsidRPr="004D0014" w:rsidRDefault="00700C5C" w:rsidP="00DD05F2">
            <w:pPr>
              <w:pStyle w:val="Default"/>
              <w:jc w:val="right"/>
              <w:rPr>
                <w:sz w:val="20"/>
                <w:szCs w:val="20"/>
              </w:rPr>
            </w:pPr>
            <w:r w:rsidRPr="004D0014">
              <w:rPr>
                <w:sz w:val="20"/>
                <w:szCs w:val="20"/>
              </w:rPr>
              <w:t>-.583</w:t>
            </w:r>
          </w:p>
          <w:p w:rsidR="00700C5C" w:rsidRPr="004D0014" w:rsidRDefault="00700C5C" w:rsidP="00DD05F2">
            <w:pPr>
              <w:pStyle w:val="Default"/>
              <w:jc w:val="right"/>
              <w:rPr>
                <w:sz w:val="20"/>
                <w:szCs w:val="20"/>
              </w:rPr>
            </w:pPr>
            <w:r w:rsidRPr="004D0014">
              <w:rPr>
                <w:sz w:val="20"/>
                <w:szCs w:val="20"/>
              </w:rPr>
              <w:t>-.237</w:t>
            </w:r>
          </w:p>
          <w:p w:rsidR="00700C5C" w:rsidRPr="004D0014" w:rsidRDefault="00700C5C" w:rsidP="00DD05F2">
            <w:pPr>
              <w:pStyle w:val="Default"/>
              <w:jc w:val="right"/>
              <w:rPr>
                <w:sz w:val="20"/>
                <w:szCs w:val="20"/>
              </w:rPr>
            </w:pPr>
            <w:r w:rsidRPr="004D0014">
              <w:rPr>
                <w:sz w:val="20"/>
                <w:szCs w:val="20"/>
              </w:rPr>
              <w:t>.821</w:t>
            </w:r>
          </w:p>
        </w:tc>
        <w:tc>
          <w:tcPr>
            <w:tcW w:w="1283" w:type="dxa"/>
          </w:tcPr>
          <w:p w:rsidR="00700C5C" w:rsidRPr="004D0014" w:rsidRDefault="00700C5C" w:rsidP="00DD05F2">
            <w:pPr>
              <w:pStyle w:val="Default"/>
              <w:jc w:val="right"/>
              <w:rPr>
                <w:sz w:val="20"/>
                <w:szCs w:val="20"/>
              </w:rPr>
            </w:pPr>
            <w:r w:rsidRPr="004D0014">
              <w:rPr>
                <w:sz w:val="20"/>
                <w:szCs w:val="20"/>
              </w:rPr>
              <w:t>.001</w:t>
            </w:r>
          </w:p>
          <w:p w:rsidR="00700C5C" w:rsidRPr="004D0014" w:rsidRDefault="00700C5C" w:rsidP="00DD05F2">
            <w:pPr>
              <w:pStyle w:val="Default"/>
              <w:jc w:val="right"/>
              <w:rPr>
                <w:sz w:val="20"/>
                <w:szCs w:val="20"/>
              </w:rPr>
            </w:pPr>
            <w:r w:rsidRPr="004D0014">
              <w:rPr>
                <w:sz w:val="20"/>
                <w:szCs w:val="20"/>
              </w:rPr>
              <w:t>.000</w:t>
            </w:r>
          </w:p>
          <w:p w:rsidR="00700C5C" w:rsidRPr="004D0014" w:rsidRDefault="00700C5C" w:rsidP="00DD05F2">
            <w:pPr>
              <w:pStyle w:val="Default"/>
              <w:jc w:val="right"/>
              <w:rPr>
                <w:sz w:val="20"/>
                <w:szCs w:val="20"/>
              </w:rPr>
            </w:pPr>
            <w:r w:rsidRPr="004D0014">
              <w:rPr>
                <w:sz w:val="20"/>
                <w:szCs w:val="20"/>
              </w:rPr>
              <w:t>.000</w:t>
            </w:r>
          </w:p>
          <w:p w:rsidR="00700C5C" w:rsidRPr="004D0014" w:rsidRDefault="00700C5C" w:rsidP="00DD05F2">
            <w:pPr>
              <w:pStyle w:val="Default"/>
              <w:jc w:val="right"/>
              <w:rPr>
                <w:sz w:val="20"/>
                <w:szCs w:val="20"/>
              </w:rPr>
            </w:pPr>
            <w:r w:rsidRPr="004D0014">
              <w:rPr>
                <w:sz w:val="20"/>
                <w:szCs w:val="20"/>
              </w:rPr>
              <w:t>.002</w:t>
            </w:r>
          </w:p>
          <w:p w:rsidR="00700C5C" w:rsidRPr="004D0014" w:rsidRDefault="00700C5C" w:rsidP="00DD05F2">
            <w:pPr>
              <w:pStyle w:val="Default"/>
              <w:jc w:val="right"/>
              <w:rPr>
                <w:sz w:val="20"/>
                <w:szCs w:val="20"/>
              </w:rPr>
            </w:pPr>
            <w:r w:rsidRPr="004D0014">
              <w:rPr>
                <w:sz w:val="20"/>
                <w:szCs w:val="20"/>
              </w:rPr>
              <w:t>.563</w:t>
            </w:r>
          </w:p>
          <w:p w:rsidR="00700C5C" w:rsidRPr="004D0014" w:rsidRDefault="00700C5C" w:rsidP="00DD05F2">
            <w:pPr>
              <w:pStyle w:val="Default"/>
              <w:jc w:val="right"/>
              <w:rPr>
                <w:sz w:val="20"/>
                <w:szCs w:val="20"/>
              </w:rPr>
            </w:pPr>
            <w:r w:rsidRPr="004D0014">
              <w:rPr>
                <w:sz w:val="20"/>
                <w:szCs w:val="20"/>
              </w:rPr>
              <w:t>.814</w:t>
            </w:r>
          </w:p>
          <w:p w:rsidR="00700C5C" w:rsidRPr="004D0014" w:rsidRDefault="00700C5C" w:rsidP="00DD05F2">
            <w:pPr>
              <w:pStyle w:val="Default"/>
              <w:jc w:val="right"/>
              <w:rPr>
                <w:sz w:val="20"/>
                <w:szCs w:val="20"/>
              </w:rPr>
            </w:pPr>
            <w:r w:rsidRPr="004D0014">
              <w:rPr>
                <w:sz w:val="20"/>
                <w:szCs w:val="20"/>
              </w:rPr>
              <w:t>.416</w:t>
            </w:r>
          </w:p>
        </w:tc>
      </w:tr>
    </w:tbl>
    <w:p w:rsidR="00700C5C" w:rsidRDefault="00700C5C" w:rsidP="00700C5C">
      <w:pPr>
        <w:pStyle w:val="Default"/>
        <w:numPr>
          <w:ilvl w:val="0"/>
          <w:numId w:val="3"/>
        </w:numPr>
        <w:tabs>
          <w:tab w:val="left" w:pos="993"/>
        </w:tabs>
        <w:ind w:hanging="11"/>
        <w:jc w:val="both"/>
      </w:pPr>
      <w:r>
        <w:t>Dependent Variable : PBV</w:t>
      </w:r>
    </w:p>
    <w:p w:rsidR="00700C5C" w:rsidRDefault="00700C5C" w:rsidP="00700C5C">
      <w:pPr>
        <w:pStyle w:val="Default"/>
        <w:ind w:left="360"/>
        <w:jc w:val="center"/>
        <w:rPr>
          <w:sz w:val="23"/>
          <w:szCs w:val="23"/>
        </w:rPr>
      </w:pPr>
    </w:p>
    <w:p w:rsidR="00C600E1" w:rsidRPr="00C600E1" w:rsidRDefault="00C600E1" w:rsidP="00C600E1">
      <w:pPr>
        <w:pStyle w:val="HTMLPreformatted"/>
        <w:jc w:val="both"/>
        <w:rPr>
          <w:rFonts w:ascii="Times New Roman" w:hAnsi="Times New Roman" w:cs="Times New Roman"/>
          <w:sz w:val="24"/>
          <w:szCs w:val="24"/>
        </w:rPr>
      </w:pPr>
      <w:r w:rsidRPr="00C600E1">
        <w:rPr>
          <w:rFonts w:ascii="Times New Roman" w:hAnsi="Times New Roman" w:cs="Times New Roman"/>
          <w:sz w:val="24"/>
          <w:szCs w:val="24"/>
          <w:lang/>
        </w:rPr>
        <w:t>From the table above shows that profitability (ROA, ROE and NMP) has a positive and significant influence on firm value while capital structure (DER, DAR and EAR) does</w:t>
      </w:r>
      <w:r w:rsidR="00304979">
        <w:rPr>
          <w:rFonts w:ascii="Times New Roman" w:hAnsi="Times New Roman" w:cs="Times New Roman"/>
          <w:sz w:val="24"/>
          <w:szCs w:val="24"/>
          <w:lang/>
        </w:rPr>
        <w:t xml:space="preserve"> </w:t>
      </w:r>
      <w:r w:rsidRPr="00C600E1">
        <w:rPr>
          <w:rFonts w:ascii="Times New Roman" w:hAnsi="Times New Roman" w:cs="Times New Roman"/>
          <w:sz w:val="24"/>
          <w:szCs w:val="24"/>
          <w:lang/>
        </w:rPr>
        <w:t xml:space="preserve"> not have a significant effect on firm value</w:t>
      </w:r>
    </w:p>
    <w:p w:rsidR="00C600E1" w:rsidRDefault="00C600E1" w:rsidP="00700C5C">
      <w:pPr>
        <w:pStyle w:val="Default"/>
        <w:ind w:left="360"/>
        <w:jc w:val="center"/>
        <w:rPr>
          <w:sz w:val="23"/>
          <w:szCs w:val="23"/>
        </w:rPr>
      </w:pPr>
    </w:p>
    <w:p w:rsidR="00C600E1" w:rsidRDefault="00700C5C" w:rsidP="00C600E1">
      <w:pPr>
        <w:pStyle w:val="HTMLPreformatted"/>
        <w:jc w:val="center"/>
      </w:pPr>
      <w:r>
        <w:rPr>
          <w:sz w:val="23"/>
          <w:szCs w:val="23"/>
        </w:rPr>
        <w:t>Tabl</w:t>
      </w:r>
      <w:r w:rsidR="00C600E1">
        <w:rPr>
          <w:sz w:val="23"/>
          <w:szCs w:val="23"/>
        </w:rPr>
        <w:t>e</w:t>
      </w:r>
      <w:r>
        <w:rPr>
          <w:sz w:val="23"/>
          <w:szCs w:val="23"/>
        </w:rPr>
        <w:t xml:space="preserve"> 4. </w:t>
      </w:r>
      <w:r w:rsidR="00C600E1">
        <w:rPr>
          <w:lang/>
        </w:rPr>
        <w:t>Moderation Result of ROA Variable Test</w:t>
      </w:r>
    </w:p>
    <w:p w:rsidR="00700C5C" w:rsidRDefault="00700C5C" w:rsidP="00700C5C">
      <w:pPr>
        <w:pStyle w:val="Default"/>
        <w:ind w:left="360"/>
        <w:jc w:val="center"/>
        <w:rPr>
          <w:sz w:val="23"/>
          <w:szCs w:val="23"/>
        </w:rPr>
      </w:pPr>
      <w:r>
        <w:rPr>
          <w:sz w:val="23"/>
          <w:szCs w:val="23"/>
        </w:rPr>
        <w:t>Coefficients</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8"/>
        <w:gridCol w:w="1187"/>
        <w:gridCol w:w="1144"/>
        <w:gridCol w:w="1429"/>
        <w:gridCol w:w="1000"/>
        <w:gridCol w:w="1287"/>
      </w:tblGrid>
      <w:tr w:rsidR="00700C5C" w:rsidRPr="0084266F" w:rsidTr="00DD05F2">
        <w:trPr>
          <w:trHeight w:val="498"/>
          <w:jc w:val="center"/>
        </w:trPr>
        <w:tc>
          <w:tcPr>
            <w:tcW w:w="1848" w:type="dxa"/>
            <w:vMerge w:val="restart"/>
          </w:tcPr>
          <w:p w:rsidR="00700C5C" w:rsidRPr="004D0014" w:rsidRDefault="00700C5C" w:rsidP="00DD05F2">
            <w:pPr>
              <w:pStyle w:val="Default"/>
              <w:jc w:val="both"/>
              <w:rPr>
                <w:sz w:val="20"/>
                <w:szCs w:val="20"/>
              </w:rPr>
            </w:pPr>
            <w:r w:rsidRPr="004D0014">
              <w:rPr>
                <w:sz w:val="20"/>
                <w:szCs w:val="20"/>
              </w:rPr>
              <w:t>Model</w:t>
            </w:r>
          </w:p>
        </w:tc>
        <w:tc>
          <w:tcPr>
            <w:tcW w:w="2331" w:type="dxa"/>
            <w:gridSpan w:val="2"/>
            <w:tcBorders>
              <w:bottom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Unstandardized</w:t>
            </w:r>
            <w:proofErr w:type="spellEnd"/>
            <w:r w:rsidRPr="004D0014">
              <w:rPr>
                <w:sz w:val="20"/>
                <w:szCs w:val="20"/>
              </w:rPr>
              <w:t xml:space="preserve"> Coefficients</w:t>
            </w:r>
          </w:p>
          <w:p w:rsidR="00700C5C" w:rsidRPr="004D0014" w:rsidRDefault="00700C5C" w:rsidP="00DD05F2">
            <w:pPr>
              <w:pStyle w:val="Default"/>
              <w:jc w:val="both"/>
              <w:rPr>
                <w:sz w:val="20"/>
                <w:szCs w:val="20"/>
              </w:rPr>
            </w:pPr>
          </w:p>
        </w:tc>
        <w:tc>
          <w:tcPr>
            <w:tcW w:w="1429" w:type="dxa"/>
            <w:tcBorders>
              <w:bottom w:val="single" w:sz="4" w:space="0" w:color="auto"/>
            </w:tcBorders>
          </w:tcPr>
          <w:p w:rsidR="00700C5C" w:rsidRPr="004D0014" w:rsidRDefault="00700C5C" w:rsidP="00DD05F2">
            <w:pPr>
              <w:pStyle w:val="Default"/>
              <w:jc w:val="both"/>
              <w:rPr>
                <w:sz w:val="20"/>
                <w:szCs w:val="20"/>
              </w:rPr>
            </w:pPr>
            <w:r w:rsidRPr="004D0014">
              <w:rPr>
                <w:sz w:val="20"/>
                <w:szCs w:val="20"/>
              </w:rPr>
              <w:t>Standardized Coefficients</w:t>
            </w:r>
          </w:p>
        </w:tc>
        <w:tc>
          <w:tcPr>
            <w:tcW w:w="1000"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t</w:t>
            </w:r>
          </w:p>
        </w:tc>
        <w:tc>
          <w:tcPr>
            <w:tcW w:w="1287"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Sig.</w:t>
            </w:r>
          </w:p>
        </w:tc>
      </w:tr>
      <w:tr w:rsidR="00700C5C" w:rsidRPr="0084266F" w:rsidTr="00DD05F2">
        <w:trPr>
          <w:trHeight w:val="279"/>
          <w:jc w:val="center"/>
        </w:trPr>
        <w:tc>
          <w:tcPr>
            <w:tcW w:w="1848" w:type="dxa"/>
            <w:vMerge/>
          </w:tcPr>
          <w:p w:rsidR="00700C5C" w:rsidRPr="004D0014" w:rsidRDefault="00700C5C" w:rsidP="00DD05F2">
            <w:pPr>
              <w:pStyle w:val="Default"/>
              <w:jc w:val="both"/>
              <w:rPr>
                <w:sz w:val="20"/>
                <w:szCs w:val="20"/>
              </w:rPr>
            </w:pPr>
          </w:p>
        </w:tc>
        <w:tc>
          <w:tcPr>
            <w:tcW w:w="1187" w:type="dxa"/>
            <w:tcBorders>
              <w:top w:val="single" w:sz="4" w:space="0" w:color="auto"/>
              <w:right w:val="single" w:sz="4" w:space="0" w:color="auto"/>
            </w:tcBorders>
          </w:tcPr>
          <w:p w:rsidR="00700C5C" w:rsidRPr="004D0014" w:rsidRDefault="00700C5C" w:rsidP="00DD05F2">
            <w:pPr>
              <w:pStyle w:val="Default"/>
              <w:jc w:val="center"/>
              <w:rPr>
                <w:sz w:val="20"/>
                <w:szCs w:val="20"/>
              </w:rPr>
            </w:pPr>
            <w:r w:rsidRPr="004D0014">
              <w:rPr>
                <w:sz w:val="20"/>
                <w:szCs w:val="20"/>
              </w:rPr>
              <w:t>B</w:t>
            </w:r>
          </w:p>
        </w:tc>
        <w:tc>
          <w:tcPr>
            <w:tcW w:w="1144" w:type="dxa"/>
            <w:tcBorders>
              <w:top w:val="single" w:sz="4" w:space="0" w:color="auto"/>
              <w:left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Std.Error</w:t>
            </w:r>
            <w:proofErr w:type="spellEnd"/>
          </w:p>
        </w:tc>
        <w:tc>
          <w:tcPr>
            <w:tcW w:w="1429" w:type="dxa"/>
            <w:tcBorders>
              <w:top w:val="single" w:sz="4" w:space="0" w:color="auto"/>
            </w:tcBorders>
          </w:tcPr>
          <w:p w:rsidR="00700C5C" w:rsidRPr="004D0014" w:rsidRDefault="00700C5C" w:rsidP="00DD05F2">
            <w:pPr>
              <w:pStyle w:val="Default"/>
              <w:jc w:val="center"/>
              <w:rPr>
                <w:sz w:val="20"/>
                <w:szCs w:val="20"/>
              </w:rPr>
            </w:pPr>
            <w:r w:rsidRPr="004D0014">
              <w:rPr>
                <w:sz w:val="20"/>
                <w:szCs w:val="20"/>
              </w:rPr>
              <w:t>Beta</w:t>
            </w:r>
          </w:p>
        </w:tc>
        <w:tc>
          <w:tcPr>
            <w:tcW w:w="1000" w:type="dxa"/>
            <w:vMerge/>
          </w:tcPr>
          <w:p w:rsidR="00700C5C" w:rsidRPr="004D0014" w:rsidRDefault="00700C5C" w:rsidP="00DD05F2">
            <w:pPr>
              <w:pStyle w:val="Default"/>
              <w:jc w:val="both"/>
              <w:rPr>
                <w:sz w:val="20"/>
                <w:szCs w:val="20"/>
              </w:rPr>
            </w:pPr>
          </w:p>
        </w:tc>
        <w:tc>
          <w:tcPr>
            <w:tcW w:w="1287" w:type="dxa"/>
            <w:vMerge/>
          </w:tcPr>
          <w:p w:rsidR="00700C5C" w:rsidRPr="004D0014" w:rsidRDefault="00700C5C" w:rsidP="00DD05F2">
            <w:pPr>
              <w:pStyle w:val="Default"/>
              <w:jc w:val="both"/>
              <w:rPr>
                <w:sz w:val="20"/>
                <w:szCs w:val="20"/>
              </w:rPr>
            </w:pPr>
          </w:p>
        </w:tc>
      </w:tr>
      <w:tr w:rsidR="00700C5C" w:rsidRPr="0084266F" w:rsidTr="00DD05F2">
        <w:trPr>
          <w:trHeight w:val="1231"/>
          <w:jc w:val="center"/>
        </w:trPr>
        <w:tc>
          <w:tcPr>
            <w:tcW w:w="1848" w:type="dxa"/>
          </w:tcPr>
          <w:p w:rsidR="00700C5C" w:rsidRPr="004D0014" w:rsidRDefault="00700C5C" w:rsidP="00DD05F2">
            <w:pPr>
              <w:pStyle w:val="Default"/>
              <w:numPr>
                <w:ilvl w:val="0"/>
                <w:numId w:val="4"/>
              </w:numPr>
              <w:ind w:left="423" w:hanging="423"/>
              <w:jc w:val="both"/>
              <w:rPr>
                <w:sz w:val="20"/>
                <w:szCs w:val="20"/>
              </w:rPr>
            </w:pPr>
            <w:r w:rsidRPr="004D0014">
              <w:rPr>
                <w:sz w:val="20"/>
                <w:szCs w:val="20"/>
              </w:rPr>
              <w:t>(Constant)</w:t>
            </w:r>
          </w:p>
          <w:p w:rsidR="00700C5C" w:rsidRPr="004D0014" w:rsidRDefault="00700C5C" w:rsidP="00DD05F2">
            <w:pPr>
              <w:pStyle w:val="Default"/>
              <w:ind w:left="360"/>
              <w:jc w:val="both"/>
              <w:rPr>
                <w:sz w:val="20"/>
                <w:szCs w:val="20"/>
              </w:rPr>
            </w:pPr>
            <w:r w:rsidRPr="004D0014">
              <w:rPr>
                <w:sz w:val="20"/>
                <w:szCs w:val="20"/>
              </w:rPr>
              <w:t>ROA</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CSR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ROA*CSR</w:t>
            </w:r>
          </w:p>
          <w:p w:rsidR="00700C5C" w:rsidRPr="004D0014" w:rsidRDefault="00700C5C" w:rsidP="00DD05F2">
            <w:pPr>
              <w:pStyle w:val="Default"/>
              <w:jc w:val="both"/>
              <w:rPr>
                <w:sz w:val="20"/>
                <w:szCs w:val="20"/>
              </w:rPr>
            </w:pPr>
          </w:p>
        </w:tc>
        <w:tc>
          <w:tcPr>
            <w:tcW w:w="1187" w:type="dxa"/>
            <w:tcBorders>
              <w:right w:val="single" w:sz="4" w:space="0" w:color="auto"/>
            </w:tcBorders>
          </w:tcPr>
          <w:p w:rsidR="00700C5C" w:rsidRPr="004D0014" w:rsidRDefault="00700C5C" w:rsidP="00DD05F2">
            <w:pPr>
              <w:pStyle w:val="Default"/>
              <w:jc w:val="right"/>
              <w:rPr>
                <w:sz w:val="20"/>
                <w:szCs w:val="20"/>
              </w:rPr>
            </w:pPr>
            <w:r w:rsidRPr="004D0014">
              <w:rPr>
                <w:sz w:val="20"/>
                <w:szCs w:val="20"/>
              </w:rPr>
              <w:t>-</w:t>
            </w:r>
            <w:r>
              <w:rPr>
                <w:sz w:val="20"/>
                <w:szCs w:val="20"/>
              </w:rPr>
              <w:t>3</w:t>
            </w:r>
            <w:r w:rsidRPr="004D0014">
              <w:rPr>
                <w:sz w:val="20"/>
                <w:szCs w:val="20"/>
              </w:rPr>
              <w:t>.</w:t>
            </w:r>
            <w:r>
              <w:rPr>
                <w:sz w:val="20"/>
                <w:szCs w:val="20"/>
              </w:rPr>
              <w:t>879</w:t>
            </w:r>
          </w:p>
          <w:p w:rsidR="00700C5C" w:rsidRPr="004D0014" w:rsidRDefault="00700C5C" w:rsidP="00DD05F2">
            <w:pPr>
              <w:pStyle w:val="Default"/>
              <w:jc w:val="right"/>
              <w:rPr>
                <w:sz w:val="20"/>
                <w:szCs w:val="20"/>
              </w:rPr>
            </w:pPr>
            <w:r>
              <w:rPr>
                <w:sz w:val="20"/>
                <w:szCs w:val="20"/>
              </w:rPr>
              <w:t>1</w:t>
            </w:r>
            <w:r w:rsidRPr="004D0014">
              <w:rPr>
                <w:sz w:val="20"/>
                <w:szCs w:val="20"/>
              </w:rPr>
              <w:t>.2</w:t>
            </w:r>
            <w:r>
              <w:rPr>
                <w:sz w:val="20"/>
                <w:szCs w:val="20"/>
              </w:rPr>
              <w:t>01</w:t>
            </w:r>
          </w:p>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651</w:t>
            </w:r>
          </w:p>
          <w:p w:rsidR="00700C5C" w:rsidRPr="004D0014" w:rsidRDefault="00700C5C" w:rsidP="00DD05F2">
            <w:pPr>
              <w:pStyle w:val="Default"/>
              <w:jc w:val="right"/>
              <w:rPr>
                <w:sz w:val="20"/>
                <w:szCs w:val="20"/>
              </w:rPr>
            </w:pPr>
            <w:r>
              <w:rPr>
                <w:sz w:val="20"/>
                <w:szCs w:val="20"/>
              </w:rPr>
              <w:t>-</w:t>
            </w:r>
            <w:r w:rsidRPr="004D0014">
              <w:rPr>
                <w:sz w:val="20"/>
                <w:szCs w:val="20"/>
              </w:rPr>
              <w:t>.</w:t>
            </w:r>
            <w:r>
              <w:rPr>
                <w:sz w:val="20"/>
                <w:szCs w:val="20"/>
              </w:rPr>
              <w:t>002</w:t>
            </w:r>
          </w:p>
          <w:p w:rsidR="00700C5C" w:rsidRPr="004D0014" w:rsidRDefault="00700C5C" w:rsidP="00DD05F2">
            <w:pPr>
              <w:pStyle w:val="Default"/>
              <w:jc w:val="right"/>
              <w:rPr>
                <w:sz w:val="20"/>
                <w:szCs w:val="20"/>
              </w:rPr>
            </w:pPr>
          </w:p>
        </w:tc>
        <w:tc>
          <w:tcPr>
            <w:tcW w:w="1144" w:type="dxa"/>
            <w:tcBorders>
              <w:left w:val="single" w:sz="4" w:space="0" w:color="auto"/>
            </w:tcBorders>
          </w:tcPr>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298</w:t>
            </w:r>
          </w:p>
          <w:p w:rsidR="00700C5C" w:rsidRPr="004D0014" w:rsidRDefault="00700C5C" w:rsidP="00DD05F2">
            <w:pPr>
              <w:pStyle w:val="Default"/>
              <w:jc w:val="right"/>
              <w:rPr>
                <w:sz w:val="20"/>
                <w:szCs w:val="20"/>
              </w:rPr>
            </w:pPr>
            <w:r w:rsidRPr="004D0014">
              <w:rPr>
                <w:sz w:val="20"/>
                <w:szCs w:val="20"/>
              </w:rPr>
              <w:t>.</w:t>
            </w:r>
            <w:r>
              <w:rPr>
                <w:sz w:val="20"/>
                <w:szCs w:val="20"/>
              </w:rPr>
              <w:t>3</w:t>
            </w:r>
            <w:r w:rsidRPr="004D0014">
              <w:rPr>
                <w:sz w:val="20"/>
                <w:szCs w:val="20"/>
              </w:rPr>
              <w:t>7</w:t>
            </w:r>
            <w:r>
              <w:rPr>
                <w:sz w:val="20"/>
                <w:szCs w:val="20"/>
              </w:rPr>
              <w:t>9</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714</w:t>
            </w:r>
          </w:p>
          <w:p w:rsidR="00700C5C" w:rsidRPr="004D0014" w:rsidRDefault="00700C5C" w:rsidP="00DD05F2">
            <w:pPr>
              <w:pStyle w:val="Default"/>
              <w:jc w:val="right"/>
              <w:rPr>
                <w:sz w:val="20"/>
                <w:szCs w:val="20"/>
              </w:rPr>
            </w:pPr>
            <w:r w:rsidRPr="004D0014">
              <w:rPr>
                <w:sz w:val="20"/>
                <w:szCs w:val="20"/>
              </w:rPr>
              <w:t>.</w:t>
            </w:r>
            <w:r>
              <w:rPr>
                <w:sz w:val="20"/>
                <w:szCs w:val="20"/>
              </w:rPr>
              <w:t>002</w:t>
            </w:r>
          </w:p>
          <w:p w:rsidR="00700C5C" w:rsidRPr="004D0014" w:rsidRDefault="00700C5C" w:rsidP="00DD05F2">
            <w:pPr>
              <w:pStyle w:val="Default"/>
              <w:jc w:val="right"/>
              <w:rPr>
                <w:sz w:val="20"/>
                <w:szCs w:val="20"/>
              </w:rPr>
            </w:pPr>
          </w:p>
          <w:p w:rsidR="00700C5C" w:rsidRPr="004D0014" w:rsidRDefault="00700C5C" w:rsidP="00DD05F2">
            <w:pPr>
              <w:pStyle w:val="Default"/>
              <w:jc w:val="right"/>
              <w:rPr>
                <w:sz w:val="20"/>
                <w:szCs w:val="20"/>
              </w:rPr>
            </w:pPr>
          </w:p>
        </w:tc>
        <w:tc>
          <w:tcPr>
            <w:tcW w:w="1429" w:type="dxa"/>
          </w:tcPr>
          <w:p w:rsidR="00700C5C" w:rsidRPr="004D0014" w:rsidRDefault="00700C5C" w:rsidP="00DD05F2">
            <w:pPr>
              <w:pStyle w:val="Default"/>
              <w:jc w:val="right"/>
              <w:rPr>
                <w:sz w:val="20"/>
                <w:szCs w:val="20"/>
              </w:rPr>
            </w:pP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216</w:t>
            </w:r>
          </w:p>
          <w:p w:rsidR="00700C5C" w:rsidRPr="004D0014" w:rsidRDefault="00700C5C" w:rsidP="00DD05F2">
            <w:pPr>
              <w:pStyle w:val="Default"/>
              <w:jc w:val="right"/>
              <w:rPr>
                <w:sz w:val="20"/>
                <w:szCs w:val="20"/>
              </w:rPr>
            </w:pPr>
            <w:r w:rsidRPr="004D0014">
              <w:rPr>
                <w:sz w:val="20"/>
                <w:szCs w:val="20"/>
              </w:rPr>
              <w:t>.</w:t>
            </w:r>
            <w:r>
              <w:rPr>
                <w:sz w:val="20"/>
                <w:szCs w:val="20"/>
              </w:rPr>
              <w:t>240</w:t>
            </w:r>
          </w:p>
          <w:p w:rsidR="00700C5C" w:rsidRPr="004D0014" w:rsidRDefault="00700C5C" w:rsidP="00DD05F2">
            <w:pPr>
              <w:pStyle w:val="Default"/>
              <w:jc w:val="right"/>
              <w:rPr>
                <w:sz w:val="20"/>
                <w:szCs w:val="20"/>
              </w:rPr>
            </w:pPr>
            <w:r>
              <w:rPr>
                <w:sz w:val="20"/>
                <w:szCs w:val="20"/>
              </w:rPr>
              <w:t>-</w:t>
            </w:r>
            <w:r w:rsidRPr="004D0014">
              <w:rPr>
                <w:sz w:val="20"/>
                <w:szCs w:val="20"/>
              </w:rPr>
              <w:t>.5</w:t>
            </w:r>
            <w:r>
              <w:rPr>
                <w:sz w:val="20"/>
                <w:szCs w:val="20"/>
              </w:rPr>
              <w:t>91</w:t>
            </w:r>
          </w:p>
          <w:p w:rsidR="00700C5C" w:rsidRPr="004D0014" w:rsidRDefault="00700C5C" w:rsidP="00DD05F2">
            <w:pPr>
              <w:pStyle w:val="Default"/>
              <w:jc w:val="right"/>
              <w:rPr>
                <w:sz w:val="20"/>
                <w:szCs w:val="20"/>
              </w:rPr>
            </w:pPr>
          </w:p>
        </w:tc>
        <w:tc>
          <w:tcPr>
            <w:tcW w:w="1000" w:type="dxa"/>
          </w:tcPr>
          <w:p w:rsidR="00700C5C" w:rsidRPr="004D0014" w:rsidRDefault="00700C5C" w:rsidP="00DD05F2">
            <w:pPr>
              <w:pStyle w:val="Default"/>
              <w:jc w:val="right"/>
              <w:rPr>
                <w:sz w:val="20"/>
                <w:szCs w:val="20"/>
              </w:rPr>
            </w:pPr>
            <w:r w:rsidRPr="004D0014">
              <w:rPr>
                <w:sz w:val="20"/>
                <w:szCs w:val="20"/>
              </w:rPr>
              <w:t>-</w:t>
            </w:r>
            <w:r>
              <w:rPr>
                <w:sz w:val="20"/>
                <w:szCs w:val="20"/>
              </w:rPr>
              <w:t>1</w:t>
            </w:r>
            <w:r w:rsidRPr="004D0014">
              <w:rPr>
                <w:sz w:val="20"/>
                <w:szCs w:val="20"/>
              </w:rPr>
              <w:t>.</w:t>
            </w:r>
            <w:r>
              <w:rPr>
                <w:sz w:val="20"/>
                <w:szCs w:val="20"/>
              </w:rPr>
              <w:t>688</w:t>
            </w:r>
          </w:p>
          <w:p w:rsidR="00700C5C" w:rsidRPr="004D0014" w:rsidRDefault="00700C5C" w:rsidP="00DD05F2">
            <w:pPr>
              <w:pStyle w:val="Default"/>
              <w:jc w:val="right"/>
              <w:rPr>
                <w:sz w:val="20"/>
                <w:szCs w:val="20"/>
              </w:rPr>
            </w:pPr>
            <w:r>
              <w:rPr>
                <w:sz w:val="20"/>
                <w:szCs w:val="20"/>
              </w:rPr>
              <w:t>3</w:t>
            </w:r>
            <w:r w:rsidRPr="004D0014">
              <w:rPr>
                <w:sz w:val="20"/>
                <w:szCs w:val="20"/>
              </w:rPr>
              <w:t>.1</w:t>
            </w:r>
            <w:r>
              <w:rPr>
                <w:sz w:val="20"/>
                <w:szCs w:val="20"/>
              </w:rPr>
              <w:t>67</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546</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563</w:t>
            </w:r>
          </w:p>
          <w:p w:rsidR="00700C5C" w:rsidRPr="004D0014" w:rsidRDefault="00700C5C" w:rsidP="00DD05F2">
            <w:pPr>
              <w:pStyle w:val="Default"/>
              <w:jc w:val="right"/>
              <w:rPr>
                <w:sz w:val="20"/>
                <w:szCs w:val="20"/>
              </w:rPr>
            </w:pPr>
          </w:p>
        </w:tc>
        <w:tc>
          <w:tcPr>
            <w:tcW w:w="1287" w:type="dxa"/>
          </w:tcPr>
          <w:p w:rsidR="00700C5C" w:rsidRPr="004D0014" w:rsidRDefault="00700C5C" w:rsidP="00DD05F2">
            <w:pPr>
              <w:pStyle w:val="Default"/>
              <w:jc w:val="right"/>
              <w:rPr>
                <w:sz w:val="20"/>
                <w:szCs w:val="20"/>
              </w:rPr>
            </w:pPr>
            <w:r w:rsidRPr="004D0014">
              <w:rPr>
                <w:sz w:val="20"/>
                <w:szCs w:val="20"/>
              </w:rPr>
              <w:t>.0</w:t>
            </w:r>
            <w:r>
              <w:rPr>
                <w:sz w:val="20"/>
                <w:szCs w:val="20"/>
              </w:rPr>
              <w:t>99</w:t>
            </w:r>
          </w:p>
          <w:p w:rsidR="00700C5C" w:rsidRPr="004D0014" w:rsidRDefault="00700C5C" w:rsidP="00DD05F2">
            <w:pPr>
              <w:pStyle w:val="Default"/>
              <w:jc w:val="right"/>
              <w:rPr>
                <w:sz w:val="20"/>
                <w:szCs w:val="20"/>
              </w:rPr>
            </w:pPr>
            <w:r w:rsidRPr="004D0014">
              <w:rPr>
                <w:sz w:val="20"/>
                <w:szCs w:val="20"/>
              </w:rPr>
              <w:t>.00</w:t>
            </w:r>
            <w:r>
              <w:rPr>
                <w:sz w:val="20"/>
                <w:szCs w:val="20"/>
              </w:rPr>
              <w:t>3</w:t>
            </w:r>
          </w:p>
          <w:p w:rsidR="00700C5C" w:rsidRPr="004D0014" w:rsidRDefault="00700C5C" w:rsidP="00DD05F2">
            <w:pPr>
              <w:pStyle w:val="Default"/>
              <w:jc w:val="right"/>
              <w:rPr>
                <w:sz w:val="20"/>
                <w:szCs w:val="20"/>
              </w:rPr>
            </w:pPr>
            <w:r w:rsidRPr="004D0014">
              <w:rPr>
                <w:sz w:val="20"/>
                <w:szCs w:val="20"/>
              </w:rPr>
              <w:t>.</w:t>
            </w:r>
            <w:r>
              <w:rPr>
                <w:sz w:val="20"/>
                <w:szCs w:val="20"/>
              </w:rPr>
              <w:t>130</w:t>
            </w:r>
          </w:p>
          <w:p w:rsidR="00700C5C" w:rsidRPr="004D0014" w:rsidRDefault="00700C5C" w:rsidP="00DD05F2">
            <w:pPr>
              <w:pStyle w:val="Default"/>
              <w:jc w:val="right"/>
              <w:rPr>
                <w:sz w:val="20"/>
                <w:szCs w:val="20"/>
              </w:rPr>
            </w:pPr>
            <w:r w:rsidRPr="004D0014">
              <w:rPr>
                <w:sz w:val="20"/>
                <w:szCs w:val="20"/>
              </w:rPr>
              <w:t>.</w:t>
            </w:r>
            <w:r>
              <w:rPr>
                <w:sz w:val="20"/>
                <w:szCs w:val="20"/>
              </w:rPr>
              <w:t>126</w:t>
            </w:r>
          </w:p>
        </w:tc>
      </w:tr>
    </w:tbl>
    <w:p w:rsidR="00700C5C" w:rsidRDefault="00700C5C" w:rsidP="00700C5C">
      <w:pPr>
        <w:pStyle w:val="Default"/>
        <w:ind w:left="360"/>
        <w:jc w:val="both"/>
      </w:pPr>
    </w:p>
    <w:p w:rsidR="00700C5C" w:rsidRPr="00471EFC" w:rsidRDefault="00700C5C" w:rsidP="00700C5C">
      <w:pPr>
        <w:pStyle w:val="Default"/>
        <w:ind w:left="360"/>
        <w:jc w:val="center"/>
        <w:rPr>
          <w:sz w:val="23"/>
          <w:szCs w:val="23"/>
        </w:rPr>
      </w:pPr>
      <w:r w:rsidRPr="00471EFC">
        <w:rPr>
          <w:sz w:val="23"/>
          <w:szCs w:val="23"/>
        </w:rPr>
        <w:t>Tabl</w:t>
      </w:r>
      <w:r w:rsidR="00C600E1">
        <w:rPr>
          <w:sz w:val="23"/>
          <w:szCs w:val="23"/>
        </w:rPr>
        <w:t>e</w:t>
      </w:r>
      <w:r w:rsidRPr="00471EFC">
        <w:rPr>
          <w:sz w:val="23"/>
          <w:szCs w:val="23"/>
        </w:rPr>
        <w:t xml:space="preserve"> 4.</w:t>
      </w:r>
      <w:r w:rsidR="00C600E1">
        <w:rPr>
          <w:sz w:val="23"/>
          <w:szCs w:val="23"/>
        </w:rPr>
        <w:t xml:space="preserve">. </w:t>
      </w:r>
      <w:r w:rsidR="00C600E1">
        <w:rPr>
          <w:lang/>
        </w:rPr>
        <w:t>Moderation Result of ROE Variable Test</w:t>
      </w:r>
    </w:p>
    <w:p w:rsidR="00700C5C" w:rsidRDefault="00700C5C" w:rsidP="00700C5C">
      <w:pPr>
        <w:pStyle w:val="Default"/>
        <w:ind w:left="360"/>
        <w:jc w:val="center"/>
        <w:rPr>
          <w:sz w:val="23"/>
          <w:szCs w:val="23"/>
        </w:rPr>
      </w:pPr>
      <w:r w:rsidRPr="00471EFC">
        <w:rPr>
          <w:sz w:val="23"/>
          <w:szCs w:val="23"/>
        </w:rPr>
        <w:t>Coefficients</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8"/>
        <w:gridCol w:w="1187"/>
        <w:gridCol w:w="1144"/>
        <w:gridCol w:w="1429"/>
        <w:gridCol w:w="1000"/>
        <w:gridCol w:w="1287"/>
      </w:tblGrid>
      <w:tr w:rsidR="00700C5C" w:rsidRPr="0084266F" w:rsidTr="00DD05F2">
        <w:trPr>
          <w:trHeight w:val="498"/>
          <w:jc w:val="center"/>
        </w:trPr>
        <w:tc>
          <w:tcPr>
            <w:tcW w:w="1848" w:type="dxa"/>
            <w:vMerge w:val="restart"/>
          </w:tcPr>
          <w:p w:rsidR="00700C5C" w:rsidRPr="004D0014" w:rsidRDefault="00700C5C" w:rsidP="00DD05F2">
            <w:pPr>
              <w:pStyle w:val="Default"/>
              <w:jc w:val="both"/>
              <w:rPr>
                <w:sz w:val="20"/>
                <w:szCs w:val="20"/>
              </w:rPr>
            </w:pPr>
            <w:r w:rsidRPr="004D0014">
              <w:rPr>
                <w:sz w:val="20"/>
                <w:szCs w:val="20"/>
              </w:rPr>
              <w:t>Model</w:t>
            </w:r>
          </w:p>
        </w:tc>
        <w:tc>
          <w:tcPr>
            <w:tcW w:w="2331" w:type="dxa"/>
            <w:gridSpan w:val="2"/>
            <w:tcBorders>
              <w:bottom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Unstandardized</w:t>
            </w:r>
            <w:proofErr w:type="spellEnd"/>
            <w:r w:rsidRPr="004D0014">
              <w:rPr>
                <w:sz w:val="20"/>
                <w:szCs w:val="20"/>
              </w:rPr>
              <w:t xml:space="preserve"> Coefficients</w:t>
            </w:r>
          </w:p>
          <w:p w:rsidR="00700C5C" w:rsidRPr="004D0014" w:rsidRDefault="00700C5C" w:rsidP="00DD05F2">
            <w:pPr>
              <w:pStyle w:val="Default"/>
              <w:jc w:val="both"/>
              <w:rPr>
                <w:sz w:val="20"/>
                <w:szCs w:val="20"/>
              </w:rPr>
            </w:pPr>
          </w:p>
        </w:tc>
        <w:tc>
          <w:tcPr>
            <w:tcW w:w="1429" w:type="dxa"/>
            <w:tcBorders>
              <w:bottom w:val="single" w:sz="4" w:space="0" w:color="auto"/>
            </w:tcBorders>
          </w:tcPr>
          <w:p w:rsidR="00700C5C" w:rsidRPr="004D0014" w:rsidRDefault="00700C5C" w:rsidP="00DD05F2">
            <w:pPr>
              <w:pStyle w:val="Default"/>
              <w:jc w:val="both"/>
              <w:rPr>
                <w:sz w:val="20"/>
                <w:szCs w:val="20"/>
              </w:rPr>
            </w:pPr>
            <w:r w:rsidRPr="004D0014">
              <w:rPr>
                <w:sz w:val="20"/>
                <w:szCs w:val="20"/>
              </w:rPr>
              <w:t>Standardized Coefficients</w:t>
            </w:r>
          </w:p>
        </w:tc>
        <w:tc>
          <w:tcPr>
            <w:tcW w:w="1000"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t</w:t>
            </w:r>
          </w:p>
        </w:tc>
        <w:tc>
          <w:tcPr>
            <w:tcW w:w="1287"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Sig.</w:t>
            </w:r>
          </w:p>
        </w:tc>
      </w:tr>
      <w:tr w:rsidR="00700C5C" w:rsidRPr="0084266F" w:rsidTr="00DD05F2">
        <w:trPr>
          <w:trHeight w:val="279"/>
          <w:jc w:val="center"/>
        </w:trPr>
        <w:tc>
          <w:tcPr>
            <w:tcW w:w="1848" w:type="dxa"/>
            <w:vMerge/>
          </w:tcPr>
          <w:p w:rsidR="00700C5C" w:rsidRPr="004D0014" w:rsidRDefault="00700C5C" w:rsidP="00DD05F2">
            <w:pPr>
              <w:pStyle w:val="Default"/>
              <w:jc w:val="both"/>
              <w:rPr>
                <w:sz w:val="20"/>
                <w:szCs w:val="20"/>
              </w:rPr>
            </w:pPr>
          </w:p>
        </w:tc>
        <w:tc>
          <w:tcPr>
            <w:tcW w:w="1187" w:type="dxa"/>
            <w:tcBorders>
              <w:top w:val="single" w:sz="4" w:space="0" w:color="auto"/>
              <w:right w:val="single" w:sz="4" w:space="0" w:color="auto"/>
            </w:tcBorders>
          </w:tcPr>
          <w:p w:rsidR="00700C5C" w:rsidRPr="004D0014" w:rsidRDefault="00700C5C" w:rsidP="00DD05F2">
            <w:pPr>
              <w:pStyle w:val="Default"/>
              <w:jc w:val="center"/>
              <w:rPr>
                <w:sz w:val="20"/>
                <w:szCs w:val="20"/>
              </w:rPr>
            </w:pPr>
            <w:r w:rsidRPr="004D0014">
              <w:rPr>
                <w:sz w:val="20"/>
                <w:szCs w:val="20"/>
              </w:rPr>
              <w:t>B</w:t>
            </w:r>
          </w:p>
        </w:tc>
        <w:tc>
          <w:tcPr>
            <w:tcW w:w="1144" w:type="dxa"/>
            <w:tcBorders>
              <w:top w:val="single" w:sz="4" w:space="0" w:color="auto"/>
              <w:left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Std.Error</w:t>
            </w:r>
            <w:proofErr w:type="spellEnd"/>
          </w:p>
        </w:tc>
        <w:tc>
          <w:tcPr>
            <w:tcW w:w="1429" w:type="dxa"/>
            <w:tcBorders>
              <w:top w:val="single" w:sz="4" w:space="0" w:color="auto"/>
            </w:tcBorders>
          </w:tcPr>
          <w:p w:rsidR="00700C5C" w:rsidRPr="004D0014" w:rsidRDefault="00700C5C" w:rsidP="00DD05F2">
            <w:pPr>
              <w:pStyle w:val="Default"/>
              <w:jc w:val="center"/>
              <w:rPr>
                <w:sz w:val="20"/>
                <w:szCs w:val="20"/>
              </w:rPr>
            </w:pPr>
            <w:r w:rsidRPr="004D0014">
              <w:rPr>
                <w:sz w:val="20"/>
                <w:szCs w:val="20"/>
              </w:rPr>
              <w:t>Beta</w:t>
            </w:r>
          </w:p>
        </w:tc>
        <w:tc>
          <w:tcPr>
            <w:tcW w:w="1000" w:type="dxa"/>
            <w:vMerge/>
          </w:tcPr>
          <w:p w:rsidR="00700C5C" w:rsidRPr="004D0014" w:rsidRDefault="00700C5C" w:rsidP="00DD05F2">
            <w:pPr>
              <w:pStyle w:val="Default"/>
              <w:jc w:val="both"/>
              <w:rPr>
                <w:sz w:val="20"/>
                <w:szCs w:val="20"/>
              </w:rPr>
            </w:pPr>
          </w:p>
        </w:tc>
        <w:tc>
          <w:tcPr>
            <w:tcW w:w="1287" w:type="dxa"/>
            <w:vMerge/>
          </w:tcPr>
          <w:p w:rsidR="00700C5C" w:rsidRPr="004D0014" w:rsidRDefault="00700C5C" w:rsidP="00DD05F2">
            <w:pPr>
              <w:pStyle w:val="Default"/>
              <w:jc w:val="both"/>
              <w:rPr>
                <w:sz w:val="20"/>
                <w:szCs w:val="20"/>
              </w:rPr>
            </w:pPr>
          </w:p>
        </w:tc>
      </w:tr>
      <w:tr w:rsidR="00700C5C" w:rsidRPr="0084266F" w:rsidTr="00DD05F2">
        <w:trPr>
          <w:trHeight w:val="1231"/>
          <w:jc w:val="center"/>
        </w:trPr>
        <w:tc>
          <w:tcPr>
            <w:tcW w:w="1848" w:type="dxa"/>
          </w:tcPr>
          <w:p w:rsidR="00700C5C" w:rsidRPr="004D0014" w:rsidRDefault="00700C5C" w:rsidP="00DD05F2">
            <w:pPr>
              <w:pStyle w:val="Default"/>
              <w:jc w:val="both"/>
              <w:rPr>
                <w:sz w:val="20"/>
                <w:szCs w:val="20"/>
              </w:rPr>
            </w:pPr>
            <w:r>
              <w:rPr>
                <w:sz w:val="20"/>
                <w:szCs w:val="20"/>
              </w:rPr>
              <w:t xml:space="preserve">1    </w:t>
            </w:r>
            <w:r w:rsidRPr="004D0014">
              <w:rPr>
                <w:sz w:val="20"/>
                <w:szCs w:val="20"/>
              </w:rPr>
              <w:t>(Constant)</w:t>
            </w:r>
          </w:p>
          <w:p w:rsidR="00700C5C" w:rsidRPr="004D0014" w:rsidRDefault="00700C5C" w:rsidP="00DD05F2">
            <w:pPr>
              <w:pStyle w:val="Default"/>
              <w:ind w:left="360"/>
              <w:jc w:val="both"/>
              <w:rPr>
                <w:sz w:val="20"/>
                <w:szCs w:val="20"/>
              </w:rPr>
            </w:pPr>
            <w:r w:rsidRPr="004D0014">
              <w:rPr>
                <w:sz w:val="20"/>
                <w:szCs w:val="20"/>
              </w:rPr>
              <w:t>RO</w:t>
            </w:r>
            <w:r>
              <w:rPr>
                <w:sz w:val="20"/>
                <w:szCs w:val="20"/>
              </w:rPr>
              <w:t>E</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CSR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ROE*CSR</w:t>
            </w:r>
          </w:p>
          <w:p w:rsidR="00700C5C" w:rsidRPr="004D0014" w:rsidRDefault="00700C5C" w:rsidP="00DD05F2">
            <w:pPr>
              <w:pStyle w:val="Default"/>
              <w:jc w:val="both"/>
              <w:rPr>
                <w:sz w:val="20"/>
                <w:szCs w:val="20"/>
              </w:rPr>
            </w:pPr>
          </w:p>
        </w:tc>
        <w:tc>
          <w:tcPr>
            <w:tcW w:w="1187" w:type="dxa"/>
            <w:tcBorders>
              <w:right w:val="single" w:sz="4" w:space="0" w:color="auto"/>
            </w:tcBorders>
          </w:tcPr>
          <w:p w:rsidR="00700C5C" w:rsidRPr="004D0014" w:rsidRDefault="00700C5C" w:rsidP="00DD05F2">
            <w:pPr>
              <w:pStyle w:val="Default"/>
              <w:jc w:val="right"/>
              <w:rPr>
                <w:sz w:val="20"/>
                <w:szCs w:val="20"/>
              </w:rPr>
            </w:pPr>
            <w:r w:rsidRPr="004D0014">
              <w:rPr>
                <w:sz w:val="20"/>
                <w:szCs w:val="20"/>
              </w:rPr>
              <w:t>-</w:t>
            </w:r>
            <w:r>
              <w:rPr>
                <w:sz w:val="20"/>
                <w:szCs w:val="20"/>
              </w:rPr>
              <w:t>3</w:t>
            </w:r>
            <w:r w:rsidRPr="004D0014">
              <w:rPr>
                <w:sz w:val="20"/>
                <w:szCs w:val="20"/>
              </w:rPr>
              <w:t>.</w:t>
            </w:r>
            <w:r>
              <w:rPr>
                <w:sz w:val="20"/>
                <w:szCs w:val="20"/>
              </w:rPr>
              <w:t>179</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413</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777</w:t>
            </w:r>
          </w:p>
          <w:p w:rsidR="00700C5C" w:rsidRPr="004D0014" w:rsidRDefault="00700C5C" w:rsidP="00DD05F2">
            <w:pPr>
              <w:pStyle w:val="Default"/>
              <w:jc w:val="right"/>
              <w:rPr>
                <w:sz w:val="20"/>
                <w:szCs w:val="20"/>
              </w:rPr>
            </w:pPr>
            <w:r>
              <w:rPr>
                <w:sz w:val="20"/>
                <w:szCs w:val="20"/>
              </w:rPr>
              <w:t>-</w:t>
            </w:r>
            <w:r w:rsidRPr="004D0014">
              <w:rPr>
                <w:sz w:val="20"/>
                <w:szCs w:val="20"/>
              </w:rPr>
              <w:t>.</w:t>
            </w:r>
            <w:r>
              <w:rPr>
                <w:sz w:val="20"/>
                <w:szCs w:val="20"/>
              </w:rPr>
              <w:t>002</w:t>
            </w:r>
          </w:p>
          <w:p w:rsidR="00700C5C" w:rsidRPr="004D0014" w:rsidRDefault="00700C5C" w:rsidP="00DD05F2">
            <w:pPr>
              <w:pStyle w:val="Default"/>
              <w:jc w:val="right"/>
              <w:rPr>
                <w:sz w:val="20"/>
                <w:szCs w:val="20"/>
              </w:rPr>
            </w:pPr>
          </w:p>
        </w:tc>
        <w:tc>
          <w:tcPr>
            <w:tcW w:w="1144" w:type="dxa"/>
            <w:tcBorders>
              <w:left w:val="single" w:sz="4" w:space="0" w:color="auto"/>
            </w:tcBorders>
          </w:tcPr>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090</w:t>
            </w:r>
          </w:p>
          <w:p w:rsidR="00700C5C" w:rsidRPr="004D0014" w:rsidRDefault="00700C5C" w:rsidP="00DD05F2">
            <w:pPr>
              <w:pStyle w:val="Default"/>
              <w:jc w:val="right"/>
              <w:rPr>
                <w:sz w:val="20"/>
                <w:szCs w:val="20"/>
              </w:rPr>
            </w:pPr>
            <w:r w:rsidRPr="004D0014">
              <w:rPr>
                <w:sz w:val="20"/>
                <w:szCs w:val="20"/>
              </w:rPr>
              <w:t>.</w:t>
            </w:r>
            <w:r>
              <w:rPr>
                <w:sz w:val="20"/>
                <w:szCs w:val="20"/>
              </w:rPr>
              <w:t>425</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505</w:t>
            </w:r>
          </w:p>
          <w:p w:rsidR="00700C5C" w:rsidRPr="004D0014" w:rsidRDefault="00700C5C" w:rsidP="00DD05F2">
            <w:pPr>
              <w:pStyle w:val="Default"/>
              <w:jc w:val="right"/>
              <w:rPr>
                <w:sz w:val="20"/>
                <w:szCs w:val="20"/>
              </w:rPr>
            </w:pPr>
            <w:r w:rsidRPr="004D0014">
              <w:rPr>
                <w:sz w:val="20"/>
                <w:szCs w:val="20"/>
              </w:rPr>
              <w:t>.</w:t>
            </w:r>
            <w:r>
              <w:rPr>
                <w:sz w:val="20"/>
                <w:szCs w:val="20"/>
              </w:rPr>
              <w:t>001</w:t>
            </w:r>
          </w:p>
          <w:p w:rsidR="00700C5C" w:rsidRPr="004D0014" w:rsidRDefault="00700C5C" w:rsidP="00DD05F2">
            <w:pPr>
              <w:pStyle w:val="Default"/>
              <w:jc w:val="right"/>
              <w:rPr>
                <w:sz w:val="20"/>
                <w:szCs w:val="20"/>
              </w:rPr>
            </w:pPr>
          </w:p>
          <w:p w:rsidR="00700C5C" w:rsidRPr="004D0014" w:rsidRDefault="00700C5C" w:rsidP="00DD05F2">
            <w:pPr>
              <w:pStyle w:val="Default"/>
              <w:jc w:val="right"/>
              <w:rPr>
                <w:sz w:val="20"/>
                <w:szCs w:val="20"/>
              </w:rPr>
            </w:pPr>
          </w:p>
        </w:tc>
        <w:tc>
          <w:tcPr>
            <w:tcW w:w="1429" w:type="dxa"/>
          </w:tcPr>
          <w:p w:rsidR="00700C5C" w:rsidRPr="004D0014" w:rsidRDefault="00700C5C" w:rsidP="00DD05F2">
            <w:pPr>
              <w:pStyle w:val="Default"/>
              <w:jc w:val="right"/>
              <w:rPr>
                <w:sz w:val="20"/>
                <w:szCs w:val="20"/>
              </w:rPr>
            </w:pP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221</w:t>
            </w:r>
          </w:p>
          <w:p w:rsidR="00700C5C" w:rsidRPr="004D0014" w:rsidRDefault="00700C5C" w:rsidP="00DD05F2">
            <w:pPr>
              <w:pStyle w:val="Default"/>
              <w:jc w:val="right"/>
              <w:rPr>
                <w:sz w:val="20"/>
                <w:szCs w:val="20"/>
              </w:rPr>
            </w:pPr>
            <w:r w:rsidRPr="004D0014">
              <w:rPr>
                <w:sz w:val="20"/>
                <w:szCs w:val="20"/>
              </w:rPr>
              <w:t>.</w:t>
            </w:r>
            <w:r>
              <w:rPr>
                <w:sz w:val="20"/>
                <w:szCs w:val="20"/>
              </w:rPr>
              <w:t>161</w:t>
            </w:r>
          </w:p>
          <w:p w:rsidR="00700C5C" w:rsidRPr="004D0014" w:rsidRDefault="00700C5C" w:rsidP="00DD05F2">
            <w:pPr>
              <w:pStyle w:val="Default"/>
              <w:jc w:val="right"/>
              <w:rPr>
                <w:sz w:val="20"/>
                <w:szCs w:val="20"/>
              </w:rPr>
            </w:pPr>
            <w:r>
              <w:rPr>
                <w:sz w:val="20"/>
                <w:szCs w:val="20"/>
              </w:rPr>
              <w:t>-</w:t>
            </w:r>
            <w:r w:rsidRPr="004D0014">
              <w:rPr>
                <w:sz w:val="20"/>
                <w:szCs w:val="20"/>
              </w:rPr>
              <w:t>.5</w:t>
            </w:r>
            <w:r>
              <w:rPr>
                <w:sz w:val="20"/>
                <w:szCs w:val="20"/>
              </w:rPr>
              <w:t>68</w:t>
            </w:r>
          </w:p>
          <w:p w:rsidR="00700C5C" w:rsidRPr="004D0014" w:rsidRDefault="00700C5C" w:rsidP="00DD05F2">
            <w:pPr>
              <w:pStyle w:val="Default"/>
              <w:jc w:val="right"/>
              <w:rPr>
                <w:sz w:val="20"/>
                <w:szCs w:val="20"/>
              </w:rPr>
            </w:pPr>
          </w:p>
        </w:tc>
        <w:tc>
          <w:tcPr>
            <w:tcW w:w="1000" w:type="dxa"/>
          </w:tcPr>
          <w:p w:rsidR="00700C5C" w:rsidRPr="004D0014" w:rsidRDefault="00700C5C" w:rsidP="00DD05F2">
            <w:pPr>
              <w:pStyle w:val="Default"/>
              <w:jc w:val="right"/>
              <w:rPr>
                <w:sz w:val="20"/>
                <w:szCs w:val="20"/>
              </w:rPr>
            </w:pPr>
            <w:r w:rsidRPr="004D0014">
              <w:rPr>
                <w:sz w:val="20"/>
                <w:szCs w:val="20"/>
              </w:rPr>
              <w:t>-</w:t>
            </w:r>
            <w:r>
              <w:rPr>
                <w:sz w:val="20"/>
                <w:szCs w:val="20"/>
              </w:rPr>
              <w:t>1</w:t>
            </w:r>
            <w:r w:rsidRPr="004D0014">
              <w:rPr>
                <w:sz w:val="20"/>
                <w:szCs w:val="20"/>
              </w:rPr>
              <w:t>.</w:t>
            </w:r>
            <w:r>
              <w:rPr>
                <w:sz w:val="20"/>
                <w:szCs w:val="20"/>
              </w:rPr>
              <w:t>521</w:t>
            </w:r>
          </w:p>
          <w:p w:rsidR="00700C5C" w:rsidRPr="004D0014" w:rsidRDefault="00700C5C" w:rsidP="00DD05F2">
            <w:pPr>
              <w:pStyle w:val="Default"/>
              <w:jc w:val="right"/>
              <w:rPr>
                <w:sz w:val="20"/>
                <w:szCs w:val="20"/>
              </w:rPr>
            </w:pPr>
            <w:r>
              <w:rPr>
                <w:sz w:val="20"/>
                <w:szCs w:val="20"/>
              </w:rPr>
              <w:t>3</w:t>
            </w:r>
            <w:r w:rsidRPr="004D0014">
              <w:rPr>
                <w:sz w:val="20"/>
                <w:szCs w:val="20"/>
              </w:rPr>
              <w:t>.</w:t>
            </w:r>
            <w:r>
              <w:rPr>
                <w:sz w:val="20"/>
                <w:szCs w:val="20"/>
              </w:rPr>
              <w:t>324</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180</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547</w:t>
            </w:r>
          </w:p>
          <w:p w:rsidR="00700C5C" w:rsidRPr="004D0014" w:rsidRDefault="00700C5C" w:rsidP="00DD05F2">
            <w:pPr>
              <w:pStyle w:val="Default"/>
              <w:jc w:val="right"/>
              <w:rPr>
                <w:sz w:val="20"/>
                <w:szCs w:val="20"/>
              </w:rPr>
            </w:pPr>
          </w:p>
        </w:tc>
        <w:tc>
          <w:tcPr>
            <w:tcW w:w="1287" w:type="dxa"/>
          </w:tcPr>
          <w:p w:rsidR="00700C5C" w:rsidRPr="004D0014" w:rsidRDefault="00700C5C" w:rsidP="00DD05F2">
            <w:pPr>
              <w:pStyle w:val="Default"/>
              <w:jc w:val="right"/>
              <w:rPr>
                <w:sz w:val="20"/>
                <w:szCs w:val="20"/>
              </w:rPr>
            </w:pPr>
            <w:r w:rsidRPr="004D0014">
              <w:rPr>
                <w:sz w:val="20"/>
                <w:szCs w:val="20"/>
              </w:rPr>
              <w:t>.</w:t>
            </w:r>
            <w:r>
              <w:rPr>
                <w:sz w:val="20"/>
                <w:szCs w:val="20"/>
              </w:rPr>
              <w:t>136</w:t>
            </w:r>
          </w:p>
          <w:p w:rsidR="00700C5C" w:rsidRPr="004D0014" w:rsidRDefault="00700C5C" w:rsidP="00DD05F2">
            <w:pPr>
              <w:pStyle w:val="Default"/>
              <w:jc w:val="right"/>
              <w:rPr>
                <w:sz w:val="20"/>
                <w:szCs w:val="20"/>
              </w:rPr>
            </w:pPr>
            <w:r w:rsidRPr="004D0014">
              <w:rPr>
                <w:sz w:val="20"/>
                <w:szCs w:val="20"/>
              </w:rPr>
              <w:t>.00</w:t>
            </w:r>
            <w:r>
              <w:rPr>
                <w:sz w:val="20"/>
                <w:szCs w:val="20"/>
              </w:rPr>
              <w:t>2</w:t>
            </w:r>
          </w:p>
          <w:p w:rsidR="00700C5C" w:rsidRPr="004D0014" w:rsidRDefault="00700C5C" w:rsidP="00DD05F2">
            <w:pPr>
              <w:pStyle w:val="Default"/>
              <w:jc w:val="right"/>
              <w:rPr>
                <w:sz w:val="20"/>
                <w:szCs w:val="20"/>
              </w:rPr>
            </w:pPr>
            <w:r w:rsidRPr="004D0014">
              <w:rPr>
                <w:sz w:val="20"/>
                <w:szCs w:val="20"/>
              </w:rPr>
              <w:t>.</w:t>
            </w:r>
            <w:r>
              <w:rPr>
                <w:sz w:val="20"/>
                <w:szCs w:val="20"/>
              </w:rPr>
              <w:t>245</w:t>
            </w:r>
          </w:p>
          <w:p w:rsidR="00700C5C" w:rsidRPr="004D0014" w:rsidRDefault="00700C5C" w:rsidP="00DD05F2">
            <w:pPr>
              <w:pStyle w:val="Default"/>
              <w:jc w:val="right"/>
              <w:rPr>
                <w:sz w:val="20"/>
                <w:szCs w:val="20"/>
              </w:rPr>
            </w:pPr>
            <w:r w:rsidRPr="004D0014">
              <w:rPr>
                <w:sz w:val="20"/>
                <w:szCs w:val="20"/>
              </w:rPr>
              <w:t>.</w:t>
            </w:r>
            <w:r>
              <w:rPr>
                <w:sz w:val="20"/>
                <w:szCs w:val="20"/>
              </w:rPr>
              <w:t>130</w:t>
            </w:r>
          </w:p>
        </w:tc>
      </w:tr>
    </w:tbl>
    <w:p w:rsidR="00700C5C" w:rsidRDefault="00700C5C" w:rsidP="00700C5C">
      <w:pPr>
        <w:pStyle w:val="Default"/>
        <w:ind w:left="360"/>
        <w:jc w:val="both"/>
      </w:pPr>
    </w:p>
    <w:p w:rsidR="00700C5C" w:rsidRDefault="00700C5C" w:rsidP="00700C5C">
      <w:pPr>
        <w:pStyle w:val="Default"/>
        <w:ind w:left="360"/>
        <w:jc w:val="center"/>
        <w:rPr>
          <w:sz w:val="23"/>
          <w:szCs w:val="23"/>
        </w:rPr>
      </w:pPr>
    </w:p>
    <w:p w:rsidR="00700C5C" w:rsidRDefault="00700C5C" w:rsidP="00700C5C">
      <w:pPr>
        <w:pStyle w:val="Default"/>
        <w:ind w:left="360"/>
        <w:jc w:val="both"/>
      </w:pPr>
    </w:p>
    <w:p w:rsidR="00700C5C" w:rsidRPr="00651E54" w:rsidRDefault="00700C5C" w:rsidP="00700C5C">
      <w:pPr>
        <w:pStyle w:val="Default"/>
        <w:ind w:left="360"/>
        <w:jc w:val="center"/>
        <w:rPr>
          <w:sz w:val="23"/>
          <w:szCs w:val="23"/>
        </w:rPr>
      </w:pPr>
      <w:r w:rsidRPr="00651E54">
        <w:rPr>
          <w:sz w:val="23"/>
          <w:szCs w:val="23"/>
        </w:rPr>
        <w:t>Tabl</w:t>
      </w:r>
      <w:r w:rsidR="00C600E1">
        <w:rPr>
          <w:sz w:val="23"/>
          <w:szCs w:val="23"/>
        </w:rPr>
        <w:t>e</w:t>
      </w:r>
      <w:r w:rsidRPr="00651E54">
        <w:rPr>
          <w:sz w:val="23"/>
          <w:szCs w:val="23"/>
        </w:rPr>
        <w:t xml:space="preserve"> 5 </w:t>
      </w:r>
      <w:r w:rsidR="00C600E1">
        <w:rPr>
          <w:sz w:val="23"/>
          <w:szCs w:val="23"/>
        </w:rPr>
        <w:t xml:space="preserve">. </w:t>
      </w:r>
      <w:r w:rsidR="00C600E1">
        <w:rPr>
          <w:lang/>
        </w:rPr>
        <w:t>Moderation Result of NPM Variable Test</w:t>
      </w:r>
    </w:p>
    <w:p w:rsidR="00700C5C" w:rsidRDefault="00700C5C" w:rsidP="00700C5C">
      <w:pPr>
        <w:pStyle w:val="Default"/>
        <w:ind w:left="360"/>
        <w:jc w:val="center"/>
        <w:rPr>
          <w:sz w:val="23"/>
          <w:szCs w:val="23"/>
        </w:rPr>
      </w:pPr>
      <w:r w:rsidRPr="00651E54">
        <w:rPr>
          <w:sz w:val="23"/>
          <w:szCs w:val="23"/>
        </w:rPr>
        <w:t>Coefficients</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183"/>
        <w:gridCol w:w="1140"/>
        <w:gridCol w:w="1424"/>
        <w:gridCol w:w="997"/>
        <w:gridCol w:w="1283"/>
      </w:tblGrid>
      <w:tr w:rsidR="00700C5C" w:rsidRPr="0084266F" w:rsidTr="00DD05F2">
        <w:trPr>
          <w:trHeight w:val="661"/>
          <w:jc w:val="center"/>
        </w:trPr>
        <w:tc>
          <w:tcPr>
            <w:tcW w:w="1842" w:type="dxa"/>
            <w:vMerge w:val="restart"/>
          </w:tcPr>
          <w:p w:rsidR="00700C5C" w:rsidRPr="004D0014" w:rsidRDefault="00700C5C" w:rsidP="00DD05F2">
            <w:pPr>
              <w:pStyle w:val="Default"/>
              <w:jc w:val="both"/>
              <w:rPr>
                <w:sz w:val="20"/>
                <w:szCs w:val="20"/>
              </w:rPr>
            </w:pPr>
            <w:r w:rsidRPr="004D0014">
              <w:rPr>
                <w:sz w:val="20"/>
                <w:szCs w:val="20"/>
              </w:rPr>
              <w:t>Model</w:t>
            </w:r>
          </w:p>
        </w:tc>
        <w:tc>
          <w:tcPr>
            <w:tcW w:w="2323" w:type="dxa"/>
            <w:gridSpan w:val="2"/>
            <w:tcBorders>
              <w:bottom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Unstandardized</w:t>
            </w:r>
            <w:proofErr w:type="spellEnd"/>
            <w:r w:rsidRPr="004D0014">
              <w:rPr>
                <w:sz w:val="20"/>
                <w:szCs w:val="20"/>
              </w:rPr>
              <w:t xml:space="preserve"> Coefficients</w:t>
            </w:r>
          </w:p>
          <w:p w:rsidR="00700C5C" w:rsidRPr="004D0014" w:rsidRDefault="00700C5C" w:rsidP="00DD05F2">
            <w:pPr>
              <w:pStyle w:val="Default"/>
              <w:jc w:val="both"/>
              <w:rPr>
                <w:sz w:val="20"/>
                <w:szCs w:val="20"/>
              </w:rPr>
            </w:pPr>
          </w:p>
        </w:tc>
        <w:tc>
          <w:tcPr>
            <w:tcW w:w="1424" w:type="dxa"/>
            <w:tcBorders>
              <w:bottom w:val="single" w:sz="4" w:space="0" w:color="auto"/>
            </w:tcBorders>
          </w:tcPr>
          <w:p w:rsidR="00700C5C" w:rsidRPr="004D0014" w:rsidRDefault="00700C5C" w:rsidP="00DD05F2">
            <w:pPr>
              <w:pStyle w:val="Default"/>
              <w:jc w:val="both"/>
              <w:rPr>
                <w:sz w:val="20"/>
                <w:szCs w:val="20"/>
              </w:rPr>
            </w:pPr>
            <w:r w:rsidRPr="004D0014">
              <w:rPr>
                <w:sz w:val="20"/>
                <w:szCs w:val="20"/>
              </w:rPr>
              <w:t>Standardized Coefficients</w:t>
            </w:r>
          </w:p>
        </w:tc>
        <w:tc>
          <w:tcPr>
            <w:tcW w:w="997"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t</w:t>
            </w:r>
          </w:p>
        </w:tc>
        <w:tc>
          <w:tcPr>
            <w:tcW w:w="1283"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Sig.</w:t>
            </w:r>
          </w:p>
        </w:tc>
      </w:tr>
      <w:tr w:rsidR="00700C5C" w:rsidRPr="0084266F" w:rsidTr="00DD05F2">
        <w:trPr>
          <w:trHeight w:val="369"/>
          <w:jc w:val="center"/>
        </w:trPr>
        <w:tc>
          <w:tcPr>
            <w:tcW w:w="1842" w:type="dxa"/>
            <w:vMerge/>
          </w:tcPr>
          <w:p w:rsidR="00700C5C" w:rsidRPr="004D0014" w:rsidRDefault="00700C5C" w:rsidP="00DD05F2">
            <w:pPr>
              <w:pStyle w:val="Default"/>
              <w:jc w:val="both"/>
              <w:rPr>
                <w:sz w:val="20"/>
                <w:szCs w:val="20"/>
              </w:rPr>
            </w:pPr>
          </w:p>
        </w:tc>
        <w:tc>
          <w:tcPr>
            <w:tcW w:w="1183" w:type="dxa"/>
            <w:tcBorders>
              <w:top w:val="single" w:sz="4" w:space="0" w:color="auto"/>
              <w:right w:val="single" w:sz="4" w:space="0" w:color="auto"/>
            </w:tcBorders>
          </w:tcPr>
          <w:p w:rsidR="00700C5C" w:rsidRPr="004D0014" w:rsidRDefault="00700C5C" w:rsidP="00DD05F2">
            <w:pPr>
              <w:pStyle w:val="Default"/>
              <w:jc w:val="center"/>
              <w:rPr>
                <w:sz w:val="20"/>
                <w:szCs w:val="20"/>
              </w:rPr>
            </w:pPr>
            <w:r w:rsidRPr="004D0014">
              <w:rPr>
                <w:sz w:val="20"/>
                <w:szCs w:val="20"/>
              </w:rPr>
              <w:t>B</w:t>
            </w:r>
          </w:p>
        </w:tc>
        <w:tc>
          <w:tcPr>
            <w:tcW w:w="1140" w:type="dxa"/>
            <w:tcBorders>
              <w:top w:val="single" w:sz="4" w:space="0" w:color="auto"/>
              <w:left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Std.Error</w:t>
            </w:r>
            <w:proofErr w:type="spellEnd"/>
          </w:p>
        </w:tc>
        <w:tc>
          <w:tcPr>
            <w:tcW w:w="1424" w:type="dxa"/>
            <w:tcBorders>
              <w:top w:val="single" w:sz="4" w:space="0" w:color="auto"/>
            </w:tcBorders>
          </w:tcPr>
          <w:p w:rsidR="00700C5C" w:rsidRPr="004D0014" w:rsidRDefault="00700C5C" w:rsidP="00DD05F2">
            <w:pPr>
              <w:pStyle w:val="Default"/>
              <w:jc w:val="center"/>
              <w:rPr>
                <w:sz w:val="20"/>
                <w:szCs w:val="20"/>
              </w:rPr>
            </w:pPr>
            <w:r w:rsidRPr="004D0014">
              <w:rPr>
                <w:sz w:val="20"/>
                <w:szCs w:val="20"/>
              </w:rPr>
              <w:t>Beta</w:t>
            </w:r>
          </w:p>
        </w:tc>
        <w:tc>
          <w:tcPr>
            <w:tcW w:w="997" w:type="dxa"/>
            <w:vMerge/>
          </w:tcPr>
          <w:p w:rsidR="00700C5C" w:rsidRPr="004D0014" w:rsidRDefault="00700C5C" w:rsidP="00DD05F2">
            <w:pPr>
              <w:pStyle w:val="Default"/>
              <w:jc w:val="both"/>
              <w:rPr>
                <w:sz w:val="20"/>
                <w:szCs w:val="20"/>
              </w:rPr>
            </w:pPr>
          </w:p>
        </w:tc>
        <w:tc>
          <w:tcPr>
            <w:tcW w:w="1283" w:type="dxa"/>
            <w:vMerge/>
          </w:tcPr>
          <w:p w:rsidR="00700C5C" w:rsidRPr="004D0014" w:rsidRDefault="00700C5C" w:rsidP="00DD05F2">
            <w:pPr>
              <w:pStyle w:val="Default"/>
              <w:jc w:val="both"/>
              <w:rPr>
                <w:sz w:val="20"/>
                <w:szCs w:val="20"/>
              </w:rPr>
            </w:pPr>
          </w:p>
        </w:tc>
      </w:tr>
      <w:tr w:rsidR="00700C5C" w:rsidRPr="0084266F" w:rsidTr="00DD05F2">
        <w:trPr>
          <w:trHeight w:val="1139"/>
          <w:jc w:val="center"/>
        </w:trPr>
        <w:tc>
          <w:tcPr>
            <w:tcW w:w="1842" w:type="dxa"/>
          </w:tcPr>
          <w:p w:rsidR="00700C5C" w:rsidRPr="004D0014" w:rsidRDefault="00700C5C" w:rsidP="00DD05F2">
            <w:pPr>
              <w:pStyle w:val="Default"/>
              <w:jc w:val="both"/>
              <w:rPr>
                <w:sz w:val="20"/>
                <w:szCs w:val="20"/>
              </w:rPr>
            </w:pPr>
            <w:r>
              <w:rPr>
                <w:sz w:val="20"/>
                <w:szCs w:val="20"/>
              </w:rPr>
              <w:lastRenderedPageBreak/>
              <w:t xml:space="preserve">1    </w:t>
            </w:r>
            <w:r w:rsidRPr="004D0014">
              <w:rPr>
                <w:sz w:val="20"/>
                <w:szCs w:val="20"/>
              </w:rPr>
              <w:t>(Constant)</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w:t>
            </w:r>
            <w:r w:rsidRPr="004D0014">
              <w:rPr>
                <w:sz w:val="20"/>
                <w:szCs w:val="20"/>
              </w:rPr>
              <w:t>NPM</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CSR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NPM*CSR</w:t>
            </w:r>
          </w:p>
        </w:tc>
        <w:tc>
          <w:tcPr>
            <w:tcW w:w="1183" w:type="dxa"/>
            <w:tcBorders>
              <w:right w:val="single" w:sz="4" w:space="0" w:color="auto"/>
            </w:tcBorders>
          </w:tcPr>
          <w:p w:rsidR="00700C5C" w:rsidRPr="004D0014" w:rsidRDefault="00700C5C" w:rsidP="00DD05F2">
            <w:pPr>
              <w:pStyle w:val="Default"/>
              <w:jc w:val="right"/>
              <w:rPr>
                <w:sz w:val="20"/>
                <w:szCs w:val="20"/>
              </w:rPr>
            </w:pPr>
            <w:r w:rsidRPr="004D0014">
              <w:rPr>
                <w:sz w:val="20"/>
                <w:szCs w:val="20"/>
              </w:rPr>
              <w:t>-.</w:t>
            </w:r>
            <w:r>
              <w:rPr>
                <w:sz w:val="20"/>
                <w:szCs w:val="20"/>
              </w:rPr>
              <w:t>623</w:t>
            </w:r>
          </w:p>
          <w:p w:rsidR="00700C5C" w:rsidRPr="004D0014" w:rsidRDefault="00700C5C" w:rsidP="00DD05F2">
            <w:pPr>
              <w:pStyle w:val="Default"/>
              <w:jc w:val="right"/>
              <w:rPr>
                <w:sz w:val="20"/>
                <w:szCs w:val="20"/>
              </w:rPr>
            </w:pPr>
            <w:r w:rsidRPr="004D0014">
              <w:rPr>
                <w:sz w:val="20"/>
                <w:szCs w:val="20"/>
              </w:rPr>
              <w:t>.</w:t>
            </w:r>
            <w:r>
              <w:rPr>
                <w:sz w:val="20"/>
                <w:szCs w:val="20"/>
              </w:rPr>
              <w:t>306</w:t>
            </w:r>
          </w:p>
          <w:p w:rsidR="00700C5C" w:rsidRPr="004D0014" w:rsidRDefault="00700C5C" w:rsidP="00DD05F2">
            <w:pPr>
              <w:pStyle w:val="Default"/>
              <w:jc w:val="right"/>
              <w:rPr>
                <w:sz w:val="20"/>
                <w:szCs w:val="20"/>
              </w:rPr>
            </w:pPr>
            <w:r w:rsidRPr="004D0014">
              <w:rPr>
                <w:sz w:val="20"/>
                <w:szCs w:val="20"/>
              </w:rPr>
              <w:t>.</w:t>
            </w:r>
            <w:r>
              <w:rPr>
                <w:sz w:val="20"/>
                <w:szCs w:val="20"/>
              </w:rPr>
              <w:t>324</w:t>
            </w:r>
          </w:p>
          <w:p w:rsidR="00700C5C" w:rsidRPr="004D0014" w:rsidRDefault="00700C5C" w:rsidP="00DD05F2">
            <w:pPr>
              <w:pStyle w:val="Default"/>
              <w:jc w:val="right"/>
              <w:rPr>
                <w:sz w:val="20"/>
                <w:szCs w:val="20"/>
              </w:rPr>
            </w:pPr>
            <w:r w:rsidRPr="004D0014">
              <w:rPr>
                <w:sz w:val="20"/>
                <w:szCs w:val="20"/>
              </w:rPr>
              <w:t>.</w:t>
            </w:r>
            <w:r>
              <w:rPr>
                <w:sz w:val="20"/>
                <w:szCs w:val="20"/>
              </w:rPr>
              <w:t>000</w:t>
            </w:r>
          </w:p>
          <w:p w:rsidR="00700C5C" w:rsidRPr="004D0014" w:rsidRDefault="00700C5C" w:rsidP="00DD05F2">
            <w:pPr>
              <w:pStyle w:val="Default"/>
              <w:jc w:val="right"/>
              <w:rPr>
                <w:sz w:val="20"/>
                <w:szCs w:val="20"/>
              </w:rPr>
            </w:pPr>
          </w:p>
        </w:tc>
        <w:tc>
          <w:tcPr>
            <w:tcW w:w="1140" w:type="dxa"/>
            <w:tcBorders>
              <w:left w:val="single" w:sz="4" w:space="0" w:color="auto"/>
            </w:tcBorders>
          </w:tcPr>
          <w:p w:rsidR="00700C5C" w:rsidRPr="004D0014" w:rsidRDefault="00700C5C" w:rsidP="00DD05F2">
            <w:pPr>
              <w:pStyle w:val="Default"/>
              <w:jc w:val="right"/>
              <w:rPr>
                <w:sz w:val="20"/>
                <w:szCs w:val="20"/>
              </w:rPr>
            </w:pPr>
            <w:r w:rsidRPr="004D0014">
              <w:rPr>
                <w:sz w:val="20"/>
                <w:szCs w:val="20"/>
              </w:rPr>
              <w:t>.091</w:t>
            </w:r>
          </w:p>
          <w:p w:rsidR="00700C5C" w:rsidRPr="004D0014" w:rsidRDefault="00700C5C" w:rsidP="00DD05F2">
            <w:pPr>
              <w:pStyle w:val="Default"/>
              <w:jc w:val="right"/>
              <w:rPr>
                <w:sz w:val="20"/>
                <w:szCs w:val="20"/>
              </w:rPr>
            </w:pPr>
            <w:r w:rsidRPr="004D0014">
              <w:rPr>
                <w:sz w:val="20"/>
                <w:szCs w:val="20"/>
              </w:rPr>
              <w:t>.117</w:t>
            </w:r>
          </w:p>
          <w:p w:rsidR="00700C5C" w:rsidRPr="004D0014" w:rsidRDefault="00700C5C" w:rsidP="00DD05F2">
            <w:pPr>
              <w:pStyle w:val="Default"/>
              <w:jc w:val="right"/>
              <w:rPr>
                <w:sz w:val="20"/>
                <w:szCs w:val="20"/>
              </w:rPr>
            </w:pPr>
            <w:r w:rsidRPr="004D0014">
              <w:rPr>
                <w:sz w:val="20"/>
                <w:szCs w:val="20"/>
              </w:rPr>
              <w:t>.130</w:t>
            </w:r>
          </w:p>
          <w:p w:rsidR="00700C5C" w:rsidRPr="004D0014" w:rsidRDefault="00700C5C" w:rsidP="00DD05F2">
            <w:pPr>
              <w:pStyle w:val="Default"/>
              <w:jc w:val="right"/>
              <w:rPr>
                <w:sz w:val="20"/>
                <w:szCs w:val="20"/>
              </w:rPr>
            </w:pPr>
            <w:r w:rsidRPr="004D0014">
              <w:rPr>
                <w:sz w:val="20"/>
                <w:szCs w:val="20"/>
              </w:rPr>
              <w:t>.</w:t>
            </w:r>
            <w:r>
              <w:rPr>
                <w:sz w:val="20"/>
                <w:szCs w:val="20"/>
              </w:rPr>
              <w:t>001</w:t>
            </w:r>
          </w:p>
          <w:p w:rsidR="00700C5C" w:rsidRPr="004D0014" w:rsidRDefault="00700C5C" w:rsidP="00DD05F2">
            <w:pPr>
              <w:pStyle w:val="Default"/>
              <w:jc w:val="right"/>
              <w:rPr>
                <w:sz w:val="20"/>
                <w:szCs w:val="20"/>
              </w:rPr>
            </w:pPr>
          </w:p>
        </w:tc>
        <w:tc>
          <w:tcPr>
            <w:tcW w:w="1424" w:type="dxa"/>
          </w:tcPr>
          <w:p w:rsidR="00700C5C" w:rsidRPr="004D0014" w:rsidRDefault="00700C5C" w:rsidP="00DD05F2">
            <w:pPr>
              <w:pStyle w:val="Default"/>
              <w:jc w:val="right"/>
              <w:rPr>
                <w:sz w:val="20"/>
                <w:szCs w:val="20"/>
              </w:rPr>
            </w:pPr>
          </w:p>
          <w:p w:rsidR="00700C5C" w:rsidRPr="004D0014" w:rsidRDefault="00700C5C" w:rsidP="00DD05F2">
            <w:pPr>
              <w:pStyle w:val="Default"/>
              <w:jc w:val="right"/>
              <w:rPr>
                <w:sz w:val="20"/>
                <w:szCs w:val="20"/>
              </w:rPr>
            </w:pPr>
            <w:r w:rsidRPr="004D0014">
              <w:rPr>
                <w:sz w:val="20"/>
                <w:szCs w:val="20"/>
              </w:rPr>
              <w:t>.3</w:t>
            </w:r>
            <w:r>
              <w:rPr>
                <w:sz w:val="20"/>
                <w:szCs w:val="20"/>
              </w:rPr>
              <w:t>66</w:t>
            </w:r>
          </w:p>
          <w:p w:rsidR="00700C5C" w:rsidRPr="004D0014" w:rsidRDefault="00700C5C" w:rsidP="00DD05F2">
            <w:pPr>
              <w:pStyle w:val="Default"/>
              <w:jc w:val="right"/>
              <w:rPr>
                <w:sz w:val="20"/>
                <w:szCs w:val="20"/>
              </w:rPr>
            </w:pPr>
            <w:r w:rsidRPr="004D0014">
              <w:rPr>
                <w:sz w:val="20"/>
                <w:szCs w:val="20"/>
              </w:rPr>
              <w:t>.</w:t>
            </w:r>
            <w:r>
              <w:rPr>
                <w:sz w:val="20"/>
                <w:szCs w:val="20"/>
              </w:rPr>
              <w:t>029</w:t>
            </w:r>
          </w:p>
          <w:p w:rsidR="00700C5C" w:rsidRPr="004D0014" w:rsidRDefault="00700C5C" w:rsidP="00DD05F2">
            <w:pPr>
              <w:pStyle w:val="Default"/>
              <w:jc w:val="right"/>
              <w:rPr>
                <w:sz w:val="20"/>
                <w:szCs w:val="20"/>
              </w:rPr>
            </w:pPr>
            <w:r w:rsidRPr="004D0014">
              <w:rPr>
                <w:sz w:val="20"/>
                <w:szCs w:val="20"/>
              </w:rPr>
              <w:t>.</w:t>
            </w:r>
            <w:r>
              <w:rPr>
                <w:sz w:val="20"/>
                <w:szCs w:val="20"/>
              </w:rPr>
              <w:t>11</w:t>
            </w:r>
            <w:r w:rsidRPr="004D0014">
              <w:rPr>
                <w:sz w:val="20"/>
                <w:szCs w:val="20"/>
              </w:rPr>
              <w:t>4</w:t>
            </w:r>
          </w:p>
          <w:p w:rsidR="00700C5C" w:rsidRPr="004D0014" w:rsidRDefault="00700C5C" w:rsidP="00DD05F2">
            <w:pPr>
              <w:pStyle w:val="Default"/>
              <w:jc w:val="right"/>
              <w:rPr>
                <w:sz w:val="20"/>
                <w:szCs w:val="20"/>
              </w:rPr>
            </w:pPr>
          </w:p>
        </w:tc>
        <w:tc>
          <w:tcPr>
            <w:tcW w:w="997" w:type="dxa"/>
          </w:tcPr>
          <w:p w:rsidR="00700C5C" w:rsidRPr="004D0014" w:rsidRDefault="00700C5C" w:rsidP="00DD05F2">
            <w:pPr>
              <w:pStyle w:val="Default"/>
              <w:jc w:val="right"/>
              <w:rPr>
                <w:sz w:val="20"/>
                <w:szCs w:val="20"/>
              </w:rPr>
            </w:pPr>
            <w:r w:rsidRPr="004D0014">
              <w:rPr>
                <w:sz w:val="20"/>
                <w:szCs w:val="20"/>
              </w:rPr>
              <w:t>-.</w:t>
            </w:r>
            <w:r>
              <w:rPr>
                <w:sz w:val="20"/>
                <w:szCs w:val="20"/>
              </w:rPr>
              <w:t>255</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162</w:t>
            </w:r>
          </w:p>
          <w:p w:rsidR="00700C5C" w:rsidRPr="004D0014" w:rsidRDefault="00700C5C" w:rsidP="00DD05F2">
            <w:pPr>
              <w:pStyle w:val="Default"/>
              <w:jc w:val="right"/>
              <w:rPr>
                <w:sz w:val="20"/>
                <w:szCs w:val="20"/>
              </w:rPr>
            </w:pPr>
            <w:r w:rsidRPr="004D0014">
              <w:rPr>
                <w:sz w:val="20"/>
                <w:szCs w:val="20"/>
              </w:rPr>
              <w:t>.</w:t>
            </w:r>
            <w:r>
              <w:rPr>
                <w:sz w:val="20"/>
                <w:szCs w:val="20"/>
              </w:rPr>
              <w:t>177</w:t>
            </w:r>
          </w:p>
          <w:p w:rsidR="00700C5C" w:rsidRPr="004D0014" w:rsidRDefault="00700C5C" w:rsidP="00DD05F2">
            <w:pPr>
              <w:pStyle w:val="Default"/>
              <w:jc w:val="right"/>
              <w:rPr>
                <w:sz w:val="20"/>
                <w:szCs w:val="20"/>
              </w:rPr>
            </w:pPr>
            <w:r w:rsidRPr="004D0014">
              <w:rPr>
                <w:sz w:val="20"/>
                <w:szCs w:val="20"/>
              </w:rPr>
              <w:t>.3</w:t>
            </w:r>
            <w:r>
              <w:rPr>
                <w:sz w:val="20"/>
                <w:szCs w:val="20"/>
              </w:rPr>
              <w:t>68</w:t>
            </w:r>
          </w:p>
          <w:p w:rsidR="00700C5C" w:rsidRPr="004D0014" w:rsidRDefault="00700C5C" w:rsidP="00DD05F2">
            <w:pPr>
              <w:pStyle w:val="Default"/>
              <w:jc w:val="right"/>
              <w:rPr>
                <w:sz w:val="20"/>
                <w:szCs w:val="20"/>
              </w:rPr>
            </w:pPr>
          </w:p>
        </w:tc>
        <w:tc>
          <w:tcPr>
            <w:tcW w:w="1283" w:type="dxa"/>
          </w:tcPr>
          <w:p w:rsidR="00700C5C" w:rsidRPr="004D0014" w:rsidRDefault="00700C5C" w:rsidP="00DD05F2">
            <w:pPr>
              <w:pStyle w:val="Default"/>
              <w:jc w:val="right"/>
              <w:rPr>
                <w:sz w:val="20"/>
                <w:szCs w:val="20"/>
              </w:rPr>
            </w:pPr>
            <w:r w:rsidRPr="004D0014">
              <w:rPr>
                <w:sz w:val="20"/>
                <w:szCs w:val="20"/>
              </w:rPr>
              <w:t>.</w:t>
            </w:r>
            <w:r>
              <w:rPr>
                <w:sz w:val="20"/>
                <w:szCs w:val="20"/>
              </w:rPr>
              <w:t>800</w:t>
            </w:r>
          </w:p>
          <w:p w:rsidR="00700C5C" w:rsidRPr="004D0014" w:rsidRDefault="00700C5C" w:rsidP="00DD05F2">
            <w:pPr>
              <w:pStyle w:val="Default"/>
              <w:jc w:val="right"/>
              <w:rPr>
                <w:sz w:val="20"/>
                <w:szCs w:val="20"/>
              </w:rPr>
            </w:pPr>
            <w:r w:rsidRPr="004D0014">
              <w:rPr>
                <w:sz w:val="20"/>
                <w:szCs w:val="20"/>
              </w:rPr>
              <w:t>.</w:t>
            </w:r>
            <w:r>
              <w:rPr>
                <w:sz w:val="20"/>
                <w:szCs w:val="20"/>
              </w:rPr>
              <w:t>252</w:t>
            </w:r>
          </w:p>
          <w:p w:rsidR="00700C5C" w:rsidRPr="004D0014" w:rsidRDefault="00700C5C" w:rsidP="00DD05F2">
            <w:pPr>
              <w:pStyle w:val="Default"/>
              <w:jc w:val="right"/>
              <w:rPr>
                <w:sz w:val="20"/>
                <w:szCs w:val="20"/>
              </w:rPr>
            </w:pPr>
            <w:r w:rsidRPr="004D0014">
              <w:rPr>
                <w:sz w:val="20"/>
                <w:szCs w:val="20"/>
              </w:rPr>
              <w:t>.</w:t>
            </w:r>
            <w:r>
              <w:rPr>
                <w:sz w:val="20"/>
                <w:szCs w:val="20"/>
              </w:rPr>
              <w:t>86</w:t>
            </w:r>
            <w:r w:rsidRPr="004D0014">
              <w:rPr>
                <w:sz w:val="20"/>
                <w:szCs w:val="20"/>
              </w:rPr>
              <w:t>0</w:t>
            </w:r>
          </w:p>
          <w:p w:rsidR="00700C5C" w:rsidRPr="004D0014" w:rsidRDefault="00700C5C" w:rsidP="00DD05F2">
            <w:pPr>
              <w:pStyle w:val="Default"/>
              <w:jc w:val="right"/>
              <w:rPr>
                <w:sz w:val="20"/>
                <w:szCs w:val="20"/>
              </w:rPr>
            </w:pPr>
            <w:r w:rsidRPr="004D0014">
              <w:rPr>
                <w:sz w:val="20"/>
                <w:szCs w:val="20"/>
              </w:rPr>
              <w:t>.</w:t>
            </w:r>
            <w:r>
              <w:rPr>
                <w:sz w:val="20"/>
                <w:szCs w:val="20"/>
              </w:rPr>
              <w:t>715</w:t>
            </w:r>
          </w:p>
          <w:p w:rsidR="00700C5C" w:rsidRPr="004D0014" w:rsidRDefault="00700C5C" w:rsidP="00DD05F2">
            <w:pPr>
              <w:pStyle w:val="Default"/>
              <w:jc w:val="right"/>
              <w:rPr>
                <w:sz w:val="20"/>
                <w:szCs w:val="20"/>
              </w:rPr>
            </w:pPr>
          </w:p>
        </w:tc>
      </w:tr>
    </w:tbl>
    <w:p w:rsidR="00700C5C" w:rsidRDefault="00700C5C" w:rsidP="00700C5C">
      <w:pPr>
        <w:pStyle w:val="Default"/>
        <w:ind w:left="360"/>
        <w:jc w:val="both"/>
      </w:pPr>
    </w:p>
    <w:p w:rsidR="00700C5C" w:rsidRPr="00651E54" w:rsidRDefault="00700C5C" w:rsidP="00700C5C">
      <w:pPr>
        <w:pStyle w:val="Default"/>
        <w:ind w:left="360"/>
        <w:jc w:val="center"/>
        <w:rPr>
          <w:sz w:val="23"/>
          <w:szCs w:val="23"/>
        </w:rPr>
      </w:pPr>
      <w:proofErr w:type="spellStart"/>
      <w:r w:rsidRPr="00651E54">
        <w:rPr>
          <w:sz w:val="23"/>
          <w:szCs w:val="23"/>
        </w:rPr>
        <w:t>Tabel</w:t>
      </w:r>
      <w:proofErr w:type="spellEnd"/>
      <w:r w:rsidRPr="00651E54">
        <w:rPr>
          <w:sz w:val="23"/>
          <w:szCs w:val="23"/>
        </w:rPr>
        <w:t xml:space="preserve"> 6. </w:t>
      </w:r>
      <w:r w:rsidR="00C600E1">
        <w:rPr>
          <w:sz w:val="23"/>
          <w:szCs w:val="23"/>
        </w:rPr>
        <w:t xml:space="preserve">. </w:t>
      </w:r>
      <w:r w:rsidR="00C600E1">
        <w:rPr>
          <w:lang/>
        </w:rPr>
        <w:t>Moderation Result of DER Variable Test</w:t>
      </w:r>
      <w:r w:rsidR="00C600E1" w:rsidRPr="00651E54">
        <w:rPr>
          <w:sz w:val="23"/>
          <w:szCs w:val="23"/>
        </w:rPr>
        <w:t xml:space="preserve"> </w:t>
      </w:r>
    </w:p>
    <w:p w:rsidR="00700C5C" w:rsidRDefault="00700C5C" w:rsidP="00700C5C">
      <w:pPr>
        <w:pStyle w:val="Default"/>
        <w:ind w:left="360"/>
        <w:jc w:val="center"/>
        <w:rPr>
          <w:sz w:val="23"/>
          <w:szCs w:val="23"/>
        </w:rPr>
      </w:pPr>
      <w:r w:rsidRPr="00651E54">
        <w:rPr>
          <w:sz w:val="23"/>
          <w:szCs w:val="23"/>
        </w:rPr>
        <w:t>Coefficients</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183"/>
        <w:gridCol w:w="1140"/>
        <w:gridCol w:w="1424"/>
        <w:gridCol w:w="997"/>
        <w:gridCol w:w="1283"/>
      </w:tblGrid>
      <w:tr w:rsidR="00700C5C" w:rsidRPr="0084266F" w:rsidTr="00DD05F2">
        <w:trPr>
          <w:trHeight w:val="661"/>
          <w:jc w:val="center"/>
        </w:trPr>
        <w:tc>
          <w:tcPr>
            <w:tcW w:w="1842" w:type="dxa"/>
            <w:vMerge w:val="restart"/>
          </w:tcPr>
          <w:p w:rsidR="00700C5C" w:rsidRPr="004D0014" w:rsidRDefault="00700C5C" w:rsidP="00DD05F2">
            <w:pPr>
              <w:pStyle w:val="Default"/>
              <w:jc w:val="both"/>
              <w:rPr>
                <w:sz w:val="20"/>
                <w:szCs w:val="20"/>
              </w:rPr>
            </w:pPr>
            <w:r w:rsidRPr="004D0014">
              <w:rPr>
                <w:sz w:val="20"/>
                <w:szCs w:val="20"/>
              </w:rPr>
              <w:t>Model</w:t>
            </w:r>
          </w:p>
        </w:tc>
        <w:tc>
          <w:tcPr>
            <w:tcW w:w="2323" w:type="dxa"/>
            <w:gridSpan w:val="2"/>
            <w:tcBorders>
              <w:bottom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Unstandardized</w:t>
            </w:r>
            <w:proofErr w:type="spellEnd"/>
            <w:r w:rsidRPr="004D0014">
              <w:rPr>
                <w:sz w:val="20"/>
                <w:szCs w:val="20"/>
              </w:rPr>
              <w:t xml:space="preserve"> Coefficients</w:t>
            </w:r>
          </w:p>
          <w:p w:rsidR="00700C5C" w:rsidRPr="004D0014" w:rsidRDefault="00700C5C" w:rsidP="00DD05F2">
            <w:pPr>
              <w:pStyle w:val="Default"/>
              <w:jc w:val="both"/>
              <w:rPr>
                <w:sz w:val="20"/>
                <w:szCs w:val="20"/>
              </w:rPr>
            </w:pPr>
          </w:p>
        </w:tc>
        <w:tc>
          <w:tcPr>
            <w:tcW w:w="1424" w:type="dxa"/>
            <w:tcBorders>
              <w:bottom w:val="single" w:sz="4" w:space="0" w:color="auto"/>
            </w:tcBorders>
          </w:tcPr>
          <w:p w:rsidR="00700C5C" w:rsidRPr="004D0014" w:rsidRDefault="00700C5C" w:rsidP="00DD05F2">
            <w:pPr>
              <w:pStyle w:val="Default"/>
              <w:jc w:val="both"/>
              <w:rPr>
                <w:sz w:val="20"/>
                <w:szCs w:val="20"/>
              </w:rPr>
            </w:pPr>
            <w:r w:rsidRPr="004D0014">
              <w:rPr>
                <w:sz w:val="20"/>
                <w:szCs w:val="20"/>
              </w:rPr>
              <w:t>Standardized Coefficients</w:t>
            </w:r>
          </w:p>
        </w:tc>
        <w:tc>
          <w:tcPr>
            <w:tcW w:w="997"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t</w:t>
            </w:r>
          </w:p>
        </w:tc>
        <w:tc>
          <w:tcPr>
            <w:tcW w:w="1283"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Sig.</w:t>
            </w:r>
          </w:p>
        </w:tc>
      </w:tr>
      <w:tr w:rsidR="00700C5C" w:rsidRPr="0084266F" w:rsidTr="00DD05F2">
        <w:trPr>
          <w:trHeight w:val="369"/>
          <w:jc w:val="center"/>
        </w:trPr>
        <w:tc>
          <w:tcPr>
            <w:tcW w:w="1842" w:type="dxa"/>
            <w:vMerge/>
          </w:tcPr>
          <w:p w:rsidR="00700C5C" w:rsidRPr="004D0014" w:rsidRDefault="00700C5C" w:rsidP="00DD05F2">
            <w:pPr>
              <w:pStyle w:val="Default"/>
              <w:jc w:val="both"/>
              <w:rPr>
                <w:sz w:val="20"/>
                <w:szCs w:val="20"/>
              </w:rPr>
            </w:pPr>
          </w:p>
        </w:tc>
        <w:tc>
          <w:tcPr>
            <w:tcW w:w="1183" w:type="dxa"/>
            <w:tcBorders>
              <w:top w:val="single" w:sz="4" w:space="0" w:color="auto"/>
              <w:right w:val="single" w:sz="4" w:space="0" w:color="auto"/>
            </w:tcBorders>
          </w:tcPr>
          <w:p w:rsidR="00700C5C" w:rsidRPr="004D0014" w:rsidRDefault="00700C5C" w:rsidP="00DD05F2">
            <w:pPr>
              <w:pStyle w:val="Default"/>
              <w:jc w:val="center"/>
              <w:rPr>
                <w:sz w:val="20"/>
                <w:szCs w:val="20"/>
              </w:rPr>
            </w:pPr>
            <w:r w:rsidRPr="004D0014">
              <w:rPr>
                <w:sz w:val="20"/>
                <w:szCs w:val="20"/>
              </w:rPr>
              <w:t>B</w:t>
            </w:r>
          </w:p>
        </w:tc>
        <w:tc>
          <w:tcPr>
            <w:tcW w:w="1140" w:type="dxa"/>
            <w:tcBorders>
              <w:top w:val="single" w:sz="4" w:space="0" w:color="auto"/>
              <w:left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Std.Error</w:t>
            </w:r>
            <w:proofErr w:type="spellEnd"/>
          </w:p>
        </w:tc>
        <w:tc>
          <w:tcPr>
            <w:tcW w:w="1424" w:type="dxa"/>
            <w:tcBorders>
              <w:top w:val="single" w:sz="4" w:space="0" w:color="auto"/>
            </w:tcBorders>
          </w:tcPr>
          <w:p w:rsidR="00700C5C" w:rsidRPr="004D0014" w:rsidRDefault="00700C5C" w:rsidP="00DD05F2">
            <w:pPr>
              <w:pStyle w:val="Default"/>
              <w:jc w:val="center"/>
              <w:rPr>
                <w:sz w:val="20"/>
                <w:szCs w:val="20"/>
              </w:rPr>
            </w:pPr>
            <w:r w:rsidRPr="004D0014">
              <w:rPr>
                <w:sz w:val="20"/>
                <w:szCs w:val="20"/>
              </w:rPr>
              <w:t>Beta</w:t>
            </w:r>
          </w:p>
        </w:tc>
        <w:tc>
          <w:tcPr>
            <w:tcW w:w="997" w:type="dxa"/>
            <w:vMerge/>
          </w:tcPr>
          <w:p w:rsidR="00700C5C" w:rsidRPr="004D0014" w:rsidRDefault="00700C5C" w:rsidP="00DD05F2">
            <w:pPr>
              <w:pStyle w:val="Default"/>
              <w:jc w:val="both"/>
              <w:rPr>
                <w:sz w:val="20"/>
                <w:szCs w:val="20"/>
              </w:rPr>
            </w:pPr>
          </w:p>
        </w:tc>
        <w:tc>
          <w:tcPr>
            <w:tcW w:w="1283" w:type="dxa"/>
            <w:vMerge/>
          </w:tcPr>
          <w:p w:rsidR="00700C5C" w:rsidRPr="004D0014" w:rsidRDefault="00700C5C" w:rsidP="00DD05F2">
            <w:pPr>
              <w:pStyle w:val="Default"/>
              <w:jc w:val="both"/>
              <w:rPr>
                <w:sz w:val="20"/>
                <w:szCs w:val="20"/>
              </w:rPr>
            </w:pPr>
          </w:p>
        </w:tc>
      </w:tr>
      <w:tr w:rsidR="00700C5C" w:rsidRPr="0084266F" w:rsidTr="00DD05F2">
        <w:trPr>
          <w:trHeight w:val="1139"/>
          <w:jc w:val="center"/>
        </w:trPr>
        <w:tc>
          <w:tcPr>
            <w:tcW w:w="1842" w:type="dxa"/>
          </w:tcPr>
          <w:p w:rsidR="00700C5C" w:rsidRPr="004D0014" w:rsidRDefault="00700C5C" w:rsidP="00DD05F2">
            <w:pPr>
              <w:pStyle w:val="Default"/>
              <w:jc w:val="both"/>
              <w:rPr>
                <w:sz w:val="20"/>
                <w:szCs w:val="20"/>
              </w:rPr>
            </w:pPr>
            <w:r>
              <w:rPr>
                <w:sz w:val="20"/>
                <w:szCs w:val="20"/>
              </w:rPr>
              <w:t xml:space="preserve">1    </w:t>
            </w:r>
            <w:r w:rsidRPr="004D0014">
              <w:rPr>
                <w:sz w:val="20"/>
                <w:szCs w:val="20"/>
              </w:rPr>
              <w:t>(Constant)</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DER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CSR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DER*CSR</w:t>
            </w:r>
          </w:p>
        </w:tc>
        <w:tc>
          <w:tcPr>
            <w:tcW w:w="1183" w:type="dxa"/>
            <w:tcBorders>
              <w:right w:val="single" w:sz="4" w:space="0" w:color="auto"/>
            </w:tcBorders>
          </w:tcPr>
          <w:p w:rsidR="00700C5C" w:rsidRPr="004D0014" w:rsidRDefault="00700C5C" w:rsidP="00DD05F2">
            <w:pPr>
              <w:pStyle w:val="Default"/>
              <w:jc w:val="right"/>
              <w:rPr>
                <w:sz w:val="20"/>
                <w:szCs w:val="20"/>
              </w:rPr>
            </w:pPr>
            <w:r w:rsidRPr="004D0014">
              <w:rPr>
                <w:sz w:val="20"/>
                <w:szCs w:val="20"/>
              </w:rPr>
              <w:t>-</w:t>
            </w:r>
            <w:r>
              <w:rPr>
                <w:sz w:val="20"/>
                <w:szCs w:val="20"/>
              </w:rPr>
              <w:t>3</w:t>
            </w:r>
            <w:r w:rsidRPr="004D0014">
              <w:rPr>
                <w:sz w:val="20"/>
                <w:szCs w:val="20"/>
              </w:rPr>
              <w:t>.</w:t>
            </w:r>
            <w:r>
              <w:rPr>
                <w:sz w:val="20"/>
                <w:szCs w:val="20"/>
              </w:rPr>
              <w:t>557</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024</w:t>
            </w:r>
          </w:p>
          <w:p w:rsidR="00700C5C" w:rsidRDefault="00700C5C" w:rsidP="00DD05F2">
            <w:pPr>
              <w:pStyle w:val="Default"/>
              <w:jc w:val="right"/>
              <w:rPr>
                <w:sz w:val="20"/>
                <w:szCs w:val="20"/>
              </w:rPr>
            </w:pPr>
            <w:r>
              <w:rPr>
                <w:sz w:val="20"/>
                <w:szCs w:val="20"/>
              </w:rPr>
              <w:t>3</w:t>
            </w:r>
            <w:r w:rsidRPr="004D0014">
              <w:rPr>
                <w:sz w:val="20"/>
                <w:szCs w:val="20"/>
              </w:rPr>
              <w:t>.</w:t>
            </w:r>
            <w:r>
              <w:rPr>
                <w:sz w:val="20"/>
                <w:szCs w:val="20"/>
              </w:rPr>
              <w:t>455</w:t>
            </w:r>
          </w:p>
          <w:p w:rsidR="00700C5C" w:rsidRPr="004D0014" w:rsidRDefault="00700C5C" w:rsidP="00DD05F2">
            <w:pPr>
              <w:pStyle w:val="Default"/>
              <w:jc w:val="right"/>
              <w:rPr>
                <w:sz w:val="20"/>
                <w:szCs w:val="20"/>
              </w:rPr>
            </w:pPr>
            <w:r>
              <w:rPr>
                <w:sz w:val="20"/>
                <w:szCs w:val="20"/>
              </w:rPr>
              <w:t>-.042</w:t>
            </w:r>
          </w:p>
          <w:p w:rsidR="00700C5C" w:rsidRPr="004D0014" w:rsidRDefault="00700C5C" w:rsidP="00DD05F2">
            <w:pPr>
              <w:pStyle w:val="Default"/>
              <w:jc w:val="right"/>
              <w:rPr>
                <w:sz w:val="20"/>
                <w:szCs w:val="20"/>
              </w:rPr>
            </w:pPr>
          </w:p>
        </w:tc>
        <w:tc>
          <w:tcPr>
            <w:tcW w:w="1140" w:type="dxa"/>
            <w:tcBorders>
              <w:left w:val="single" w:sz="4" w:space="0" w:color="auto"/>
            </w:tcBorders>
          </w:tcPr>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41</w:t>
            </w:r>
            <w:r w:rsidRPr="004D0014">
              <w:rPr>
                <w:sz w:val="20"/>
                <w:szCs w:val="20"/>
              </w:rPr>
              <w:t>0</w:t>
            </w:r>
          </w:p>
          <w:p w:rsidR="00700C5C" w:rsidRPr="004D0014" w:rsidRDefault="00700C5C" w:rsidP="00DD05F2">
            <w:pPr>
              <w:pStyle w:val="Default"/>
              <w:jc w:val="right"/>
              <w:rPr>
                <w:sz w:val="20"/>
                <w:szCs w:val="20"/>
              </w:rPr>
            </w:pPr>
            <w:r w:rsidRPr="004D0014">
              <w:rPr>
                <w:sz w:val="20"/>
                <w:szCs w:val="20"/>
              </w:rPr>
              <w:t>.</w:t>
            </w:r>
            <w:r>
              <w:rPr>
                <w:sz w:val="20"/>
                <w:szCs w:val="20"/>
              </w:rPr>
              <w:t>384</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943</w:t>
            </w:r>
          </w:p>
          <w:p w:rsidR="00700C5C" w:rsidRPr="004D0014" w:rsidRDefault="00700C5C" w:rsidP="00DD05F2">
            <w:pPr>
              <w:pStyle w:val="Default"/>
              <w:jc w:val="right"/>
              <w:rPr>
                <w:sz w:val="20"/>
                <w:szCs w:val="20"/>
              </w:rPr>
            </w:pPr>
            <w:r w:rsidRPr="004D0014">
              <w:rPr>
                <w:sz w:val="20"/>
                <w:szCs w:val="20"/>
              </w:rPr>
              <w:t>.</w:t>
            </w:r>
            <w:r>
              <w:rPr>
                <w:sz w:val="20"/>
                <w:szCs w:val="20"/>
              </w:rPr>
              <w:t>013</w:t>
            </w:r>
          </w:p>
          <w:p w:rsidR="00700C5C" w:rsidRPr="004D0014" w:rsidRDefault="00700C5C" w:rsidP="00DD05F2">
            <w:pPr>
              <w:pStyle w:val="Default"/>
              <w:jc w:val="right"/>
              <w:rPr>
                <w:sz w:val="20"/>
                <w:szCs w:val="20"/>
              </w:rPr>
            </w:pPr>
          </w:p>
        </w:tc>
        <w:tc>
          <w:tcPr>
            <w:tcW w:w="1424" w:type="dxa"/>
          </w:tcPr>
          <w:p w:rsidR="00700C5C" w:rsidRPr="004D0014" w:rsidRDefault="00700C5C" w:rsidP="00DD05F2">
            <w:pPr>
              <w:pStyle w:val="Default"/>
              <w:jc w:val="right"/>
              <w:rPr>
                <w:sz w:val="20"/>
                <w:szCs w:val="20"/>
              </w:rPr>
            </w:pPr>
          </w:p>
          <w:p w:rsidR="00700C5C" w:rsidRPr="004D0014" w:rsidRDefault="00700C5C" w:rsidP="00DD05F2">
            <w:pPr>
              <w:pStyle w:val="Default"/>
              <w:jc w:val="right"/>
              <w:rPr>
                <w:sz w:val="20"/>
                <w:szCs w:val="20"/>
              </w:rPr>
            </w:pPr>
            <w:r w:rsidRPr="004D0014">
              <w:rPr>
                <w:sz w:val="20"/>
                <w:szCs w:val="20"/>
              </w:rPr>
              <w:t>.</w:t>
            </w:r>
            <w:r>
              <w:rPr>
                <w:sz w:val="20"/>
                <w:szCs w:val="20"/>
              </w:rPr>
              <w:t>920</w:t>
            </w:r>
          </w:p>
          <w:p w:rsidR="00700C5C" w:rsidRPr="004D0014" w:rsidRDefault="00700C5C" w:rsidP="00DD05F2">
            <w:pPr>
              <w:pStyle w:val="Default"/>
              <w:jc w:val="right"/>
              <w:rPr>
                <w:sz w:val="20"/>
                <w:szCs w:val="20"/>
              </w:rPr>
            </w:pPr>
            <w:r w:rsidRPr="004D0014">
              <w:rPr>
                <w:sz w:val="20"/>
                <w:szCs w:val="20"/>
              </w:rPr>
              <w:t>.</w:t>
            </w:r>
            <w:r>
              <w:rPr>
                <w:sz w:val="20"/>
                <w:szCs w:val="20"/>
              </w:rPr>
              <w:t>312</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191</w:t>
            </w:r>
          </w:p>
          <w:p w:rsidR="00700C5C" w:rsidRPr="004D0014" w:rsidRDefault="00700C5C" w:rsidP="00DD05F2">
            <w:pPr>
              <w:pStyle w:val="Default"/>
              <w:jc w:val="right"/>
              <w:rPr>
                <w:sz w:val="20"/>
                <w:szCs w:val="20"/>
              </w:rPr>
            </w:pPr>
          </w:p>
        </w:tc>
        <w:tc>
          <w:tcPr>
            <w:tcW w:w="997" w:type="dxa"/>
          </w:tcPr>
          <w:p w:rsidR="00700C5C" w:rsidRPr="004D0014" w:rsidRDefault="00700C5C" w:rsidP="00DD05F2">
            <w:pPr>
              <w:pStyle w:val="Default"/>
              <w:jc w:val="right"/>
              <w:rPr>
                <w:sz w:val="20"/>
                <w:szCs w:val="20"/>
              </w:rPr>
            </w:pPr>
            <w:r w:rsidRPr="004D0014">
              <w:rPr>
                <w:sz w:val="20"/>
                <w:szCs w:val="20"/>
              </w:rPr>
              <w:t>-</w:t>
            </w:r>
            <w:r>
              <w:rPr>
                <w:sz w:val="20"/>
                <w:szCs w:val="20"/>
              </w:rPr>
              <w:t>1</w:t>
            </w:r>
            <w:r w:rsidRPr="004D0014">
              <w:rPr>
                <w:sz w:val="20"/>
                <w:szCs w:val="20"/>
              </w:rPr>
              <w:t>.</w:t>
            </w:r>
            <w:r>
              <w:rPr>
                <w:sz w:val="20"/>
                <w:szCs w:val="20"/>
              </w:rPr>
              <w:t>476</w:t>
            </w:r>
          </w:p>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664</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778</w:t>
            </w:r>
          </w:p>
          <w:p w:rsidR="00700C5C" w:rsidRPr="004D0014" w:rsidRDefault="00700C5C" w:rsidP="00DD05F2">
            <w:pPr>
              <w:pStyle w:val="Default"/>
              <w:jc w:val="right"/>
              <w:rPr>
                <w:sz w:val="20"/>
                <w:szCs w:val="20"/>
              </w:rPr>
            </w:pPr>
            <w:r>
              <w:rPr>
                <w:sz w:val="20"/>
                <w:szCs w:val="20"/>
              </w:rPr>
              <w:t>-3</w:t>
            </w:r>
            <w:r w:rsidRPr="004D0014">
              <w:rPr>
                <w:sz w:val="20"/>
                <w:szCs w:val="20"/>
              </w:rPr>
              <w:t>.</w:t>
            </w:r>
            <w:r>
              <w:rPr>
                <w:sz w:val="20"/>
                <w:szCs w:val="20"/>
              </w:rPr>
              <w:t>188</w:t>
            </w:r>
          </w:p>
          <w:p w:rsidR="00700C5C" w:rsidRPr="004D0014" w:rsidRDefault="00700C5C" w:rsidP="00DD05F2">
            <w:pPr>
              <w:pStyle w:val="Default"/>
              <w:jc w:val="right"/>
              <w:rPr>
                <w:sz w:val="20"/>
                <w:szCs w:val="20"/>
              </w:rPr>
            </w:pPr>
          </w:p>
        </w:tc>
        <w:tc>
          <w:tcPr>
            <w:tcW w:w="1283" w:type="dxa"/>
          </w:tcPr>
          <w:p w:rsidR="00700C5C" w:rsidRPr="004D0014" w:rsidRDefault="00700C5C" w:rsidP="00DD05F2">
            <w:pPr>
              <w:pStyle w:val="Default"/>
              <w:jc w:val="right"/>
              <w:rPr>
                <w:sz w:val="20"/>
                <w:szCs w:val="20"/>
              </w:rPr>
            </w:pPr>
            <w:r w:rsidRPr="004D0014">
              <w:rPr>
                <w:sz w:val="20"/>
                <w:szCs w:val="20"/>
              </w:rPr>
              <w:t>.</w:t>
            </w:r>
            <w:r>
              <w:rPr>
                <w:sz w:val="20"/>
                <w:szCs w:val="20"/>
              </w:rPr>
              <w:t>148</w:t>
            </w:r>
          </w:p>
          <w:p w:rsidR="00700C5C" w:rsidRPr="004D0014" w:rsidRDefault="00700C5C" w:rsidP="00DD05F2">
            <w:pPr>
              <w:pStyle w:val="Default"/>
              <w:jc w:val="right"/>
              <w:rPr>
                <w:sz w:val="20"/>
                <w:szCs w:val="20"/>
              </w:rPr>
            </w:pPr>
            <w:r w:rsidRPr="004D0014">
              <w:rPr>
                <w:sz w:val="20"/>
                <w:szCs w:val="20"/>
              </w:rPr>
              <w:t>.</w:t>
            </w:r>
            <w:r>
              <w:rPr>
                <w:sz w:val="20"/>
                <w:szCs w:val="20"/>
              </w:rPr>
              <w:t>011</w:t>
            </w:r>
          </w:p>
          <w:p w:rsidR="00700C5C" w:rsidRPr="004D0014" w:rsidRDefault="00700C5C" w:rsidP="00DD05F2">
            <w:pPr>
              <w:pStyle w:val="Default"/>
              <w:jc w:val="right"/>
              <w:rPr>
                <w:sz w:val="20"/>
                <w:szCs w:val="20"/>
              </w:rPr>
            </w:pPr>
            <w:r w:rsidRPr="004D0014">
              <w:rPr>
                <w:sz w:val="20"/>
                <w:szCs w:val="20"/>
              </w:rPr>
              <w:t>.</w:t>
            </w:r>
            <w:r>
              <w:rPr>
                <w:sz w:val="20"/>
                <w:szCs w:val="20"/>
              </w:rPr>
              <w:t>083</w:t>
            </w:r>
          </w:p>
          <w:p w:rsidR="00700C5C" w:rsidRPr="004D0014" w:rsidRDefault="00700C5C" w:rsidP="00DD05F2">
            <w:pPr>
              <w:pStyle w:val="Default"/>
              <w:jc w:val="right"/>
              <w:rPr>
                <w:sz w:val="20"/>
                <w:szCs w:val="20"/>
              </w:rPr>
            </w:pPr>
            <w:r w:rsidRPr="004D0014">
              <w:rPr>
                <w:sz w:val="20"/>
                <w:szCs w:val="20"/>
              </w:rPr>
              <w:t>.</w:t>
            </w:r>
            <w:r>
              <w:rPr>
                <w:sz w:val="20"/>
                <w:szCs w:val="20"/>
              </w:rPr>
              <w:t>003</w:t>
            </w:r>
          </w:p>
          <w:p w:rsidR="00700C5C" w:rsidRPr="004D0014" w:rsidRDefault="00700C5C" w:rsidP="00DD05F2">
            <w:pPr>
              <w:pStyle w:val="Default"/>
              <w:jc w:val="right"/>
              <w:rPr>
                <w:sz w:val="20"/>
                <w:szCs w:val="20"/>
              </w:rPr>
            </w:pPr>
          </w:p>
        </w:tc>
      </w:tr>
    </w:tbl>
    <w:p w:rsidR="00700C5C" w:rsidRDefault="00700C5C" w:rsidP="00700C5C">
      <w:pPr>
        <w:pStyle w:val="Default"/>
        <w:ind w:left="360"/>
        <w:jc w:val="center"/>
        <w:rPr>
          <w:sz w:val="23"/>
          <w:szCs w:val="23"/>
        </w:rPr>
      </w:pPr>
    </w:p>
    <w:p w:rsidR="00700C5C" w:rsidRPr="00651E54" w:rsidRDefault="00700C5C" w:rsidP="00700C5C">
      <w:pPr>
        <w:pStyle w:val="Default"/>
        <w:ind w:left="360"/>
        <w:jc w:val="center"/>
        <w:rPr>
          <w:sz w:val="23"/>
          <w:szCs w:val="23"/>
        </w:rPr>
      </w:pPr>
      <w:r w:rsidRPr="00651E54">
        <w:rPr>
          <w:sz w:val="23"/>
          <w:szCs w:val="23"/>
        </w:rPr>
        <w:t>Tabl</w:t>
      </w:r>
      <w:r w:rsidR="00304979">
        <w:rPr>
          <w:sz w:val="23"/>
          <w:szCs w:val="23"/>
        </w:rPr>
        <w:t>e</w:t>
      </w:r>
      <w:r w:rsidRPr="00651E54">
        <w:rPr>
          <w:sz w:val="23"/>
          <w:szCs w:val="23"/>
        </w:rPr>
        <w:t xml:space="preserve"> </w:t>
      </w:r>
      <w:r>
        <w:rPr>
          <w:sz w:val="23"/>
          <w:szCs w:val="23"/>
        </w:rPr>
        <w:t>7</w:t>
      </w:r>
      <w:r w:rsidRPr="00651E54">
        <w:rPr>
          <w:sz w:val="23"/>
          <w:szCs w:val="23"/>
        </w:rPr>
        <w:t xml:space="preserve">. </w:t>
      </w:r>
      <w:r w:rsidR="00304979">
        <w:rPr>
          <w:sz w:val="23"/>
          <w:szCs w:val="23"/>
        </w:rPr>
        <w:t xml:space="preserve">. </w:t>
      </w:r>
      <w:r w:rsidR="00304979">
        <w:rPr>
          <w:lang/>
        </w:rPr>
        <w:t>Moderation Result of DAR Variable Test</w:t>
      </w:r>
      <w:r w:rsidR="00304979" w:rsidRPr="00651E54">
        <w:rPr>
          <w:sz w:val="23"/>
          <w:szCs w:val="23"/>
        </w:rPr>
        <w:t xml:space="preserve"> </w:t>
      </w:r>
    </w:p>
    <w:p w:rsidR="00700C5C" w:rsidRDefault="00700C5C" w:rsidP="00700C5C">
      <w:pPr>
        <w:pStyle w:val="Default"/>
        <w:ind w:left="360"/>
        <w:jc w:val="center"/>
        <w:rPr>
          <w:sz w:val="23"/>
          <w:szCs w:val="23"/>
        </w:rPr>
      </w:pPr>
      <w:r w:rsidRPr="00651E54">
        <w:rPr>
          <w:sz w:val="23"/>
          <w:szCs w:val="23"/>
        </w:rPr>
        <w:t>Coefficients</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183"/>
        <w:gridCol w:w="1140"/>
        <w:gridCol w:w="1424"/>
        <w:gridCol w:w="997"/>
        <w:gridCol w:w="1283"/>
      </w:tblGrid>
      <w:tr w:rsidR="00700C5C" w:rsidRPr="0084266F" w:rsidTr="00DD05F2">
        <w:trPr>
          <w:trHeight w:val="661"/>
          <w:jc w:val="center"/>
        </w:trPr>
        <w:tc>
          <w:tcPr>
            <w:tcW w:w="1842" w:type="dxa"/>
            <w:vMerge w:val="restart"/>
          </w:tcPr>
          <w:p w:rsidR="00700C5C" w:rsidRPr="004D0014" w:rsidRDefault="00700C5C" w:rsidP="00DD05F2">
            <w:pPr>
              <w:pStyle w:val="Default"/>
              <w:jc w:val="both"/>
              <w:rPr>
                <w:sz w:val="20"/>
                <w:szCs w:val="20"/>
              </w:rPr>
            </w:pPr>
            <w:r w:rsidRPr="004D0014">
              <w:rPr>
                <w:sz w:val="20"/>
                <w:szCs w:val="20"/>
              </w:rPr>
              <w:t>Model</w:t>
            </w:r>
          </w:p>
        </w:tc>
        <w:tc>
          <w:tcPr>
            <w:tcW w:w="2323" w:type="dxa"/>
            <w:gridSpan w:val="2"/>
            <w:tcBorders>
              <w:bottom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Unstandardized</w:t>
            </w:r>
            <w:proofErr w:type="spellEnd"/>
            <w:r w:rsidRPr="004D0014">
              <w:rPr>
                <w:sz w:val="20"/>
                <w:szCs w:val="20"/>
              </w:rPr>
              <w:t xml:space="preserve"> Coefficients</w:t>
            </w:r>
          </w:p>
          <w:p w:rsidR="00700C5C" w:rsidRPr="004D0014" w:rsidRDefault="00700C5C" w:rsidP="00DD05F2">
            <w:pPr>
              <w:pStyle w:val="Default"/>
              <w:jc w:val="both"/>
              <w:rPr>
                <w:sz w:val="20"/>
                <w:szCs w:val="20"/>
              </w:rPr>
            </w:pPr>
          </w:p>
        </w:tc>
        <w:tc>
          <w:tcPr>
            <w:tcW w:w="1424" w:type="dxa"/>
            <w:tcBorders>
              <w:bottom w:val="single" w:sz="4" w:space="0" w:color="auto"/>
            </w:tcBorders>
          </w:tcPr>
          <w:p w:rsidR="00700C5C" w:rsidRPr="004D0014" w:rsidRDefault="00700C5C" w:rsidP="00DD05F2">
            <w:pPr>
              <w:pStyle w:val="Default"/>
              <w:jc w:val="both"/>
              <w:rPr>
                <w:sz w:val="20"/>
                <w:szCs w:val="20"/>
              </w:rPr>
            </w:pPr>
            <w:r w:rsidRPr="004D0014">
              <w:rPr>
                <w:sz w:val="20"/>
                <w:szCs w:val="20"/>
              </w:rPr>
              <w:t>Standardized Coefficients</w:t>
            </w:r>
          </w:p>
        </w:tc>
        <w:tc>
          <w:tcPr>
            <w:tcW w:w="997"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t</w:t>
            </w:r>
          </w:p>
        </w:tc>
        <w:tc>
          <w:tcPr>
            <w:tcW w:w="1283"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Sig.</w:t>
            </w:r>
          </w:p>
        </w:tc>
      </w:tr>
      <w:tr w:rsidR="00700C5C" w:rsidRPr="0084266F" w:rsidTr="00DD05F2">
        <w:trPr>
          <w:trHeight w:val="369"/>
          <w:jc w:val="center"/>
        </w:trPr>
        <w:tc>
          <w:tcPr>
            <w:tcW w:w="1842" w:type="dxa"/>
            <w:vMerge/>
          </w:tcPr>
          <w:p w:rsidR="00700C5C" w:rsidRPr="004D0014" w:rsidRDefault="00700C5C" w:rsidP="00DD05F2">
            <w:pPr>
              <w:pStyle w:val="Default"/>
              <w:jc w:val="both"/>
              <w:rPr>
                <w:sz w:val="20"/>
                <w:szCs w:val="20"/>
              </w:rPr>
            </w:pPr>
          </w:p>
        </w:tc>
        <w:tc>
          <w:tcPr>
            <w:tcW w:w="1183" w:type="dxa"/>
            <w:tcBorders>
              <w:top w:val="single" w:sz="4" w:space="0" w:color="auto"/>
              <w:right w:val="single" w:sz="4" w:space="0" w:color="auto"/>
            </w:tcBorders>
          </w:tcPr>
          <w:p w:rsidR="00700C5C" w:rsidRPr="004D0014" w:rsidRDefault="00700C5C" w:rsidP="00DD05F2">
            <w:pPr>
              <w:pStyle w:val="Default"/>
              <w:jc w:val="center"/>
              <w:rPr>
                <w:sz w:val="20"/>
                <w:szCs w:val="20"/>
              </w:rPr>
            </w:pPr>
            <w:r w:rsidRPr="004D0014">
              <w:rPr>
                <w:sz w:val="20"/>
                <w:szCs w:val="20"/>
              </w:rPr>
              <w:t>B</w:t>
            </w:r>
          </w:p>
        </w:tc>
        <w:tc>
          <w:tcPr>
            <w:tcW w:w="1140" w:type="dxa"/>
            <w:tcBorders>
              <w:top w:val="single" w:sz="4" w:space="0" w:color="auto"/>
              <w:left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Std.Error</w:t>
            </w:r>
            <w:proofErr w:type="spellEnd"/>
          </w:p>
        </w:tc>
        <w:tc>
          <w:tcPr>
            <w:tcW w:w="1424" w:type="dxa"/>
            <w:tcBorders>
              <w:top w:val="single" w:sz="4" w:space="0" w:color="auto"/>
            </w:tcBorders>
          </w:tcPr>
          <w:p w:rsidR="00700C5C" w:rsidRPr="004D0014" w:rsidRDefault="00700C5C" w:rsidP="00DD05F2">
            <w:pPr>
              <w:pStyle w:val="Default"/>
              <w:jc w:val="center"/>
              <w:rPr>
                <w:sz w:val="20"/>
                <w:szCs w:val="20"/>
              </w:rPr>
            </w:pPr>
            <w:r w:rsidRPr="004D0014">
              <w:rPr>
                <w:sz w:val="20"/>
                <w:szCs w:val="20"/>
              </w:rPr>
              <w:t>Beta</w:t>
            </w:r>
          </w:p>
        </w:tc>
        <w:tc>
          <w:tcPr>
            <w:tcW w:w="997" w:type="dxa"/>
            <w:vMerge/>
          </w:tcPr>
          <w:p w:rsidR="00700C5C" w:rsidRPr="004D0014" w:rsidRDefault="00700C5C" w:rsidP="00DD05F2">
            <w:pPr>
              <w:pStyle w:val="Default"/>
              <w:jc w:val="both"/>
              <w:rPr>
                <w:sz w:val="20"/>
                <w:szCs w:val="20"/>
              </w:rPr>
            </w:pPr>
          </w:p>
        </w:tc>
        <w:tc>
          <w:tcPr>
            <w:tcW w:w="1283" w:type="dxa"/>
            <w:vMerge/>
          </w:tcPr>
          <w:p w:rsidR="00700C5C" w:rsidRPr="004D0014" w:rsidRDefault="00700C5C" w:rsidP="00DD05F2">
            <w:pPr>
              <w:pStyle w:val="Default"/>
              <w:jc w:val="both"/>
              <w:rPr>
                <w:sz w:val="20"/>
                <w:szCs w:val="20"/>
              </w:rPr>
            </w:pPr>
          </w:p>
        </w:tc>
      </w:tr>
      <w:tr w:rsidR="00700C5C" w:rsidRPr="0084266F" w:rsidTr="00DD05F2">
        <w:trPr>
          <w:trHeight w:val="1139"/>
          <w:jc w:val="center"/>
        </w:trPr>
        <w:tc>
          <w:tcPr>
            <w:tcW w:w="1842" w:type="dxa"/>
          </w:tcPr>
          <w:p w:rsidR="00700C5C" w:rsidRPr="004D0014" w:rsidRDefault="00700C5C" w:rsidP="00DD05F2">
            <w:pPr>
              <w:pStyle w:val="Default"/>
              <w:numPr>
                <w:ilvl w:val="0"/>
                <w:numId w:val="5"/>
              </w:numPr>
              <w:ind w:left="324" w:hanging="177"/>
              <w:jc w:val="both"/>
              <w:rPr>
                <w:sz w:val="20"/>
                <w:szCs w:val="20"/>
              </w:rPr>
            </w:pPr>
            <w:r w:rsidRPr="004D0014">
              <w:rPr>
                <w:sz w:val="20"/>
                <w:szCs w:val="20"/>
              </w:rPr>
              <w:t>(Constant)</w:t>
            </w:r>
          </w:p>
          <w:p w:rsidR="00700C5C" w:rsidRDefault="00700C5C" w:rsidP="00DD05F2">
            <w:pPr>
              <w:pStyle w:val="Default"/>
              <w:ind w:left="349"/>
              <w:jc w:val="both"/>
              <w:rPr>
                <w:sz w:val="20"/>
                <w:szCs w:val="20"/>
              </w:rPr>
            </w:pPr>
            <w:r>
              <w:rPr>
                <w:sz w:val="20"/>
                <w:szCs w:val="20"/>
              </w:rPr>
              <w:t>DAR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CSR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DAR*CSR</w:t>
            </w:r>
          </w:p>
        </w:tc>
        <w:tc>
          <w:tcPr>
            <w:tcW w:w="1183" w:type="dxa"/>
            <w:tcBorders>
              <w:right w:val="single" w:sz="4" w:space="0" w:color="auto"/>
            </w:tcBorders>
          </w:tcPr>
          <w:p w:rsidR="00700C5C" w:rsidRPr="004D0014" w:rsidRDefault="00700C5C" w:rsidP="00DD05F2">
            <w:pPr>
              <w:pStyle w:val="Default"/>
              <w:jc w:val="right"/>
              <w:rPr>
                <w:sz w:val="20"/>
                <w:szCs w:val="20"/>
              </w:rPr>
            </w:pPr>
            <w:r w:rsidRPr="004D0014">
              <w:rPr>
                <w:sz w:val="20"/>
                <w:szCs w:val="20"/>
              </w:rPr>
              <w:t>-</w:t>
            </w:r>
            <w:r>
              <w:rPr>
                <w:sz w:val="20"/>
                <w:szCs w:val="20"/>
              </w:rPr>
              <w:t>2</w:t>
            </w:r>
            <w:r w:rsidRPr="004D0014">
              <w:rPr>
                <w:sz w:val="20"/>
                <w:szCs w:val="20"/>
              </w:rPr>
              <w:t>.</w:t>
            </w:r>
            <w:r>
              <w:rPr>
                <w:sz w:val="20"/>
                <w:szCs w:val="20"/>
              </w:rPr>
              <w:t>969</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503</w:t>
            </w:r>
          </w:p>
          <w:p w:rsidR="00700C5C" w:rsidRPr="004D0014" w:rsidRDefault="00700C5C" w:rsidP="00DD05F2">
            <w:pPr>
              <w:pStyle w:val="Default"/>
              <w:jc w:val="right"/>
              <w:rPr>
                <w:sz w:val="20"/>
                <w:szCs w:val="20"/>
              </w:rPr>
            </w:pPr>
            <w:r>
              <w:rPr>
                <w:sz w:val="20"/>
                <w:szCs w:val="20"/>
              </w:rPr>
              <w:t>3</w:t>
            </w:r>
            <w:r w:rsidRPr="004D0014">
              <w:rPr>
                <w:sz w:val="20"/>
                <w:szCs w:val="20"/>
              </w:rPr>
              <w:t>.</w:t>
            </w:r>
            <w:r>
              <w:rPr>
                <w:sz w:val="20"/>
                <w:szCs w:val="20"/>
              </w:rPr>
              <w:t>605</w:t>
            </w:r>
          </w:p>
          <w:p w:rsidR="00700C5C" w:rsidRPr="004D0014" w:rsidRDefault="00700C5C" w:rsidP="00DD05F2">
            <w:pPr>
              <w:pStyle w:val="Default"/>
              <w:jc w:val="right"/>
              <w:rPr>
                <w:sz w:val="20"/>
                <w:szCs w:val="20"/>
              </w:rPr>
            </w:pPr>
            <w:r>
              <w:rPr>
                <w:sz w:val="20"/>
                <w:szCs w:val="20"/>
              </w:rPr>
              <w:t>-</w:t>
            </w:r>
            <w:r w:rsidRPr="004D0014">
              <w:rPr>
                <w:sz w:val="20"/>
                <w:szCs w:val="20"/>
              </w:rPr>
              <w:t>.</w:t>
            </w:r>
            <w:r>
              <w:rPr>
                <w:sz w:val="20"/>
                <w:szCs w:val="20"/>
              </w:rPr>
              <w:t>122</w:t>
            </w:r>
          </w:p>
          <w:p w:rsidR="00700C5C" w:rsidRPr="004D0014" w:rsidRDefault="00700C5C" w:rsidP="00DD05F2">
            <w:pPr>
              <w:pStyle w:val="Default"/>
              <w:jc w:val="right"/>
              <w:rPr>
                <w:sz w:val="20"/>
                <w:szCs w:val="20"/>
              </w:rPr>
            </w:pPr>
          </w:p>
        </w:tc>
        <w:tc>
          <w:tcPr>
            <w:tcW w:w="1140" w:type="dxa"/>
            <w:tcBorders>
              <w:left w:val="single" w:sz="4" w:space="0" w:color="auto"/>
            </w:tcBorders>
          </w:tcPr>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658</w:t>
            </w:r>
          </w:p>
          <w:p w:rsidR="00700C5C" w:rsidRPr="004D0014" w:rsidRDefault="00700C5C" w:rsidP="00DD05F2">
            <w:pPr>
              <w:pStyle w:val="Default"/>
              <w:jc w:val="right"/>
              <w:rPr>
                <w:sz w:val="20"/>
                <w:szCs w:val="20"/>
              </w:rPr>
            </w:pPr>
            <w:r w:rsidRPr="004D0014">
              <w:rPr>
                <w:sz w:val="20"/>
                <w:szCs w:val="20"/>
              </w:rPr>
              <w:t>.7</w:t>
            </w:r>
            <w:r>
              <w:rPr>
                <w:sz w:val="20"/>
                <w:szCs w:val="20"/>
              </w:rPr>
              <w:t>16</w:t>
            </w:r>
          </w:p>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382</w:t>
            </w:r>
          </w:p>
          <w:p w:rsidR="00700C5C" w:rsidRPr="004D0014" w:rsidRDefault="00700C5C" w:rsidP="00DD05F2">
            <w:pPr>
              <w:pStyle w:val="Default"/>
              <w:jc w:val="right"/>
              <w:rPr>
                <w:sz w:val="20"/>
                <w:szCs w:val="20"/>
              </w:rPr>
            </w:pPr>
            <w:r w:rsidRPr="004D0014">
              <w:rPr>
                <w:sz w:val="20"/>
                <w:szCs w:val="20"/>
              </w:rPr>
              <w:t>.</w:t>
            </w:r>
            <w:r>
              <w:rPr>
                <w:sz w:val="20"/>
                <w:szCs w:val="20"/>
              </w:rPr>
              <w:t>054</w:t>
            </w:r>
          </w:p>
          <w:p w:rsidR="00700C5C" w:rsidRPr="004D0014" w:rsidRDefault="00700C5C" w:rsidP="00DD05F2">
            <w:pPr>
              <w:pStyle w:val="Default"/>
              <w:jc w:val="right"/>
              <w:rPr>
                <w:sz w:val="20"/>
                <w:szCs w:val="20"/>
              </w:rPr>
            </w:pPr>
          </w:p>
        </w:tc>
        <w:tc>
          <w:tcPr>
            <w:tcW w:w="1424" w:type="dxa"/>
          </w:tcPr>
          <w:p w:rsidR="00700C5C" w:rsidRPr="004D0014" w:rsidRDefault="00700C5C" w:rsidP="00DD05F2">
            <w:pPr>
              <w:pStyle w:val="Default"/>
              <w:jc w:val="right"/>
              <w:rPr>
                <w:sz w:val="20"/>
                <w:szCs w:val="20"/>
              </w:rPr>
            </w:pP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006</w:t>
            </w:r>
          </w:p>
          <w:p w:rsidR="00700C5C" w:rsidRPr="004D0014" w:rsidRDefault="00700C5C" w:rsidP="00DD05F2">
            <w:pPr>
              <w:pStyle w:val="Default"/>
              <w:jc w:val="right"/>
              <w:rPr>
                <w:sz w:val="20"/>
                <w:szCs w:val="20"/>
              </w:rPr>
            </w:pPr>
            <w:r w:rsidRPr="004D0014">
              <w:rPr>
                <w:sz w:val="20"/>
                <w:szCs w:val="20"/>
              </w:rPr>
              <w:t>.</w:t>
            </w:r>
            <w:r>
              <w:rPr>
                <w:sz w:val="20"/>
                <w:szCs w:val="20"/>
              </w:rPr>
              <w:t>326</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170</w:t>
            </w:r>
          </w:p>
          <w:p w:rsidR="00700C5C" w:rsidRPr="004D0014" w:rsidRDefault="00700C5C" w:rsidP="00DD05F2">
            <w:pPr>
              <w:pStyle w:val="Default"/>
              <w:jc w:val="right"/>
              <w:rPr>
                <w:sz w:val="20"/>
                <w:szCs w:val="20"/>
              </w:rPr>
            </w:pPr>
          </w:p>
        </w:tc>
        <w:tc>
          <w:tcPr>
            <w:tcW w:w="997" w:type="dxa"/>
          </w:tcPr>
          <w:p w:rsidR="00700C5C" w:rsidRPr="004D0014" w:rsidRDefault="00700C5C" w:rsidP="00DD05F2">
            <w:pPr>
              <w:pStyle w:val="Default"/>
              <w:jc w:val="right"/>
              <w:rPr>
                <w:sz w:val="20"/>
                <w:szCs w:val="20"/>
              </w:rPr>
            </w:pPr>
            <w:r w:rsidRPr="004D0014">
              <w:rPr>
                <w:sz w:val="20"/>
                <w:szCs w:val="20"/>
              </w:rPr>
              <w:t>-</w:t>
            </w:r>
            <w:r>
              <w:rPr>
                <w:sz w:val="20"/>
                <w:szCs w:val="20"/>
              </w:rPr>
              <w:t>1</w:t>
            </w:r>
            <w:r w:rsidRPr="004D0014">
              <w:rPr>
                <w:sz w:val="20"/>
                <w:szCs w:val="20"/>
              </w:rPr>
              <w:t>.</w:t>
            </w:r>
            <w:r>
              <w:rPr>
                <w:sz w:val="20"/>
                <w:szCs w:val="20"/>
              </w:rPr>
              <w:t>117</w:t>
            </w:r>
          </w:p>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101</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513</w:t>
            </w:r>
          </w:p>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282</w:t>
            </w:r>
          </w:p>
          <w:p w:rsidR="00700C5C" w:rsidRPr="004D0014" w:rsidRDefault="00700C5C" w:rsidP="00DD05F2">
            <w:pPr>
              <w:pStyle w:val="Default"/>
              <w:jc w:val="right"/>
              <w:rPr>
                <w:sz w:val="20"/>
                <w:szCs w:val="20"/>
              </w:rPr>
            </w:pPr>
          </w:p>
        </w:tc>
        <w:tc>
          <w:tcPr>
            <w:tcW w:w="1283" w:type="dxa"/>
          </w:tcPr>
          <w:p w:rsidR="00700C5C" w:rsidRPr="004D0014" w:rsidRDefault="00700C5C" w:rsidP="00DD05F2">
            <w:pPr>
              <w:pStyle w:val="Default"/>
              <w:jc w:val="right"/>
              <w:rPr>
                <w:sz w:val="20"/>
                <w:szCs w:val="20"/>
              </w:rPr>
            </w:pPr>
            <w:r w:rsidRPr="004D0014">
              <w:rPr>
                <w:sz w:val="20"/>
                <w:szCs w:val="20"/>
              </w:rPr>
              <w:t>.</w:t>
            </w:r>
            <w:r>
              <w:rPr>
                <w:sz w:val="20"/>
                <w:szCs w:val="20"/>
              </w:rPr>
              <w:t>270</w:t>
            </w:r>
          </w:p>
          <w:p w:rsidR="00700C5C" w:rsidRPr="004D0014" w:rsidRDefault="00700C5C" w:rsidP="00DD05F2">
            <w:pPr>
              <w:pStyle w:val="Default"/>
              <w:jc w:val="right"/>
              <w:rPr>
                <w:sz w:val="20"/>
                <w:szCs w:val="20"/>
              </w:rPr>
            </w:pPr>
            <w:r w:rsidRPr="004D0014">
              <w:rPr>
                <w:sz w:val="20"/>
                <w:szCs w:val="20"/>
              </w:rPr>
              <w:t>.</w:t>
            </w:r>
            <w:r>
              <w:rPr>
                <w:sz w:val="20"/>
                <w:szCs w:val="20"/>
              </w:rPr>
              <w:t>042</w:t>
            </w:r>
          </w:p>
          <w:p w:rsidR="00700C5C" w:rsidRPr="004D0014" w:rsidRDefault="00700C5C" w:rsidP="00DD05F2">
            <w:pPr>
              <w:pStyle w:val="Default"/>
              <w:jc w:val="right"/>
              <w:rPr>
                <w:sz w:val="20"/>
                <w:szCs w:val="20"/>
              </w:rPr>
            </w:pPr>
            <w:r w:rsidRPr="004D0014">
              <w:rPr>
                <w:sz w:val="20"/>
                <w:szCs w:val="20"/>
              </w:rPr>
              <w:t>.</w:t>
            </w:r>
            <w:r>
              <w:rPr>
                <w:sz w:val="20"/>
                <w:szCs w:val="20"/>
              </w:rPr>
              <w:t>138</w:t>
            </w:r>
          </w:p>
          <w:p w:rsidR="00700C5C" w:rsidRPr="004D0014" w:rsidRDefault="00700C5C" w:rsidP="00DD05F2">
            <w:pPr>
              <w:pStyle w:val="Default"/>
              <w:jc w:val="right"/>
              <w:rPr>
                <w:sz w:val="20"/>
                <w:szCs w:val="20"/>
              </w:rPr>
            </w:pPr>
            <w:r w:rsidRPr="004D0014">
              <w:rPr>
                <w:sz w:val="20"/>
                <w:szCs w:val="20"/>
              </w:rPr>
              <w:t>.</w:t>
            </w:r>
            <w:r>
              <w:rPr>
                <w:sz w:val="20"/>
                <w:szCs w:val="20"/>
              </w:rPr>
              <w:t>028</w:t>
            </w:r>
          </w:p>
          <w:p w:rsidR="00700C5C" w:rsidRPr="004D0014" w:rsidRDefault="00700C5C" w:rsidP="00DD05F2">
            <w:pPr>
              <w:pStyle w:val="Default"/>
              <w:jc w:val="right"/>
              <w:rPr>
                <w:sz w:val="20"/>
                <w:szCs w:val="20"/>
              </w:rPr>
            </w:pPr>
          </w:p>
        </w:tc>
      </w:tr>
    </w:tbl>
    <w:p w:rsidR="00700C5C" w:rsidRDefault="00700C5C" w:rsidP="00700C5C">
      <w:pPr>
        <w:pStyle w:val="Default"/>
        <w:ind w:left="360"/>
        <w:jc w:val="center"/>
        <w:rPr>
          <w:sz w:val="23"/>
          <w:szCs w:val="23"/>
        </w:rPr>
      </w:pPr>
    </w:p>
    <w:p w:rsidR="00700C5C" w:rsidRDefault="00700C5C" w:rsidP="00700C5C">
      <w:pPr>
        <w:pStyle w:val="Default"/>
        <w:ind w:left="360"/>
        <w:jc w:val="center"/>
        <w:rPr>
          <w:sz w:val="23"/>
          <w:szCs w:val="23"/>
        </w:rPr>
      </w:pPr>
    </w:p>
    <w:p w:rsidR="00700C5C" w:rsidRDefault="00700C5C" w:rsidP="00700C5C">
      <w:pPr>
        <w:pStyle w:val="Default"/>
        <w:ind w:left="360"/>
        <w:jc w:val="center"/>
        <w:rPr>
          <w:sz w:val="23"/>
          <w:szCs w:val="23"/>
        </w:rPr>
      </w:pPr>
      <w:proofErr w:type="spellStart"/>
      <w:r w:rsidRPr="00471EFC">
        <w:rPr>
          <w:sz w:val="23"/>
          <w:szCs w:val="23"/>
        </w:rPr>
        <w:t>Tabel</w:t>
      </w:r>
      <w:proofErr w:type="spellEnd"/>
      <w:r w:rsidRPr="00471EFC">
        <w:rPr>
          <w:sz w:val="23"/>
          <w:szCs w:val="23"/>
        </w:rPr>
        <w:t xml:space="preserve"> 8. </w:t>
      </w:r>
      <w:r w:rsidR="00304979">
        <w:rPr>
          <w:sz w:val="23"/>
          <w:szCs w:val="23"/>
        </w:rPr>
        <w:t xml:space="preserve">. </w:t>
      </w:r>
      <w:r w:rsidR="00304979">
        <w:rPr>
          <w:lang/>
        </w:rPr>
        <w:t>Moderation Result of EAR Variable Test</w:t>
      </w:r>
      <w:r w:rsidR="00304979" w:rsidRPr="00471EFC">
        <w:rPr>
          <w:sz w:val="23"/>
          <w:szCs w:val="23"/>
        </w:rPr>
        <w:t xml:space="preserve"> </w:t>
      </w:r>
    </w:p>
    <w:p w:rsidR="00700C5C" w:rsidRDefault="00700C5C" w:rsidP="00700C5C">
      <w:pPr>
        <w:pStyle w:val="Default"/>
        <w:ind w:left="360"/>
        <w:jc w:val="center"/>
        <w:rPr>
          <w:sz w:val="23"/>
          <w:szCs w:val="23"/>
        </w:rPr>
      </w:pPr>
      <w:r>
        <w:rPr>
          <w:sz w:val="23"/>
          <w:szCs w:val="23"/>
        </w:rPr>
        <w:t>Coefficients</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8"/>
        <w:gridCol w:w="1187"/>
        <w:gridCol w:w="1144"/>
        <w:gridCol w:w="1429"/>
        <w:gridCol w:w="1000"/>
        <w:gridCol w:w="1287"/>
      </w:tblGrid>
      <w:tr w:rsidR="00700C5C" w:rsidRPr="0084266F" w:rsidTr="00DD05F2">
        <w:trPr>
          <w:trHeight w:val="498"/>
          <w:jc w:val="center"/>
        </w:trPr>
        <w:tc>
          <w:tcPr>
            <w:tcW w:w="1848" w:type="dxa"/>
            <w:vMerge w:val="restart"/>
          </w:tcPr>
          <w:p w:rsidR="00700C5C" w:rsidRPr="004D0014" w:rsidRDefault="00700C5C" w:rsidP="00DD05F2">
            <w:pPr>
              <w:pStyle w:val="Default"/>
              <w:jc w:val="both"/>
              <w:rPr>
                <w:sz w:val="20"/>
                <w:szCs w:val="20"/>
              </w:rPr>
            </w:pPr>
            <w:r w:rsidRPr="004D0014">
              <w:rPr>
                <w:sz w:val="20"/>
                <w:szCs w:val="20"/>
              </w:rPr>
              <w:t>Model</w:t>
            </w:r>
          </w:p>
        </w:tc>
        <w:tc>
          <w:tcPr>
            <w:tcW w:w="2331" w:type="dxa"/>
            <w:gridSpan w:val="2"/>
            <w:tcBorders>
              <w:bottom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Unstandardized</w:t>
            </w:r>
            <w:proofErr w:type="spellEnd"/>
            <w:r w:rsidRPr="004D0014">
              <w:rPr>
                <w:sz w:val="20"/>
                <w:szCs w:val="20"/>
              </w:rPr>
              <w:t xml:space="preserve"> Coefficients</w:t>
            </w:r>
          </w:p>
          <w:p w:rsidR="00700C5C" w:rsidRPr="004D0014" w:rsidRDefault="00700C5C" w:rsidP="00DD05F2">
            <w:pPr>
              <w:pStyle w:val="Default"/>
              <w:jc w:val="both"/>
              <w:rPr>
                <w:sz w:val="20"/>
                <w:szCs w:val="20"/>
              </w:rPr>
            </w:pPr>
          </w:p>
        </w:tc>
        <w:tc>
          <w:tcPr>
            <w:tcW w:w="1429" w:type="dxa"/>
            <w:tcBorders>
              <w:bottom w:val="single" w:sz="4" w:space="0" w:color="auto"/>
            </w:tcBorders>
          </w:tcPr>
          <w:p w:rsidR="00700C5C" w:rsidRPr="004D0014" w:rsidRDefault="00700C5C" w:rsidP="00DD05F2">
            <w:pPr>
              <w:pStyle w:val="Default"/>
              <w:jc w:val="both"/>
              <w:rPr>
                <w:sz w:val="20"/>
                <w:szCs w:val="20"/>
              </w:rPr>
            </w:pPr>
            <w:r w:rsidRPr="004D0014">
              <w:rPr>
                <w:sz w:val="20"/>
                <w:szCs w:val="20"/>
              </w:rPr>
              <w:t>Standardized Coefficients</w:t>
            </w:r>
          </w:p>
        </w:tc>
        <w:tc>
          <w:tcPr>
            <w:tcW w:w="1000"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t</w:t>
            </w:r>
          </w:p>
        </w:tc>
        <w:tc>
          <w:tcPr>
            <w:tcW w:w="1287" w:type="dxa"/>
            <w:vMerge w:val="restart"/>
          </w:tcPr>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p>
          <w:p w:rsidR="00700C5C" w:rsidRPr="004D0014" w:rsidRDefault="00700C5C" w:rsidP="00DD05F2">
            <w:pPr>
              <w:pStyle w:val="Default"/>
              <w:jc w:val="center"/>
              <w:rPr>
                <w:sz w:val="20"/>
                <w:szCs w:val="20"/>
              </w:rPr>
            </w:pPr>
            <w:r w:rsidRPr="004D0014">
              <w:rPr>
                <w:sz w:val="20"/>
                <w:szCs w:val="20"/>
              </w:rPr>
              <w:t>Sig.</w:t>
            </w:r>
          </w:p>
        </w:tc>
      </w:tr>
      <w:tr w:rsidR="00700C5C" w:rsidRPr="0084266F" w:rsidTr="00DD05F2">
        <w:trPr>
          <w:trHeight w:val="279"/>
          <w:jc w:val="center"/>
        </w:trPr>
        <w:tc>
          <w:tcPr>
            <w:tcW w:w="1848" w:type="dxa"/>
            <w:vMerge/>
          </w:tcPr>
          <w:p w:rsidR="00700C5C" w:rsidRPr="004D0014" w:rsidRDefault="00700C5C" w:rsidP="00DD05F2">
            <w:pPr>
              <w:pStyle w:val="Default"/>
              <w:jc w:val="both"/>
              <w:rPr>
                <w:sz w:val="20"/>
                <w:szCs w:val="20"/>
              </w:rPr>
            </w:pPr>
          </w:p>
        </w:tc>
        <w:tc>
          <w:tcPr>
            <w:tcW w:w="1187" w:type="dxa"/>
            <w:tcBorders>
              <w:top w:val="single" w:sz="4" w:space="0" w:color="auto"/>
              <w:right w:val="single" w:sz="4" w:space="0" w:color="auto"/>
            </w:tcBorders>
          </w:tcPr>
          <w:p w:rsidR="00700C5C" w:rsidRPr="004D0014" w:rsidRDefault="00700C5C" w:rsidP="00DD05F2">
            <w:pPr>
              <w:pStyle w:val="Default"/>
              <w:jc w:val="center"/>
              <w:rPr>
                <w:sz w:val="20"/>
                <w:szCs w:val="20"/>
              </w:rPr>
            </w:pPr>
            <w:r w:rsidRPr="004D0014">
              <w:rPr>
                <w:sz w:val="20"/>
                <w:szCs w:val="20"/>
              </w:rPr>
              <w:t>B</w:t>
            </w:r>
          </w:p>
        </w:tc>
        <w:tc>
          <w:tcPr>
            <w:tcW w:w="1144" w:type="dxa"/>
            <w:tcBorders>
              <w:top w:val="single" w:sz="4" w:space="0" w:color="auto"/>
              <w:left w:val="single" w:sz="4" w:space="0" w:color="auto"/>
            </w:tcBorders>
          </w:tcPr>
          <w:p w:rsidR="00700C5C" w:rsidRPr="004D0014" w:rsidRDefault="00700C5C" w:rsidP="00DD05F2">
            <w:pPr>
              <w:pStyle w:val="Default"/>
              <w:jc w:val="center"/>
              <w:rPr>
                <w:sz w:val="20"/>
                <w:szCs w:val="20"/>
              </w:rPr>
            </w:pPr>
            <w:proofErr w:type="spellStart"/>
            <w:r w:rsidRPr="004D0014">
              <w:rPr>
                <w:sz w:val="20"/>
                <w:szCs w:val="20"/>
              </w:rPr>
              <w:t>Std.Error</w:t>
            </w:r>
            <w:proofErr w:type="spellEnd"/>
          </w:p>
        </w:tc>
        <w:tc>
          <w:tcPr>
            <w:tcW w:w="1429" w:type="dxa"/>
            <w:tcBorders>
              <w:top w:val="single" w:sz="4" w:space="0" w:color="auto"/>
            </w:tcBorders>
          </w:tcPr>
          <w:p w:rsidR="00700C5C" w:rsidRPr="004D0014" w:rsidRDefault="00700C5C" w:rsidP="00DD05F2">
            <w:pPr>
              <w:pStyle w:val="Default"/>
              <w:jc w:val="center"/>
              <w:rPr>
                <w:sz w:val="20"/>
                <w:szCs w:val="20"/>
              </w:rPr>
            </w:pPr>
            <w:r w:rsidRPr="004D0014">
              <w:rPr>
                <w:sz w:val="20"/>
                <w:szCs w:val="20"/>
              </w:rPr>
              <w:t>Beta</w:t>
            </w:r>
          </w:p>
        </w:tc>
        <w:tc>
          <w:tcPr>
            <w:tcW w:w="1000" w:type="dxa"/>
            <w:vMerge/>
          </w:tcPr>
          <w:p w:rsidR="00700C5C" w:rsidRPr="004D0014" w:rsidRDefault="00700C5C" w:rsidP="00DD05F2">
            <w:pPr>
              <w:pStyle w:val="Default"/>
              <w:jc w:val="both"/>
              <w:rPr>
                <w:sz w:val="20"/>
                <w:szCs w:val="20"/>
              </w:rPr>
            </w:pPr>
          </w:p>
        </w:tc>
        <w:tc>
          <w:tcPr>
            <w:tcW w:w="1287" w:type="dxa"/>
            <w:vMerge/>
          </w:tcPr>
          <w:p w:rsidR="00700C5C" w:rsidRPr="004D0014" w:rsidRDefault="00700C5C" w:rsidP="00DD05F2">
            <w:pPr>
              <w:pStyle w:val="Default"/>
              <w:jc w:val="both"/>
              <w:rPr>
                <w:sz w:val="20"/>
                <w:szCs w:val="20"/>
              </w:rPr>
            </w:pPr>
          </w:p>
        </w:tc>
      </w:tr>
      <w:tr w:rsidR="00700C5C" w:rsidRPr="0084266F" w:rsidTr="00DD05F2">
        <w:trPr>
          <w:trHeight w:val="983"/>
          <w:jc w:val="center"/>
        </w:trPr>
        <w:tc>
          <w:tcPr>
            <w:tcW w:w="1848" w:type="dxa"/>
          </w:tcPr>
          <w:p w:rsidR="00700C5C" w:rsidRPr="004D0014" w:rsidRDefault="00700C5C" w:rsidP="00DD05F2">
            <w:pPr>
              <w:pStyle w:val="Default"/>
              <w:jc w:val="both"/>
              <w:rPr>
                <w:sz w:val="20"/>
                <w:szCs w:val="20"/>
              </w:rPr>
            </w:pPr>
            <w:r>
              <w:rPr>
                <w:sz w:val="20"/>
                <w:szCs w:val="20"/>
              </w:rPr>
              <w:t xml:space="preserve">1    </w:t>
            </w:r>
            <w:r w:rsidRPr="004D0014">
              <w:rPr>
                <w:sz w:val="20"/>
                <w:szCs w:val="20"/>
              </w:rPr>
              <w:t>(Constant)</w:t>
            </w:r>
          </w:p>
          <w:p w:rsidR="00700C5C" w:rsidRPr="004D0014" w:rsidRDefault="00700C5C" w:rsidP="00DD05F2">
            <w:pPr>
              <w:pStyle w:val="Default"/>
              <w:ind w:left="360"/>
              <w:jc w:val="both"/>
              <w:rPr>
                <w:sz w:val="20"/>
                <w:szCs w:val="20"/>
              </w:rPr>
            </w:pPr>
            <w:r>
              <w:rPr>
                <w:sz w:val="20"/>
                <w:szCs w:val="20"/>
              </w:rPr>
              <w:t>EAR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CSR</w:t>
            </w:r>
          </w:p>
          <w:p w:rsidR="00700C5C" w:rsidRPr="004D0014" w:rsidRDefault="00700C5C" w:rsidP="00DD05F2">
            <w:pPr>
              <w:pStyle w:val="Default"/>
              <w:jc w:val="both"/>
              <w:rPr>
                <w:sz w:val="20"/>
                <w:szCs w:val="20"/>
              </w:rPr>
            </w:pPr>
            <w:r w:rsidRPr="004D0014">
              <w:rPr>
                <w:sz w:val="20"/>
                <w:szCs w:val="20"/>
              </w:rPr>
              <w:t xml:space="preserve">     </w:t>
            </w:r>
            <w:r>
              <w:rPr>
                <w:sz w:val="20"/>
                <w:szCs w:val="20"/>
              </w:rPr>
              <w:t xml:space="preserve">  EAR*CSR</w:t>
            </w:r>
          </w:p>
          <w:p w:rsidR="00700C5C" w:rsidRPr="004D0014" w:rsidRDefault="00700C5C" w:rsidP="00DD05F2">
            <w:pPr>
              <w:pStyle w:val="Default"/>
              <w:jc w:val="both"/>
              <w:rPr>
                <w:sz w:val="20"/>
                <w:szCs w:val="20"/>
              </w:rPr>
            </w:pPr>
          </w:p>
        </w:tc>
        <w:tc>
          <w:tcPr>
            <w:tcW w:w="1187" w:type="dxa"/>
            <w:tcBorders>
              <w:right w:val="single" w:sz="4" w:space="0" w:color="auto"/>
            </w:tcBorders>
          </w:tcPr>
          <w:p w:rsidR="00700C5C" w:rsidRPr="004D0014" w:rsidRDefault="00700C5C" w:rsidP="00DD05F2">
            <w:pPr>
              <w:pStyle w:val="Default"/>
              <w:jc w:val="right"/>
              <w:rPr>
                <w:sz w:val="20"/>
                <w:szCs w:val="20"/>
              </w:rPr>
            </w:pPr>
            <w:r w:rsidRPr="004D0014">
              <w:rPr>
                <w:sz w:val="20"/>
                <w:szCs w:val="20"/>
              </w:rPr>
              <w:t>-</w:t>
            </w:r>
            <w:r>
              <w:rPr>
                <w:sz w:val="20"/>
                <w:szCs w:val="20"/>
              </w:rPr>
              <w:t>5</w:t>
            </w:r>
            <w:r w:rsidRPr="004D0014">
              <w:rPr>
                <w:sz w:val="20"/>
                <w:szCs w:val="20"/>
              </w:rPr>
              <w:t>.</w:t>
            </w:r>
            <w:r>
              <w:rPr>
                <w:sz w:val="20"/>
                <w:szCs w:val="20"/>
              </w:rPr>
              <w:t>545</w:t>
            </w:r>
          </w:p>
          <w:p w:rsidR="00700C5C" w:rsidRPr="004D0014" w:rsidRDefault="00700C5C" w:rsidP="00DD05F2">
            <w:pPr>
              <w:pStyle w:val="Default"/>
              <w:jc w:val="right"/>
              <w:rPr>
                <w:sz w:val="20"/>
                <w:szCs w:val="20"/>
              </w:rPr>
            </w:pPr>
            <w:r>
              <w:rPr>
                <w:sz w:val="20"/>
                <w:szCs w:val="20"/>
              </w:rPr>
              <w:t>8</w:t>
            </w:r>
            <w:r w:rsidRPr="004D0014">
              <w:rPr>
                <w:sz w:val="20"/>
                <w:szCs w:val="20"/>
              </w:rPr>
              <w:t>.</w:t>
            </w:r>
            <w:r>
              <w:rPr>
                <w:sz w:val="20"/>
                <w:szCs w:val="20"/>
              </w:rPr>
              <w:t>790</w:t>
            </w:r>
          </w:p>
          <w:p w:rsidR="00700C5C" w:rsidRPr="004D0014" w:rsidRDefault="00700C5C" w:rsidP="00DD05F2">
            <w:pPr>
              <w:pStyle w:val="Default"/>
              <w:jc w:val="right"/>
              <w:rPr>
                <w:sz w:val="20"/>
                <w:szCs w:val="20"/>
              </w:rPr>
            </w:pPr>
            <w:r>
              <w:rPr>
                <w:sz w:val="20"/>
                <w:szCs w:val="20"/>
              </w:rPr>
              <w:t>8</w:t>
            </w:r>
            <w:r w:rsidRPr="004D0014">
              <w:rPr>
                <w:sz w:val="20"/>
                <w:szCs w:val="20"/>
              </w:rPr>
              <w:t>.</w:t>
            </w:r>
            <w:r>
              <w:rPr>
                <w:sz w:val="20"/>
                <w:szCs w:val="20"/>
              </w:rPr>
              <w:t>497</w:t>
            </w:r>
          </w:p>
          <w:p w:rsidR="00700C5C" w:rsidRPr="004D0014" w:rsidRDefault="00700C5C" w:rsidP="00DD05F2">
            <w:pPr>
              <w:pStyle w:val="Default"/>
              <w:jc w:val="right"/>
              <w:rPr>
                <w:sz w:val="20"/>
                <w:szCs w:val="20"/>
              </w:rPr>
            </w:pPr>
            <w:r>
              <w:rPr>
                <w:sz w:val="20"/>
                <w:szCs w:val="20"/>
              </w:rPr>
              <w:t>-</w:t>
            </w:r>
            <w:r w:rsidRPr="004D0014">
              <w:rPr>
                <w:sz w:val="20"/>
                <w:szCs w:val="20"/>
              </w:rPr>
              <w:t>.</w:t>
            </w:r>
            <w:r>
              <w:rPr>
                <w:sz w:val="20"/>
                <w:szCs w:val="20"/>
              </w:rPr>
              <w:t>280</w:t>
            </w:r>
          </w:p>
          <w:p w:rsidR="00700C5C" w:rsidRPr="004D0014" w:rsidRDefault="00700C5C" w:rsidP="00DD05F2">
            <w:pPr>
              <w:pStyle w:val="Default"/>
              <w:jc w:val="right"/>
              <w:rPr>
                <w:sz w:val="20"/>
                <w:szCs w:val="20"/>
              </w:rPr>
            </w:pPr>
          </w:p>
        </w:tc>
        <w:tc>
          <w:tcPr>
            <w:tcW w:w="1144" w:type="dxa"/>
            <w:tcBorders>
              <w:left w:val="single" w:sz="4" w:space="0" w:color="auto"/>
            </w:tcBorders>
          </w:tcPr>
          <w:p w:rsidR="00700C5C" w:rsidRPr="004D0014" w:rsidRDefault="00700C5C" w:rsidP="00DD05F2">
            <w:pPr>
              <w:pStyle w:val="Default"/>
              <w:jc w:val="right"/>
              <w:rPr>
                <w:sz w:val="20"/>
                <w:szCs w:val="20"/>
              </w:rPr>
            </w:pPr>
            <w:r>
              <w:rPr>
                <w:sz w:val="20"/>
                <w:szCs w:val="20"/>
              </w:rPr>
              <w:t>3</w:t>
            </w:r>
            <w:r w:rsidRPr="004D0014">
              <w:rPr>
                <w:sz w:val="20"/>
                <w:szCs w:val="20"/>
              </w:rPr>
              <w:t>.</w:t>
            </w:r>
            <w:r>
              <w:rPr>
                <w:sz w:val="20"/>
                <w:szCs w:val="20"/>
              </w:rPr>
              <w:t>654</w:t>
            </w:r>
          </w:p>
          <w:p w:rsidR="00700C5C" w:rsidRPr="004D0014" w:rsidRDefault="00700C5C" w:rsidP="00DD05F2">
            <w:pPr>
              <w:pStyle w:val="Default"/>
              <w:jc w:val="right"/>
              <w:rPr>
                <w:sz w:val="20"/>
                <w:szCs w:val="20"/>
              </w:rPr>
            </w:pPr>
            <w:r>
              <w:rPr>
                <w:sz w:val="20"/>
                <w:szCs w:val="20"/>
              </w:rPr>
              <w:t>4</w:t>
            </w:r>
            <w:r w:rsidRPr="004D0014">
              <w:rPr>
                <w:sz w:val="20"/>
                <w:szCs w:val="20"/>
              </w:rPr>
              <w:t>.</w:t>
            </w:r>
            <w:r>
              <w:rPr>
                <w:sz w:val="20"/>
                <w:szCs w:val="20"/>
              </w:rPr>
              <w:t>258</w:t>
            </w:r>
          </w:p>
          <w:p w:rsidR="00700C5C" w:rsidRPr="004D0014" w:rsidRDefault="00700C5C" w:rsidP="00DD05F2">
            <w:pPr>
              <w:pStyle w:val="Default"/>
              <w:jc w:val="right"/>
              <w:rPr>
                <w:sz w:val="20"/>
                <w:szCs w:val="20"/>
              </w:rPr>
            </w:pPr>
            <w:r>
              <w:rPr>
                <w:sz w:val="20"/>
                <w:szCs w:val="20"/>
              </w:rPr>
              <w:t>4</w:t>
            </w:r>
            <w:r w:rsidRPr="004D0014">
              <w:rPr>
                <w:sz w:val="20"/>
                <w:szCs w:val="20"/>
              </w:rPr>
              <w:t>.</w:t>
            </w:r>
            <w:r>
              <w:rPr>
                <w:sz w:val="20"/>
                <w:szCs w:val="20"/>
              </w:rPr>
              <w:t>617</w:t>
            </w:r>
          </w:p>
          <w:p w:rsidR="00700C5C" w:rsidRPr="004D0014" w:rsidRDefault="00700C5C" w:rsidP="00DD05F2">
            <w:pPr>
              <w:pStyle w:val="Default"/>
              <w:jc w:val="right"/>
              <w:rPr>
                <w:sz w:val="20"/>
                <w:szCs w:val="20"/>
              </w:rPr>
            </w:pPr>
            <w:r w:rsidRPr="004D0014">
              <w:rPr>
                <w:sz w:val="20"/>
                <w:szCs w:val="20"/>
              </w:rPr>
              <w:t>.</w:t>
            </w:r>
            <w:r>
              <w:rPr>
                <w:sz w:val="20"/>
                <w:szCs w:val="20"/>
              </w:rPr>
              <w:t>142</w:t>
            </w:r>
          </w:p>
          <w:p w:rsidR="00700C5C" w:rsidRPr="004D0014" w:rsidRDefault="00700C5C" w:rsidP="00DD05F2">
            <w:pPr>
              <w:pStyle w:val="Default"/>
              <w:jc w:val="right"/>
              <w:rPr>
                <w:sz w:val="20"/>
                <w:szCs w:val="20"/>
              </w:rPr>
            </w:pPr>
          </w:p>
          <w:p w:rsidR="00700C5C" w:rsidRPr="004D0014" w:rsidRDefault="00700C5C" w:rsidP="00DD05F2">
            <w:pPr>
              <w:pStyle w:val="Default"/>
              <w:jc w:val="right"/>
              <w:rPr>
                <w:sz w:val="20"/>
                <w:szCs w:val="20"/>
              </w:rPr>
            </w:pPr>
          </w:p>
        </w:tc>
        <w:tc>
          <w:tcPr>
            <w:tcW w:w="1429" w:type="dxa"/>
          </w:tcPr>
          <w:p w:rsidR="00700C5C" w:rsidRPr="004D0014" w:rsidRDefault="00700C5C" w:rsidP="00DD05F2">
            <w:pPr>
              <w:pStyle w:val="Default"/>
              <w:jc w:val="right"/>
              <w:rPr>
                <w:sz w:val="20"/>
                <w:szCs w:val="20"/>
              </w:rPr>
            </w:pPr>
          </w:p>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563</w:t>
            </w:r>
          </w:p>
          <w:p w:rsidR="00700C5C" w:rsidRPr="004D0014" w:rsidRDefault="00700C5C" w:rsidP="00DD05F2">
            <w:pPr>
              <w:pStyle w:val="Default"/>
              <w:jc w:val="right"/>
              <w:rPr>
                <w:sz w:val="20"/>
                <w:szCs w:val="20"/>
              </w:rPr>
            </w:pPr>
            <w:r w:rsidRPr="004D0014">
              <w:rPr>
                <w:sz w:val="20"/>
                <w:szCs w:val="20"/>
              </w:rPr>
              <w:t>.</w:t>
            </w:r>
            <w:r>
              <w:rPr>
                <w:sz w:val="20"/>
                <w:szCs w:val="20"/>
              </w:rPr>
              <w:t>768</w:t>
            </w:r>
          </w:p>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356</w:t>
            </w:r>
          </w:p>
          <w:p w:rsidR="00700C5C" w:rsidRPr="004D0014" w:rsidRDefault="00700C5C" w:rsidP="00DD05F2">
            <w:pPr>
              <w:pStyle w:val="Default"/>
              <w:jc w:val="right"/>
              <w:rPr>
                <w:sz w:val="20"/>
                <w:szCs w:val="20"/>
              </w:rPr>
            </w:pPr>
          </w:p>
        </w:tc>
        <w:tc>
          <w:tcPr>
            <w:tcW w:w="1000" w:type="dxa"/>
          </w:tcPr>
          <w:p w:rsidR="00700C5C" w:rsidRPr="004D0014" w:rsidRDefault="00700C5C" w:rsidP="00DD05F2">
            <w:pPr>
              <w:pStyle w:val="Default"/>
              <w:jc w:val="right"/>
              <w:rPr>
                <w:sz w:val="20"/>
                <w:szCs w:val="20"/>
              </w:rPr>
            </w:pPr>
            <w:r w:rsidRPr="004D0014">
              <w:rPr>
                <w:sz w:val="20"/>
                <w:szCs w:val="20"/>
              </w:rPr>
              <w:t>-</w:t>
            </w:r>
            <w:r>
              <w:rPr>
                <w:sz w:val="20"/>
                <w:szCs w:val="20"/>
              </w:rPr>
              <w:t>1</w:t>
            </w:r>
            <w:r w:rsidRPr="004D0014">
              <w:rPr>
                <w:sz w:val="20"/>
                <w:szCs w:val="20"/>
              </w:rPr>
              <w:t>.</w:t>
            </w:r>
            <w:r>
              <w:rPr>
                <w:sz w:val="20"/>
                <w:szCs w:val="20"/>
              </w:rPr>
              <w:t>518</w:t>
            </w:r>
          </w:p>
          <w:p w:rsidR="00700C5C" w:rsidRPr="004D0014" w:rsidRDefault="00700C5C" w:rsidP="00DD05F2">
            <w:pPr>
              <w:pStyle w:val="Default"/>
              <w:jc w:val="right"/>
              <w:rPr>
                <w:sz w:val="20"/>
                <w:szCs w:val="20"/>
              </w:rPr>
            </w:pPr>
            <w:r>
              <w:rPr>
                <w:sz w:val="20"/>
                <w:szCs w:val="20"/>
              </w:rPr>
              <w:t>2</w:t>
            </w:r>
            <w:r w:rsidRPr="004D0014">
              <w:rPr>
                <w:sz w:val="20"/>
                <w:szCs w:val="20"/>
              </w:rPr>
              <w:t>.</w:t>
            </w:r>
            <w:r>
              <w:rPr>
                <w:sz w:val="20"/>
                <w:szCs w:val="20"/>
              </w:rPr>
              <w:t>064</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840</w:t>
            </w:r>
          </w:p>
          <w:p w:rsidR="00700C5C" w:rsidRPr="004D0014" w:rsidRDefault="00700C5C" w:rsidP="00DD05F2">
            <w:pPr>
              <w:pStyle w:val="Default"/>
              <w:jc w:val="right"/>
              <w:rPr>
                <w:sz w:val="20"/>
                <w:szCs w:val="20"/>
              </w:rPr>
            </w:pPr>
            <w:r>
              <w:rPr>
                <w:sz w:val="20"/>
                <w:szCs w:val="20"/>
              </w:rPr>
              <w:t>-1</w:t>
            </w:r>
            <w:r w:rsidRPr="004D0014">
              <w:rPr>
                <w:sz w:val="20"/>
                <w:szCs w:val="20"/>
              </w:rPr>
              <w:t>.</w:t>
            </w:r>
            <w:r>
              <w:rPr>
                <w:sz w:val="20"/>
                <w:szCs w:val="20"/>
              </w:rPr>
              <w:t>979</w:t>
            </w:r>
          </w:p>
          <w:p w:rsidR="00700C5C" w:rsidRPr="004D0014" w:rsidRDefault="00700C5C" w:rsidP="00DD05F2">
            <w:pPr>
              <w:pStyle w:val="Default"/>
              <w:jc w:val="right"/>
              <w:rPr>
                <w:sz w:val="20"/>
                <w:szCs w:val="20"/>
              </w:rPr>
            </w:pPr>
          </w:p>
        </w:tc>
        <w:tc>
          <w:tcPr>
            <w:tcW w:w="1287" w:type="dxa"/>
          </w:tcPr>
          <w:p w:rsidR="00700C5C" w:rsidRPr="004D0014" w:rsidRDefault="00700C5C" w:rsidP="00DD05F2">
            <w:pPr>
              <w:pStyle w:val="Default"/>
              <w:jc w:val="right"/>
              <w:rPr>
                <w:sz w:val="20"/>
                <w:szCs w:val="20"/>
              </w:rPr>
            </w:pPr>
            <w:r w:rsidRPr="004D0014">
              <w:rPr>
                <w:sz w:val="20"/>
                <w:szCs w:val="20"/>
              </w:rPr>
              <w:t>.</w:t>
            </w:r>
            <w:r>
              <w:rPr>
                <w:sz w:val="20"/>
                <w:szCs w:val="20"/>
              </w:rPr>
              <w:t>137</w:t>
            </w:r>
          </w:p>
          <w:p w:rsidR="00700C5C" w:rsidRPr="004D0014" w:rsidRDefault="00700C5C" w:rsidP="00DD05F2">
            <w:pPr>
              <w:pStyle w:val="Default"/>
              <w:jc w:val="right"/>
              <w:rPr>
                <w:sz w:val="20"/>
                <w:szCs w:val="20"/>
              </w:rPr>
            </w:pPr>
            <w:r w:rsidRPr="004D0014">
              <w:rPr>
                <w:sz w:val="20"/>
                <w:szCs w:val="20"/>
              </w:rPr>
              <w:t>.0</w:t>
            </w:r>
            <w:r>
              <w:rPr>
                <w:sz w:val="20"/>
                <w:szCs w:val="20"/>
              </w:rPr>
              <w:t>45</w:t>
            </w:r>
          </w:p>
          <w:p w:rsidR="00700C5C" w:rsidRPr="004D0014" w:rsidRDefault="00700C5C" w:rsidP="00DD05F2">
            <w:pPr>
              <w:pStyle w:val="Default"/>
              <w:jc w:val="right"/>
              <w:rPr>
                <w:sz w:val="20"/>
                <w:szCs w:val="20"/>
              </w:rPr>
            </w:pPr>
            <w:r w:rsidRPr="004D0014">
              <w:rPr>
                <w:sz w:val="20"/>
                <w:szCs w:val="20"/>
              </w:rPr>
              <w:t>.</w:t>
            </w:r>
            <w:r>
              <w:rPr>
                <w:sz w:val="20"/>
                <w:szCs w:val="20"/>
              </w:rPr>
              <w:t>073</w:t>
            </w:r>
          </w:p>
          <w:p w:rsidR="00700C5C" w:rsidRPr="004D0014" w:rsidRDefault="00700C5C" w:rsidP="00DD05F2">
            <w:pPr>
              <w:pStyle w:val="Default"/>
              <w:jc w:val="right"/>
              <w:rPr>
                <w:sz w:val="20"/>
                <w:szCs w:val="20"/>
              </w:rPr>
            </w:pPr>
            <w:r w:rsidRPr="004D0014">
              <w:rPr>
                <w:sz w:val="20"/>
                <w:szCs w:val="20"/>
              </w:rPr>
              <w:t>.</w:t>
            </w:r>
            <w:r>
              <w:rPr>
                <w:sz w:val="20"/>
                <w:szCs w:val="20"/>
              </w:rPr>
              <w:t>055</w:t>
            </w:r>
          </w:p>
        </w:tc>
      </w:tr>
    </w:tbl>
    <w:p w:rsidR="00700C5C" w:rsidRDefault="00700C5C" w:rsidP="00700C5C">
      <w:pPr>
        <w:pStyle w:val="Default"/>
        <w:ind w:left="360"/>
        <w:jc w:val="both"/>
      </w:pPr>
    </w:p>
    <w:p w:rsidR="00700C5C" w:rsidRPr="00700C5C" w:rsidRDefault="00700C5C" w:rsidP="00700C5C">
      <w:pPr>
        <w:pStyle w:val="HTMLPreformatted"/>
        <w:jc w:val="both"/>
        <w:rPr>
          <w:rFonts w:ascii="Times New Roman" w:hAnsi="Times New Roman" w:cs="Times New Roman"/>
          <w:sz w:val="24"/>
          <w:szCs w:val="24"/>
        </w:rPr>
      </w:pPr>
    </w:p>
    <w:p w:rsidR="00700C5C" w:rsidRPr="00700C5C" w:rsidRDefault="00700C5C" w:rsidP="0070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p w:rsidR="00304979" w:rsidRPr="009C7116" w:rsidRDefault="00304979" w:rsidP="00304979">
      <w:pPr>
        <w:pStyle w:val="HTMLPreformatted"/>
        <w:rPr>
          <w:rFonts w:ascii="Times New Roman" w:hAnsi="Times New Roman" w:cs="Times New Roman"/>
          <w:b/>
          <w:sz w:val="24"/>
          <w:szCs w:val="24"/>
          <w:lang/>
        </w:rPr>
      </w:pPr>
      <w:r w:rsidRPr="009C7116">
        <w:rPr>
          <w:rFonts w:ascii="Times New Roman" w:hAnsi="Times New Roman" w:cs="Times New Roman"/>
          <w:b/>
          <w:sz w:val="24"/>
          <w:szCs w:val="24"/>
          <w:lang/>
        </w:rPr>
        <w:t>Discussion</w:t>
      </w:r>
    </w:p>
    <w:p w:rsidR="00304979" w:rsidRPr="009C7116" w:rsidRDefault="00304979" w:rsidP="00304979">
      <w:pPr>
        <w:pStyle w:val="HTMLPreformatted"/>
        <w:rPr>
          <w:rFonts w:ascii="Times New Roman" w:hAnsi="Times New Roman" w:cs="Times New Roman"/>
          <w:b/>
          <w:sz w:val="24"/>
          <w:szCs w:val="24"/>
          <w:lang/>
        </w:rPr>
      </w:pPr>
      <w:r w:rsidRPr="009C7116">
        <w:rPr>
          <w:rFonts w:ascii="Times New Roman" w:hAnsi="Times New Roman" w:cs="Times New Roman"/>
          <w:b/>
          <w:sz w:val="24"/>
          <w:szCs w:val="24"/>
          <w:lang/>
        </w:rPr>
        <w:t>Effect of Profitability on Company Value</w:t>
      </w:r>
    </w:p>
    <w:p w:rsidR="00304979" w:rsidRPr="009C7116" w:rsidRDefault="00304979" w:rsidP="00304979">
      <w:pPr>
        <w:pStyle w:val="HTMLPreformatted"/>
        <w:jc w:val="both"/>
        <w:rPr>
          <w:rFonts w:ascii="Times New Roman" w:hAnsi="Times New Roman" w:cs="Times New Roman"/>
          <w:sz w:val="24"/>
          <w:szCs w:val="24"/>
        </w:rPr>
      </w:pPr>
      <w:r w:rsidRPr="009C7116">
        <w:rPr>
          <w:rFonts w:ascii="Times New Roman" w:hAnsi="Times New Roman" w:cs="Times New Roman"/>
          <w:sz w:val="24"/>
          <w:szCs w:val="24"/>
          <w:lang/>
        </w:rPr>
        <w:t xml:space="preserve">The results of the analysis stated that the three proxies (RAO, ROE, NMP) of the profitability variables had a positive and significant effect on the value of the company. </w:t>
      </w:r>
      <w:proofErr w:type="spellStart"/>
      <w:r w:rsidRPr="009C7116">
        <w:rPr>
          <w:rFonts w:ascii="Times New Roman" w:hAnsi="Times New Roman" w:cs="Times New Roman"/>
          <w:sz w:val="24"/>
          <w:szCs w:val="24"/>
          <w:lang/>
        </w:rPr>
        <w:t>Tandelilin</w:t>
      </w:r>
      <w:proofErr w:type="spellEnd"/>
      <w:r w:rsidRPr="009C7116">
        <w:rPr>
          <w:rFonts w:ascii="Times New Roman" w:hAnsi="Times New Roman" w:cs="Times New Roman"/>
          <w:sz w:val="24"/>
          <w:szCs w:val="24"/>
          <w:lang/>
        </w:rPr>
        <w:t xml:space="preserve"> (2001: 240) states that one of the important indicators for investors in assessing the company's prospects </w:t>
      </w:r>
      <w:r w:rsidRPr="009C7116">
        <w:rPr>
          <w:rFonts w:ascii="Times New Roman" w:hAnsi="Times New Roman" w:cs="Times New Roman"/>
          <w:sz w:val="24"/>
          <w:szCs w:val="24"/>
          <w:lang/>
        </w:rPr>
        <w:lastRenderedPageBreak/>
        <w:t xml:space="preserve">in the future is to see the extent of the company's profitability growth. Return on assets (ROA) shows the company's ability to use all assets held to generate profit after tax. The greater the ROA, the more efficient use of assets. </w:t>
      </w:r>
      <w:proofErr w:type="spellStart"/>
      <w:r w:rsidRPr="009C7116">
        <w:rPr>
          <w:rFonts w:ascii="Times New Roman" w:hAnsi="Times New Roman" w:cs="Times New Roman"/>
          <w:sz w:val="24"/>
          <w:szCs w:val="24"/>
          <w:lang/>
        </w:rPr>
        <w:t>Susilaningrum</w:t>
      </w:r>
      <w:proofErr w:type="spellEnd"/>
      <w:r w:rsidRPr="009C7116">
        <w:rPr>
          <w:rFonts w:ascii="Times New Roman" w:hAnsi="Times New Roman" w:cs="Times New Roman"/>
          <w:sz w:val="24"/>
          <w:szCs w:val="24"/>
          <w:lang/>
        </w:rPr>
        <w:t xml:space="preserve"> (2016) states that the financial performance of a company which is described as high ROA means that the value of the company also increases, because the value of the company is determined by earnings power from the company's assets. The higher the Return on Equity (ROE) shows the more efficient the company is in using its own capital to generate investor profits that are invested in the company (Horne and John, 2005). The SPSS test results prove that Return on Equity (ROE) influences and significantly affects the value of the company. This result is in line with </w:t>
      </w:r>
      <w:proofErr w:type="spellStart"/>
      <w:r w:rsidRPr="009C7116">
        <w:rPr>
          <w:rFonts w:ascii="Times New Roman" w:hAnsi="Times New Roman" w:cs="Times New Roman"/>
          <w:sz w:val="24"/>
          <w:szCs w:val="24"/>
          <w:lang/>
        </w:rPr>
        <w:t>Apsari's</w:t>
      </w:r>
      <w:proofErr w:type="spellEnd"/>
      <w:r w:rsidRPr="009C7116">
        <w:rPr>
          <w:rFonts w:ascii="Times New Roman" w:hAnsi="Times New Roman" w:cs="Times New Roman"/>
          <w:sz w:val="24"/>
          <w:szCs w:val="24"/>
          <w:lang/>
        </w:rPr>
        <w:t xml:space="preserve"> research, et al. (2015) shows that the company's performance is getting better and more effective in carrying out its operational activities to generate profits. High ROE indicates that the company has good prospects in the future. Potential profits reflected in the ROE ratio will increase investor confidence in the demand for shares (</w:t>
      </w:r>
      <w:proofErr w:type="spellStart"/>
      <w:r w:rsidRPr="009C7116">
        <w:rPr>
          <w:rFonts w:ascii="Times New Roman" w:hAnsi="Times New Roman" w:cs="Times New Roman"/>
          <w:sz w:val="24"/>
          <w:szCs w:val="24"/>
          <w:lang/>
        </w:rPr>
        <w:t>Yuliana</w:t>
      </w:r>
      <w:proofErr w:type="spellEnd"/>
      <w:r w:rsidRPr="009C7116">
        <w:rPr>
          <w:rFonts w:ascii="Times New Roman" w:hAnsi="Times New Roman" w:cs="Times New Roman"/>
          <w:sz w:val="24"/>
          <w:szCs w:val="24"/>
          <w:lang/>
        </w:rPr>
        <w:t xml:space="preserve">, 2013). Net profit margin reflects the efficiency of all parts, namely production, personnel, marketing, and finance in the company. The results of this study support </w:t>
      </w:r>
      <w:proofErr w:type="spellStart"/>
      <w:r w:rsidRPr="009C7116">
        <w:rPr>
          <w:rFonts w:ascii="Times New Roman" w:hAnsi="Times New Roman" w:cs="Times New Roman"/>
          <w:sz w:val="24"/>
          <w:szCs w:val="24"/>
          <w:lang/>
        </w:rPr>
        <w:t>Munawaroh's</w:t>
      </w:r>
      <w:proofErr w:type="spellEnd"/>
      <w:r w:rsidRPr="009C7116">
        <w:rPr>
          <w:rFonts w:ascii="Times New Roman" w:hAnsi="Times New Roman" w:cs="Times New Roman"/>
          <w:sz w:val="24"/>
          <w:szCs w:val="24"/>
          <w:lang/>
        </w:rPr>
        <w:t xml:space="preserve"> (2014) research showing that the increasing value of NPM will give an indication of good company prospects so that it can trigger investors to participate in increasing stock demand. High company value illustrates that the company's performance is in good condition and can show optimal profitability so that it can benefit the company.</w:t>
      </w:r>
    </w:p>
    <w:p w:rsidR="00304979" w:rsidRPr="009C7116" w:rsidRDefault="00304979" w:rsidP="00304979">
      <w:pPr>
        <w:pStyle w:val="HTMLPreformatted"/>
        <w:rPr>
          <w:rFonts w:ascii="Times New Roman" w:hAnsi="Times New Roman" w:cs="Times New Roman"/>
          <w:sz w:val="24"/>
          <w:szCs w:val="24"/>
          <w:lang/>
        </w:rPr>
      </w:pPr>
    </w:p>
    <w:p w:rsidR="00304979" w:rsidRPr="009C7116" w:rsidRDefault="00304979" w:rsidP="00304979">
      <w:pPr>
        <w:pStyle w:val="HTMLPreformatted"/>
        <w:rPr>
          <w:rFonts w:ascii="Times New Roman" w:hAnsi="Times New Roman" w:cs="Times New Roman"/>
          <w:b/>
          <w:sz w:val="24"/>
          <w:szCs w:val="24"/>
          <w:lang/>
        </w:rPr>
      </w:pPr>
      <w:r w:rsidRPr="009C7116">
        <w:rPr>
          <w:rFonts w:ascii="Times New Roman" w:hAnsi="Times New Roman" w:cs="Times New Roman"/>
          <w:b/>
          <w:sz w:val="24"/>
          <w:szCs w:val="24"/>
          <w:lang/>
        </w:rPr>
        <w:t>Effect of Capital Structure on Company Value</w:t>
      </w:r>
    </w:p>
    <w:p w:rsidR="00304979" w:rsidRPr="009C7116" w:rsidRDefault="00304979" w:rsidP="00304979">
      <w:pPr>
        <w:pStyle w:val="HTMLPreformatted"/>
        <w:jc w:val="both"/>
        <w:rPr>
          <w:rFonts w:ascii="Times New Roman" w:hAnsi="Times New Roman" w:cs="Times New Roman"/>
          <w:sz w:val="24"/>
          <w:szCs w:val="24"/>
        </w:rPr>
      </w:pPr>
      <w:r w:rsidRPr="009C7116">
        <w:rPr>
          <w:rFonts w:ascii="Times New Roman" w:hAnsi="Times New Roman" w:cs="Times New Roman"/>
          <w:sz w:val="24"/>
          <w:szCs w:val="24"/>
          <w:lang/>
        </w:rPr>
        <w:t xml:space="preserve">The results of the analysis stated that the three proxies of the capital structure variable (DER, DAR, EAR)) had no effect on the value of the company. The results of this study are in line with the results of </w:t>
      </w:r>
      <w:proofErr w:type="spellStart"/>
      <w:r w:rsidRPr="009C7116">
        <w:rPr>
          <w:rFonts w:ascii="Times New Roman" w:hAnsi="Times New Roman" w:cs="Times New Roman"/>
          <w:sz w:val="24"/>
          <w:szCs w:val="24"/>
          <w:lang/>
        </w:rPr>
        <w:t>Hardiningsih's</w:t>
      </w:r>
      <w:proofErr w:type="spellEnd"/>
      <w:r w:rsidRPr="009C7116">
        <w:rPr>
          <w:rFonts w:ascii="Times New Roman" w:hAnsi="Times New Roman" w:cs="Times New Roman"/>
          <w:sz w:val="24"/>
          <w:szCs w:val="24"/>
          <w:lang/>
        </w:rPr>
        <w:t xml:space="preserve"> research (2011) stating that a company when deciding to use debt must know or be sensitive to the business climate because of debt can also provide benefits or losses to the company, so the use of debt must be adjusted to the conditions or business climate. That is, debt does not have an influence on the high and low value of the company, because if the interest cost charged exceeds the benefits provided from the debt used, so this use will be detrimental due to unfavorable business conditions or climate. According to </w:t>
      </w:r>
      <w:proofErr w:type="spellStart"/>
      <w:r w:rsidRPr="009C7116">
        <w:rPr>
          <w:rFonts w:ascii="Times New Roman" w:hAnsi="Times New Roman" w:cs="Times New Roman"/>
          <w:sz w:val="24"/>
          <w:szCs w:val="24"/>
          <w:lang/>
        </w:rPr>
        <w:t>Sartono</w:t>
      </w:r>
      <w:proofErr w:type="spellEnd"/>
      <w:r w:rsidRPr="009C7116">
        <w:rPr>
          <w:rFonts w:ascii="Times New Roman" w:hAnsi="Times New Roman" w:cs="Times New Roman"/>
          <w:sz w:val="24"/>
          <w:szCs w:val="24"/>
          <w:lang/>
        </w:rPr>
        <w:t xml:space="preserve"> (1996: 295) debt to equity ratio (DER) sensitizes the percentage of fund provision by shareholders to the lender, the higher the DER ratio, the lower the company funding provided by shareholders. The results of this study support the results of </w:t>
      </w:r>
      <w:proofErr w:type="spellStart"/>
      <w:r w:rsidRPr="009C7116">
        <w:rPr>
          <w:rFonts w:ascii="Times New Roman" w:hAnsi="Times New Roman" w:cs="Times New Roman"/>
          <w:sz w:val="24"/>
          <w:szCs w:val="24"/>
          <w:lang/>
        </w:rPr>
        <w:t>Apsari's</w:t>
      </w:r>
      <w:proofErr w:type="spellEnd"/>
      <w:r w:rsidRPr="009C7116">
        <w:rPr>
          <w:rFonts w:ascii="Times New Roman" w:hAnsi="Times New Roman" w:cs="Times New Roman"/>
          <w:sz w:val="24"/>
          <w:szCs w:val="24"/>
          <w:lang/>
        </w:rPr>
        <w:t xml:space="preserve"> (2015) study which states that companies with profit and sales that tend to be stable can safely use debt in larger amounts because they do not have a greater chance of bankruptcy compared to companies with profits and sales that tend to be unstable. Investors consider it natural when a company has a lot of debt as long as it is balanced with the company's ability to generate profits and a good level of sales. </w:t>
      </w:r>
      <w:proofErr w:type="spellStart"/>
      <w:r w:rsidRPr="009C7116">
        <w:rPr>
          <w:rFonts w:ascii="Times New Roman" w:hAnsi="Times New Roman" w:cs="Times New Roman"/>
          <w:sz w:val="24"/>
          <w:szCs w:val="24"/>
          <w:lang/>
        </w:rPr>
        <w:t>Sudana</w:t>
      </w:r>
      <w:proofErr w:type="spellEnd"/>
      <w:r w:rsidRPr="009C7116">
        <w:rPr>
          <w:rFonts w:ascii="Times New Roman" w:hAnsi="Times New Roman" w:cs="Times New Roman"/>
          <w:sz w:val="24"/>
          <w:szCs w:val="24"/>
          <w:lang/>
        </w:rPr>
        <w:t xml:space="preserve"> (2009: 23) states that the greater the ratio shows the greater portion of debt usage in financing investment in assets, this results in increased financial risk.</w:t>
      </w:r>
    </w:p>
    <w:p w:rsidR="008A05F8" w:rsidRPr="009C7116" w:rsidRDefault="008A05F8" w:rsidP="008A05F8">
      <w:pPr>
        <w:pStyle w:val="HTMLPreformatted"/>
        <w:jc w:val="both"/>
        <w:rPr>
          <w:rFonts w:ascii="Times New Roman" w:hAnsi="Times New Roman" w:cs="Times New Roman"/>
          <w:b/>
          <w:sz w:val="24"/>
          <w:szCs w:val="24"/>
          <w:lang/>
        </w:rPr>
      </w:pPr>
    </w:p>
    <w:p w:rsidR="00304979" w:rsidRPr="009C7116" w:rsidRDefault="00304979" w:rsidP="008A05F8">
      <w:pPr>
        <w:pStyle w:val="HTMLPreformatted"/>
        <w:jc w:val="both"/>
        <w:rPr>
          <w:rFonts w:ascii="Times New Roman" w:hAnsi="Times New Roman" w:cs="Times New Roman"/>
          <w:b/>
          <w:sz w:val="24"/>
          <w:szCs w:val="24"/>
          <w:lang/>
        </w:rPr>
      </w:pPr>
      <w:r w:rsidRPr="009C7116">
        <w:rPr>
          <w:rFonts w:ascii="Times New Roman" w:hAnsi="Times New Roman" w:cs="Times New Roman"/>
          <w:b/>
          <w:sz w:val="24"/>
          <w:szCs w:val="24"/>
          <w:lang/>
        </w:rPr>
        <w:t>Influence of Funds Allocation of Corporate Social Responsibility as a Moderation Variable in the relationship between Profitability and Corporate Value</w:t>
      </w:r>
    </w:p>
    <w:p w:rsidR="00304979" w:rsidRPr="009C7116" w:rsidRDefault="00304979" w:rsidP="004578EC">
      <w:pPr>
        <w:pStyle w:val="HTMLPreformatted"/>
        <w:jc w:val="both"/>
        <w:rPr>
          <w:rFonts w:ascii="Times New Roman" w:hAnsi="Times New Roman" w:cs="Times New Roman"/>
          <w:sz w:val="24"/>
          <w:szCs w:val="24"/>
          <w:lang/>
        </w:rPr>
      </w:pPr>
      <w:r w:rsidRPr="009C7116">
        <w:rPr>
          <w:rFonts w:ascii="Times New Roman" w:hAnsi="Times New Roman" w:cs="Times New Roman"/>
          <w:sz w:val="24"/>
          <w:szCs w:val="24"/>
          <w:lang/>
        </w:rPr>
        <w:t xml:space="preserve">The test results show that the Corporate Social Responsibility Fund Allocation variable cannot moderate the relationship between profitability and firm value. The allocation of funds for Corporate Social Responsibility is not able to increase the value of the company when the profitability of the company is high, and conversely the allocation of funds for Corporate Social Responsibility is not able to increase the value of the company when the company's profitability is low. Corporate Social Responsibility (CSR) or corporate social responsibility in the world and </w:t>
      </w:r>
      <w:r w:rsidRPr="009C7116">
        <w:rPr>
          <w:rFonts w:ascii="Times New Roman" w:hAnsi="Times New Roman" w:cs="Times New Roman"/>
          <w:sz w:val="24"/>
          <w:szCs w:val="24"/>
          <w:lang/>
        </w:rPr>
        <w:lastRenderedPageBreak/>
        <w:t>Indonesia has now become an important issue related to the problem of environmental impacts in sustainable development. This arises as a reaction from many parties to damage to the environment, physically, psychologically and socially, as a result of improper management of production sources. Awareness of saving production resources is running low. Managers attach greater importance to financial benefits than to build a balance of interests and sustainable development. Provisions in Article 74 of Law Number 40 of 2007 concerning Limited Liability Companies, the obligation to issue CSR is only limited to companies or companies whose business activities are related to natural resources. The allocation of CSR funds is determined at 2%, 2.5%, or 3% of the profits. The aim is to strengthen the obligation for companies to carry out their social responsibility to the community, help synchronize government alleviation and poverty programs. The results of this study indicate that investors do not respond well to the expenditure of funds Corporate social responsibility with high profitability. The amount of corporate social responsibility funds cannot strengthen or weaken the relationship of profitability to the value of the company.</w:t>
      </w:r>
    </w:p>
    <w:p w:rsidR="0084266F" w:rsidRPr="009C7116" w:rsidRDefault="0084266F" w:rsidP="0084266F">
      <w:pPr>
        <w:pStyle w:val="HTMLPreformatted"/>
        <w:jc w:val="both"/>
        <w:rPr>
          <w:rFonts w:ascii="Times New Roman" w:hAnsi="Times New Roman" w:cs="Times New Roman"/>
          <w:b/>
          <w:sz w:val="24"/>
          <w:szCs w:val="24"/>
          <w:lang/>
        </w:rPr>
      </w:pPr>
    </w:p>
    <w:p w:rsidR="0084266F" w:rsidRPr="009C7116" w:rsidRDefault="0084266F" w:rsidP="0084266F">
      <w:pPr>
        <w:pStyle w:val="HTMLPreformatted"/>
        <w:jc w:val="both"/>
        <w:rPr>
          <w:rFonts w:ascii="Times New Roman" w:hAnsi="Times New Roman" w:cs="Times New Roman"/>
          <w:b/>
          <w:sz w:val="24"/>
          <w:szCs w:val="24"/>
          <w:lang/>
        </w:rPr>
      </w:pPr>
      <w:r w:rsidRPr="009C7116">
        <w:rPr>
          <w:rFonts w:ascii="Times New Roman" w:hAnsi="Times New Roman" w:cs="Times New Roman"/>
          <w:b/>
          <w:sz w:val="24"/>
          <w:szCs w:val="24"/>
          <w:lang/>
        </w:rPr>
        <w:t>Influence of Funds Allocation of Corporate Social Responsibility as Moderation Variables in the relationship between Capital Structure and Corporate Value</w:t>
      </w:r>
    </w:p>
    <w:p w:rsidR="0084266F" w:rsidRPr="009C7116" w:rsidRDefault="0084266F" w:rsidP="0084266F">
      <w:pPr>
        <w:pStyle w:val="HTMLPreformatted"/>
        <w:jc w:val="both"/>
        <w:rPr>
          <w:rFonts w:ascii="Times New Roman" w:hAnsi="Times New Roman" w:cs="Times New Roman"/>
          <w:sz w:val="24"/>
          <w:szCs w:val="24"/>
        </w:rPr>
      </w:pPr>
      <w:r w:rsidRPr="009C7116">
        <w:rPr>
          <w:rFonts w:ascii="Times New Roman" w:hAnsi="Times New Roman" w:cs="Times New Roman"/>
          <w:sz w:val="24"/>
          <w:szCs w:val="24"/>
          <w:lang/>
        </w:rPr>
        <w:t>The test results show that CSR fund variables (moderating variables) interact with capital structure variables (independent variables) but not significantly related to the firm value variable (dependent variable) then the Z variable (CSR) is a pure moderator variable. Corporate Social Responsibility has the benefit of enhancing the company's reputation, maintaining the company's image and strategy (</w:t>
      </w:r>
      <w:proofErr w:type="spellStart"/>
      <w:r w:rsidRPr="009C7116">
        <w:rPr>
          <w:rFonts w:ascii="Times New Roman" w:hAnsi="Times New Roman" w:cs="Times New Roman"/>
          <w:sz w:val="24"/>
          <w:szCs w:val="24"/>
          <w:lang/>
        </w:rPr>
        <w:t>Wibisono</w:t>
      </w:r>
      <w:proofErr w:type="spellEnd"/>
      <w:r w:rsidRPr="009C7116">
        <w:rPr>
          <w:rFonts w:ascii="Times New Roman" w:hAnsi="Times New Roman" w:cs="Times New Roman"/>
          <w:sz w:val="24"/>
          <w:szCs w:val="24"/>
          <w:lang/>
        </w:rPr>
        <w:t xml:space="preserve">, 2007). If the company implements Corporate Social Responsibility, then corporate governance will also be good. If good corporate governance is carried out, then the company is able to run its operational activities properly. If operational activities are good, the company is able to produce good financial performance. That is, the company is able to manage the capital structure properly, so that the value of the company will increase and the allocation of CSR funds will be large. </w:t>
      </w:r>
      <w:proofErr w:type="spellStart"/>
      <w:r w:rsidRPr="009C7116">
        <w:rPr>
          <w:rFonts w:ascii="Times New Roman" w:hAnsi="Times New Roman" w:cs="Times New Roman"/>
          <w:sz w:val="24"/>
          <w:szCs w:val="24"/>
          <w:lang/>
        </w:rPr>
        <w:t>Pijourlet's</w:t>
      </w:r>
      <w:proofErr w:type="spellEnd"/>
      <w:r w:rsidRPr="009C7116">
        <w:rPr>
          <w:rFonts w:ascii="Times New Roman" w:hAnsi="Times New Roman" w:cs="Times New Roman"/>
          <w:sz w:val="24"/>
          <w:szCs w:val="24"/>
          <w:lang/>
        </w:rPr>
        <w:t xml:space="preserve"> (2013) study states that companies determine to a certain extent financing decisions in accordance with the level of corporate social responsibility, social and environmental performance. Socially responsible companies realize the advantage for them to issue equity more often and in larger amounts, because of the reduction in information asymmetry and lower capital costs. Brigham and Houston (2008) say that companies with high returns on investment use relatively small debt. A high rate of return allows companies to finance most of the funding needs with funds generated internally. Profitability also has an important meaning in the effort to maintain its long-term survival because profitability shows whether the company has good prospects in the future.</w:t>
      </w:r>
    </w:p>
    <w:p w:rsidR="0084266F" w:rsidRPr="009C7116" w:rsidRDefault="0084266F" w:rsidP="0084266F">
      <w:pPr>
        <w:pStyle w:val="HTMLPreformatted"/>
        <w:jc w:val="both"/>
        <w:rPr>
          <w:rFonts w:ascii="Times New Roman" w:hAnsi="Times New Roman" w:cs="Times New Roman"/>
          <w:b/>
          <w:sz w:val="24"/>
          <w:szCs w:val="24"/>
          <w:lang/>
        </w:rPr>
      </w:pPr>
    </w:p>
    <w:p w:rsidR="0084266F" w:rsidRPr="009C7116" w:rsidRDefault="0084266F" w:rsidP="0084266F">
      <w:pPr>
        <w:pStyle w:val="HTMLPreformatted"/>
        <w:jc w:val="both"/>
        <w:rPr>
          <w:rFonts w:ascii="Times New Roman" w:hAnsi="Times New Roman" w:cs="Times New Roman"/>
          <w:b/>
          <w:sz w:val="24"/>
          <w:szCs w:val="24"/>
          <w:lang/>
        </w:rPr>
      </w:pPr>
      <w:r w:rsidRPr="009C7116">
        <w:rPr>
          <w:rFonts w:ascii="Times New Roman" w:hAnsi="Times New Roman" w:cs="Times New Roman"/>
          <w:b/>
          <w:sz w:val="24"/>
          <w:szCs w:val="24"/>
          <w:lang/>
        </w:rPr>
        <w:t>Conclusion</w:t>
      </w:r>
    </w:p>
    <w:p w:rsidR="0084266F" w:rsidRPr="009C7116" w:rsidRDefault="0084266F" w:rsidP="00756511">
      <w:pPr>
        <w:pStyle w:val="HTMLPreformatted"/>
        <w:numPr>
          <w:ilvl w:val="0"/>
          <w:numId w:val="6"/>
        </w:numPr>
        <w:tabs>
          <w:tab w:val="clear" w:pos="916"/>
          <w:tab w:val="clear" w:pos="1832"/>
          <w:tab w:val="left" w:pos="426"/>
        </w:tabs>
        <w:ind w:left="426" w:hanging="426"/>
        <w:jc w:val="both"/>
        <w:rPr>
          <w:rFonts w:ascii="Times New Roman" w:hAnsi="Times New Roman" w:cs="Times New Roman"/>
          <w:sz w:val="24"/>
          <w:szCs w:val="24"/>
          <w:lang/>
        </w:rPr>
      </w:pPr>
      <w:r w:rsidRPr="009C7116">
        <w:rPr>
          <w:rFonts w:ascii="Times New Roman" w:hAnsi="Times New Roman" w:cs="Times New Roman"/>
          <w:sz w:val="24"/>
          <w:szCs w:val="24"/>
          <w:lang/>
        </w:rPr>
        <w:t>Based on the results of the study, the following conclusions are drawn:</w:t>
      </w:r>
    </w:p>
    <w:p w:rsidR="0084266F" w:rsidRPr="009C7116" w:rsidRDefault="0084266F" w:rsidP="00756511">
      <w:pPr>
        <w:pStyle w:val="HTMLPreformatted"/>
        <w:numPr>
          <w:ilvl w:val="0"/>
          <w:numId w:val="6"/>
        </w:numPr>
        <w:tabs>
          <w:tab w:val="clear" w:pos="916"/>
          <w:tab w:val="clear" w:pos="1832"/>
          <w:tab w:val="left" w:pos="426"/>
        </w:tabs>
        <w:ind w:left="426" w:hanging="426"/>
        <w:jc w:val="both"/>
        <w:rPr>
          <w:rFonts w:ascii="Times New Roman" w:hAnsi="Times New Roman" w:cs="Times New Roman"/>
          <w:sz w:val="24"/>
          <w:szCs w:val="24"/>
          <w:lang/>
        </w:rPr>
      </w:pPr>
      <w:r w:rsidRPr="009C7116">
        <w:rPr>
          <w:rFonts w:ascii="Times New Roman" w:hAnsi="Times New Roman" w:cs="Times New Roman"/>
          <w:sz w:val="24"/>
          <w:szCs w:val="24"/>
          <w:lang/>
        </w:rPr>
        <w:t>Profitability directly and significantly affects the value of the company</w:t>
      </w:r>
    </w:p>
    <w:p w:rsidR="0084266F" w:rsidRPr="009C7116" w:rsidRDefault="0084266F" w:rsidP="00756511">
      <w:pPr>
        <w:pStyle w:val="HTMLPreformatted"/>
        <w:numPr>
          <w:ilvl w:val="0"/>
          <w:numId w:val="6"/>
        </w:numPr>
        <w:tabs>
          <w:tab w:val="clear" w:pos="916"/>
          <w:tab w:val="clear" w:pos="1832"/>
          <w:tab w:val="left" w:pos="426"/>
        </w:tabs>
        <w:ind w:left="426" w:hanging="426"/>
        <w:jc w:val="both"/>
        <w:rPr>
          <w:rFonts w:ascii="Times New Roman" w:hAnsi="Times New Roman" w:cs="Times New Roman"/>
          <w:sz w:val="24"/>
          <w:szCs w:val="24"/>
          <w:lang/>
        </w:rPr>
      </w:pPr>
      <w:r w:rsidRPr="009C7116">
        <w:rPr>
          <w:rFonts w:ascii="Times New Roman" w:hAnsi="Times New Roman" w:cs="Times New Roman"/>
          <w:sz w:val="24"/>
          <w:szCs w:val="24"/>
          <w:lang/>
        </w:rPr>
        <w:t>Capital structure directly does not affect the value of the company.</w:t>
      </w:r>
    </w:p>
    <w:p w:rsidR="0084266F" w:rsidRPr="009C7116" w:rsidRDefault="0084266F" w:rsidP="00756511">
      <w:pPr>
        <w:pStyle w:val="HTMLPreformatted"/>
        <w:numPr>
          <w:ilvl w:val="0"/>
          <w:numId w:val="6"/>
        </w:numPr>
        <w:tabs>
          <w:tab w:val="clear" w:pos="916"/>
          <w:tab w:val="clear" w:pos="1832"/>
          <w:tab w:val="left" w:pos="426"/>
        </w:tabs>
        <w:ind w:left="426" w:hanging="426"/>
        <w:jc w:val="both"/>
        <w:rPr>
          <w:rFonts w:ascii="Times New Roman" w:hAnsi="Times New Roman" w:cs="Times New Roman"/>
          <w:sz w:val="24"/>
          <w:szCs w:val="24"/>
          <w:lang/>
        </w:rPr>
      </w:pPr>
      <w:r w:rsidRPr="009C7116">
        <w:rPr>
          <w:rFonts w:ascii="Times New Roman" w:hAnsi="Times New Roman" w:cs="Times New Roman"/>
          <w:sz w:val="24"/>
          <w:szCs w:val="24"/>
          <w:lang/>
        </w:rPr>
        <w:t>Variable allocation of CSR funds cannot influence the effect of profitability on firm value. Fund allocation for Corporate Social Responsibility is not able to increase the value of the company when the profitability of the company is high, and vice versa Fund allocation for Corporate Social Responsibility is not able to increase the value of the company when the profitability of the company is low.</w:t>
      </w:r>
    </w:p>
    <w:p w:rsidR="0084266F" w:rsidRPr="009C7116" w:rsidRDefault="0084266F" w:rsidP="00756511">
      <w:pPr>
        <w:pStyle w:val="HTMLPreformatted"/>
        <w:numPr>
          <w:ilvl w:val="0"/>
          <w:numId w:val="6"/>
        </w:numPr>
        <w:tabs>
          <w:tab w:val="left" w:pos="284"/>
        </w:tabs>
        <w:ind w:left="284" w:hanging="284"/>
        <w:jc w:val="both"/>
        <w:rPr>
          <w:rFonts w:ascii="Times New Roman" w:hAnsi="Times New Roman" w:cs="Times New Roman"/>
          <w:sz w:val="24"/>
          <w:szCs w:val="24"/>
          <w:lang/>
        </w:rPr>
      </w:pPr>
      <w:r w:rsidRPr="009C7116">
        <w:rPr>
          <w:rFonts w:ascii="Times New Roman" w:hAnsi="Times New Roman" w:cs="Times New Roman"/>
          <w:sz w:val="24"/>
          <w:szCs w:val="24"/>
          <w:lang/>
        </w:rPr>
        <w:lastRenderedPageBreak/>
        <w:t>Variable allocation of CSR funds strengthens the influence of capital structure on firm value. This shows that the large debt does not affect investors to keep investing in the company, it's just that investors are interested in the corporate social responsibility fund allocation issued by the company, therefore the funds for corporate social responsibility can be beneficial for investors.</w:t>
      </w:r>
    </w:p>
    <w:p w:rsidR="0084266F" w:rsidRPr="009C7116" w:rsidRDefault="0084266F" w:rsidP="0084266F">
      <w:pPr>
        <w:pStyle w:val="HTMLPreformatted"/>
        <w:ind w:left="284" w:hanging="284"/>
        <w:jc w:val="both"/>
        <w:rPr>
          <w:rFonts w:ascii="Times New Roman" w:hAnsi="Times New Roman" w:cs="Times New Roman"/>
          <w:sz w:val="24"/>
          <w:szCs w:val="24"/>
          <w:lang/>
        </w:rPr>
      </w:pPr>
    </w:p>
    <w:p w:rsidR="0084266F" w:rsidRPr="009C7116" w:rsidRDefault="0084266F" w:rsidP="0084266F">
      <w:pPr>
        <w:pStyle w:val="HTMLPreformatted"/>
        <w:jc w:val="both"/>
        <w:rPr>
          <w:rFonts w:ascii="Times New Roman" w:hAnsi="Times New Roman" w:cs="Times New Roman"/>
          <w:b/>
          <w:sz w:val="24"/>
          <w:szCs w:val="24"/>
          <w:lang/>
        </w:rPr>
      </w:pPr>
      <w:r w:rsidRPr="009C7116">
        <w:rPr>
          <w:rFonts w:ascii="Times New Roman" w:hAnsi="Times New Roman" w:cs="Times New Roman"/>
          <w:b/>
          <w:sz w:val="24"/>
          <w:szCs w:val="24"/>
          <w:lang/>
        </w:rPr>
        <w:t>Suggestion</w:t>
      </w:r>
    </w:p>
    <w:p w:rsidR="0084266F" w:rsidRPr="009C7116" w:rsidRDefault="0084266F" w:rsidP="0084266F">
      <w:pPr>
        <w:pStyle w:val="HTMLPreformatted"/>
        <w:jc w:val="both"/>
        <w:rPr>
          <w:rFonts w:ascii="Times New Roman" w:hAnsi="Times New Roman" w:cs="Times New Roman"/>
          <w:sz w:val="24"/>
          <w:szCs w:val="24"/>
          <w:lang/>
        </w:rPr>
      </w:pPr>
      <w:r w:rsidRPr="009C7116">
        <w:rPr>
          <w:rFonts w:ascii="Times New Roman" w:hAnsi="Times New Roman" w:cs="Times New Roman"/>
          <w:sz w:val="24"/>
          <w:szCs w:val="24"/>
          <w:lang/>
        </w:rPr>
        <w:t>Based on the results of the study, the authors provide recommendations as follows:</w:t>
      </w:r>
    </w:p>
    <w:p w:rsidR="0084266F" w:rsidRPr="009C7116" w:rsidRDefault="0084266F" w:rsidP="00DD05F2">
      <w:pPr>
        <w:pStyle w:val="HTMLPreformatted"/>
        <w:numPr>
          <w:ilvl w:val="0"/>
          <w:numId w:val="8"/>
        </w:numPr>
        <w:tabs>
          <w:tab w:val="clear" w:pos="916"/>
          <w:tab w:val="left" w:pos="709"/>
        </w:tabs>
        <w:ind w:left="709" w:hanging="709"/>
        <w:jc w:val="both"/>
        <w:rPr>
          <w:rFonts w:ascii="Times New Roman" w:hAnsi="Times New Roman" w:cs="Times New Roman"/>
          <w:sz w:val="24"/>
          <w:szCs w:val="24"/>
          <w:lang/>
        </w:rPr>
      </w:pPr>
      <w:r w:rsidRPr="009C7116">
        <w:rPr>
          <w:rFonts w:ascii="Times New Roman" w:hAnsi="Times New Roman" w:cs="Times New Roman"/>
          <w:sz w:val="24"/>
          <w:szCs w:val="24"/>
          <w:lang/>
        </w:rPr>
        <w:t>Further research is expected to be able to add other variables, not only profitability and capital structure or indicators. Addition of samples and longer years of research.</w:t>
      </w:r>
    </w:p>
    <w:p w:rsidR="0084266F" w:rsidRPr="009C7116" w:rsidRDefault="0084266F" w:rsidP="00DD05F2">
      <w:pPr>
        <w:pStyle w:val="HTMLPreformatted"/>
        <w:numPr>
          <w:ilvl w:val="0"/>
          <w:numId w:val="10"/>
        </w:numPr>
        <w:tabs>
          <w:tab w:val="clear" w:pos="916"/>
          <w:tab w:val="left" w:pos="709"/>
        </w:tabs>
        <w:ind w:left="709" w:hanging="709"/>
        <w:jc w:val="both"/>
        <w:rPr>
          <w:rFonts w:ascii="Times New Roman" w:hAnsi="Times New Roman" w:cs="Times New Roman"/>
          <w:sz w:val="24"/>
          <w:szCs w:val="24"/>
        </w:rPr>
      </w:pPr>
      <w:r w:rsidRPr="009C7116">
        <w:rPr>
          <w:rFonts w:ascii="Times New Roman" w:hAnsi="Times New Roman" w:cs="Times New Roman"/>
          <w:sz w:val="24"/>
          <w:szCs w:val="24"/>
          <w:lang/>
        </w:rPr>
        <w:t>For investors the results of research related to profitability and capital structure need to be reviewed, so that investors can be more observant about the extent of the company's development and can compare with other companies.</w:t>
      </w:r>
    </w:p>
    <w:p w:rsidR="0084266F" w:rsidRPr="009C7116" w:rsidRDefault="0084266F" w:rsidP="00DD05F2">
      <w:pPr>
        <w:pStyle w:val="HTMLPreformatted"/>
        <w:numPr>
          <w:ilvl w:val="0"/>
          <w:numId w:val="10"/>
        </w:numPr>
        <w:tabs>
          <w:tab w:val="clear" w:pos="916"/>
          <w:tab w:val="clear" w:pos="1832"/>
          <w:tab w:val="clear" w:pos="2748"/>
          <w:tab w:val="clear" w:pos="3664"/>
          <w:tab w:val="left" w:pos="709"/>
        </w:tabs>
        <w:ind w:left="709" w:hanging="709"/>
        <w:jc w:val="both"/>
        <w:rPr>
          <w:rFonts w:ascii="Times New Roman" w:hAnsi="Times New Roman" w:cs="Times New Roman"/>
          <w:sz w:val="24"/>
          <w:szCs w:val="24"/>
        </w:rPr>
      </w:pPr>
      <w:r w:rsidRPr="009C7116">
        <w:rPr>
          <w:rFonts w:ascii="Times New Roman" w:hAnsi="Times New Roman" w:cs="Times New Roman"/>
          <w:sz w:val="24"/>
          <w:szCs w:val="24"/>
          <w:lang/>
        </w:rPr>
        <w:t>For companies that are classified as companies that issue a lot of waste impacts, they should pay more attention to the surrounding environment so that interested investors and corporate social responsibility funds as a moderating variable issued can still be maximized and image</w:t>
      </w:r>
    </w:p>
    <w:p w:rsidR="0084266F" w:rsidRPr="009C7116" w:rsidRDefault="0084266F" w:rsidP="0084266F">
      <w:pPr>
        <w:pStyle w:val="HTMLPreformatted"/>
        <w:jc w:val="both"/>
        <w:rPr>
          <w:rFonts w:ascii="Times New Roman" w:hAnsi="Times New Roman" w:cs="Times New Roman"/>
          <w:sz w:val="24"/>
          <w:szCs w:val="24"/>
          <w:lang/>
        </w:rPr>
      </w:pPr>
    </w:p>
    <w:p w:rsidR="0084266F" w:rsidRPr="009C7116" w:rsidRDefault="0084266F" w:rsidP="0084266F">
      <w:pPr>
        <w:pStyle w:val="HTMLPreformatted"/>
        <w:ind w:left="567" w:hanging="567"/>
        <w:jc w:val="both"/>
        <w:rPr>
          <w:rFonts w:ascii="Times New Roman" w:hAnsi="Times New Roman" w:cs="Times New Roman"/>
          <w:b/>
          <w:sz w:val="24"/>
          <w:szCs w:val="24"/>
          <w:lang/>
        </w:rPr>
      </w:pPr>
      <w:r w:rsidRPr="009C7116">
        <w:rPr>
          <w:rFonts w:ascii="Times New Roman" w:hAnsi="Times New Roman" w:cs="Times New Roman"/>
          <w:b/>
          <w:sz w:val="24"/>
          <w:szCs w:val="24"/>
          <w:lang/>
        </w:rPr>
        <w:t>BIBLIOGRAPHY</w:t>
      </w:r>
    </w:p>
    <w:p w:rsidR="0084266F" w:rsidRPr="009C7116" w:rsidRDefault="0084266F" w:rsidP="0084266F">
      <w:pPr>
        <w:pStyle w:val="HTMLPreformatted"/>
        <w:ind w:left="567" w:hanging="567"/>
        <w:jc w:val="both"/>
        <w:rPr>
          <w:rFonts w:ascii="Times New Roman" w:hAnsi="Times New Roman" w:cs="Times New Roman"/>
          <w:sz w:val="24"/>
          <w:szCs w:val="24"/>
          <w:lang/>
        </w:rPr>
      </w:pP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Anoraga</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Pandji</w:t>
      </w:r>
      <w:proofErr w:type="spellEnd"/>
      <w:r w:rsidRPr="009C7116">
        <w:rPr>
          <w:rFonts w:ascii="Times New Roman" w:hAnsi="Times New Roman" w:cs="Times New Roman"/>
          <w:sz w:val="24"/>
          <w:szCs w:val="24"/>
          <w:lang/>
        </w:rPr>
        <w:t xml:space="preserve"> &amp; </w:t>
      </w:r>
      <w:proofErr w:type="spellStart"/>
      <w:r w:rsidRPr="009C7116">
        <w:rPr>
          <w:rFonts w:ascii="Times New Roman" w:hAnsi="Times New Roman" w:cs="Times New Roman"/>
          <w:sz w:val="24"/>
          <w:szCs w:val="24"/>
          <w:lang/>
        </w:rPr>
        <w:t>Piji</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Pakarti</w:t>
      </w:r>
      <w:proofErr w:type="spellEnd"/>
      <w:r w:rsidRPr="009C7116">
        <w:rPr>
          <w:rFonts w:ascii="Times New Roman" w:hAnsi="Times New Roman" w:cs="Times New Roman"/>
          <w:sz w:val="24"/>
          <w:szCs w:val="24"/>
          <w:lang/>
        </w:rPr>
        <w:t xml:space="preserve"> (2008). Introduction to the Capital Market. Jakarta: </w:t>
      </w:r>
      <w:proofErr w:type="spellStart"/>
      <w:r w:rsidRPr="009C7116">
        <w:rPr>
          <w:rFonts w:ascii="Times New Roman" w:hAnsi="Times New Roman" w:cs="Times New Roman"/>
          <w:sz w:val="24"/>
          <w:szCs w:val="24"/>
          <w:lang/>
        </w:rPr>
        <w:t>Rineka</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Cipta</w:t>
      </w:r>
      <w:proofErr w:type="spellEnd"/>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Asih</w:t>
      </w:r>
      <w:proofErr w:type="spellEnd"/>
      <w:r w:rsidRPr="009C7116">
        <w:rPr>
          <w:rFonts w:ascii="Times New Roman" w:hAnsi="Times New Roman" w:cs="Times New Roman"/>
          <w:sz w:val="24"/>
          <w:szCs w:val="24"/>
          <w:lang/>
        </w:rPr>
        <w:t>, Budi (2012). Effect of SBI Profitability and Interest Rate on Banking Liquidity in Commercial Banks Registered on the Indonesia Stock Exchange 200-2011. Journal. Faculty of Economics, Padang State University.</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Arifin</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Zinal</w:t>
      </w:r>
      <w:proofErr w:type="spellEnd"/>
      <w:r w:rsidRPr="009C7116">
        <w:rPr>
          <w:rFonts w:ascii="Times New Roman" w:hAnsi="Times New Roman" w:cs="Times New Roman"/>
          <w:sz w:val="24"/>
          <w:szCs w:val="24"/>
          <w:lang/>
        </w:rPr>
        <w:t xml:space="preserve"> (2005). Financial Theory and Capital Market. Yogyakarta: </w:t>
      </w:r>
      <w:proofErr w:type="spellStart"/>
      <w:r w:rsidRPr="009C7116">
        <w:rPr>
          <w:rFonts w:ascii="Times New Roman" w:hAnsi="Times New Roman" w:cs="Times New Roman"/>
          <w:sz w:val="24"/>
          <w:szCs w:val="24"/>
          <w:lang/>
        </w:rPr>
        <w:t>Econisisa</w:t>
      </w:r>
      <w:proofErr w:type="spellEnd"/>
    </w:p>
    <w:p w:rsidR="0084266F" w:rsidRPr="009C7116" w:rsidRDefault="0084266F" w:rsidP="0084266F">
      <w:pPr>
        <w:pStyle w:val="HTMLPreformatted"/>
        <w:ind w:left="567" w:hanging="567"/>
        <w:jc w:val="both"/>
        <w:rPr>
          <w:rFonts w:ascii="Times New Roman" w:hAnsi="Times New Roman" w:cs="Times New Roman"/>
          <w:sz w:val="24"/>
          <w:szCs w:val="24"/>
          <w:lang/>
        </w:rPr>
      </w:pPr>
      <w:r w:rsidRPr="009C7116">
        <w:rPr>
          <w:rFonts w:ascii="Times New Roman" w:hAnsi="Times New Roman" w:cs="Times New Roman"/>
          <w:sz w:val="24"/>
          <w:szCs w:val="24"/>
          <w:lang/>
        </w:rPr>
        <w:t xml:space="preserve">Brigham and Houston (2010). Fundamentals of Financial Management. 11th Edition. Jakarta: </w:t>
      </w:r>
      <w:proofErr w:type="spellStart"/>
      <w:r w:rsidRPr="009C7116">
        <w:rPr>
          <w:rFonts w:ascii="Times New Roman" w:hAnsi="Times New Roman" w:cs="Times New Roman"/>
          <w:sz w:val="24"/>
          <w:szCs w:val="24"/>
          <w:lang/>
        </w:rPr>
        <w:t>Salemba</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Empat</w:t>
      </w:r>
      <w:proofErr w:type="spellEnd"/>
    </w:p>
    <w:p w:rsidR="0084266F" w:rsidRPr="009C7116" w:rsidRDefault="0084266F" w:rsidP="0084266F">
      <w:pPr>
        <w:pStyle w:val="HTMLPreformatted"/>
        <w:ind w:left="567" w:hanging="567"/>
        <w:jc w:val="both"/>
        <w:rPr>
          <w:rFonts w:ascii="Times New Roman" w:hAnsi="Times New Roman" w:cs="Times New Roman"/>
          <w:sz w:val="24"/>
          <w:szCs w:val="24"/>
          <w:lang/>
        </w:rPr>
      </w:pPr>
      <w:r w:rsidRPr="009C7116">
        <w:rPr>
          <w:rFonts w:ascii="Times New Roman" w:hAnsi="Times New Roman" w:cs="Times New Roman"/>
          <w:sz w:val="24"/>
          <w:szCs w:val="24"/>
          <w:lang/>
        </w:rPr>
        <w:t xml:space="preserve">Coleman, Anthony </w:t>
      </w:r>
      <w:proofErr w:type="spellStart"/>
      <w:r w:rsidRPr="009C7116">
        <w:rPr>
          <w:rFonts w:ascii="Times New Roman" w:hAnsi="Times New Roman" w:cs="Times New Roman"/>
          <w:sz w:val="24"/>
          <w:szCs w:val="24"/>
          <w:lang/>
        </w:rPr>
        <w:t>Kyereboah</w:t>
      </w:r>
      <w:proofErr w:type="spellEnd"/>
      <w:r w:rsidRPr="009C7116">
        <w:rPr>
          <w:rFonts w:ascii="Times New Roman" w:hAnsi="Times New Roman" w:cs="Times New Roman"/>
          <w:sz w:val="24"/>
          <w:szCs w:val="24"/>
          <w:lang/>
        </w:rPr>
        <w:t xml:space="preserve"> and </w:t>
      </w:r>
      <w:proofErr w:type="spellStart"/>
      <w:r w:rsidRPr="009C7116">
        <w:rPr>
          <w:rFonts w:ascii="Times New Roman" w:hAnsi="Times New Roman" w:cs="Times New Roman"/>
          <w:sz w:val="24"/>
          <w:szCs w:val="24"/>
          <w:lang/>
        </w:rPr>
        <w:t>Kwame</w:t>
      </w:r>
      <w:proofErr w:type="spellEnd"/>
      <w:r w:rsidRPr="009C7116">
        <w:rPr>
          <w:rFonts w:ascii="Times New Roman" w:hAnsi="Times New Roman" w:cs="Times New Roman"/>
          <w:sz w:val="24"/>
          <w:szCs w:val="24"/>
          <w:lang/>
        </w:rPr>
        <w:t xml:space="preserve"> F. </w:t>
      </w:r>
      <w:proofErr w:type="spellStart"/>
      <w:r w:rsidRPr="009C7116">
        <w:rPr>
          <w:rFonts w:ascii="Times New Roman" w:hAnsi="Times New Roman" w:cs="Times New Roman"/>
          <w:sz w:val="24"/>
          <w:szCs w:val="24"/>
          <w:lang/>
        </w:rPr>
        <w:t>Agriye-Tettey</w:t>
      </w:r>
      <w:proofErr w:type="spellEnd"/>
      <w:r w:rsidRPr="009C7116">
        <w:rPr>
          <w:rFonts w:ascii="Times New Roman" w:hAnsi="Times New Roman" w:cs="Times New Roman"/>
          <w:sz w:val="24"/>
          <w:szCs w:val="24"/>
          <w:lang/>
        </w:rPr>
        <w:t xml:space="preserve"> (2008). Impact Of </w:t>
      </w:r>
      <w:proofErr w:type="spellStart"/>
      <w:r w:rsidRPr="009C7116">
        <w:rPr>
          <w:rFonts w:ascii="Times New Roman" w:hAnsi="Times New Roman" w:cs="Times New Roman"/>
          <w:sz w:val="24"/>
          <w:szCs w:val="24"/>
          <w:lang/>
        </w:rPr>
        <w:t>Macroeconomis</w:t>
      </w:r>
      <w:proofErr w:type="spellEnd"/>
      <w:r w:rsidRPr="009C7116">
        <w:rPr>
          <w:rFonts w:ascii="Times New Roman" w:hAnsi="Times New Roman" w:cs="Times New Roman"/>
          <w:sz w:val="24"/>
          <w:szCs w:val="24"/>
          <w:lang/>
        </w:rPr>
        <w:t xml:space="preserve"> Indicators on Stock Market Performance. The Case of the Ghana Stock Exchange. The Journal of Risk Finance. Vol. 9 No. 4. Emerald Group Publishing Limited</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Dwijayanthy</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Febrina</w:t>
      </w:r>
      <w:proofErr w:type="spellEnd"/>
      <w:r w:rsidRPr="009C7116">
        <w:rPr>
          <w:rFonts w:ascii="Times New Roman" w:hAnsi="Times New Roman" w:cs="Times New Roman"/>
          <w:sz w:val="24"/>
          <w:szCs w:val="24"/>
          <w:lang/>
        </w:rPr>
        <w:t xml:space="preserve"> and Naomi, Prima (2009). Analysis of the Influence of Inflation, BI Rate and Currency Exchange Rate on Bank Profitability Period 2003-3007. Charisma. Vol.3 No. 2, p. 87-98</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Fahmi</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Irham</w:t>
      </w:r>
      <w:proofErr w:type="spellEnd"/>
      <w:r w:rsidRPr="009C7116">
        <w:rPr>
          <w:rFonts w:ascii="Times New Roman" w:hAnsi="Times New Roman" w:cs="Times New Roman"/>
          <w:sz w:val="24"/>
          <w:szCs w:val="24"/>
          <w:lang/>
        </w:rPr>
        <w:t xml:space="preserve"> (2014). Corporate Finance and Capital Market Management. Jakarta: </w:t>
      </w:r>
      <w:proofErr w:type="spellStart"/>
      <w:r w:rsidRPr="009C7116">
        <w:rPr>
          <w:rFonts w:ascii="Times New Roman" w:hAnsi="Times New Roman" w:cs="Times New Roman"/>
          <w:sz w:val="24"/>
          <w:szCs w:val="24"/>
          <w:lang/>
        </w:rPr>
        <w:t>Mitra</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Wacana</w:t>
      </w:r>
      <w:proofErr w:type="spellEnd"/>
      <w:r w:rsidRPr="009C7116">
        <w:rPr>
          <w:rFonts w:ascii="Times New Roman" w:hAnsi="Times New Roman" w:cs="Times New Roman"/>
          <w:sz w:val="24"/>
          <w:szCs w:val="24"/>
          <w:lang/>
        </w:rPr>
        <w:t xml:space="preserve"> Media</w:t>
      </w:r>
    </w:p>
    <w:p w:rsidR="0084266F" w:rsidRPr="009C7116" w:rsidRDefault="0084266F" w:rsidP="0084266F">
      <w:pPr>
        <w:pStyle w:val="HTMLPreformatted"/>
        <w:ind w:left="567" w:hanging="567"/>
        <w:jc w:val="both"/>
        <w:rPr>
          <w:rFonts w:ascii="Times New Roman" w:hAnsi="Times New Roman" w:cs="Times New Roman"/>
          <w:sz w:val="24"/>
          <w:szCs w:val="24"/>
          <w:lang/>
        </w:rPr>
      </w:pPr>
      <w:r w:rsidRPr="009C7116">
        <w:rPr>
          <w:rFonts w:ascii="Times New Roman" w:hAnsi="Times New Roman" w:cs="Times New Roman"/>
          <w:sz w:val="24"/>
          <w:szCs w:val="24"/>
          <w:lang/>
        </w:rPr>
        <w:t xml:space="preserve">George A, </w:t>
      </w:r>
      <w:proofErr w:type="spellStart"/>
      <w:r w:rsidRPr="009C7116">
        <w:rPr>
          <w:rFonts w:ascii="Times New Roman" w:hAnsi="Times New Roman" w:cs="Times New Roman"/>
          <w:sz w:val="24"/>
          <w:szCs w:val="24"/>
          <w:lang/>
        </w:rPr>
        <w:t>Arkelov</w:t>
      </w:r>
      <w:proofErr w:type="spellEnd"/>
      <w:r w:rsidRPr="009C7116">
        <w:rPr>
          <w:rFonts w:ascii="Times New Roman" w:hAnsi="Times New Roman" w:cs="Times New Roman"/>
          <w:sz w:val="24"/>
          <w:szCs w:val="24"/>
          <w:lang/>
        </w:rPr>
        <w:t xml:space="preserve"> (1970). The Market for "Lemons": Quality Uncertainly and The Market Mechanism. Oxford University Press. The Quarterly Journal Of Economics. Vol. 84, No. 3, pp. 488-500</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Halim</w:t>
      </w:r>
      <w:proofErr w:type="spellEnd"/>
      <w:r w:rsidRPr="009C7116">
        <w:rPr>
          <w:rFonts w:ascii="Times New Roman" w:hAnsi="Times New Roman" w:cs="Times New Roman"/>
          <w:sz w:val="24"/>
          <w:szCs w:val="24"/>
          <w:lang/>
        </w:rPr>
        <w:t xml:space="preserve">, Abdul (2015). Analysis of Investment in Financial Assets. Jakarta: </w:t>
      </w:r>
      <w:proofErr w:type="spellStart"/>
      <w:r w:rsidRPr="009C7116">
        <w:rPr>
          <w:rFonts w:ascii="Times New Roman" w:hAnsi="Times New Roman" w:cs="Times New Roman"/>
          <w:sz w:val="24"/>
          <w:szCs w:val="24"/>
          <w:lang/>
        </w:rPr>
        <w:t>Mitra</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Wacana</w:t>
      </w:r>
      <w:proofErr w:type="spellEnd"/>
      <w:r w:rsidRPr="009C7116">
        <w:rPr>
          <w:rFonts w:ascii="Times New Roman" w:hAnsi="Times New Roman" w:cs="Times New Roman"/>
          <w:sz w:val="24"/>
          <w:szCs w:val="24"/>
          <w:lang/>
        </w:rPr>
        <w:t xml:space="preserve"> Media</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Hanafi</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Mamduh</w:t>
      </w:r>
      <w:proofErr w:type="spellEnd"/>
      <w:r w:rsidRPr="009C7116">
        <w:rPr>
          <w:rFonts w:ascii="Times New Roman" w:hAnsi="Times New Roman" w:cs="Times New Roman"/>
          <w:sz w:val="24"/>
          <w:szCs w:val="24"/>
          <w:lang/>
        </w:rPr>
        <w:t xml:space="preserve"> &amp; Abdul </w:t>
      </w:r>
      <w:proofErr w:type="spellStart"/>
      <w:r w:rsidRPr="009C7116">
        <w:rPr>
          <w:rFonts w:ascii="Times New Roman" w:hAnsi="Times New Roman" w:cs="Times New Roman"/>
          <w:sz w:val="24"/>
          <w:szCs w:val="24"/>
          <w:lang/>
        </w:rPr>
        <w:t>Halim</w:t>
      </w:r>
      <w:proofErr w:type="spellEnd"/>
      <w:r w:rsidRPr="009C7116">
        <w:rPr>
          <w:rFonts w:ascii="Times New Roman" w:hAnsi="Times New Roman" w:cs="Times New Roman"/>
          <w:sz w:val="24"/>
          <w:szCs w:val="24"/>
          <w:lang/>
        </w:rPr>
        <w:t xml:space="preserve"> (2003). Financial Statement Analysis. Revised Edition. Yogyakarta: UPP AMP YKPN</w:t>
      </w:r>
    </w:p>
    <w:p w:rsidR="0084266F" w:rsidRPr="009C7116" w:rsidRDefault="0084266F" w:rsidP="0084266F">
      <w:pPr>
        <w:pStyle w:val="HTMLPreformatted"/>
        <w:ind w:left="567" w:hanging="567"/>
        <w:jc w:val="both"/>
        <w:rPr>
          <w:rFonts w:ascii="Times New Roman" w:hAnsi="Times New Roman" w:cs="Times New Roman"/>
          <w:sz w:val="24"/>
          <w:szCs w:val="24"/>
          <w:lang/>
        </w:rPr>
      </w:pPr>
      <w:r w:rsidRPr="009C7116">
        <w:rPr>
          <w:rFonts w:ascii="Times New Roman" w:hAnsi="Times New Roman" w:cs="Times New Roman"/>
          <w:sz w:val="24"/>
          <w:szCs w:val="24"/>
          <w:lang/>
        </w:rPr>
        <w:t>_________ (2015). Portfolio Theory and Investment Analysis. Fifth Edition. Yogyakarta: BPFE</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Hery</w:t>
      </w:r>
      <w:proofErr w:type="spellEnd"/>
      <w:r w:rsidRPr="009C7116">
        <w:rPr>
          <w:rFonts w:ascii="Times New Roman" w:hAnsi="Times New Roman" w:cs="Times New Roman"/>
          <w:sz w:val="24"/>
          <w:szCs w:val="24"/>
          <w:lang/>
        </w:rPr>
        <w:t xml:space="preserve">. (2016). Financial Statement Analysis. Jakarta: PT </w:t>
      </w:r>
      <w:proofErr w:type="spellStart"/>
      <w:r w:rsidRPr="009C7116">
        <w:rPr>
          <w:rFonts w:ascii="Times New Roman" w:hAnsi="Times New Roman" w:cs="Times New Roman"/>
          <w:sz w:val="24"/>
          <w:szCs w:val="24"/>
          <w:lang/>
        </w:rPr>
        <w:t>Grasindo</w:t>
      </w:r>
      <w:proofErr w:type="spellEnd"/>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Kalengkongan</w:t>
      </w:r>
      <w:proofErr w:type="spellEnd"/>
      <w:r w:rsidRPr="009C7116">
        <w:rPr>
          <w:rFonts w:ascii="Times New Roman" w:hAnsi="Times New Roman" w:cs="Times New Roman"/>
          <w:sz w:val="24"/>
          <w:szCs w:val="24"/>
          <w:lang/>
        </w:rPr>
        <w:t>, Glenda (2013). Interest Rate and Inflation Affect Return on Assets (ROA) on Banking Industry Companies that Go Public on Indonesian Stock Exchange. EMBA Journal. Vol.1 No.4: 737-747</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lastRenderedPageBreak/>
        <w:t>Kasmir</w:t>
      </w:r>
      <w:proofErr w:type="spellEnd"/>
      <w:r w:rsidRPr="009C7116">
        <w:rPr>
          <w:rFonts w:ascii="Times New Roman" w:hAnsi="Times New Roman" w:cs="Times New Roman"/>
          <w:sz w:val="24"/>
          <w:szCs w:val="24"/>
          <w:lang/>
        </w:rPr>
        <w:t xml:space="preserve"> (2010). Introduction to Financial Management. Jakarta: PERNADAMEDIA GROUP</w:t>
      </w:r>
    </w:p>
    <w:p w:rsidR="0084266F" w:rsidRPr="009C7116" w:rsidRDefault="0084266F" w:rsidP="0084266F">
      <w:pPr>
        <w:pStyle w:val="HTMLPreformatted"/>
        <w:ind w:left="567" w:hanging="567"/>
        <w:jc w:val="both"/>
        <w:rPr>
          <w:rFonts w:ascii="Times New Roman" w:hAnsi="Times New Roman" w:cs="Times New Roman"/>
          <w:sz w:val="24"/>
          <w:szCs w:val="24"/>
          <w:lang/>
        </w:rPr>
      </w:pPr>
      <w:r w:rsidRPr="009C7116">
        <w:rPr>
          <w:rFonts w:ascii="Times New Roman" w:hAnsi="Times New Roman" w:cs="Times New Roman"/>
          <w:sz w:val="24"/>
          <w:szCs w:val="24"/>
          <w:lang/>
        </w:rPr>
        <w:t xml:space="preserve">Putra, I Made G D and Dana, I Made (2016). The Influence of Profitability, Leverage, Liquidity and Company Size on Stock Returns of Pharmaceutical Companies on the IDX. E-Journal of Management </w:t>
      </w:r>
      <w:proofErr w:type="spellStart"/>
      <w:r w:rsidRPr="009C7116">
        <w:rPr>
          <w:rFonts w:ascii="Times New Roman" w:hAnsi="Times New Roman" w:cs="Times New Roman"/>
          <w:sz w:val="24"/>
          <w:szCs w:val="24"/>
          <w:lang/>
        </w:rPr>
        <w:t>Unud</w:t>
      </w:r>
      <w:proofErr w:type="spellEnd"/>
      <w:r w:rsidRPr="009C7116">
        <w:rPr>
          <w:rFonts w:ascii="Times New Roman" w:hAnsi="Times New Roman" w:cs="Times New Roman"/>
          <w:sz w:val="24"/>
          <w:szCs w:val="24"/>
          <w:lang/>
        </w:rPr>
        <w:t>. Vol. 5, No. 11, p. 6825-6850</w:t>
      </w:r>
    </w:p>
    <w:p w:rsidR="0084266F" w:rsidRPr="009C7116" w:rsidRDefault="0084266F" w:rsidP="0084266F">
      <w:pPr>
        <w:pStyle w:val="HTMLPreformatted"/>
        <w:ind w:left="567" w:hanging="567"/>
        <w:jc w:val="both"/>
        <w:rPr>
          <w:rFonts w:ascii="Times New Roman" w:hAnsi="Times New Roman" w:cs="Times New Roman"/>
          <w:sz w:val="24"/>
          <w:szCs w:val="24"/>
        </w:rPr>
      </w:pPr>
      <w:proofErr w:type="spellStart"/>
      <w:r w:rsidRPr="009C7116">
        <w:rPr>
          <w:rFonts w:ascii="Times New Roman" w:hAnsi="Times New Roman" w:cs="Times New Roman"/>
          <w:sz w:val="24"/>
          <w:szCs w:val="24"/>
          <w:lang/>
        </w:rPr>
        <w:t>Prastowo</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Dwi</w:t>
      </w:r>
      <w:proofErr w:type="spellEnd"/>
      <w:r w:rsidRPr="009C7116">
        <w:rPr>
          <w:rFonts w:ascii="Times New Roman" w:hAnsi="Times New Roman" w:cs="Times New Roman"/>
          <w:sz w:val="24"/>
          <w:szCs w:val="24"/>
          <w:lang/>
        </w:rPr>
        <w:t xml:space="preserve"> (2010). Analysis of Financial Statements. Concepts and Applications. Third Analysis. Yogyakarta: UPP STIM YKPN</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Prastowo</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Dwi</w:t>
      </w:r>
      <w:proofErr w:type="spellEnd"/>
      <w:r w:rsidRPr="009C7116">
        <w:rPr>
          <w:rFonts w:ascii="Times New Roman" w:hAnsi="Times New Roman" w:cs="Times New Roman"/>
          <w:sz w:val="24"/>
          <w:szCs w:val="24"/>
          <w:lang/>
        </w:rPr>
        <w:t xml:space="preserve"> (2010). Analysis of Financial Statements. Concepts and Applications. Third Analysis. Yogyakarta: UPP STIM YKPN</w:t>
      </w:r>
    </w:p>
    <w:p w:rsidR="0084266F" w:rsidRPr="009C7116" w:rsidRDefault="0084266F" w:rsidP="0084266F">
      <w:pPr>
        <w:pStyle w:val="HTMLPreformatted"/>
        <w:ind w:left="567" w:hanging="567"/>
        <w:jc w:val="both"/>
        <w:rPr>
          <w:rFonts w:ascii="Times New Roman" w:hAnsi="Times New Roman" w:cs="Times New Roman"/>
          <w:sz w:val="24"/>
          <w:szCs w:val="24"/>
          <w:lang/>
        </w:rPr>
      </w:pPr>
      <w:r w:rsidRPr="009C7116">
        <w:rPr>
          <w:rFonts w:ascii="Times New Roman" w:hAnsi="Times New Roman" w:cs="Times New Roman"/>
          <w:sz w:val="24"/>
          <w:szCs w:val="24"/>
          <w:lang/>
        </w:rPr>
        <w:t xml:space="preserve">Rizal, Muhammad (2016). Analysis of the Effect of Profitability and Liquidity on </w:t>
      </w:r>
      <w:proofErr w:type="spellStart"/>
      <w:r w:rsidRPr="009C7116">
        <w:rPr>
          <w:rFonts w:ascii="Times New Roman" w:hAnsi="Times New Roman" w:cs="Times New Roman"/>
          <w:sz w:val="24"/>
          <w:szCs w:val="24"/>
          <w:lang/>
        </w:rPr>
        <w:t>Sharia</w:t>
      </w:r>
      <w:proofErr w:type="spellEnd"/>
      <w:r w:rsidRPr="009C7116">
        <w:rPr>
          <w:rFonts w:ascii="Times New Roman" w:hAnsi="Times New Roman" w:cs="Times New Roman"/>
          <w:sz w:val="24"/>
          <w:szCs w:val="24"/>
          <w:lang/>
        </w:rPr>
        <w:t xml:space="preserve"> Returns with Investment Risks as Intervening Variables (Empirical Study on Mining Companies listed in the </w:t>
      </w:r>
      <w:proofErr w:type="spellStart"/>
      <w:r w:rsidRPr="009C7116">
        <w:rPr>
          <w:rFonts w:ascii="Times New Roman" w:hAnsi="Times New Roman" w:cs="Times New Roman"/>
          <w:sz w:val="24"/>
          <w:szCs w:val="24"/>
          <w:lang/>
        </w:rPr>
        <w:t>Sharia</w:t>
      </w:r>
      <w:proofErr w:type="spellEnd"/>
      <w:r w:rsidRPr="009C7116">
        <w:rPr>
          <w:rFonts w:ascii="Times New Roman" w:hAnsi="Times New Roman" w:cs="Times New Roman"/>
          <w:sz w:val="24"/>
          <w:szCs w:val="24"/>
          <w:lang/>
        </w:rPr>
        <w:t xml:space="preserve"> Securities List for the 2012-2014 period). Student Scientific Article. Faculty of Economics and Business, University of </w:t>
      </w:r>
      <w:proofErr w:type="spellStart"/>
      <w:r w:rsidRPr="009C7116">
        <w:rPr>
          <w:rFonts w:ascii="Times New Roman" w:hAnsi="Times New Roman" w:cs="Times New Roman"/>
          <w:sz w:val="24"/>
          <w:szCs w:val="24"/>
          <w:lang/>
        </w:rPr>
        <w:t>Jember</w:t>
      </w:r>
      <w:proofErr w:type="spellEnd"/>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Rjoub</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Husam</w:t>
      </w:r>
      <w:proofErr w:type="spellEnd"/>
      <w:r w:rsidRPr="009C7116">
        <w:rPr>
          <w:rFonts w:ascii="Times New Roman" w:hAnsi="Times New Roman" w:cs="Times New Roman"/>
          <w:sz w:val="24"/>
          <w:szCs w:val="24"/>
          <w:lang/>
        </w:rPr>
        <w:t xml:space="preserve"> et. al. (2009). The Effect of Macroeconomic Factors on Stock Returns: Istanbul Stock Market. Statistics in Economics and Finance. Vol. 26 No. 1. Emerald Group Publishing Limited</w:t>
      </w:r>
    </w:p>
    <w:p w:rsidR="0084266F" w:rsidRPr="009C7116" w:rsidRDefault="0084266F" w:rsidP="0084266F">
      <w:pPr>
        <w:pStyle w:val="HTMLPreformatted"/>
        <w:ind w:left="567" w:hanging="567"/>
        <w:jc w:val="both"/>
        <w:rPr>
          <w:rFonts w:ascii="Times New Roman" w:hAnsi="Times New Roman" w:cs="Times New Roman"/>
          <w:sz w:val="24"/>
          <w:szCs w:val="24"/>
          <w:lang/>
        </w:rPr>
      </w:pPr>
      <w:r w:rsidRPr="009C7116">
        <w:rPr>
          <w:rFonts w:ascii="Times New Roman" w:hAnsi="Times New Roman" w:cs="Times New Roman"/>
          <w:sz w:val="24"/>
          <w:szCs w:val="24"/>
          <w:lang/>
        </w:rPr>
        <w:t xml:space="preserve">Rosa, Brian Alfa (2014). Effect of Liquidity and Profitability on Bank Stock Returns Registered on the IDX. Thesis (published). </w:t>
      </w:r>
      <w:proofErr w:type="spellStart"/>
      <w:r w:rsidRPr="009C7116">
        <w:rPr>
          <w:rFonts w:ascii="Times New Roman" w:hAnsi="Times New Roman" w:cs="Times New Roman"/>
          <w:sz w:val="24"/>
          <w:szCs w:val="24"/>
          <w:lang/>
        </w:rPr>
        <w:t>Setya</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Wacana</w:t>
      </w:r>
      <w:proofErr w:type="spellEnd"/>
      <w:r w:rsidRPr="009C7116">
        <w:rPr>
          <w:rFonts w:ascii="Times New Roman" w:hAnsi="Times New Roman" w:cs="Times New Roman"/>
          <w:sz w:val="24"/>
          <w:szCs w:val="24"/>
          <w:lang/>
        </w:rPr>
        <w:t xml:space="preserve"> Christian University Economics and Business Faculty</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Rosse</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Petter</w:t>
      </w:r>
      <w:proofErr w:type="spellEnd"/>
      <w:r w:rsidRPr="009C7116">
        <w:rPr>
          <w:rFonts w:ascii="Times New Roman" w:hAnsi="Times New Roman" w:cs="Times New Roman"/>
          <w:sz w:val="24"/>
          <w:szCs w:val="24"/>
          <w:lang/>
        </w:rPr>
        <w:t xml:space="preserve"> S (2003). Money And Capital Markets. 8th ed. New York: The </w:t>
      </w:r>
      <w:proofErr w:type="spellStart"/>
      <w:r w:rsidRPr="009C7116">
        <w:rPr>
          <w:rFonts w:ascii="Times New Roman" w:hAnsi="Times New Roman" w:cs="Times New Roman"/>
          <w:sz w:val="24"/>
          <w:szCs w:val="24"/>
          <w:lang/>
        </w:rPr>
        <w:t>MacGraw</w:t>
      </w:r>
      <w:proofErr w:type="spellEnd"/>
      <w:r w:rsidRPr="009C7116">
        <w:rPr>
          <w:rFonts w:ascii="Times New Roman" w:hAnsi="Times New Roman" w:cs="Times New Roman"/>
          <w:sz w:val="24"/>
          <w:szCs w:val="24"/>
          <w:lang/>
        </w:rPr>
        <w:t xml:space="preserve"> Hill Company</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Rufaida</w:t>
      </w:r>
      <w:proofErr w:type="spellEnd"/>
      <w:r w:rsidRPr="009C7116">
        <w:rPr>
          <w:rFonts w:ascii="Times New Roman" w:hAnsi="Times New Roman" w:cs="Times New Roman"/>
          <w:sz w:val="24"/>
          <w:szCs w:val="24"/>
          <w:lang/>
        </w:rPr>
        <w:t>, Ida (2015). Effect of Profitability, Solvability and Market Ratio on Stock Returns. Journal of Science and Accounting Research. Vol. 4 No. 4, p. 1-20</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Samsul</w:t>
      </w:r>
      <w:proofErr w:type="spellEnd"/>
      <w:r w:rsidRPr="009C7116">
        <w:rPr>
          <w:rFonts w:ascii="Times New Roman" w:hAnsi="Times New Roman" w:cs="Times New Roman"/>
          <w:sz w:val="24"/>
          <w:szCs w:val="24"/>
          <w:lang/>
        </w:rPr>
        <w:t xml:space="preserve">, Mohammad (2006). Capital Market and Portfolio Management. Surabaya: </w:t>
      </w:r>
      <w:proofErr w:type="spellStart"/>
      <w:r w:rsidRPr="009C7116">
        <w:rPr>
          <w:rFonts w:ascii="Times New Roman" w:hAnsi="Times New Roman" w:cs="Times New Roman"/>
          <w:sz w:val="24"/>
          <w:szCs w:val="24"/>
          <w:lang/>
        </w:rPr>
        <w:t>Erlangga</w:t>
      </w:r>
      <w:proofErr w:type="spellEnd"/>
    </w:p>
    <w:p w:rsidR="0084266F" w:rsidRPr="009C7116" w:rsidRDefault="0084266F" w:rsidP="0084266F">
      <w:pPr>
        <w:pStyle w:val="HTMLPreformatted"/>
        <w:ind w:left="567" w:hanging="567"/>
        <w:jc w:val="both"/>
        <w:rPr>
          <w:rFonts w:ascii="Times New Roman" w:hAnsi="Times New Roman" w:cs="Times New Roman"/>
          <w:sz w:val="24"/>
          <w:szCs w:val="24"/>
          <w:lang/>
        </w:rPr>
      </w:pPr>
      <w:r w:rsidRPr="009C7116">
        <w:rPr>
          <w:rFonts w:ascii="Times New Roman" w:hAnsi="Times New Roman" w:cs="Times New Roman"/>
          <w:sz w:val="24"/>
          <w:szCs w:val="24"/>
          <w:lang/>
        </w:rPr>
        <w:t>Spence, Michael (1973). Job Market Signaling. The Quarterly Journal Of Economics, Vol. 87, No. 3, pp 355-374</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Sudana</w:t>
      </w:r>
      <w:proofErr w:type="spellEnd"/>
      <w:r w:rsidRPr="009C7116">
        <w:rPr>
          <w:rFonts w:ascii="Times New Roman" w:hAnsi="Times New Roman" w:cs="Times New Roman"/>
          <w:sz w:val="24"/>
          <w:szCs w:val="24"/>
          <w:lang/>
        </w:rPr>
        <w:t xml:space="preserve">, I Made (2009). Financial management. Theory and Practice. Surabaya: </w:t>
      </w:r>
      <w:proofErr w:type="spellStart"/>
      <w:r w:rsidRPr="009C7116">
        <w:rPr>
          <w:rFonts w:ascii="Times New Roman" w:hAnsi="Times New Roman" w:cs="Times New Roman"/>
          <w:sz w:val="24"/>
          <w:szCs w:val="24"/>
          <w:lang/>
        </w:rPr>
        <w:t>Airlangga</w:t>
      </w:r>
      <w:proofErr w:type="spellEnd"/>
      <w:r w:rsidRPr="009C7116">
        <w:rPr>
          <w:rFonts w:ascii="Times New Roman" w:hAnsi="Times New Roman" w:cs="Times New Roman"/>
          <w:sz w:val="24"/>
          <w:szCs w:val="24"/>
          <w:lang/>
        </w:rPr>
        <w:t xml:space="preserve"> University Press</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Sulistiowati</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Yayuk</w:t>
      </w:r>
      <w:proofErr w:type="spellEnd"/>
      <w:r w:rsidRPr="009C7116">
        <w:rPr>
          <w:rFonts w:ascii="Times New Roman" w:hAnsi="Times New Roman" w:cs="Times New Roman"/>
          <w:sz w:val="24"/>
          <w:szCs w:val="24"/>
          <w:lang/>
        </w:rPr>
        <w:t xml:space="preserve"> and </w:t>
      </w:r>
      <w:proofErr w:type="spellStart"/>
      <w:r w:rsidRPr="009C7116">
        <w:rPr>
          <w:rFonts w:ascii="Times New Roman" w:hAnsi="Times New Roman" w:cs="Times New Roman"/>
          <w:sz w:val="24"/>
          <w:szCs w:val="24"/>
          <w:lang/>
        </w:rPr>
        <w:t>Turyanto</w:t>
      </w:r>
      <w:proofErr w:type="spellEnd"/>
      <w:r w:rsidRPr="009C7116">
        <w:rPr>
          <w:rFonts w:ascii="Times New Roman" w:hAnsi="Times New Roman" w:cs="Times New Roman"/>
          <w:sz w:val="24"/>
          <w:szCs w:val="24"/>
          <w:lang/>
        </w:rPr>
        <w:t>, Tri (2011). Signal Reaction Profitability Ratios and Solvency Ratios Against Company Stock Returns. Financial and Banking Dynamics. Vol. 3, No. 1, p. 17-37</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Suyati</w:t>
      </w:r>
      <w:proofErr w:type="spellEnd"/>
      <w:r w:rsidRPr="009C7116">
        <w:rPr>
          <w:rFonts w:ascii="Times New Roman" w:hAnsi="Times New Roman" w:cs="Times New Roman"/>
          <w:sz w:val="24"/>
          <w:szCs w:val="24"/>
          <w:lang/>
        </w:rPr>
        <w:t>, Sri (2015). Influence of Inflation, Interest Rate and Rupiah Exchange Rate / U $ Dollar on Returns of Property Shares Registered on the Indonesia Stock Exchange. UNTAG Semarang Scientific Journal Fiber. Vol. 4, No. 3, p. 70-86</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Syamsudin</w:t>
      </w:r>
      <w:proofErr w:type="spellEnd"/>
      <w:r w:rsidRPr="009C7116">
        <w:rPr>
          <w:rFonts w:ascii="Times New Roman" w:hAnsi="Times New Roman" w:cs="Times New Roman"/>
          <w:sz w:val="24"/>
          <w:szCs w:val="24"/>
          <w:lang/>
        </w:rPr>
        <w:t xml:space="preserve">. (2009). Corporate Financial Management. Jakarta: PT Raja </w:t>
      </w:r>
      <w:proofErr w:type="spellStart"/>
      <w:r w:rsidRPr="009C7116">
        <w:rPr>
          <w:rFonts w:ascii="Times New Roman" w:hAnsi="Times New Roman" w:cs="Times New Roman"/>
          <w:sz w:val="24"/>
          <w:szCs w:val="24"/>
          <w:lang/>
        </w:rPr>
        <w:t>Grafindo</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Persada</w:t>
      </w:r>
      <w:proofErr w:type="spellEnd"/>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Syarifudin</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Nur</w:t>
      </w:r>
      <w:proofErr w:type="spellEnd"/>
      <w:r w:rsidRPr="009C7116">
        <w:rPr>
          <w:rFonts w:ascii="Times New Roman" w:hAnsi="Times New Roman" w:cs="Times New Roman"/>
          <w:sz w:val="24"/>
          <w:szCs w:val="24"/>
          <w:lang/>
        </w:rPr>
        <w:t xml:space="preserve"> (2013). Analysis of the Effect of Profitability Ratios and Market Ratios on Stock Returns. Journal of Science and Accounting Research. Vol.2, No.2</w:t>
      </w:r>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Tandelilin</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Eduardus</w:t>
      </w:r>
      <w:proofErr w:type="spellEnd"/>
      <w:r w:rsidRPr="009C7116">
        <w:rPr>
          <w:rFonts w:ascii="Times New Roman" w:hAnsi="Times New Roman" w:cs="Times New Roman"/>
          <w:sz w:val="24"/>
          <w:szCs w:val="24"/>
          <w:lang/>
        </w:rPr>
        <w:t xml:space="preserve"> (2010). Portfolio and Investment Theory and Applications. First Edition. Yogyakarta: </w:t>
      </w:r>
      <w:proofErr w:type="spellStart"/>
      <w:r w:rsidRPr="009C7116">
        <w:rPr>
          <w:rFonts w:ascii="Times New Roman" w:hAnsi="Times New Roman" w:cs="Times New Roman"/>
          <w:sz w:val="24"/>
          <w:szCs w:val="24"/>
          <w:lang/>
        </w:rPr>
        <w:t>Kanisius</w:t>
      </w:r>
      <w:proofErr w:type="spellEnd"/>
    </w:p>
    <w:p w:rsidR="0084266F" w:rsidRPr="009C7116" w:rsidRDefault="0084266F" w:rsidP="0084266F">
      <w:pPr>
        <w:pStyle w:val="HTMLPreformatted"/>
        <w:ind w:left="567" w:hanging="567"/>
        <w:jc w:val="both"/>
        <w:rPr>
          <w:rFonts w:ascii="Times New Roman" w:hAnsi="Times New Roman" w:cs="Times New Roman"/>
          <w:sz w:val="24"/>
          <w:szCs w:val="24"/>
          <w:lang/>
        </w:rPr>
      </w:pPr>
      <w:r w:rsidRPr="009C7116">
        <w:rPr>
          <w:rFonts w:ascii="Times New Roman" w:hAnsi="Times New Roman" w:cs="Times New Roman"/>
          <w:sz w:val="24"/>
          <w:szCs w:val="24"/>
          <w:lang/>
        </w:rPr>
        <w:t xml:space="preserve">Van </w:t>
      </w:r>
      <w:proofErr w:type="spellStart"/>
      <w:r w:rsidRPr="009C7116">
        <w:rPr>
          <w:rFonts w:ascii="Times New Roman" w:hAnsi="Times New Roman" w:cs="Times New Roman"/>
          <w:sz w:val="24"/>
          <w:szCs w:val="24"/>
          <w:lang/>
        </w:rPr>
        <w:t>Honre</w:t>
      </w:r>
      <w:proofErr w:type="spellEnd"/>
      <w:r w:rsidRPr="009C7116">
        <w:rPr>
          <w:rFonts w:ascii="Times New Roman" w:hAnsi="Times New Roman" w:cs="Times New Roman"/>
          <w:sz w:val="24"/>
          <w:szCs w:val="24"/>
          <w:lang/>
        </w:rPr>
        <w:t xml:space="preserve">, James C and </w:t>
      </w:r>
      <w:proofErr w:type="spellStart"/>
      <w:r w:rsidRPr="009C7116">
        <w:rPr>
          <w:rFonts w:ascii="Times New Roman" w:hAnsi="Times New Roman" w:cs="Times New Roman"/>
          <w:sz w:val="24"/>
          <w:szCs w:val="24"/>
          <w:lang/>
        </w:rPr>
        <w:t>Wachowicz</w:t>
      </w:r>
      <w:proofErr w:type="spellEnd"/>
      <w:r w:rsidRPr="009C7116">
        <w:rPr>
          <w:rFonts w:ascii="Times New Roman" w:hAnsi="Times New Roman" w:cs="Times New Roman"/>
          <w:sz w:val="24"/>
          <w:szCs w:val="24"/>
          <w:lang/>
        </w:rPr>
        <w:t xml:space="preserve">, John M. (2013). Fundamentals of Financial Management. 13. </w:t>
      </w:r>
      <w:proofErr w:type="spellStart"/>
      <w:r w:rsidRPr="009C7116">
        <w:rPr>
          <w:rFonts w:ascii="Times New Roman" w:hAnsi="Times New Roman" w:cs="Times New Roman"/>
          <w:sz w:val="24"/>
          <w:szCs w:val="24"/>
          <w:lang/>
        </w:rPr>
        <w:t>Jakarata</w:t>
      </w:r>
      <w:proofErr w:type="spellEnd"/>
      <w:r w:rsidRPr="009C7116">
        <w:rPr>
          <w:rFonts w:ascii="Times New Roman" w:hAnsi="Times New Roman" w:cs="Times New Roman"/>
          <w:sz w:val="24"/>
          <w:szCs w:val="24"/>
          <w:lang/>
        </w:rPr>
        <w:t xml:space="preserve"> Edition: </w:t>
      </w:r>
      <w:proofErr w:type="spellStart"/>
      <w:r w:rsidRPr="009C7116">
        <w:rPr>
          <w:rFonts w:ascii="Times New Roman" w:hAnsi="Times New Roman" w:cs="Times New Roman"/>
          <w:sz w:val="24"/>
          <w:szCs w:val="24"/>
          <w:lang/>
        </w:rPr>
        <w:t>Salemba</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Empat</w:t>
      </w:r>
      <w:proofErr w:type="spellEnd"/>
    </w:p>
    <w:p w:rsidR="0084266F" w:rsidRPr="009C7116" w:rsidRDefault="0084266F" w:rsidP="0084266F">
      <w:pPr>
        <w:pStyle w:val="HTMLPreformatted"/>
        <w:ind w:left="567" w:hanging="567"/>
        <w:jc w:val="both"/>
        <w:rPr>
          <w:rFonts w:ascii="Times New Roman" w:hAnsi="Times New Roman" w:cs="Times New Roman"/>
          <w:sz w:val="24"/>
          <w:szCs w:val="24"/>
          <w:lang/>
        </w:rPr>
      </w:pPr>
      <w:proofErr w:type="spellStart"/>
      <w:r w:rsidRPr="009C7116">
        <w:rPr>
          <w:rFonts w:ascii="Times New Roman" w:hAnsi="Times New Roman" w:cs="Times New Roman"/>
          <w:sz w:val="24"/>
          <w:szCs w:val="24"/>
          <w:lang/>
        </w:rPr>
        <w:t>Widharma</w:t>
      </w:r>
      <w:proofErr w:type="spellEnd"/>
      <w:r w:rsidRPr="009C7116">
        <w:rPr>
          <w:rFonts w:ascii="Times New Roman" w:hAnsi="Times New Roman" w:cs="Times New Roman"/>
          <w:sz w:val="24"/>
          <w:szCs w:val="24"/>
          <w:lang/>
        </w:rPr>
        <w:t xml:space="preserve"> A, Made </w:t>
      </w:r>
      <w:proofErr w:type="spellStart"/>
      <w:r w:rsidRPr="009C7116">
        <w:rPr>
          <w:rFonts w:ascii="Times New Roman" w:hAnsi="Times New Roman" w:cs="Times New Roman"/>
          <w:sz w:val="24"/>
          <w:szCs w:val="24"/>
          <w:lang/>
        </w:rPr>
        <w:t>Satria</w:t>
      </w:r>
      <w:proofErr w:type="spellEnd"/>
      <w:r w:rsidRPr="009C7116">
        <w:rPr>
          <w:rFonts w:ascii="Times New Roman" w:hAnsi="Times New Roman" w:cs="Times New Roman"/>
          <w:sz w:val="24"/>
          <w:szCs w:val="24"/>
          <w:lang/>
        </w:rPr>
        <w:t xml:space="preserve"> and </w:t>
      </w:r>
      <w:proofErr w:type="spellStart"/>
      <w:r w:rsidRPr="009C7116">
        <w:rPr>
          <w:rFonts w:ascii="Times New Roman" w:hAnsi="Times New Roman" w:cs="Times New Roman"/>
          <w:sz w:val="24"/>
          <w:szCs w:val="24"/>
          <w:lang/>
        </w:rPr>
        <w:t>Sudjarni</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Luh</w:t>
      </w:r>
      <w:proofErr w:type="spellEnd"/>
      <w:r w:rsidRPr="009C7116">
        <w:rPr>
          <w:rFonts w:ascii="Times New Roman" w:hAnsi="Times New Roman" w:cs="Times New Roman"/>
          <w:sz w:val="24"/>
          <w:szCs w:val="24"/>
          <w:lang/>
        </w:rPr>
        <w:t xml:space="preserve"> </w:t>
      </w:r>
      <w:proofErr w:type="spellStart"/>
      <w:r w:rsidRPr="009C7116">
        <w:rPr>
          <w:rFonts w:ascii="Times New Roman" w:hAnsi="Times New Roman" w:cs="Times New Roman"/>
          <w:sz w:val="24"/>
          <w:szCs w:val="24"/>
          <w:lang/>
        </w:rPr>
        <w:t>Komang</w:t>
      </w:r>
      <w:proofErr w:type="spellEnd"/>
      <w:r w:rsidRPr="009C7116">
        <w:rPr>
          <w:rFonts w:ascii="Times New Roman" w:hAnsi="Times New Roman" w:cs="Times New Roman"/>
          <w:sz w:val="24"/>
          <w:szCs w:val="24"/>
          <w:lang/>
        </w:rPr>
        <w:t xml:space="preserve"> (2016). Effect of Interest Rate, Inflation Rate, Value of Rupiah Exchange Rate and Gross Domestic Product on Stock Returns. E-Journal of Management </w:t>
      </w:r>
      <w:proofErr w:type="spellStart"/>
      <w:r w:rsidRPr="009C7116">
        <w:rPr>
          <w:rFonts w:ascii="Times New Roman" w:hAnsi="Times New Roman" w:cs="Times New Roman"/>
          <w:sz w:val="24"/>
          <w:szCs w:val="24"/>
          <w:lang/>
        </w:rPr>
        <w:t>Unud</w:t>
      </w:r>
      <w:proofErr w:type="spellEnd"/>
      <w:r w:rsidRPr="009C7116">
        <w:rPr>
          <w:rFonts w:ascii="Times New Roman" w:hAnsi="Times New Roman" w:cs="Times New Roman"/>
          <w:sz w:val="24"/>
          <w:szCs w:val="24"/>
          <w:lang/>
        </w:rPr>
        <w:t>. Vol. 5, No. 6, p. 3392-3420</w:t>
      </w:r>
    </w:p>
    <w:p w:rsidR="0084266F" w:rsidRPr="009C7116" w:rsidRDefault="0084266F" w:rsidP="0084266F">
      <w:pPr>
        <w:pStyle w:val="HTMLPreformatted"/>
        <w:ind w:left="567" w:hanging="567"/>
        <w:jc w:val="both"/>
        <w:rPr>
          <w:rFonts w:ascii="Times New Roman" w:hAnsi="Times New Roman" w:cs="Times New Roman"/>
          <w:sz w:val="24"/>
          <w:szCs w:val="24"/>
        </w:rPr>
      </w:pPr>
      <w:proofErr w:type="spellStart"/>
      <w:r w:rsidRPr="009C7116">
        <w:rPr>
          <w:rFonts w:ascii="Times New Roman" w:hAnsi="Times New Roman" w:cs="Times New Roman"/>
          <w:sz w:val="24"/>
          <w:szCs w:val="24"/>
          <w:lang/>
        </w:rPr>
        <w:t>Yuliana</w:t>
      </w:r>
      <w:proofErr w:type="spellEnd"/>
      <w:r w:rsidRPr="009C7116">
        <w:rPr>
          <w:rFonts w:ascii="Times New Roman" w:hAnsi="Times New Roman" w:cs="Times New Roman"/>
          <w:sz w:val="24"/>
          <w:szCs w:val="24"/>
          <w:lang/>
        </w:rPr>
        <w:t xml:space="preserve">, Indah (2010). </w:t>
      </w:r>
      <w:proofErr w:type="spellStart"/>
      <w:r w:rsidRPr="009C7116">
        <w:rPr>
          <w:rFonts w:ascii="Times New Roman" w:hAnsi="Times New Roman" w:cs="Times New Roman"/>
          <w:sz w:val="24"/>
          <w:szCs w:val="24"/>
          <w:lang/>
        </w:rPr>
        <w:t>Investation</w:t>
      </w:r>
      <w:proofErr w:type="spellEnd"/>
      <w:r w:rsidRPr="009C7116">
        <w:rPr>
          <w:rFonts w:ascii="Times New Roman" w:hAnsi="Times New Roman" w:cs="Times New Roman"/>
          <w:sz w:val="24"/>
          <w:szCs w:val="24"/>
          <w:lang/>
        </w:rPr>
        <w:t>. Islamic Financial Products. Malang: UIN-MALIKI Press</w:t>
      </w:r>
    </w:p>
    <w:p w:rsidR="0084266F" w:rsidRPr="009C7116" w:rsidRDefault="0084266F" w:rsidP="0084266F">
      <w:pPr>
        <w:pStyle w:val="HTMLPreformatted"/>
        <w:tabs>
          <w:tab w:val="clear" w:pos="916"/>
          <w:tab w:val="left" w:pos="426"/>
        </w:tabs>
        <w:ind w:left="567" w:hanging="567"/>
        <w:jc w:val="both"/>
        <w:rPr>
          <w:rFonts w:ascii="Times New Roman" w:hAnsi="Times New Roman" w:cs="Times New Roman"/>
          <w:sz w:val="24"/>
          <w:szCs w:val="24"/>
        </w:rPr>
      </w:pPr>
    </w:p>
    <w:p w:rsidR="0084266F" w:rsidRPr="009C7116" w:rsidRDefault="0084266F" w:rsidP="0084266F">
      <w:pPr>
        <w:pStyle w:val="HTMLPreformatted"/>
        <w:ind w:left="567" w:hanging="567"/>
        <w:jc w:val="both"/>
        <w:rPr>
          <w:rFonts w:ascii="Times New Roman" w:hAnsi="Times New Roman" w:cs="Times New Roman"/>
          <w:sz w:val="24"/>
          <w:szCs w:val="24"/>
        </w:rPr>
      </w:pPr>
    </w:p>
    <w:p w:rsidR="0084266F" w:rsidRPr="0084266F" w:rsidRDefault="0084266F" w:rsidP="0084266F">
      <w:pPr>
        <w:pStyle w:val="HTMLPreformatted"/>
        <w:ind w:left="567" w:hanging="567"/>
        <w:jc w:val="both"/>
        <w:rPr>
          <w:rFonts w:ascii="Times New Roman" w:hAnsi="Times New Roman" w:cs="Times New Roman"/>
          <w:sz w:val="32"/>
          <w:szCs w:val="24"/>
        </w:rPr>
      </w:pPr>
    </w:p>
    <w:p w:rsidR="00304979" w:rsidRPr="0084266F" w:rsidRDefault="00304979" w:rsidP="0084266F">
      <w:pPr>
        <w:pStyle w:val="HTMLPreformatted"/>
        <w:ind w:left="567" w:hanging="567"/>
        <w:jc w:val="both"/>
        <w:rPr>
          <w:rFonts w:ascii="Times New Roman" w:hAnsi="Times New Roman" w:cs="Times New Roman"/>
          <w:sz w:val="32"/>
          <w:szCs w:val="24"/>
        </w:rPr>
      </w:pPr>
    </w:p>
    <w:p w:rsidR="00DD05F2" w:rsidRPr="0084266F" w:rsidRDefault="00DD05F2" w:rsidP="0084266F">
      <w:pPr>
        <w:spacing w:line="240" w:lineRule="auto"/>
        <w:ind w:left="567" w:hanging="567"/>
        <w:jc w:val="both"/>
        <w:rPr>
          <w:rFonts w:ascii="Times New Roman" w:hAnsi="Times New Roman"/>
          <w:sz w:val="40"/>
          <w:szCs w:val="24"/>
        </w:rPr>
      </w:pPr>
    </w:p>
    <w:sectPr w:rsidR="00DD05F2" w:rsidRPr="0084266F" w:rsidSect="00067CD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887"/>
    <w:multiLevelType w:val="hybridMultilevel"/>
    <w:tmpl w:val="522CFB76"/>
    <w:lvl w:ilvl="0" w:tplc="58285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A7926"/>
    <w:multiLevelType w:val="hybridMultilevel"/>
    <w:tmpl w:val="FD369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243CB"/>
    <w:multiLevelType w:val="hybridMultilevel"/>
    <w:tmpl w:val="81DA2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F15C4"/>
    <w:multiLevelType w:val="hybridMultilevel"/>
    <w:tmpl w:val="7C1A7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610BA"/>
    <w:multiLevelType w:val="hybridMultilevel"/>
    <w:tmpl w:val="31500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C0F2F"/>
    <w:multiLevelType w:val="hybridMultilevel"/>
    <w:tmpl w:val="0EE00172"/>
    <w:lvl w:ilvl="0" w:tplc="942AA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F443C1"/>
    <w:multiLevelType w:val="hybridMultilevel"/>
    <w:tmpl w:val="999ED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EB5524"/>
    <w:multiLevelType w:val="hybridMultilevel"/>
    <w:tmpl w:val="3496C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F4DBD"/>
    <w:multiLevelType w:val="hybridMultilevel"/>
    <w:tmpl w:val="FEC686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C27D7F"/>
    <w:multiLevelType w:val="hybridMultilevel"/>
    <w:tmpl w:val="E83AB24C"/>
    <w:lvl w:ilvl="0" w:tplc="EA264CE8">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0"/>
  </w:num>
  <w:num w:numId="5">
    <w:abstractNumId w:val="5"/>
  </w:num>
  <w:num w:numId="6">
    <w:abstractNumId w:val="8"/>
  </w:num>
  <w:num w:numId="7">
    <w:abstractNumId w:val="4"/>
  </w:num>
  <w:num w:numId="8">
    <w:abstractNumId w:val="7"/>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00C5C"/>
    <w:rsid w:val="00067CDE"/>
    <w:rsid w:val="00077CC0"/>
    <w:rsid w:val="00304979"/>
    <w:rsid w:val="00376E85"/>
    <w:rsid w:val="004578EC"/>
    <w:rsid w:val="00700C5C"/>
    <w:rsid w:val="00756511"/>
    <w:rsid w:val="0084266F"/>
    <w:rsid w:val="008A05F8"/>
    <w:rsid w:val="009C7116"/>
    <w:rsid w:val="00AA465D"/>
    <w:rsid w:val="00C600E1"/>
    <w:rsid w:val="00DD0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0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0C5C"/>
    <w:rPr>
      <w:rFonts w:ascii="Courier New" w:eastAsia="Times New Roman" w:hAnsi="Courier New" w:cs="Courier New"/>
      <w:sz w:val="20"/>
      <w:szCs w:val="20"/>
    </w:rPr>
  </w:style>
  <w:style w:type="table" w:styleId="TableGrid">
    <w:name w:val="Table Grid"/>
    <w:basedOn w:val="TableNormal"/>
    <w:uiPriority w:val="59"/>
    <w:rsid w:val="00700C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00C5C"/>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C7116"/>
    <w:rPr>
      <w:color w:val="0000FF"/>
      <w:u w:val="single"/>
    </w:rPr>
  </w:style>
</w:styles>
</file>

<file path=word/webSettings.xml><?xml version="1.0" encoding="utf-8"?>
<w:webSettings xmlns:r="http://schemas.openxmlformats.org/officeDocument/2006/relationships" xmlns:w="http://schemas.openxmlformats.org/wordprocessingml/2006/main">
  <w:divs>
    <w:div w:id="64838695">
      <w:bodyDiv w:val="1"/>
      <w:marLeft w:val="0"/>
      <w:marRight w:val="0"/>
      <w:marTop w:val="0"/>
      <w:marBottom w:val="0"/>
      <w:divBdr>
        <w:top w:val="none" w:sz="0" w:space="0" w:color="auto"/>
        <w:left w:val="none" w:sz="0" w:space="0" w:color="auto"/>
        <w:bottom w:val="none" w:sz="0" w:space="0" w:color="auto"/>
        <w:right w:val="none" w:sz="0" w:space="0" w:color="auto"/>
      </w:divBdr>
    </w:div>
    <w:div w:id="188833927">
      <w:bodyDiv w:val="1"/>
      <w:marLeft w:val="0"/>
      <w:marRight w:val="0"/>
      <w:marTop w:val="0"/>
      <w:marBottom w:val="0"/>
      <w:divBdr>
        <w:top w:val="none" w:sz="0" w:space="0" w:color="auto"/>
        <w:left w:val="none" w:sz="0" w:space="0" w:color="auto"/>
        <w:bottom w:val="none" w:sz="0" w:space="0" w:color="auto"/>
        <w:right w:val="none" w:sz="0" w:space="0" w:color="auto"/>
      </w:divBdr>
    </w:div>
    <w:div w:id="299501920">
      <w:bodyDiv w:val="1"/>
      <w:marLeft w:val="0"/>
      <w:marRight w:val="0"/>
      <w:marTop w:val="0"/>
      <w:marBottom w:val="0"/>
      <w:divBdr>
        <w:top w:val="none" w:sz="0" w:space="0" w:color="auto"/>
        <w:left w:val="none" w:sz="0" w:space="0" w:color="auto"/>
        <w:bottom w:val="none" w:sz="0" w:space="0" w:color="auto"/>
        <w:right w:val="none" w:sz="0" w:space="0" w:color="auto"/>
      </w:divBdr>
    </w:div>
    <w:div w:id="301275600">
      <w:bodyDiv w:val="1"/>
      <w:marLeft w:val="0"/>
      <w:marRight w:val="0"/>
      <w:marTop w:val="0"/>
      <w:marBottom w:val="0"/>
      <w:divBdr>
        <w:top w:val="none" w:sz="0" w:space="0" w:color="auto"/>
        <w:left w:val="none" w:sz="0" w:space="0" w:color="auto"/>
        <w:bottom w:val="none" w:sz="0" w:space="0" w:color="auto"/>
        <w:right w:val="none" w:sz="0" w:space="0" w:color="auto"/>
      </w:divBdr>
    </w:div>
    <w:div w:id="373962599">
      <w:bodyDiv w:val="1"/>
      <w:marLeft w:val="0"/>
      <w:marRight w:val="0"/>
      <w:marTop w:val="0"/>
      <w:marBottom w:val="0"/>
      <w:divBdr>
        <w:top w:val="none" w:sz="0" w:space="0" w:color="auto"/>
        <w:left w:val="none" w:sz="0" w:space="0" w:color="auto"/>
        <w:bottom w:val="none" w:sz="0" w:space="0" w:color="auto"/>
        <w:right w:val="none" w:sz="0" w:space="0" w:color="auto"/>
      </w:divBdr>
    </w:div>
    <w:div w:id="375079942">
      <w:bodyDiv w:val="1"/>
      <w:marLeft w:val="0"/>
      <w:marRight w:val="0"/>
      <w:marTop w:val="0"/>
      <w:marBottom w:val="0"/>
      <w:divBdr>
        <w:top w:val="none" w:sz="0" w:space="0" w:color="auto"/>
        <w:left w:val="none" w:sz="0" w:space="0" w:color="auto"/>
        <w:bottom w:val="none" w:sz="0" w:space="0" w:color="auto"/>
        <w:right w:val="none" w:sz="0" w:space="0" w:color="auto"/>
      </w:divBdr>
    </w:div>
    <w:div w:id="398133119">
      <w:bodyDiv w:val="1"/>
      <w:marLeft w:val="0"/>
      <w:marRight w:val="0"/>
      <w:marTop w:val="0"/>
      <w:marBottom w:val="0"/>
      <w:divBdr>
        <w:top w:val="none" w:sz="0" w:space="0" w:color="auto"/>
        <w:left w:val="none" w:sz="0" w:space="0" w:color="auto"/>
        <w:bottom w:val="none" w:sz="0" w:space="0" w:color="auto"/>
        <w:right w:val="none" w:sz="0" w:space="0" w:color="auto"/>
      </w:divBdr>
    </w:div>
    <w:div w:id="401410638">
      <w:bodyDiv w:val="1"/>
      <w:marLeft w:val="0"/>
      <w:marRight w:val="0"/>
      <w:marTop w:val="0"/>
      <w:marBottom w:val="0"/>
      <w:divBdr>
        <w:top w:val="none" w:sz="0" w:space="0" w:color="auto"/>
        <w:left w:val="none" w:sz="0" w:space="0" w:color="auto"/>
        <w:bottom w:val="none" w:sz="0" w:space="0" w:color="auto"/>
        <w:right w:val="none" w:sz="0" w:space="0" w:color="auto"/>
      </w:divBdr>
    </w:div>
    <w:div w:id="449396690">
      <w:bodyDiv w:val="1"/>
      <w:marLeft w:val="0"/>
      <w:marRight w:val="0"/>
      <w:marTop w:val="0"/>
      <w:marBottom w:val="0"/>
      <w:divBdr>
        <w:top w:val="none" w:sz="0" w:space="0" w:color="auto"/>
        <w:left w:val="none" w:sz="0" w:space="0" w:color="auto"/>
        <w:bottom w:val="none" w:sz="0" w:space="0" w:color="auto"/>
        <w:right w:val="none" w:sz="0" w:space="0" w:color="auto"/>
      </w:divBdr>
    </w:div>
    <w:div w:id="470639043">
      <w:bodyDiv w:val="1"/>
      <w:marLeft w:val="0"/>
      <w:marRight w:val="0"/>
      <w:marTop w:val="0"/>
      <w:marBottom w:val="0"/>
      <w:divBdr>
        <w:top w:val="none" w:sz="0" w:space="0" w:color="auto"/>
        <w:left w:val="none" w:sz="0" w:space="0" w:color="auto"/>
        <w:bottom w:val="none" w:sz="0" w:space="0" w:color="auto"/>
        <w:right w:val="none" w:sz="0" w:space="0" w:color="auto"/>
      </w:divBdr>
    </w:div>
    <w:div w:id="471026553">
      <w:bodyDiv w:val="1"/>
      <w:marLeft w:val="0"/>
      <w:marRight w:val="0"/>
      <w:marTop w:val="0"/>
      <w:marBottom w:val="0"/>
      <w:divBdr>
        <w:top w:val="none" w:sz="0" w:space="0" w:color="auto"/>
        <w:left w:val="none" w:sz="0" w:space="0" w:color="auto"/>
        <w:bottom w:val="none" w:sz="0" w:space="0" w:color="auto"/>
        <w:right w:val="none" w:sz="0" w:space="0" w:color="auto"/>
      </w:divBdr>
    </w:div>
    <w:div w:id="554852317">
      <w:bodyDiv w:val="1"/>
      <w:marLeft w:val="0"/>
      <w:marRight w:val="0"/>
      <w:marTop w:val="0"/>
      <w:marBottom w:val="0"/>
      <w:divBdr>
        <w:top w:val="none" w:sz="0" w:space="0" w:color="auto"/>
        <w:left w:val="none" w:sz="0" w:space="0" w:color="auto"/>
        <w:bottom w:val="none" w:sz="0" w:space="0" w:color="auto"/>
        <w:right w:val="none" w:sz="0" w:space="0" w:color="auto"/>
      </w:divBdr>
    </w:div>
    <w:div w:id="974139069">
      <w:bodyDiv w:val="1"/>
      <w:marLeft w:val="0"/>
      <w:marRight w:val="0"/>
      <w:marTop w:val="0"/>
      <w:marBottom w:val="0"/>
      <w:divBdr>
        <w:top w:val="none" w:sz="0" w:space="0" w:color="auto"/>
        <w:left w:val="none" w:sz="0" w:space="0" w:color="auto"/>
        <w:bottom w:val="none" w:sz="0" w:space="0" w:color="auto"/>
        <w:right w:val="none" w:sz="0" w:space="0" w:color="auto"/>
      </w:divBdr>
    </w:div>
    <w:div w:id="1162815853">
      <w:bodyDiv w:val="1"/>
      <w:marLeft w:val="0"/>
      <w:marRight w:val="0"/>
      <w:marTop w:val="0"/>
      <w:marBottom w:val="0"/>
      <w:divBdr>
        <w:top w:val="none" w:sz="0" w:space="0" w:color="auto"/>
        <w:left w:val="none" w:sz="0" w:space="0" w:color="auto"/>
        <w:bottom w:val="none" w:sz="0" w:space="0" w:color="auto"/>
        <w:right w:val="none" w:sz="0" w:space="0" w:color="auto"/>
      </w:divBdr>
    </w:div>
    <w:div w:id="1186561478">
      <w:bodyDiv w:val="1"/>
      <w:marLeft w:val="0"/>
      <w:marRight w:val="0"/>
      <w:marTop w:val="0"/>
      <w:marBottom w:val="0"/>
      <w:divBdr>
        <w:top w:val="none" w:sz="0" w:space="0" w:color="auto"/>
        <w:left w:val="none" w:sz="0" w:space="0" w:color="auto"/>
        <w:bottom w:val="none" w:sz="0" w:space="0" w:color="auto"/>
        <w:right w:val="none" w:sz="0" w:space="0" w:color="auto"/>
      </w:divBdr>
    </w:div>
    <w:div w:id="1276911943">
      <w:bodyDiv w:val="1"/>
      <w:marLeft w:val="0"/>
      <w:marRight w:val="0"/>
      <w:marTop w:val="0"/>
      <w:marBottom w:val="0"/>
      <w:divBdr>
        <w:top w:val="none" w:sz="0" w:space="0" w:color="auto"/>
        <w:left w:val="none" w:sz="0" w:space="0" w:color="auto"/>
        <w:bottom w:val="none" w:sz="0" w:space="0" w:color="auto"/>
        <w:right w:val="none" w:sz="0" w:space="0" w:color="auto"/>
      </w:divBdr>
    </w:div>
    <w:div w:id="1476022222">
      <w:bodyDiv w:val="1"/>
      <w:marLeft w:val="0"/>
      <w:marRight w:val="0"/>
      <w:marTop w:val="0"/>
      <w:marBottom w:val="0"/>
      <w:divBdr>
        <w:top w:val="none" w:sz="0" w:space="0" w:color="auto"/>
        <w:left w:val="none" w:sz="0" w:space="0" w:color="auto"/>
        <w:bottom w:val="none" w:sz="0" w:space="0" w:color="auto"/>
        <w:right w:val="none" w:sz="0" w:space="0" w:color="auto"/>
      </w:divBdr>
    </w:div>
    <w:div w:id="1648243610">
      <w:bodyDiv w:val="1"/>
      <w:marLeft w:val="0"/>
      <w:marRight w:val="0"/>
      <w:marTop w:val="0"/>
      <w:marBottom w:val="0"/>
      <w:divBdr>
        <w:top w:val="none" w:sz="0" w:space="0" w:color="auto"/>
        <w:left w:val="none" w:sz="0" w:space="0" w:color="auto"/>
        <w:bottom w:val="none" w:sz="0" w:space="0" w:color="auto"/>
        <w:right w:val="none" w:sz="0" w:space="0" w:color="auto"/>
      </w:divBdr>
    </w:div>
    <w:div w:id="17209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ahoty@manajemen.uin-malang.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3920</Words>
  <Characters>22346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26214</CharactersWithSpaces>
  <SharedDoc>false</SharedDoc>
  <HLinks>
    <vt:vector size="6" baseType="variant">
      <vt:variant>
        <vt:i4>1376361</vt:i4>
      </vt:variant>
      <vt:variant>
        <vt:i4>0</vt:i4>
      </vt:variant>
      <vt:variant>
        <vt:i4>0</vt:i4>
      </vt:variant>
      <vt:variant>
        <vt:i4>5</vt:i4>
      </vt:variant>
      <vt:variant>
        <vt:lpwstr>mailto:indahoty@manajemen.uin-malang.ac.id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fe-3</cp:lastModifiedBy>
  <cp:revision>2</cp:revision>
  <dcterms:created xsi:type="dcterms:W3CDTF">2019-03-18T01:32:00Z</dcterms:created>
  <dcterms:modified xsi:type="dcterms:W3CDTF">2019-03-18T01:32:00Z</dcterms:modified>
</cp:coreProperties>
</file>