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BFA" w:rsidRPr="00D15F75" w:rsidRDefault="002258EE" w:rsidP="00916ABA">
      <w:pPr>
        <w:jc w:val="center"/>
        <w:rPr>
          <w:rFonts w:asciiTheme="majorBidi" w:hAnsiTheme="majorBidi" w:cstheme="majorBidi"/>
          <w:b/>
          <w:bCs/>
          <w:szCs w:val="24"/>
          <w:lang w:val="en-US"/>
        </w:rPr>
      </w:pPr>
      <w:r>
        <w:rPr>
          <w:rFonts w:asciiTheme="majorBidi" w:hAnsiTheme="majorBidi" w:cstheme="majorBidi"/>
          <w:b/>
          <w:bCs/>
          <w:szCs w:val="24"/>
          <w:lang w:val="en-US"/>
        </w:rPr>
        <w:t>THE LEGAL POLI</w:t>
      </w:r>
      <w:r w:rsidR="00107D7E" w:rsidRPr="00D15F75">
        <w:rPr>
          <w:rFonts w:asciiTheme="majorBidi" w:hAnsiTheme="majorBidi" w:cstheme="majorBidi"/>
          <w:b/>
          <w:bCs/>
          <w:szCs w:val="24"/>
          <w:lang w:val="en-US"/>
        </w:rPr>
        <w:t>CY OF JUDICIAL POWER</w:t>
      </w:r>
    </w:p>
    <w:p w:rsidR="00786BFA" w:rsidRPr="00D15F75" w:rsidRDefault="00786BFA" w:rsidP="00341559">
      <w:pPr>
        <w:jc w:val="center"/>
        <w:rPr>
          <w:rFonts w:asciiTheme="majorBidi" w:hAnsiTheme="majorBidi" w:cstheme="majorBidi"/>
          <w:szCs w:val="24"/>
          <w:lang w:val="en-US"/>
        </w:rPr>
      </w:pPr>
      <w:r w:rsidRPr="00D15F75">
        <w:rPr>
          <w:rFonts w:asciiTheme="majorBidi" w:hAnsiTheme="majorBidi" w:cstheme="majorBidi"/>
          <w:szCs w:val="24"/>
          <w:lang w:val="en-US"/>
        </w:rPr>
        <w:t>(</w:t>
      </w:r>
      <w:r w:rsidR="00107D7E" w:rsidRPr="00D15F75">
        <w:rPr>
          <w:rFonts w:asciiTheme="majorBidi" w:hAnsiTheme="majorBidi" w:cstheme="majorBidi"/>
          <w:szCs w:val="24"/>
          <w:lang w:val="en-US"/>
        </w:rPr>
        <w:t xml:space="preserve">The </w:t>
      </w:r>
      <w:r w:rsidR="005C43A4" w:rsidRPr="00D15F75">
        <w:rPr>
          <w:rFonts w:asciiTheme="majorBidi" w:hAnsiTheme="majorBidi" w:cstheme="majorBidi"/>
          <w:szCs w:val="24"/>
          <w:lang w:val="en-US"/>
        </w:rPr>
        <w:t xml:space="preserve">Idea of </w:t>
      </w:r>
      <w:r w:rsidR="00107D7E" w:rsidRPr="00D15F75">
        <w:rPr>
          <w:rFonts w:asciiTheme="majorBidi" w:hAnsiTheme="majorBidi" w:cstheme="majorBidi"/>
          <w:szCs w:val="24"/>
          <w:lang w:val="en-US"/>
        </w:rPr>
        <w:t>Implementation of Small Claim Courts in Religious C</w:t>
      </w:r>
      <w:r w:rsidRPr="00D15F75">
        <w:rPr>
          <w:rFonts w:asciiTheme="majorBidi" w:hAnsiTheme="majorBidi" w:cstheme="majorBidi"/>
          <w:szCs w:val="24"/>
          <w:lang w:val="en-US"/>
        </w:rPr>
        <w:t>ourts)</w:t>
      </w:r>
    </w:p>
    <w:p w:rsidR="00786BFA" w:rsidRPr="00D15F75" w:rsidRDefault="00786BFA" w:rsidP="00341559">
      <w:pPr>
        <w:jc w:val="center"/>
        <w:rPr>
          <w:rFonts w:asciiTheme="majorBidi" w:hAnsiTheme="majorBidi" w:cstheme="majorBidi"/>
          <w:szCs w:val="24"/>
          <w:lang w:val="en-US"/>
        </w:rPr>
      </w:pPr>
    </w:p>
    <w:p w:rsidR="00786BFA" w:rsidRPr="00D15F75" w:rsidRDefault="00786BFA" w:rsidP="00341559">
      <w:pPr>
        <w:jc w:val="center"/>
        <w:rPr>
          <w:rFonts w:asciiTheme="majorBidi" w:hAnsiTheme="majorBidi" w:cstheme="majorBidi"/>
          <w:szCs w:val="24"/>
        </w:rPr>
      </w:pPr>
      <w:r w:rsidRPr="00D15F75">
        <w:rPr>
          <w:rFonts w:asciiTheme="majorBidi" w:hAnsiTheme="majorBidi" w:cstheme="majorBidi"/>
          <w:szCs w:val="24"/>
        </w:rPr>
        <w:t xml:space="preserve">Erfaniah Zuhriah, Imam </w:t>
      </w:r>
      <w:r w:rsidR="00195E09" w:rsidRPr="00D15F75">
        <w:rPr>
          <w:rFonts w:asciiTheme="majorBidi" w:hAnsiTheme="majorBidi" w:cstheme="majorBidi"/>
          <w:szCs w:val="24"/>
        </w:rPr>
        <w:t>Sukadi dan Uswa</w:t>
      </w:r>
      <w:r w:rsidRPr="00D15F75">
        <w:rPr>
          <w:rFonts w:asciiTheme="majorBidi" w:hAnsiTheme="majorBidi" w:cstheme="majorBidi"/>
          <w:szCs w:val="24"/>
        </w:rPr>
        <w:t>tul Fikriyah</w:t>
      </w:r>
    </w:p>
    <w:p w:rsidR="00786BFA" w:rsidRPr="00D15F75" w:rsidRDefault="0076135D" w:rsidP="00341559">
      <w:pPr>
        <w:jc w:val="center"/>
        <w:rPr>
          <w:rFonts w:asciiTheme="majorBidi" w:hAnsiTheme="majorBidi" w:cstheme="majorBidi"/>
          <w:szCs w:val="24"/>
          <w:lang w:val="en-US"/>
        </w:rPr>
      </w:pPr>
      <w:hyperlink r:id="rId7" w:history="1">
        <w:r w:rsidR="00786BFA" w:rsidRPr="00D15F75">
          <w:rPr>
            <w:rStyle w:val="Hyperlink"/>
            <w:rFonts w:asciiTheme="majorBidi" w:hAnsiTheme="majorBidi" w:cstheme="majorBidi"/>
            <w:color w:val="auto"/>
            <w:szCs w:val="24"/>
          </w:rPr>
          <w:t>erfaniah@yahoo.com</w:t>
        </w:r>
      </w:hyperlink>
      <w:r w:rsidR="00786BFA" w:rsidRPr="00D15F75">
        <w:rPr>
          <w:rFonts w:asciiTheme="majorBidi" w:hAnsiTheme="majorBidi" w:cstheme="majorBidi"/>
          <w:szCs w:val="24"/>
        </w:rPr>
        <w:t xml:space="preserve">, </w:t>
      </w:r>
      <w:hyperlink r:id="rId8" w:history="1">
        <w:r w:rsidR="00786BFA" w:rsidRPr="00D15F75">
          <w:rPr>
            <w:rStyle w:val="Hyperlink"/>
            <w:rFonts w:asciiTheme="majorBidi" w:hAnsiTheme="majorBidi" w:cstheme="majorBidi"/>
            <w:color w:val="auto"/>
            <w:szCs w:val="24"/>
          </w:rPr>
          <w:t>imam_sukadi@ymail.co</w:t>
        </w:r>
        <w:bookmarkStart w:id="0" w:name="_GoBack"/>
        <w:bookmarkEnd w:id="0"/>
        <w:r w:rsidR="00786BFA" w:rsidRPr="00D15F75">
          <w:rPr>
            <w:rStyle w:val="Hyperlink"/>
            <w:rFonts w:asciiTheme="majorBidi" w:hAnsiTheme="majorBidi" w:cstheme="majorBidi"/>
            <w:color w:val="auto"/>
            <w:szCs w:val="24"/>
          </w:rPr>
          <w:t>m</w:t>
        </w:r>
      </w:hyperlink>
      <w:r w:rsidR="00195E09" w:rsidRPr="00D15F75">
        <w:rPr>
          <w:rFonts w:asciiTheme="majorBidi" w:hAnsiTheme="majorBidi" w:cstheme="majorBidi"/>
          <w:szCs w:val="24"/>
        </w:rPr>
        <w:t xml:space="preserve">, and </w:t>
      </w:r>
      <w:r w:rsidR="00195E09" w:rsidRPr="00D15F75">
        <w:rPr>
          <w:rFonts w:asciiTheme="majorBidi" w:hAnsiTheme="majorBidi" w:cstheme="majorBidi"/>
          <w:szCs w:val="24"/>
          <w:lang w:val="en-US"/>
        </w:rPr>
        <w:t>anaa.uswah@gmail.com</w:t>
      </w:r>
    </w:p>
    <w:p w:rsidR="00786BFA" w:rsidRPr="00D15F75" w:rsidRDefault="00195E09" w:rsidP="00341559">
      <w:pPr>
        <w:jc w:val="center"/>
        <w:rPr>
          <w:rFonts w:asciiTheme="majorBidi" w:hAnsiTheme="majorBidi" w:cstheme="majorBidi"/>
          <w:szCs w:val="24"/>
          <w:lang w:val="en-US"/>
        </w:rPr>
      </w:pPr>
      <w:r w:rsidRPr="00D15F75">
        <w:rPr>
          <w:rFonts w:asciiTheme="majorBidi" w:hAnsiTheme="majorBidi" w:cstheme="majorBidi"/>
          <w:szCs w:val="24"/>
          <w:lang w:val="en-US"/>
        </w:rPr>
        <w:t>Faculty of Sharia, State Islamic University Maulana Malik Ibrahim of Malang</w:t>
      </w:r>
    </w:p>
    <w:p w:rsidR="00786BFA" w:rsidRPr="00D15F75" w:rsidRDefault="00786BFA" w:rsidP="00341559">
      <w:pPr>
        <w:rPr>
          <w:rFonts w:asciiTheme="majorBidi" w:hAnsiTheme="majorBidi" w:cstheme="majorBidi"/>
          <w:b/>
          <w:szCs w:val="24"/>
          <w:lang w:val="en-US"/>
        </w:rPr>
      </w:pPr>
    </w:p>
    <w:p w:rsidR="00786BFA" w:rsidRPr="00D15F75" w:rsidRDefault="00786BFA" w:rsidP="00341559">
      <w:pPr>
        <w:jc w:val="center"/>
        <w:rPr>
          <w:rFonts w:asciiTheme="majorBidi" w:hAnsiTheme="majorBidi" w:cstheme="majorBidi"/>
          <w:b/>
          <w:bCs/>
          <w:szCs w:val="24"/>
          <w:lang w:val="en-US"/>
        </w:rPr>
      </w:pPr>
      <w:r w:rsidRPr="00D15F75">
        <w:rPr>
          <w:rFonts w:asciiTheme="majorBidi" w:hAnsiTheme="majorBidi" w:cstheme="majorBidi"/>
          <w:b/>
          <w:bCs/>
          <w:szCs w:val="24"/>
        </w:rPr>
        <w:t>ABTSRAC</w:t>
      </w:r>
      <w:r w:rsidR="00107D7E" w:rsidRPr="00D15F75">
        <w:rPr>
          <w:rFonts w:asciiTheme="majorBidi" w:hAnsiTheme="majorBidi" w:cstheme="majorBidi"/>
          <w:b/>
          <w:bCs/>
          <w:szCs w:val="24"/>
        </w:rPr>
        <w:t>T</w:t>
      </w:r>
    </w:p>
    <w:p w:rsidR="00786BFA" w:rsidRPr="00D15F75" w:rsidRDefault="00107D7E" w:rsidP="00341559">
      <w:pPr>
        <w:ind w:left="567" w:right="565"/>
        <w:rPr>
          <w:rFonts w:asciiTheme="majorBidi" w:hAnsiTheme="majorBidi" w:cstheme="majorBidi"/>
          <w:szCs w:val="24"/>
          <w:lang w:val="en-US"/>
        </w:rPr>
      </w:pPr>
      <w:r w:rsidRPr="00D15F75">
        <w:rPr>
          <w:rFonts w:asciiTheme="majorBidi" w:hAnsiTheme="majorBidi" w:cstheme="majorBidi"/>
          <w:szCs w:val="24"/>
          <w:lang w:val="en-US"/>
        </w:rPr>
        <w:t xml:space="preserve">Religious Court </w:t>
      </w:r>
      <w:r w:rsidR="00786BFA" w:rsidRPr="00D15F75">
        <w:rPr>
          <w:rFonts w:asciiTheme="majorBidi" w:hAnsiTheme="majorBidi" w:cstheme="majorBidi"/>
          <w:szCs w:val="24"/>
          <w:lang w:val="en-US"/>
        </w:rPr>
        <w:t>is a judicial environment under the Supreme Court as a perpetrator of judicial power t</w:t>
      </w:r>
      <w:r w:rsidR="005C43A4" w:rsidRPr="00D15F75">
        <w:rPr>
          <w:rFonts w:asciiTheme="majorBidi" w:hAnsiTheme="majorBidi" w:cstheme="majorBidi"/>
          <w:szCs w:val="24"/>
          <w:lang w:val="en-US"/>
        </w:rPr>
        <w:t>hat is independent to organize religious court</w:t>
      </w:r>
      <w:r w:rsidR="00786BFA" w:rsidRPr="00D15F75">
        <w:rPr>
          <w:rFonts w:asciiTheme="majorBidi" w:hAnsiTheme="majorBidi" w:cstheme="majorBidi"/>
          <w:szCs w:val="24"/>
          <w:lang w:val="en-US"/>
        </w:rPr>
        <w:t>, in order to enforce the law and justice. The impl</w:t>
      </w:r>
      <w:r w:rsidRPr="00D15F75">
        <w:rPr>
          <w:rFonts w:asciiTheme="majorBidi" w:hAnsiTheme="majorBidi" w:cstheme="majorBidi"/>
          <w:szCs w:val="24"/>
          <w:lang w:val="en-US"/>
        </w:rPr>
        <w:t xml:space="preserve">ementation of a </w:t>
      </w:r>
      <w:r w:rsidR="00786BFA" w:rsidRPr="00D15F75">
        <w:rPr>
          <w:rFonts w:asciiTheme="majorBidi" w:hAnsiTheme="majorBidi" w:cstheme="majorBidi"/>
          <w:szCs w:val="24"/>
          <w:lang w:val="en-US"/>
        </w:rPr>
        <w:t>small claim court in religious c</w:t>
      </w:r>
      <w:r w:rsidRPr="00D15F75">
        <w:rPr>
          <w:rFonts w:asciiTheme="majorBidi" w:hAnsiTheme="majorBidi" w:cstheme="majorBidi"/>
          <w:szCs w:val="24"/>
          <w:lang w:val="en-US"/>
        </w:rPr>
        <w:t>ourts is accordance with simple, quick and low cost principles.</w:t>
      </w:r>
      <w:r w:rsidR="00786BFA" w:rsidRPr="00D15F75">
        <w:rPr>
          <w:rFonts w:asciiTheme="majorBidi" w:hAnsiTheme="majorBidi" w:cstheme="majorBidi"/>
          <w:szCs w:val="24"/>
          <w:lang w:val="en-US"/>
        </w:rPr>
        <w:t>The Small Claims Court is a simple judicial</w:t>
      </w:r>
      <w:r w:rsidRPr="00D15F75">
        <w:rPr>
          <w:rFonts w:asciiTheme="majorBidi" w:hAnsiTheme="majorBidi" w:cstheme="majorBidi"/>
          <w:szCs w:val="24"/>
          <w:lang w:val="en-US"/>
        </w:rPr>
        <w:t xml:space="preserve"> mechanism</w:t>
      </w:r>
      <w:r w:rsidR="005C43A4" w:rsidRPr="00D15F75">
        <w:rPr>
          <w:rFonts w:asciiTheme="majorBidi" w:hAnsiTheme="majorBidi" w:cstheme="majorBidi"/>
          <w:szCs w:val="24"/>
          <w:lang w:val="en-US"/>
        </w:rPr>
        <w:t xml:space="preserve"> outside of the regular </w:t>
      </w:r>
      <w:r w:rsidR="00786BFA" w:rsidRPr="00D15F75">
        <w:rPr>
          <w:rFonts w:asciiTheme="majorBidi" w:hAnsiTheme="majorBidi" w:cstheme="majorBidi"/>
          <w:szCs w:val="24"/>
          <w:lang w:val="en-US"/>
        </w:rPr>
        <w:t>judicial</w:t>
      </w:r>
      <w:r w:rsidRPr="00D15F75">
        <w:rPr>
          <w:rFonts w:asciiTheme="majorBidi" w:hAnsiTheme="majorBidi" w:cstheme="majorBidi"/>
          <w:szCs w:val="24"/>
          <w:lang w:val="en-US"/>
        </w:rPr>
        <w:t xml:space="preserve"> mechanisms, with the purpose to</w:t>
      </w:r>
      <w:r w:rsidR="00786BFA" w:rsidRPr="00D15F75">
        <w:rPr>
          <w:rFonts w:asciiTheme="majorBidi" w:hAnsiTheme="majorBidi" w:cstheme="majorBidi"/>
          <w:szCs w:val="24"/>
          <w:lang w:val="en-US"/>
        </w:rPr>
        <w:t xml:space="preserve"> resolving disputes quickl</w:t>
      </w:r>
      <w:r w:rsidR="00EC064C" w:rsidRPr="00D15F75">
        <w:rPr>
          <w:rFonts w:asciiTheme="majorBidi" w:hAnsiTheme="majorBidi" w:cstheme="majorBidi"/>
          <w:szCs w:val="24"/>
          <w:lang w:val="en-US"/>
        </w:rPr>
        <w:t xml:space="preserve">y and cost lightly. So that </w:t>
      </w:r>
      <w:r w:rsidRPr="00D15F75">
        <w:rPr>
          <w:rFonts w:asciiTheme="majorBidi" w:hAnsiTheme="majorBidi" w:cstheme="majorBidi"/>
          <w:szCs w:val="24"/>
          <w:lang w:val="en-US"/>
        </w:rPr>
        <w:t>implementation of</w:t>
      </w:r>
      <w:r w:rsidR="00786BFA" w:rsidRPr="00D15F75">
        <w:rPr>
          <w:rFonts w:asciiTheme="majorBidi" w:hAnsiTheme="majorBidi" w:cstheme="majorBidi"/>
          <w:szCs w:val="24"/>
          <w:lang w:val="en-US"/>
        </w:rPr>
        <w:t xml:space="preserve"> Small Claims Court will be able to help </w:t>
      </w:r>
      <w:r w:rsidRPr="00D15F75">
        <w:rPr>
          <w:rFonts w:asciiTheme="majorBidi" w:hAnsiTheme="majorBidi" w:cstheme="majorBidi"/>
          <w:szCs w:val="24"/>
          <w:lang w:val="en-US"/>
        </w:rPr>
        <w:t xml:space="preserve">the dispute </w:t>
      </w:r>
      <w:r w:rsidR="00786BFA" w:rsidRPr="00D15F75">
        <w:rPr>
          <w:rFonts w:asciiTheme="majorBidi" w:hAnsiTheme="majorBidi" w:cstheme="majorBidi"/>
          <w:szCs w:val="24"/>
          <w:lang w:val="en-US"/>
        </w:rPr>
        <w:t>burden in religious courts.</w:t>
      </w:r>
    </w:p>
    <w:p w:rsidR="00786BFA" w:rsidRPr="00D15F75" w:rsidRDefault="00786BFA" w:rsidP="00341559">
      <w:pPr>
        <w:ind w:left="567" w:right="565"/>
        <w:rPr>
          <w:rFonts w:asciiTheme="majorBidi" w:hAnsiTheme="majorBidi" w:cstheme="majorBidi"/>
          <w:szCs w:val="24"/>
          <w:lang w:val="en-US"/>
        </w:rPr>
      </w:pPr>
    </w:p>
    <w:p w:rsidR="00EC064C" w:rsidRPr="00D15F75" w:rsidRDefault="00195E09" w:rsidP="00341559">
      <w:pPr>
        <w:ind w:left="567" w:right="565"/>
        <w:rPr>
          <w:rFonts w:asciiTheme="majorBidi" w:hAnsiTheme="majorBidi" w:cstheme="majorBidi"/>
          <w:szCs w:val="24"/>
          <w:lang w:val="en-US"/>
        </w:rPr>
      </w:pPr>
      <w:r w:rsidRPr="00D15F75">
        <w:rPr>
          <w:rFonts w:asciiTheme="majorBidi" w:hAnsiTheme="majorBidi" w:cstheme="majorBidi"/>
          <w:szCs w:val="24"/>
          <w:lang w:val="en-US"/>
        </w:rPr>
        <w:t xml:space="preserve">Key Words: Small </w:t>
      </w:r>
      <w:r w:rsidR="00EC064C" w:rsidRPr="00D15F75">
        <w:rPr>
          <w:rFonts w:asciiTheme="majorBidi" w:hAnsiTheme="majorBidi" w:cstheme="majorBidi"/>
          <w:szCs w:val="24"/>
          <w:lang w:val="en-US"/>
        </w:rPr>
        <w:t>Claim Court, Religious Court</w:t>
      </w:r>
    </w:p>
    <w:p w:rsidR="00786BFA" w:rsidRPr="00D15F75" w:rsidRDefault="00786BFA" w:rsidP="00341559">
      <w:pPr>
        <w:jc w:val="center"/>
        <w:rPr>
          <w:rFonts w:asciiTheme="majorBidi" w:hAnsiTheme="majorBidi" w:cstheme="majorBidi"/>
          <w:b/>
          <w:szCs w:val="24"/>
          <w:lang w:val="en-US"/>
        </w:rPr>
      </w:pPr>
    </w:p>
    <w:p w:rsidR="00786BFA" w:rsidRPr="00D15F75" w:rsidRDefault="00786BFA" w:rsidP="00341559">
      <w:pPr>
        <w:jc w:val="center"/>
        <w:rPr>
          <w:rFonts w:asciiTheme="majorBidi" w:hAnsiTheme="majorBidi" w:cstheme="majorBidi"/>
          <w:b/>
          <w:szCs w:val="24"/>
        </w:rPr>
      </w:pPr>
    </w:p>
    <w:p w:rsidR="004C7B9C" w:rsidRPr="00D15F75" w:rsidRDefault="00786BFA" w:rsidP="00341559">
      <w:pPr>
        <w:pStyle w:val="ListParagraph"/>
        <w:numPr>
          <w:ilvl w:val="0"/>
          <w:numId w:val="1"/>
        </w:numPr>
        <w:autoSpaceDE w:val="0"/>
        <w:autoSpaceDN w:val="0"/>
        <w:adjustRightInd w:val="0"/>
        <w:spacing w:after="240"/>
        <w:ind w:left="720" w:hanging="360"/>
        <w:jc w:val="center"/>
        <w:rPr>
          <w:rFonts w:asciiTheme="majorBidi" w:hAnsiTheme="majorBidi" w:cstheme="majorBidi"/>
          <w:b/>
          <w:szCs w:val="24"/>
        </w:rPr>
      </w:pPr>
      <w:r w:rsidRPr="00D15F75">
        <w:rPr>
          <w:rFonts w:asciiTheme="majorBidi" w:hAnsiTheme="majorBidi" w:cstheme="majorBidi"/>
          <w:b/>
          <w:szCs w:val="24"/>
        </w:rPr>
        <w:t>INTRODUCTION</w:t>
      </w:r>
    </w:p>
    <w:p w:rsidR="00786BFA" w:rsidRPr="00D15F75" w:rsidRDefault="004C7B9C" w:rsidP="00916ABA">
      <w:pPr>
        <w:ind w:firstLine="709"/>
        <w:rPr>
          <w:rFonts w:asciiTheme="majorBidi" w:eastAsia="Times New Roman" w:hAnsiTheme="majorBidi" w:cstheme="majorBidi"/>
          <w:szCs w:val="24"/>
          <w:lang w:val="en-US" w:eastAsia="id-ID"/>
        </w:rPr>
      </w:pPr>
      <w:r w:rsidRPr="00D15F75">
        <w:rPr>
          <w:rFonts w:asciiTheme="majorBidi" w:eastAsia="Times New Roman" w:hAnsiTheme="majorBidi" w:cstheme="majorBidi"/>
          <w:szCs w:val="24"/>
          <w:lang w:val="en-US" w:eastAsia="id-ID"/>
        </w:rPr>
        <w:t>Etymolo</w:t>
      </w:r>
      <w:r w:rsidR="00EC064C" w:rsidRPr="00D15F75">
        <w:rPr>
          <w:rFonts w:asciiTheme="majorBidi" w:eastAsia="Times New Roman" w:hAnsiTheme="majorBidi" w:cstheme="majorBidi"/>
          <w:szCs w:val="24"/>
          <w:lang w:val="en-US" w:eastAsia="id-ID"/>
        </w:rPr>
        <w:t>gically, the term legal policy</w:t>
      </w:r>
      <w:r w:rsidRPr="00D15F75">
        <w:rPr>
          <w:rFonts w:asciiTheme="majorBidi" w:eastAsia="Times New Roman" w:hAnsiTheme="majorBidi" w:cstheme="majorBidi"/>
          <w:szCs w:val="24"/>
          <w:lang w:val="en-US" w:eastAsia="id-ID"/>
        </w:rPr>
        <w:t xml:space="preserve"> is from th</w:t>
      </w:r>
      <w:r w:rsidR="00EC064C" w:rsidRPr="00D15F75">
        <w:rPr>
          <w:rFonts w:asciiTheme="majorBidi" w:eastAsia="Times New Roman" w:hAnsiTheme="majorBidi" w:cstheme="majorBidi"/>
          <w:szCs w:val="24"/>
          <w:lang w:val="en-US" w:eastAsia="id-ID"/>
        </w:rPr>
        <w:t>e term Dutch law “</w:t>
      </w:r>
      <w:r w:rsidR="00EC064C" w:rsidRPr="00D15F75">
        <w:rPr>
          <w:rFonts w:asciiTheme="majorBidi" w:eastAsia="Times New Roman" w:hAnsiTheme="majorBidi" w:cstheme="majorBidi"/>
          <w:i/>
          <w:iCs/>
          <w:szCs w:val="24"/>
          <w:lang w:val="en-US" w:eastAsia="id-ID"/>
        </w:rPr>
        <w:t>rechtpolitikek</w:t>
      </w:r>
      <w:r w:rsidR="00EC064C" w:rsidRPr="00D15F75">
        <w:rPr>
          <w:rFonts w:asciiTheme="majorBidi" w:eastAsia="Times New Roman" w:hAnsiTheme="majorBidi" w:cstheme="majorBidi"/>
          <w:szCs w:val="24"/>
          <w:lang w:val="en-US" w:eastAsia="id-ID"/>
        </w:rPr>
        <w:t xml:space="preserve">” </w:t>
      </w:r>
      <w:r w:rsidRPr="00D15F75">
        <w:rPr>
          <w:rFonts w:asciiTheme="majorBidi" w:eastAsia="Times New Roman" w:hAnsiTheme="majorBidi" w:cstheme="majorBidi"/>
          <w:szCs w:val="24"/>
          <w:lang w:val="en-US" w:eastAsia="id-ID"/>
        </w:rPr>
        <w:t>, which is a form of two words "</w:t>
      </w:r>
      <w:r w:rsidRPr="00D15F75">
        <w:rPr>
          <w:rFonts w:asciiTheme="majorBidi" w:eastAsia="Times New Roman" w:hAnsiTheme="majorBidi" w:cstheme="majorBidi"/>
          <w:i/>
          <w:iCs/>
          <w:szCs w:val="24"/>
          <w:lang w:val="en-US" w:eastAsia="id-ID"/>
        </w:rPr>
        <w:t>recht</w:t>
      </w:r>
      <w:r w:rsidRPr="00D15F75">
        <w:rPr>
          <w:rFonts w:asciiTheme="majorBidi" w:eastAsia="Times New Roman" w:hAnsiTheme="majorBidi" w:cstheme="majorBidi"/>
          <w:szCs w:val="24"/>
          <w:lang w:val="en-US" w:eastAsia="id-ID"/>
        </w:rPr>
        <w:t>" and "</w:t>
      </w:r>
      <w:r w:rsidRPr="00D15F75">
        <w:rPr>
          <w:rFonts w:asciiTheme="majorBidi" w:eastAsia="Times New Roman" w:hAnsiTheme="majorBidi" w:cstheme="majorBidi"/>
          <w:i/>
          <w:iCs/>
          <w:szCs w:val="24"/>
          <w:lang w:val="en-US" w:eastAsia="id-ID"/>
        </w:rPr>
        <w:t>Politiek</w:t>
      </w:r>
      <w:r w:rsidRPr="00D15F75">
        <w:rPr>
          <w:rFonts w:asciiTheme="majorBidi" w:eastAsia="Times New Roman" w:hAnsiTheme="majorBidi" w:cstheme="majorBidi"/>
          <w:szCs w:val="24"/>
          <w:lang w:val="en-US" w:eastAsia="id-ID"/>
        </w:rPr>
        <w:t xml:space="preserve">". Both words contain their own </w:t>
      </w:r>
      <w:r w:rsidR="008F2B20" w:rsidRPr="00D15F75">
        <w:rPr>
          <w:rFonts w:asciiTheme="majorBidi" w:eastAsia="Times New Roman" w:hAnsiTheme="majorBidi" w:cstheme="majorBidi"/>
          <w:szCs w:val="24"/>
          <w:lang w:val="en-US" w:eastAsia="id-ID"/>
        </w:rPr>
        <w:t>meaning, so that the words</w:t>
      </w:r>
      <w:r w:rsidR="00760B2E" w:rsidRPr="00D15F75">
        <w:rPr>
          <w:rFonts w:asciiTheme="majorBidi" w:eastAsia="Times New Roman" w:hAnsiTheme="majorBidi" w:cstheme="majorBidi"/>
          <w:szCs w:val="24"/>
          <w:lang w:val="en-US" w:eastAsia="id-ID"/>
        </w:rPr>
        <w:t xml:space="preserve"> give</w:t>
      </w:r>
      <w:r w:rsidRPr="00D15F75">
        <w:rPr>
          <w:rFonts w:asciiTheme="majorBidi" w:eastAsia="Times New Roman" w:hAnsiTheme="majorBidi" w:cstheme="majorBidi"/>
          <w:szCs w:val="24"/>
          <w:lang w:val="en-US" w:eastAsia="id-ID"/>
        </w:rPr>
        <w:t xml:space="preserve"> its own understanding. The sense of cou</w:t>
      </w:r>
      <w:r w:rsidR="008F2B20" w:rsidRPr="00D15F75">
        <w:rPr>
          <w:rFonts w:asciiTheme="majorBidi" w:eastAsia="Times New Roman" w:hAnsiTheme="majorBidi" w:cstheme="majorBidi"/>
          <w:szCs w:val="24"/>
          <w:lang w:val="en-US" w:eastAsia="id-ID"/>
        </w:rPr>
        <w:t xml:space="preserve">rse remains the meaning of </w:t>
      </w:r>
      <w:r w:rsidRPr="00D15F75">
        <w:rPr>
          <w:rFonts w:asciiTheme="majorBidi" w:eastAsia="Times New Roman" w:hAnsiTheme="majorBidi" w:cstheme="majorBidi"/>
          <w:szCs w:val="24"/>
          <w:lang w:val="en-US" w:eastAsia="id-ID"/>
        </w:rPr>
        <w:t>its origins.</w:t>
      </w:r>
      <w:r w:rsidR="00760B2E" w:rsidRPr="00D15F75">
        <w:rPr>
          <w:rFonts w:asciiTheme="majorBidi" w:eastAsia="Times New Roman" w:hAnsiTheme="majorBidi" w:cstheme="majorBidi"/>
          <w:szCs w:val="24"/>
          <w:lang w:val="en-US" w:eastAsia="id-ID"/>
        </w:rPr>
        <w:t xml:space="preserve"> Therefore, to understand the meaning of legal policy it must first be examined by the meaning of the word. Namely “</w:t>
      </w:r>
      <w:r w:rsidR="00760B2E" w:rsidRPr="00D15F75">
        <w:rPr>
          <w:rFonts w:asciiTheme="majorBidi" w:eastAsia="Times New Roman" w:hAnsiTheme="majorBidi" w:cstheme="majorBidi"/>
          <w:i/>
          <w:iCs/>
          <w:szCs w:val="24"/>
          <w:lang w:val="en-US" w:eastAsia="id-ID"/>
        </w:rPr>
        <w:t>Rechtpolitikek</w:t>
      </w:r>
      <w:r w:rsidR="00760B2E" w:rsidRPr="00D15F75">
        <w:rPr>
          <w:rFonts w:asciiTheme="majorBidi" w:eastAsia="Times New Roman" w:hAnsiTheme="majorBidi" w:cstheme="majorBidi"/>
          <w:szCs w:val="24"/>
          <w:lang w:val="en-US" w:eastAsia="id-ID"/>
        </w:rPr>
        <w:t>” or “</w:t>
      </w:r>
      <w:r w:rsidR="00760B2E" w:rsidRPr="00D15F75">
        <w:rPr>
          <w:rFonts w:asciiTheme="majorBidi" w:eastAsia="Times New Roman" w:hAnsiTheme="majorBidi" w:cstheme="majorBidi"/>
          <w:i/>
          <w:iCs/>
          <w:szCs w:val="24"/>
          <w:lang w:val="en-US" w:eastAsia="id-ID"/>
        </w:rPr>
        <w:t>legal polcy</w:t>
      </w:r>
      <w:r w:rsidR="00760B2E" w:rsidRPr="00D15F75">
        <w:rPr>
          <w:rFonts w:asciiTheme="majorBidi" w:eastAsia="Times New Roman" w:hAnsiTheme="majorBidi" w:cstheme="majorBidi"/>
          <w:szCs w:val="24"/>
          <w:lang w:val="en-US" w:eastAsia="id-ID"/>
        </w:rPr>
        <w:t>,” which was explained by Hance Van Maarseveen, the legal policy is related to the law of the State.it is explained in his book "</w:t>
      </w:r>
      <w:r w:rsidR="00760B2E" w:rsidRPr="00D15F75">
        <w:rPr>
          <w:rFonts w:asciiTheme="majorBidi" w:eastAsia="Times New Roman" w:hAnsiTheme="majorBidi" w:cstheme="majorBidi"/>
          <w:i/>
          <w:iCs/>
          <w:szCs w:val="24"/>
          <w:lang w:val="en-US" w:eastAsia="id-ID"/>
        </w:rPr>
        <w:t>Rechtpolitikek</w:t>
      </w:r>
      <w:r w:rsidR="00760B2E" w:rsidRPr="00D15F75">
        <w:rPr>
          <w:rFonts w:asciiTheme="majorBidi" w:eastAsia="Times New Roman" w:hAnsiTheme="majorBidi" w:cstheme="majorBidi"/>
          <w:szCs w:val="24"/>
          <w:lang w:val="en-US" w:eastAsia="id-ID"/>
        </w:rPr>
        <w:t xml:space="preserve">, </w:t>
      </w:r>
      <w:r w:rsidR="00760B2E" w:rsidRPr="00D15F75">
        <w:rPr>
          <w:rFonts w:asciiTheme="majorBidi" w:eastAsia="Times New Roman" w:hAnsiTheme="majorBidi" w:cstheme="majorBidi"/>
          <w:i/>
          <w:iCs/>
          <w:szCs w:val="24"/>
          <w:lang w:val="en-US" w:eastAsia="id-ID"/>
        </w:rPr>
        <w:t>alsopvolger van het Staatrecht”</w:t>
      </w:r>
      <w:r w:rsidR="00786BFA" w:rsidRPr="00D15F75">
        <w:rPr>
          <w:rFonts w:asciiTheme="majorBidi" w:eastAsia="Times New Roman" w:hAnsiTheme="majorBidi" w:cstheme="majorBidi"/>
          <w:i/>
          <w:szCs w:val="24"/>
          <w:lang w:val="en-US" w:eastAsia="id-ID"/>
        </w:rPr>
        <w:t>.</w:t>
      </w:r>
      <w:r w:rsidR="00786BFA" w:rsidRPr="00D15F75">
        <w:rPr>
          <w:rStyle w:val="FootnoteReference"/>
          <w:rFonts w:asciiTheme="majorBidi" w:hAnsiTheme="majorBidi" w:cstheme="majorBidi"/>
          <w:szCs w:val="24"/>
        </w:rPr>
        <w:footnoteReference w:id="2"/>
      </w:r>
    </w:p>
    <w:p w:rsidR="00786BFA" w:rsidRPr="00D15F75" w:rsidRDefault="00786BFA" w:rsidP="00916ABA">
      <w:pPr>
        <w:ind w:firstLine="709"/>
        <w:rPr>
          <w:rFonts w:asciiTheme="majorBidi" w:eastAsia="Times New Roman" w:hAnsiTheme="majorBidi" w:cstheme="majorBidi"/>
          <w:szCs w:val="24"/>
          <w:lang w:val="en-US" w:eastAsia="id-ID"/>
        </w:rPr>
      </w:pPr>
      <w:r w:rsidRPr="00D15F75">
        <w:rPr>
          <w:rFonts w:asciiTheme="majorBidi" w:eastAsia="Times New Roman" w:hAnsiTheme="majorBidi" w:cstheme="majorBidi"/>
          <w:szCs w:val="24"/>
          <w:lang w:val="en-US" w:eastAsia="id-ID"/>
        </w:rPr>
        <w:t>PadmoWahjono</w:t>
      </w:r>
      <w:r w:rsidRPr="00D15F75">
        <w:rPr>
          <w:rStyle w:val="FootnoteReference"/>
          <w:rFonts w:asciiTheme="majorBidi" w:eastAsia="Times New Roman" w:hAnsiTheme="majorBidi" w:cstheme="majorBidi"/>
          <w:szCs w:val="24"/>
          <w:lang w:eastAsia="id-ID"/>
        </w:rPr>
        <w:footnoteReference w:id="3"/>
      </w:r>
      <w:r w:rsidR="00760B2E" w:rsidRPr="00D15F75">
        <w:rPr>
          <w:rFonts w:asciiTheme="majorBidi" w:eastAsia="Times New Roman" w:hAnsiTheme="majorBidi" w:cstheme="majorBidi"/>
          <w:szCs w:val="24"/>
          <w:lang w:val="en-US" w:eastAsia="id-ID"/>
        </w:rPr>
        <w:t>said that legal policy is the basic policy that determines the direction, form, and legal content to be formed. PadmoWahjono in his other writings clarified the definition by saying that legal policy is the state's military policy of what is used as a criteria to maximize a thing in which is includes forming, Implementation, and law enforcement</w:t>
      </w:r>
      <w:r w:rsidRPr="00D15F75">
        <w:rPr>
          <w:rFonts w:asciiTheme="majorBidi" w:eastAsia="Times New Roman" w:hAnsiTheme="majorBidi" w:cstheme="majorBidi"/>
          <w:szCs w:val="24"/>
          <w:lang w:val="en-US" w:eastAsia="id-ID"/>
        </w:rPr>
        <w:t>.</w:t>
      </w:r>
      <w:r w:rsidRPr="00D15F75">
        <w:rPr>
          <w:rStyle w:val="FootnoteReference"/>
          <w:rFonts w:asciiTheme="majorBidi" w:eastAsia="Times New Roman" w:hAnsiTheme="majorBidi" w:cstheme="majorBidi"/>
          <w:szCs w:val="24"/>
          <w:lang w:eastAsia="id-ID"/>
        </w:rPr>
        <w:footnoteReference w:id="4"/>
      </w:r>
    </w:p>
    <w:p w:rsidR="002610D4" w:rsidRPr="00D15F75" w:rsidRDefault="002E3E59" w:rsidP="00341559">
      <w:pPr>
        <w:autoSpaceDE w:val="0"/>
        <w:autoSpaceDN w:val="0"/>
        <w:adjustRightInd w:val="0"/>
        <w:ind w:firstLine="709"/>
        <w:rPr>
          <w:rFonts w:asciiTheme="majorBidi" w:hAnsiTheme="majorBidi" w:cstheme="majorBidi"/>
          <w:szCs w:val="24"/>
          <w:lang w:val="en-US"/>
        </w:rPr>
      </w:pPr>
      <w:r w:rsidRPr="00D15F75">
        <w:rPr>
          <w:rFonts w:asciiTheme="majorBidi" w:hAnsiTheme="majorBidi" w:cstheme="majorBidi"/>
          <w:szCs w:val="24"/>
          <w:lang w:val="en-US"/>
        </w:rPr>
        <w:t>The legal policy</w:t>
      </w:r>
      <w:r w:rsidR="002610D4" w:rsidRPr="00D15F75">
        <w:rPr>
          <w:rFonts w:asciiTheme="majorBidi" w:hAnsiTheme="majorBidi" w:cstheme="majorBidi"/>
          <w:szCs w:val="24"/>
          <w:lang w:val="en-US"/>
        </w:rPr>
        <w:t xml:space="preserve"> of the state of Indonesia based on Pancasila intends to develop religious life and religious law in the life of the nation. The theory of "concentric circles" s</w:t>
      </w:r>
      <w:r w:rsidRPr="00D15F75">
        <w:rPr>
          <w:rFonts w:asciiTheme="majorBidi" w:hAnsiTheme="majorBidi" w:cstheme="majorBidi"/>
          <w:szCs w:val="24"/>
          <w:lang w:val="en-US"/>
        </w:rPr>
        <w:t xml:space="preserve">hows that how strong the relation </w:t>
      </w:r>
      <w:r w:rsidR="002610D4" w:rsidRPr="00D15F75">
        <w:rPr>
          <w:rFonts w:asciiTheme="majorBidi" w:hAnsiTheme="majorBidi" w:cstheme="majorBidi"/>
          <w:szCs w:val="24"/>
          <w:lang w:val="en-US"/>
        </w:rPr>
        <w:t>between religion, law and the state</w:t>
      </w:r>
      <w:r w:rsidRPr="00D15F75">
        <w:rPr>
          <w:rFonts w:asciiTheme="majorBidi" w:hAnsiTheme="majorBidi" w:cstheme="majorBidi"/>
          <w:szCs w:val="24"/>
          <w:lang w:val="en-US"/>
        </w:rPr>
        <w:t>.</w:t>
      </w:r>
    </w:p>
    <w:p w:rsidR="00786BFA" w:rsidRPr="00D15F75" w:rsidRDefault="00E65D39" w:rsidP="00341559">
      <w:pPr>
        <w:autoSpaceDE w:val="0"/>
        <w:autoSpaceDN w:val="0"/>
        <w:adjustRightInd w:val="0"/>
        <w:ind w:firstLine="709"/>
        <w:rPr>
          <w:rFonts w:asciiTheme="majorBidi" w:hAnsiTheme="majorBidi" w:cstheme="majorBidi"/>
          <w:szCs w:val="24"/>
          <w:lang w:val="en-US"/>
        </w:rPr>
      </w:pPr>
      <w:r w:rsidRPr="00D15F75">
        <w:rPr>
          <w:rFonts w:asciiTheme="majorBidi" w:hAnsiTheme="majorBidi" w:cstheme="majorBidi"/>
          <w:szCs w:val="24"/>
          <w:lang w:val="en-US"/>
        </w:rPr>
        <w:t xml:space="preserve">The state based on law and the philosophical of Pancasila protects religious and religious believers, even trying to incorporate religious teachings and religious laws in the life of the </w:t>
      </w:r>
      <w:r w:rsidRPr="00D15F75">
        <w:rPr>
          <w:rFonts w:asciiTheme="majorBidi" w:hAnsiTheme="majorBidi" w:cstheme="majorBidi"/>
          <w:szCs w:val="24"/>
          <w:lang w:val="en-US"/>
        </w:rPr>
        <w:lastRenderedPageBreak/>
        <w:t>nation. Muhammad Hatta stated that in the regulation of the State of the Republic of Indonesia, Islamic sharia based on the Qur'an and Hadith can be used as Indonesian legislation</w:t>
      </w:r>
      <w:r w:rsidR="00786BFA" w:rsidRPr="00D15F75">
        <w:rPr>
          <w:rFonts w:asciiTheme="majorBidi" w:hAnsiTheme="majorBidi" w:cstheme="majorBidi"/>
          <w:szCs w:val="24"/>
        </w:rPr>
        <w:t>.</w:t>
      </w:r>
      <w:r w:rsidR="00786BFA" w:rsidRPr="00D15F75">
        <w:rPr>
          <w:rStyle w:val="FootnoteReference"/>
          <w:rFonts w:asciiTheme="majorBidi" w:hAnsiTheme="majorBidi" w:cstheme="majorBidi"/>
          <w:szCs w:val="24"/>
        </w:rPr>
        <w:footnoteReference w:id="5"/>
      </w:r>
    </w:p>
    <w:p w:rsidR="009C4590" w:rsidRPr="00D15F75" w:rsidRDefault="00E65D39" w:rsidP="00341559">
      <w:pPr>
        <w:autoSpaceDE w:val="0"/>
        <w:autoSpaceDN w:val="0"/>
        <w:adjustRightInd w:val="0"/>
        <w:ind w:firstLine="709"/>
        <w:rPr>
          <w:rFonts w:asciiTheme="majorBidi" w:hAnsiTheme="majorBidi" w:cstheme="majorBidi"/>
          <w:szCs w:val="24"/>
          <w:lang w:val="en-US"/>
        </w:rPr>
      </w:pPr>
      <w:r w:rsidRPr="00D15F75">
        <w:rPr>
          <w:rFonts w:asciiTheme="majorBidi" w:hAnsiTheme="majorBidi" w:cstheme="majorBidi"/>
          <w:szCs w:val="24"/>
        </w:rPr>
        <w:t xml:space="preserve">Pancasila as the philosophy of the State, the basis of the </w:t>
      </w:r>
      <w:r w:rsidRPr="00D15F75">
        <w:rPr>
          <w:rFonts w:asciiTheme="majorBidi" w:hAnsiTheme="majorBidi" w:cstheme="majorBidi"/>
          <w:szCs w:val="24"/>
          <w:lang w:val="en-US"/>
        </w:rPr>
        <w:t>state</w:t>
      </w:r>
      <w:r w:rsidRPr="00D15F75">
        <w:rPr>
          <w:rFonts w:asciiTheme="majorBidi" w:hAnsiTheme="majorBidi" w:cstheme="majorBidi"/>
          <w:szCs w:val="24"/>
        </w:rPr>
        <w:t xml:space="preserve"> and the </w:t>
      </w:r>
      <w:r w:rsidRPr="00D15F75">
        <w:rPr>
          <w:rFonts w:asciiTheme="majorBidi" w:hAnsiTheme="majorBidi" w:cstheme="majorBidi"/>
          <w:szCs w:val="24"/>
          <w:lang w:val="en-US"/>
        </w:rPr>
        <w:t>basic law</w:t>
      </w:r>
      <w:r w:rsidRPr="00D15F75">
        <w:rPr>
          <w:rFonts w:asciiTheme="majorBidi" w:hAnsiTheme="majorBidi" w:cstheme="majorBidi"/>
          <w:szCs w:val="24"/>
        </w:rPr>
        <w:t xml:space="preserve"> occupied religious and religious laws in a fundamental position.  In the national law, the </w:t>
      </w:r>
      <w:r w:rsidRPr="00D15F75">
        <w:rPr>
          <w:rFonts w:asciiTheme="majorBidi" w:hAnsiTheme="majorBidi" w:cstheme="majorBidi"/>
          <w:szCs w:val="24"/>
          <w:lang w:val="en-US"/>
        </w:rPr>
        <w:t>religious law</w:t>
      </w:r>
      <w:r w:rsidRPr="00D15F75">
        <w:rPr>
          <w:rFonts w:asciiTheme="majorBidi" w:hAnsiTheme="majorBidi" w:cstheme="majorBidi"/>
          <w:szCs w:val="24"/>
        </w:rPr>
        <w:t xml:space="preserve"> as the form of practice is the</w:t>
      </w:r>
      <w:r w:rsidRPr="00D15F75">
        <w:rPr>
          <w:rFonts w:asciiTheme="majorBidi" w:hAnsiTheme="majorBidi" w:cstheme="majorBidi"/>
          <w:szCs w:val="24"/>
          <w:lang w:val="en-US"/>
        </w:rPr>
        <w:t xml:space="preserve"> first</w:t>
      </w:r>
      <w:r w:rsidRPr="00D15F75">
        <w:rPr>
          <w:rFonts w:asciiTheme="majorBidi" w:hAnsiTheme="majorBidi" w:cstheme="majorBidi"/>
          <w:szCs w:val="24"/>
        </w:rPr>
        <w:t xml:space="preserve"> Sila </w:t>
      </w:r>
      <w:r w:rsidRPr="00D15F75">
        <w:rPr>
          <w:rFonts w:asciiTheme="majorBidi" w:hAnsiTheme="majorBidi" w:cstheme="majorBidi"/>
          <w:szCs w:val="24"/>
          <w:lang w:val="en-US"/>
        </w:rPr>
        <w:t xml:space="preserve">“ Belief in one supreme God” </w:t>
      </w:r>
      <w:r w:rsidRPr="00D15F75">
        <w:rPr>
          <w:rFonts w:asciiTheme="majorBidi" w:hAnsiTheme="majorBidi" w:cstheme="majorBidi"/>
          <w:szCs w:val="24"/>
        </w:rPr>
        <w:t>is a legal element and legal material, even the soul and spirit of national law</w:t>
      </w:r>
      <w:r w:rsidR="00786BFA" w:rsidRPr="00D15F75">
        <w:rPr>
          <w:rFonts w:asciiTheme="majorBidi" w:hAnsiTheme="majorBidi" w:cstheme="majorBidi"/>
          <w:szCs w:val="24"/>
        </w:rPr>
        <w:t>.</w:t>
      </w:r>
      <w:r w:rsidR="00786BFA" w:rsidRPr="00D15F75">
        <w:rPr>
          <w:rStyle w:val="FootnoteReference"/>
          <w:rFonts w:asciiTheme="majorBidi" w:hAnsiTheme="majorBidi" w:cstheme="majorBidi"/>
          <w:szCs w:val="24"/>
        </w:rPr>
        <w:footnoteReference w:id="6"/>
      </w:r>
      <w:r w:rsidR="009C4590" w:rsidRPr="00D15F75">
        <w:rPr>
          <w:rFonts w:asciiTheme="majorBidi" w:hAnsiTheme="majorBidi" w:cstheme="majorBidi"/>
          <w:szCs w:val="24"/>
          <w:lang w:val="en-US"/>
        </w:rPr>
        <w:t>On the construction of national law,</w:t>
      </w:r>
      <w:r w:rsidR="00120A45" w:rsidRPr="00D15F75">
        <w:rPr>
          <w:rFonts w:asciiTheme="majorBidi" w:hAnsiTheme="majorBidi" w:cstheme="majorBidi"/>
          <w:szCs w:val="24"/>
          <w:lang w:val="en-US"/>
        </w:rPr>
        <w:t xml:space="preserve"> it is</w:t>
      </w:r>
      <w:r w:rsidR="009C4590" w:rsidRPr="00D15F75">
        <w:rPr>
          <w:rFonts w:asciiTheme="majorBidi" w:hAnsiTheme="majorBidi" w:cstheme="majorBidi"/>
          <w:szCs w:val="24"/>
          <w:lang w:val="en-US"/>
        </w:rPr>
        <w:t xml:space="preserve"> including building a national law which in this case is Islamic law. Religious judicial law is the embodiment and development of Islamic law as </w:t>
      </w:r>
      <w:r w:rsidR="00120A45" w:rsidRPr="00D15F75">
        <w:rPr>
          <w:rFonts w:asciiTheme="majorBidi" w:hAnsiTheme="majorBidi" w:cstheme="majorBidi"/>
          <w:szCs w:val="24"/>
          <w:lang w:val="en-US"/>
        </w:rPr>
        <w:t>well as supporting the creation of national law.</w:t>
      </w:r>
    </w:p>
    <w:p w:rsidR="009C4590" w:rsidRPr="00D15F75" w:rsidRDefault="009C4590" w:rsidP="00341559">
      <w:pPr>
        <w:autoSpaceDE w:val="0"/>
        <w:autoSpaceDN w:val="0"/>
        <w:adjustRightInd w:val="0"/>
        <w:ind w:firstLine="709"/>
        <w:rPr>
          <w:rFonts w:asciiTheme="majorBidi" w:hAnsiTheme="majorBidi" w:cstheme="majorBidi"/>
          <w:szCs w:val="24"/>
          <w:lang w:val="en-US"/>
        </w:rPr>
      </w:pPr>
      <w:r w:rsidRPr="00D15F75">
        <w:rPr>
          <w:rFonts w:asciiTheme="majorBidi" w:hAnsiTheme="majorBidi" w:cstheme="majorBidi"/>
          <w:szCs w:val="24"/>
        </w:rPr>
        <w:t>Islamic law reflects the Indonesian norms of the majority of Muslims. As recognized by Daniel</w:t>
      </w:r>
      <w:r w:rsidR="00E65D39" w:rsidRPr="00D15F75">
        <w:rPr>
          <w:rFonts w:asciiTheme="majorBidi" w:hAnsiTheme="majorBidi" w:cstheme="majorBidi"/>
          <w:szCs w:val="24"/>
          <w:lang w:val="en-US"/>
        </w:rPr>
        <w:t xml:space="preserve"> S</w:t>
      </w:r>
      <w:r w:rsidRPr="00D15F75">
        <w:rPr>
          <w:rFonts w:asciiTheme="majorBidi" w:hAnsiTheme="majorBidi" w:cstheme="majorBidi"/>
          <w:szCs w:val="24"/>
        </w:rPr>
        <w:t xml:space="preserve"> Lev, before the archipelago was united by a Dutch colonial g</w:t>
      </w:r>
      <w:r w:rsidR="00E65D39" w:rsidRPr="00D15F75">
        <w:rPr>
          <w:rFonts w:asciiTheme="majorBidi" w:hAnsiTheme="majorBidi" w:cstheme="majorBidi"/>
          <w:szCs w:val="24"/>
        </w:rPr>
        <w:t xml:space="preserve">overnment, the Islamic law </w:t>
      </w:r>
      <w:r w:rsidR="00E65D39" w:rsidRPr="00D15F75">
        <w:rPr>
          <w:rFonts w:asciiTheme="majorBidi" w:hAnsiTheme="majorBidi" w:cstheme="majorBidi"/>
          <w:szCs w:val="24"/>
          <w:lang w:val="en-US"/>
        </w:rPr>
        <w:t>has</w:t>
      </w:r>
      <w:r w:rsidRPr="00D15F75">
        <w:rPr>
          <w:rFonts w:asciiTheme="majorBidi" w:hAnsiTheme="majorBidi" w:cstheme="majorBidi"/>
          <w:szCs w:val="24"/>
        </w:rPr>
        <w:t xml:space="preserve"> unified the majority of the Indonesian people</w:t>
      </w:r>
    </w:p>
    <w:p w:rsidR="009C4590" w:rsidRPr="00D15F75" w:rsidRDefault="00E65D39" w:rsidP="00341559">
      <w:pPr>
        <w:autoSpaceDE w:val="0"/>
        <w:autoSpaceDN w:val="0"/>
        <w:adjustRightInd w:val="0"/>
        <w:ind w:firstLine="709"/>
        <w:rPr>
          <w:rFonts w:asciiTheme="majorBidi" w:hAnsiTheme="majorBidi" w:cstheme="majorBidi"/>
          <w:szCs w:val="24"/>
          <w:lang w:val="en-US"/>
        </w:rPr>
      </w:pPr>
      <w:r w:rsidRPr="00D15F75">
        <w:rPr>
          <w:rFonts w:asciiTheme="majorBidi" w:hAnsiTheme="majorBidi" w:cstheme="majorBidi"/>
          <w:szCs w:val="24"/>
          <w:lang w:val="en-US"/>
        </w:rPr>
        <w:t>This is a fact that Islamic law has become a positive part of Indonesia's law.</w:t>
      </w:r>
      <w:r w:rsidR="00786BFA" w:rsidRPr="00D15F75">
        <w:rPr>
          <w:rStyle w:val="FootnoteReference"/>
          <w:rFonts w:asciiTheme="majorBidi" w:hAnsiTheme="majorBidi" w:cstheme="majorBidi"/>
          <w:szCs w:val="24"/>
        </w:rPr>
        <w:footnoteReference w:id="7"/>
      </w:r>
      <w:r w:rsidR="009C4590" w:rsidRPr="00D15F75">
        <w:rPr>
          <w:rFonts w:asciiTheme="majorBidi" w:hAnsiTheme="majorBidi" w:cstheme="majorBidi"/>
          <w:szCs w:val="24"/>
          <w:lang w:val="en-US"/>
        </w:rPr>
        <w:t xml:space="preserve">The existence of religious justice based on Islamic law is a reflection of </w:t>
      </w:r>
      <w:r w:rsidRPr="00D15F75">
        <w:rPr>
          <w:rFonts w:asciiTheme="majorBidi" w:hAnsiTheme="majorBidi" w:cstheme="majorBidi"/>
          <w:szCs w:val="24"/>
          <w:lang w:val="en-US"/>
        </w:rPr>
        <w:t>Indonesian</w:t>
      </w:r>
      <w:r w:rsidR="009C4590" w:rsidRPr="00D15F75">
        <w:rPr>
          <w:rFonts w:asciiTheme="majorBidi" w:hAnsiTheme="majorBidi" w:cstheme="majorBidi"/>
          <w:szCs w:val="24"/>
          <w:lang w:val="en-US"/>
        </w:rPr>
        <w:t xml:space="preserve"> majority </w:t>
      </w:r>
      <w:r w:rsidR="00120A45" w:rsidRPr="00D15F75">
        <w:rPr>
          <w:rFonts w:asciiTheme="majorBidi" w:hAnsiTheme="majorBidi" w:cstheme="majorBidi"/>
          <w:szCs w:val="24"/>
          <w:lang w:val="en-US"/>
        </w:rPr>
        <w:t>norms as Muslim</w:t>
      </w:r>
      <w:r w:rsidR="009C4590" w:rsidRPr="00D15F75">
        <w:rPr>
          <w:rFonts w:asciiTheme="majorBidi" w:hAnsiTheme="majorBidi" w:cstheme="majorBidi"/>
          <w:szCs w:val="24"/>
          <w:lang w:val="en-US"/>
        </w:rPr>
        <w:t>. Islamic law has become a living law in Indonesian society since Islam began to thrive in the archipelago.</w:t>
      </w:r>
    </w:p>
    <w:p w:rsidR="009C4590" w:rsidRPr="00D15F75" w:rsidRDefault="009C4590" w:rsidP="00341559">
      <w:pPr>
        <w:autoSpaceDE w:val="0"/>
        <w:autoSpaceDN w:val="0"/>
        <w:adjustRightInd w:val="0"/>
        <w:ind w:firstLine="709"/>
        <w:rPr>
          <w:rFonts w:asciiTheme="majorBidi" w:hAnsiTheme="majorBidi" w:cstheme="majorBidi"/>
          <w:szCs w:val="24"/>
          <w:lang w:val="en-US"/>
        </w:rPr>
      </w:pPr>
      <w:r w:rsidRPr="00D15F75">
        <w:rPr>
          <w:rFonts w:asciiTheme="majorBidi" w:hAnsiTheme="majorBidi" w:cstheme="majorBidi"/>
          <w:szCs w:val="24"/>
          <w:lang w:val="en-US"/>
        </w:rPr>
        <w:t xml:space="preserve">The legitimacy of </w:t>
      </w:r>
      <w:r w:rsidR="00120A45" w:rsidRPr="00D15F75">
        <w:rPr>
          <w:rFonts w:asciiTheme="majorBidi" w:hAnsiTheme="majorBidi" w:cstheme="majorBidi"/>
          <w:szCs w:val="24"/>
          <w:lang w:val="en-US"/>
        </w:rPr>
        <w:t xml:space="preserve">law </w:t>
      </w:r>
      <w:r w:rsidRPr="00D15F75">
        <w:rPr>
          <w:rFonts w:asciiTheme="majorBidi" w:hAnsiTheme="majorBidi" w:cstheme="majorBidi"/>
          <w:szCs w:val="24"/>
          <w:lang w:val="en-US"/>
        </w:rPr>
        <w:t>regulations and jurisprudence and expert o</w:t>
      </w:r>
      <w:r w:rsidR="00120A45" w:rsidRPr="00D15F75">
        <w:rPr>
          <w:rFonts w:asciiTheme="majorBidi" w:hAnsiTheme="majorBidi" w:cstheme="majorBidi"/>
          <w:szCs w:val="24"/>
          <w:lang w:val="en-US"/>
        </w:rPr>
        <w:t xml:space="preserve">pinions are very influential in Muslim society </w:t>
      </w:r>
      <w:r w:rsidRPr="00D15F75">
        <w:rPr>
          <w:rFonts w:asciiTheme="majorBidi" w:hAnsiTheme="majorBidi" w:cstheme="majorBidi"/>
          <w:szCs w:val="24"/>
          <w:lang w:val="en-US"/>
        </w:rPr>
        <w:t>in Indonesia. From the results of the product where</w:t>
      </w:r>
      <w:r w:rsidR="00120A45" w:rsidRPr="00D15F75">
        <w:rPr>
          <w:rFonts w:asciiTheme="majorBidi" w:hAnsiTheme="majorBidi" w:cstheme="majorBidi"/>
          <w:szCs w:val="24"/>
          <w:lang w:val="en-US"/>
        </w:rPr>
        <w:t xml:space="preserve"> is</w:t>
      </w:r>
      <w:r w:rsidRPr="00D15F75">
        <w:rPr>
          <w:rFonts w:asciiTheme="majorBidi" w:hAnsiTheme="majorBidi" w:cstheme="majorBidi"/>
          <w:szCs w:val="24"/>
          <w:lang w:val="en-US"/>
        </w:rPr>
        <w:t xml:space="preserve"> the concept of Al Quran and Al Hadith as way of life for Muslims can be applied to the life of nation and state.</w:t>
      </w:r>
      <w:r w:rsidR="00BC4AB0">
        <w:rPr>
          <w:rFonts w:asciiTheme="majorBidi" w:hAnsiTheme="majorBidi" w:cstheme="majorBidi"/>
          <w:szCs w:val="24"/>
        </w:rPr>
        <w:t xml:space="preserve"> </w:t>
      </w:r>
      <w:r w:rsidR="003F5223" w:rsidRPr="00D15F75">
        <w:rPr>
          <w:rFonts w:asciiTheme="majorBidi" w:hAnsiTheme="majorBidi" w:cstheme="majorBidi"/>
          <w:szCs w:val="24"/>
          <w:lang w:val="en-US"/>
        </w:rPr>
        <w:t>One example is Law Act Number 7 year 1989 on Religious Court, Law Act Number3 year 2006 on amendment of Law Act Number 7 Year 1989 on Religious Court, and Law Act Number</w:t>
      </w:r>
      <w:r w:rsidRPr="00D15F75">
        <w:rPr>
          <w:rFonts w:asciiTheme="majorBidi" w:hAnsiTheme="majorBidi" w:cstheme="majorBidi"/>
          <w:szCs w:val="24"/>
          <w:lang w:val="en-US"/>
        </w:rPr>
        <w:t xml:space="preserve"> 50 year 2009 on Second amend</w:t>
      </w:r>
      <w:r w:rsidR="003F5223" w:rsidRPr="00D15F75">
        <w:rPr>
          <w:rFonts w:asciiTheme="majorBidi" w:hAnsiTheme="majorBidi" w:cstheme="majorBidi"/>
          <w:szCs w:val="24"/>
          <w:lang w:val="en-US"/>
        </w:rPr>
        <w:t>ment of Law Act Number 7 Year 1989 on Religious C</w:t>
      </w:r>
      <w:r w:rsidRPr="00D15F75">
        <w:rPr>
          <w:rFonts w:asciiTheme="majorBidi" w:hAnsiTheme="majorBidi" w:cstheme="majorBidi"/>
          <w:szCs w:val="24"/>
          <w:lang w:val="en-US"/>
        </w:rPr>
        <w:t xml:space="preserve">ourt.These three laws </w:t>
      </w:r>
      <w:r w:rsidR="003F5223" w:rsidRPr="00D15F75">
        <w:rPr>
          <w:rFonts w:asciiTheme="majorBidi" w:hAnsiTheme="majorBidi" w:cstheme="majorBidi"/>
          <w:szCs w:val="24"/>
          <w:lang w:val="en-US"/>
        </w:rPr>
        <w:t xml:space="preserve">Act </w:t>
      </w:r>
      <w:r w:rsidRPr="00D15F75">
        <w:rPr>
          <w:rFonts w:asciiTheme="majorBidi" w:hAnsiTheme="majorBidi" w:cstheme="majorBidi"/>
          <w:szCs w:val="24"/>
          <w:lang w:val="en-US"/>
        </w:rPr>
        <w:t>are the existence of Indonesian Islamic law which has been fortified into the positive law of Indonesia, where the arrangement describes how the duties and a</w:t>
      </w:r>
      <w:r w:rsidR="003F5223" w:rsidRPr="00D15F75">
        <w:rPr>
          <w:rFonts w:asciiTheme="majorBidi" w:hAnsiTheme="majorBidi" w:cstheme="majorBidi"/>
          <w:szCs w:val="24"/>
          <w:lang w:val="en-US"/>
        </w:rPr>
        <w:t>uthority of the religious court</w:t>
      </w:r>
      <w:r w:rsidRPr="00D15F75">
        <w:rPr>
          <w:rFonts w:asciiTheme="majorBidi" w:hAnsiTheme="majorBidi" w:cstheme="majorBidi"/>
          <w:szCs w:val="24"/>
          <w:lang w:val="en-US"/>
        </w:rPr>
        <w:t xml:space="preserve"> in the cas</w:t>
      </w:r>
      <w:r w:rsidR="007B5FBB" w:rsidRPr="00D15F75">
        <w:rPr>
          <w:rFonts w:asciiTheme="majorBidi" w:hAnsiTheme="majorBidi" w:cstheme="majorBidi"/>
          <w:szCs w:val="24"/>
          <w:lang w:val="en-US"/>
        </w:rPr>
        <w:t xml:space="preserve">e of examining and solving disputes base on </w:t>
      </w:r>
      <w:r w:rsidRPr="00D15F75">
        <w:rPr>
          <w:rFonts w:asciiTheme="majorBidi" w:hAnsiTheme="majorBidi" w:cstheme="majorBidi"/>
          <w:szCs w:val="24"/>
          <w:lang w:val="en-US"/>
        </w:rPr>
        <w:t>Islamic law.</w:t>
      </w:r>
    </w:p>
    <w:p w:rsidR="009C4590" w:rsidRPr="00D15F75" w:rsidRDefault="009C4590" w:rsidP="00341559">
      <w:pPr>
        <w:autoSpaceDE w:val="0"/>
        <w:autoSpaceDN w:val="0"/>
        <w:adjustRightInd w:val="0"/>
        <w:ind w:firstLine="709"/>
        <w:rPr>
          <w:rFonts w:asciiTheme="majorBidi" w:hAnsiTheme="majorBidi" w:cstheme="majorBidi"/>
          <w:szCs w:val="24"/>
          <w:lang w:val="en-US"/>
        </w:rPr>
      </w:pPr>
      <w:r w:rsidRPr="00D15F75">
        <w:rPr>
          <w:rFonts w:asciiTheme="majorBidi" w:hAnsiTheme="majorBidi" w:cstheme="majorBidi"/>
          <w:szCs w:val="24"/>
          <w:lang w:val="en-US"/>
        </w:rPr>
        <w:t xml:space="preserve">The religious court which is one of the courts </w:t>
      </w:r>
      <w:r w:rsidR="007B5FBB" w:rsidRPr="00D15F75">
        <w:rPr>
          <w:rFonts w:asciiTheme="majorBidi" w:hAnsiTheme="majorBidi" w:cstheme="majorBidi"/>
          <w:szCs w:val="24"/>
          <w:lang w:val="en-US"/>
        </w:rPr>
        <w:t xml:space="preserve">under the Supreme Court </w:t>
      </w:r>
      <w:r w:rsidRPr="00D15F75">
        <w:rPr>
          <w:rFonts w:asciiTheme="majorBidi" w:hAnsiTheme="majorBidi" w:cstheme="majorBidi"/>
          <w:szCs w:val="24"/>
          <w:lang w:val="en-US"/>
        </w:rPr>
        <w:t>has t</w:t>
      </w:r>
      <w:r w:rsidR="007B5FBB" w:rsidRPr="00D15F75">
        <w:rPr>
          <w:rFonts w:asciiTheme="majorBidi" w:hAnsiTheme="majorBidi" w:cstheme="majorBidi"/>
          <w:szCs w:val="24"/>
          <w:lang w:val="en-US"/>
        </w:rPr>
        <w:t>he duty and authority to examine, solve, and settle the disputes</w:t>
      </w:r>
      <w:r w:rsidRPr="00D15F75">
        <w:rPr>
          <w:rFonts w:asciiTheme="majorBidi" w:hAnsiTheme="majorBidi" w:cstheme="majorBidi"/>
          <w:szCs w:val="24"/>
          <w:lang w:val="en-US"/>
        </w:rPr>
        <w:t xml:space="preserve"> in the first level between the </w:t>
      </w:r>
      <w:r w:rsidR="007B5FBB" w:rsidRPr="00D15F75">
        <w:rPr>
          <w:rFonts w:asciiTheme="majorBidi" w:hAnsiTheme="majorBidi" w:cstheme="majorBidi"/>
          <w:szCs w:val="24"/>
          <w:lang w:val="en-US"/>
        </w:rPr>
        <w:t xml:space="preserve">Muslim </w:t>
      </w:r>
      <w:r w:rsidRPr="00D15F75">
        <w:rPr>
          <w:rFonts w:asciiTheme="majorBidi" w:hAnsiTheme="majorBidi" w:cstheme="majorBidi"/>
          <w:szCs w:val="24"/>
          <w:lang w:val="en-US"/>
        </w:rPr>
        <w:t>people in the field of Marriage, heir, testament, Gra</w:t>
      </w:r>
      <w:r w:rsidR="007B5FBB" w:rsidRPr="00D15F75">
        <w:rPr>
          <w:rFonts w:asciiTheme="majorBidi" w:hAnsiTheme="majorBidi" w:cstheme="majorBidi"/>
          <w:szCs w:val="24"/>
          <w:lang w:val="en-US"/>
        </w:rPr>
        <w:t>nt, Waqf, Zakat, Infaq, Sadaqah and the</w:t>
      </w:r>
      <w:r w:rsidRPr="00D15F75">
        <w:rPr>
          <w:rFonts w:asciiTheme="majorBidi" w:hAnsiTheme="majorBidi" w:cstheme="majorBidi"/>
          <w:szCs w:val="24"/>
          <w:lang w:val="en-US"/>
        </w:rPr>
        <w:t xml:space="preserve"> sharia econom</w:t>
      </w:r>
      <w:r w:rsidR="007B5FBB" w:rsidRPr="00D15F75">
        <w:rPr>
          <w:rFonts w:asciiTheme="majorBidi" w:hAnsiTheme="majorBidi" w:cstheme="majorBidi"/>
          <w:szCs w:val="24"/>
          <w:lang w:val="en-US"/>
        </w:rPr>
        <w:t xml:space="preserve">y as contained in article 49 Law Act Number 3 year 2006 on amendment of Law Number </w:t>
      </w:r>
      <w:r w:rsidRPr="00D15F75">
        <w:rPr>
          <w:rFonts w:asciiTheme="majorBidi" w:hAnsiTheme="majorBidi" w:cstheme="majorBidi"/>
          <w:szCs w:val="24"/>
          <w:lang w:val="en-US"/>
        </w:rPr>
        <w:t xml:space="preserve">7 Year 1989 on religious court.The </w:t>
      </w:r>
      <w:r w:rsidR="007B5FBB" w:rsidRPr="00D15F75">
        <w:rPr>
          <w:rFonts w:asciiTheme="majorBidi" w:hAnsiTheme="majorBidi" w:cstheme="majorBidi"/>
          <w:szCs w:val="24"/>
          <w:lang w:val="en-US"/>
        </w:rPr>
        <w:t xml:space="preserve">religious court </w:t>
      </w:r>
      <w:r w:rsidRPr="00D15F75">
        <w:rPr>
          <w:rFonts w:asciiTheme="majorBidi" w:hAnsiTheme="majorBidi" w:cstheme="majorBidi"/>
          <w:szCs w:val="24"/>
          <w:lang w:val="en-US"/>
        </w:rPr>
        <w:t xml:space="preserve">in carrying out their duties and authorities must </w:t>
      </w:r>
      <w:r w:rsidR="007B5FBB" w:rsidRPr="00D15F75">
        <w:rPr>
          <w:rFonts w:asciiTheme="majorBidi" w:hAnsiTheme="majorBidi" w:cstheme="majorBidi"/>
          <w:szCs w:val="24"/>
          <w:lang w:val="en-US"/>
        </w:rPr>
        <w:t>use simple, fast and low costs in solving</w:t>
      </w:r>
      <w:r w:rsidRPr="00D15F75">
        <w:rPr>
          <w:rFonts w:asciiTheme="majorBidi" w:hAnsiTheme="majorBidi" w:cstheme="majorBidi"/>
          <w:szCs w:val="24"/>
          <w:lang w:val="en-US"/>
        </w:rPr>
        <w:t xml:space="preserve"> the case.</w:t>
      </w:r>
    </w:p>
    <w:p w:rsidR="009C4590" w:rsidRPr="00D15F75" w:rsidRDefault="009C4590" w:rsidP="00341559">
      <w:pPr>
        <w:autoSpaceDE w:val="0"/>
        <w:autoSpaceDN w:val="0"/>
        <w:adjustRightInd w:val="0"/>
        <w:ind w:firstLine="709"/>
        <w:rPr>
          <w:rFonts w:asciiTheme="majorBidi" w:hAnsiTheme="majorBidi" w:cstheme="majorBidi"/>
          <w:szCs w:val="24"/>
          <w:lang w:val="en-US"/>
        </w:rPr>
      </w:pPr>
      <w:r w:rsidRPr="00D15F75">
        <w:rPr>
          <w:rFonts w:asciiTheme="majorBidi" w:hAnsiTheme="majorBidi" w:cstheme="majorBidi"/>
          <w:szCs w:val="24"/>
          <w:lang w:val="en-US"/>
        </w:rPr>
        <w:t>The</w:t>
      </w:r>
      <w:r w:rsidR="007B5FBB" w:rsidRPr="00D15F75">
        <w:rPr>
          <w:rFonts w:asciiTheme="majorBidi" w:hAnsiTheme="majorBidi" w:cstheme="majorBidi"/>
          <w:szCs w:val="24"/>
          <w:lang w:val="en-US"/>
        </w:rPr>
        <w:t>refore, it</w:t>
      </w:r>
      <w:r w:rsidRPr="00D15F75">
        <w:rPr>
          <w:rFonts w:asciiTheme="majorBidi" w:hAnsiTheme="majorBidi" w:cstheme="majorBidi"/>
          <w:szCs w:val="24"/>
          <w:lang w:val="en-US"/>
        </w:rPr>
        <w:t xml:space="preserve"> almost e</w:t>
      </w:r>
      <w:r w:rsidR="00061FCD" w:rsidRPr="00D15F75">
        <w:rPr>
          <w:rFonts w:asciiTheme="majorBidi" w:hAnsiTheme="majorBidi" w:cstheme="majorBidi"/>
          <w:szCs w:val="24"/>
          <w:lang w:val="en-US"/>
        </w:rPr>
        <w:t xml:space="preserve">very year </w:t>
      </w:r>
      <w:r w:rsidR="000412A7" w:rsidRPr="00D15F75">
        <w:rPr>
          <w:rFonts w:asciiTheme="majorBidi" w:hAnsiTheme="majorBidi" w:cstheme="majorBidi"/>
          <w:szCs w:val="24"/>
          <w:lang w:val="en-US"/>
        </w:rPr>
        <w:t xml:space="preserve">religious court </w:t>
      </w:r>
      <w:r w:rsidR="00061FCD" w:rsidRPr="00D15F75">
        <w:rPr>
          <w:rFonts w:asciiTheme="majorBidi" w:hAnsiTheme="majorBidi" w:cstheme="majorBidi"/>
          <w:szCs w:val="24"/>
          <w:lang w:val="en-US"/>
        </w:rPr>
        <w:t>remain</w:t>
      </w:r>
      <w:r w:rsidR="000412A7" w:rsidRPr="00D15F75">
        <w:rPr>
          <w:rFonts w:asciiTheme="majorBidi" w:hAnsiTheme="majorBidi" w:cstheme="majorBidi"/>
          <w:szCs w:val="24"/>
          <w:lang w:val="en-US"/>
        </w:rPr>
        <w:t>ing</w:t>
      </w:r>
      <w:r w:rsidR="00061FCD" w:rsidRPr="00D15F75">
        <w:rPr>
          <w:rFonts w:asciiTheme="majorBidi" w:hAnsiTheme="majorBidi" w:cstheme="majorBidi"/>
          <w:szCs w:val="24"/>
          <w:lang w:val="en-US"/>
        </w:rPr>
        <w:t xml:space="preserve"> of </w:t>
      </w:r>
      <w:r w:rsidR="000412A7" w:rsidRPr="00D15F75">
        <w:rPr>
          <w:rFonts w:asciiTheme="majorBidi" w:hAnsiTheme="majorBidi" w:cstheme="majorBidi"/>
          <w:szCs w:val="24"/>
          <w:lang w:val="en-US"/>
        </w:rPr>
        <w:t xml:space="preserve">burden </w:t>
      </w:r>
      <w:r w:rsidR="00061FCD" w:rsidRPr="00D15F75">
        <w:rPr>
          <w:rFonts w:asciiTheme="majorBidi" w:hAnsiTheme="majorBidi" w:cstheme="majorBidi"/>
          <w:szCs w:val="24"/>
          <w:lang w:val="en-US"/>
        </w:rPr>
        <w:t xml:space="preserve">dispute </w:t>
      </w:r>
      <w:r w:rsidRPr="00D15F75">
        <w:rPr>
          <w:rFonts w:asciiTheme="majorBidi" w:hAnsiTheme="majorBidi" w:cstheme="majorBidi"/>
          <w:szCs w:val="24"/>
          <w:lang w:val="en-US"/>
        </w:rPr>
        <w:t>which is the burden</w:t>
      </w:r>
      <w:r w:rsidR="000412A7" w:rsidRPr="00D15F75">
        <w:rPr>
          <w:rFonts w:asciiTheme="majorBidi" w:hAnsiTheme="majorBidi" w:cstheme="majorBidi"/>
          <w:szCs w:val="24"/>
          <w:lang w:val="en-US"/>
        </w:rPr>
        <w:t xml:space="preserve"> of the following year. </w:t>
      </w:r>
      <w:r w:rsidR="000412A7" w:rsidRPr="00D15F75">
        <w:rPr>
          <w:rStyle w:val="FootnoteReference"/>
          <w:rFonts w:asciiTheme="majorBidi" w:hAnsiTheme="majorBidi" w:cstheme="majorBidi"/>
          <w:szCs w:val="24"/>
        </w:rPr>
        <w:footnoteReference w:id="8"/>
      </w:r>
      <w:r w:rsidR="000412A7" w:rsidRPr="00D15F75">
        <w:rPr>
          <w:rFonts w:asciiTheme="majorBidi" w:hAnsiTheme="majorBidi" w:cstheme="majorBidi"/>
          <w:szCs w:val="24"/>
          <w:lang w:val="en-US"/>
        </w:rPr>
        <w:t xml:space="preserve"> So that, it is need</w:t>
      </w:r>
      <w:r w:rsidRPr="00D15F75">
        <w:rPr>
          <w:rFonts w:asciiTheme="majorBidi" w:hAnsiTheme="majorBidi" w:cstheme="majorBidi"/>
          <w:szCs w:val="24"/>
          <w:lang w:val="en-US"/>
        </w:rPr>
        <w:t xml:space="preserve"> a new breakthrough to redu</w:t>
      </w:r>
      <w:r w:rsidR="00061FCD" w:rsidRPr="00D15F75">
        <w:rPr>
          <w:rFonts w:asciiTheme="majorBidi" w:hAnsiTheme="majorBidi" w:cstheme="majorBidi"/>
          <w:szCs w:val="24"/>
          <w:lang w:val="en-US"/>
        </w:rPr>
        <w:t>ce the burden of disputes in the religious court</w:t>
      </w:r>
      <w:r w:rsidRPr="00D15F75">
        <w:rPr>
          <w:rFonts w:asciiTheme="majorBidi" w:hAnsiTheme="majorBidi" w:cstheme="majorBidi"/>
          <w:szCs w:val="24"/>
          <w:lang w:val="en-US"/>
        </w:rPr>
        <w:t>.</w:t>
      </w:r>
    </w:p>
    <w:p w:rsidR="006F0555" w:rsidRPr="00D15F75" w:rsidRDefault="00061FCD" w:rsidP="005B7C1F">
      <w:pPr>
        <w:autoSpaceDE w:val="0"/>
        <w:autoSpaceDN w:val="0"/>
        <w:adjustRightInd w:val="0"/>
        <w:ind w:firstLine="709"/>
        <w:rPr>
          <w:rFonts w:asciiTheme="majorBidi" w:hAnsiTheme="majorBidi" w:cstheme="majorBidi"/>
          <w:szCs w:val="24"/>
          <w:lang w:val="en-US"/>
        </w:rPr>
      </w:pPr>
      <w:r w:rsidRPr="00D15F75">
        <w:rPr>
          <w:rFonts w:asciiTheme="majorBidi" w:hAnsiTheme="majorBidi" w:cstheme="majorBidi"/>
          <w:szCs w:val="24"/>
          <w:lang w:val="en-US"/>
        </w:rPr>
        <w:t>The presence of Supreme Court Regulation Number</w:t>
      </w:r>
      <w:r w:rsidR="0027093F" w:rsidRPr="00D15F75">
        <w:rPr>
          <w:rFonts w:asciiTheme="majorBidi" w:hAnsiTheme="majorBidi" w:cstheme="majorBidi"/>
          <w:szCs w:val="24"/>
          <w:lang w:val="en-US"/>
        </w:rPr>
        <w:t xml:space="preserve"> 2 year 2015 on</w:t>
      </w:r>
      <w:r w:rsidRPr="00D15F75">
        <w:rPr>
          <w:rFonts w:asciiTheme="majorBidi" w:hAnsiTheme="majorBidi" w:cstheme="majorBidi"/>
          <w:szCs w:val="24"/>
          <w:lang w:val="en-US"/>
        </w:rPr>
        <w:t xml:space="preserve"> the of Small Claim Court Procedure Jo Supreme Court Regulation Number 2 year 2019 on Amendment of Supreme Court Regulation Number </w:t>
      </w:r>
      <w:r w:rsidR="0027093F" w:rsidRPr="00D15F75">
        <w:rPr>
          <w:rFonts w:asciiTheme="majorBidi" w:hAnsiTheme="majorBidi" w:cstheme="majorBidi"/>
          <w:szCs w:val="24"/>
          <w:lang w:val="en-US"/>
        </w:rPr>
        <w:t>2 y</w:t>
      </w:r>
      <w:r w:rsidRPr="00D15F75">
        <w:rPr>
          <w:rFonts w:asciiTheme="majorBidi" w:hAnsiTheme="majorBidi" w:cstheme="majorBidi"/>
          <w:szCs w:val="24"/>
          <w:lang w:val="en-US"/>
        </w:rPr>
        <w:t>ear 2015 about Small Claim Court</w:t>
      </w:r>
      <w:r w:rsidR="0027093F" w:rsidRPr="00D15F75">
        <w:rPr>
          <w:rFonts w:asciiTheme="majorBidi" w:hAnsiTheme="majorBidi" w:cstheme="majorBidi"/>
          <w:szCs w:val="24"/>
          <w:lang w:val="en-US"/>
        </w:rPr>
        <w:t xml:space="preserve"> procedure is a </w:t>
      </w:r>
      <w:r w:rsidR="004860FE" w:rsidRPr="00D15F75">
        <w:rPr>
          <w:rFonts w:asciiTheme="majorBidi" w:hAnsiTheme="majorBidi" w:cstheme="majorBidi"/>
          <w:szCs w:val="24"/>
          <w:lang w:val="en-US"/>
        </w:rPr>
        <w:t xml:space="preserve">breakthrough to </w:t>
      </w:r>
      <w:r w:rsidR="004860FE" w:rsidRPr="00D15F75">
        <w:rPr>
          <w:rFonts w:asciiTheme="majorBidi" w:hAnsiTheme="majorBidi" w:cstheme="majorBidi"/>
          <w:szCs w:val="24"/>
          <w:lang w:val="en-US"/>
        </w:rPr>
        <w:lastRenderedPageBreak/>
        <w:t>solve the dispute</w:t>
      </w:r>
      <w:r w:rsidR="0027093F" w:rsidRPr="00D15F75">
        <w:rPr>
          <w:rFonts w:asciiTheme="majorBidi" w:hAnsiTheme="majorBidi" w:cstheme="majorBidi"/>
          <w:szCs w:val="24"/>
          <w:lang w:val="en-US"/>
        </w:rPr>
        <w:t xml:space="preserve"> with a simple</w:t>
      </w:r>
      <w:r w:rsidR="004860FE" w:rsidRPr="00D15F75">
        <w:rPr>
          <w:rFonts w:asciiTheme="majorBidi" w:hAnsiTheme="majorBidi" w:cstheme="majorBidi"/>
          <w:szCs w:val="24"/>
          <w:lang w:val="en-US"/>
        </w:rPr>
        <w:t>, quick and low cost principle</w:t>
      </w:r>
      <w:r w:rsidR="0027093F" w:rsidRPr="00D15F75">
        <w:rPr>
          <w:rFonts w:asciiTheme="majorBidi" w:hAnsiTheme="majorBidi" w:cstheme="majorBidi"/>
          <w:szCs w:val="24"/>
          <w:lang w:val="en-US"/>
        </w:rPr>
        <w:t xml:space="preserve">, however, this </w:t>
      </w:r>
      <w:r w:rsidR="004860FE" w:rsidRPr="00D15F75">
        <w:rPr>
          <w:rFonts w:asciiTheme="majorBidi" w:hAnsiTheme="majorBidi" w:cstheme="majorBidi"/>
          <w:szCs w:val="24"/>
          <w:lang w:val="en-US"/>
        </w:rPr>
        <w:t xml:space="preserve">Supreme Court Regulation </w:t>
      </w:r>
      <w:r w:rsidR="0027093F" w:rsidRPr="00D15F75">
        <w:rPr>
          <w:rFonts w:asciiTheme="majorBidi" w:hAnsiTheme="majorBidi" w:cstheme="majorBidi"/>
          <w:szCs w:val="24"/>
          <w:lang w:val="en-US"/>
        </w:rPr>
        <w:t>is only v</w:t>
      </w:r>
      <w:r w:rsidR="004860FE" w:rsidRPr="00D15F75">
        <w:rPr>
          <w:rFonts w:asciiTheme="majorBidi" w:hAnsiTheme="majorBidi" w:cstheme="majorBidi"/>
          <w:szCs w:val="24"/>
          <w:lang w:val="en-US"/>
        </w:rPr>
        <w:t>alid in the State Court</w:t>
      </w:r>
      <w:r w:rsidR="0027093F" w:rsidRPr="00D15F75">
        <w:rPr>
          <w:rFonts w:asciiTheme="majorBidi" w:hAnsiTheme="majorBidi" w:cstheme="majorBidi"/>
          <w:szCs w:val="24"/>
          <w:lang w:val="en-US"/>
        </w:rPr>
        <w:t>.</w:t>
      </w:r>
      <w:r w:rsidR="008862CC">
        <w:rPr>
          <w:rFonts w:asciiTheme="majorBidi" w:hAnsiTheme="majorBidi" w:cstheme="majorBidi"/>
          <w:szCs w:val="24"/>
        </w:rPr>
        <w:t xml:space="preserve"> </w:t>
      </w:r>
      <w:r w:rsidR="0027093F" w:rsidRPr="00D15F75">
        <w:rPr>
          <w:rFonts w:asciiTheme="majorBidi" w:hAnsiTheme="majorBidi" w:cstheme="majorBidi"/>
          <w:szCs w:val="24"/>
        </w:rPr>
        <w:t>In the religious courts only a matter of sharia economics is in accorda</w:t>
      </w:r>
      <w:r w:rsidR="004860FE" w:rsidRPr="00D15F75">
        <w:rPr>
          <w:rFonts w:asciiTheme="majorBidi" w:hAnsiTheme="majorBidi" w:cstheme="majorBidi"/>
          <w:szCs w:val="24"/>
        </w:rPr>
        <w:t xml:space="preserve">nce with the provisions of </w:t>
      </w:r>
      <w:r w:rsidR="004860FE" w:rsidRPr="00D15F75">
        <w:rPr>
          <w:rFonts w:asciiTheme="majorBidi" w:hAnsiTheme="majorBidi" w:cstheme="majorBidi"/>
          <w:szCs w:val="24"/>
          <w:lang w:val="en-US"/>
        </w:rPr>
        <w:t>Supreme Court Regulation</w:t>
      </w:r>
      <w:r w:rsidR="004860FE" w:rsidRPr="00D15F75">
        <w:rPr>
          <w:rFonts w:asciiTheme="majorBidi" w:hAnsiTheme="majorBidi" w:cstheme="majorBidi"/>
          <w:szCs w:val="24"/>
        </w:rPr>
        <w:t xml:space="preserve"> N</w:t>
      </w:r>
      <w:r w:rsidR="004860FE" w:rsidRPr="00D15F75">
        <w:rPr>
          <w:rFonts w:asciiTheme="majorBidi" w:hAnsiTheme="majorBidi" w:cstheme="majorBidi"/>
          <w:szCs w:val="24"/>
          <w:lang w:val="en-US"/>
        </w:rPr>
        <w:t>umber</w:t>
      </w:r>
      <w:r w:rsidR="0027093F" w:rsidRPr="00D15F75">
        <w:rPr>
          <w:rFonts w:asciiTheme="majorBidi" w:hAnsiTheme="majorBidi" w:cstheme="majorBidi"/>
          <w:szCs w:val="24"/>
        </w:rPr>
        <w:t xml:space="preserve"> 14 year 2016 on the economic dispute resolution procedures. However, the sharia economic disputes that </w:t>
      </w:r>
      <w:r w:rsidR="00854BD1" w:rsidRPr="00D15F75">
        <w:rPr>
          <w:rFonts w:asciiTheme="majorBidi" w:hAnsiTheme="majorBidi" w:cstheme="majorBidi"/>
          <w:szCs w:val="24"/>
          <w:lang w:val="en-US"/>
        </w:rPr>
        <w:t>submitted to religious court</w:t>
      </w:r>
      <w:r w:rsidR="0027093F" w:rsidRPr="00D15F75">
        <w:rPr>
          <w:rFonts w:asciiTheme="majorBidi" w:hAnsiTheme="majorBidi" w:cstheme="majorBidi"/>
          <w:szCs w:val="24"/>
        </w:rPr>
        <w:t xml:space="preserve"> annually are only minimal. Therefore, the small claim court is applied to all types of religious judicial authority t</w:t>
      </w:r>
      <w:r w:rsidR="000412A7" w:rsidRPr="00D15F75">
        <w:rPr>
          <w:rFonts w:asciiTheme="majorBidi" w:hAnsiTheme="majorBidi" w:cstheme="majorBidi"/>
          <w:szCs w:val="24"/>
        </w:rPr>
        <w:t xml:space="preserve">o reduce the burden of the </w:t>
      </w:r>
      <w:r w:rsidR="000412A7" w:rsidRPr="00D15F75">
        <w:rPr>
          <w:rFonts w:asciiTheme="majorBidi" w:hAnsiTheme="majorBidi" w:cstheme="majorBidi"/>
          <w:szCs w:val="24"/>
          <w:lang w:val="en-US"/>
        </w:rPr>
        <w:t>disputes</w:t>
      </w:r>
      <w:r w:rsidR="0027093F" w:rsidRPr="00D15F75">
        <w:rPr>
          <w:rFonts w:asciiTheme="majorBidi" w:hAnsiTheme="majorBidi" w:cstheme="majorBidi"/>
          <w:szCs w:val="24"/>
        </w:rPr>
        <w:t>.</w:t>
      </w:r>
    </w:p>
    <w:p w:rsidR="000270FD" w:rsidRPr="00D15F75" w:rsidRDefault="006F0555" w:rsidP="00341559">
      <w:pPr>
        <w:pStyle w:val="ListParagraph"/>
        <w:numPr>
          <w:ilvl w:val="0"/>
          <w:numId w:val="1"/>
        </w:numPr>
        <w:autoSpaceDE w:val="0"/>
        <w:autoSpaceDN w:val="0"/>
        <w:adjustRightInd w:val="0"/>
        <w:spacing w:before="240" w:after="240"/>
        <w:ind w:left="360" w:hanging="360"/>
        <w:jc w:val="center"/>
        <w:rPr>
          <w:rFonts w:asciiTheme="majorBidi" w:hAnsiTheme="majorBidi" w:cstheme="majorBidi"/>
          <w:b/>
          <w:bCs/>
          <w:szCs w:val="24"/>
          <w:lang w:val="en-US"/>
        </w:rPr>
      </w:pPr>
      <w:r w:rsidRPr="00D15F75">
        <w:rPr>
          <w:rFonts w:asciiTheme="majorBidi" w:hAnsiTheme="majorBidi" w:cstheme="majorBidi"/>
          <w:b/>
          <w:bCs/>
          <w:szCs w:val="24"/>
          <w:lang w:val="en-US"/>
        </w:rPr>
        <w:t>RESULT AND DISCUSSION</w:t>
      </w:r>
    </w:p>
    <w:p w:rsidR="000270FD" w:rsidRPr="00D15F75" w:rsidRDefault="000270FD" w:rsidP="00341559">
      <w:pPr>
        <w:pStyle w:val="ListParagraph"/>
        <w:autoSpaceDE w:val="0"/>
        <w:autoSpaceDN w:val="0"/>
        <w:adjustRightInd w:val="0"/>
        <w:spacing w:before="240" w:after="240"/>
        <w:ind w:left="360"/>
        <w:rPr>
          <w:rFonts w:asciiTheme="majorBidi" w:hAnsiTheme="majorBidi" w:cstheme="majorBidi"/>
          <w:szCs w:val="24"/>
          <w:lang w:val="en-US"/>
        </w:rPr>
      </w:pPr>
    </w:p>
    <w:p w:rsidR="006F0555" w:rsidRPr="00D15F75" w:rsidRDefault="006F0555" w:rsidP="00341559">
      <w:pPr>
        <w:pStyle w:val="ListParagraph"/>
        <w:numPr>
          <w:ilvl w:val="0"/>
          <w:numId w:val="2"/>
        </w:numPr>
        <w:autoSpaceDE w:val="0"/>
        <w:autoSpaceDN w:val="0"/>
        <w:adjustRightInd w:val="0"/>
        <w:spacing w:before="240" w:after="240"/>
        <w:ind w:left="360"/>
        <w:rPr>
          <w:rFonts w:asciiTheme="majorBidi" w:hAnsiTheme="majorBidi" w:cstheme="majorBidi"/>
          <w:b/>
          <w:szCs w:val="24"/>
        </w:rPr>
      </w:pPr>
      <w:r w:rsidRPr="00D15F75">
        <w:rPr>
          <w:rFonts w:asciiTheme="majorBidi" w:hAnsiTheme="majorBidi" w:cstheme="majorBidi"/>
          <w:b/>
          <w:szCs w:val="24"/>
          <w:lang w:val="en-US"/>
        </w:rPr>
        <w:t>The Meaning of Quick, Simple, and Low Cost Principle in Religious Court</w:t>
      </w:r>
    </w:p>
    <w:p w:rsidR="00FF77BF" w:rsidRPr="00D15F75" w:rsidRDefault="00B03A4C" w:rsidP="00341559">
      <w:pPr>
        <w:autoSpaceDE w:val="0"/>
        <w:autoSpaceDN w:val="0"/>
        <w:adjustRightInd w:val="0"/>
        <w:ind w:firstLine="709"/>
        <w:rPr>
          <w:rFonts w:asciiTheme="majorBidi" w:hAnsiTheme="majorBidi" w:cstheme="majorBidi"/>
          <w:szCs w:val="24"/>
          <w:lang w:val="en-US"/>
        </w:rPr>
      </w:pPr>
      <w:r w:rsidRPr="00D15F75">
        <w:rPr>
          <w:rFonts w:asciiTheme="majorBidi" w:hAnsiTheme="majorBidi" w:cstheme="majorBidi"/>
          <w:szCs w:val="24"/>
          <w:lang w:val="en-US"/>
        </w:rPr>
        <w:t>The religious court</w:t>
      </w:r>
      <w:r w:rsidR="00FF77BF" w:rsidRPr="00D15F75">
        <w:rPr>
          <w:rFonts w:asciiTheme="majorBidi" w:hAnsiTheme="majorBidi" w:cstheme="majorBidi"/>
          <w:szCs w:val="24"/>
          <w:lang w:val="en-US"/>
        </w:rPr>
        <w:t xml:space="preserve"> is a judicial environment under the Supreme Court as a perpetrator of judicial power that is independent to organize religious judiciary, enforce law and justice.</w:t>
      </w:r>
      <w:r w:rsidRPr="00D15F75">
        <w:rPr>
          <w:rFonts w:asciiTheme="majorBidi" w:hAnsiTheme="majorBidi" w:cstheme="majorBidi"/>
          <w:szCs w:val="24"/>
          <w:lang w:val="en-US"/>
        </w:rPr>
        <w:t>The</w:t>
      </w:r>
      <w:r w:rsidR="008A21BA" w:rsidRPr="00D15F75">
        <w:rPr>
          <w:rFonts w:asciiTheme="majorBidi" w:hAnsiTheme="majorBidi" w:cstheme="majorBidi"/>
          <w:szCs w:val="24"/>
          <w:lang w:val="en-US"/>
        </w:rPr>
        <w:t xml:space="preserve"> exis</w:t>
      </w:r>
      <w:r w:rsidR="000412A7" w:rsidRPr="00D15F75">
        <w:rPr>
          <w:rFonts w:asciiTheme="majorBidi" w:hAnsiTheme="majorBidi" w:cstheme="majorBidi"/>
          <w:szCs w:val="24"/>
          <w:lang w:val="en-US"/>
        </w:rPr>
        <w:t xml:space="preserve">tence of </w:t>
      </w:r>
      <w:r w:rsidR="00FF77BF" w:rsidRPr="00D15F75">
        <w:rPr>
          <w:rFonts w:asciiTheme="majorBidi" w:hAnsiTheme="majorBidi" w:cstheme="majorBidi"/>
          <w:szCs w:val="24"/>
          <w:lang w:val="en-US"/>
        </w:rPr>
        <w:t xml:space="preserve">Religious </w:t>
      </w:r>
      <w:r w:rsidRPr="00D15F75">
        <w:rPr>
          <w:rFonts w:asciiTheme="majorBidi" w:hAnsiTheme="majorBidi" w:cstheme="majorBidi"/>
          <w:szCs w:val="24"/>
          <w:lang w:val="en-US"/>
        </w:rPr>
        <w:t xml:space="preserve">Court </w:t>
      </w:r>
      <w:r w:rsidR="00FF77BF" w:rsidRPr="00D15F75">
        <w:rPr>
          <w:rFonts w:asciiTheme="majorBidi" w:hAnsiTheme="majorBidi" w:cstheme="majorBidi"/>
          <w:szCs w:val="24"/>
          <w:lang w:val="en-US"/>
        </w:rPr>
        <w:t>has made Indonesian Muslims served in the settlement of marital problems, heirs, wills, grants, Waqf, Zakat, Infaq, Sadaqah; and Sharia economics.</w:t>
      </w:r>
    </w:p>
    <w:p w:rsidR="00FF77BF" w:rsidRPr="00D15F75" w:rsidRDefault="00B03A4C" w:rsidP="00341559">
      <w:pPr>
        <w:autoSpaceDE w:val="0"/>
        <w:autoSpaceDN w:val="0"/>
        <w:adjustRightInd w:val="0"/>
        <w:ind w:firstLine="709"/>
        <w:rPr>
          <w:rFonts w:asciiTheme="majorBidi" w:hAnsiTheme="majorBidi" w:cstheme="majorBidi"/>
          <w:szCs w:val="24"/>
          <w:lang w:val="en-US"/>
        </w:rPr>
      </w:pPr>
      <w:r w:rsidRPr="00D15F75">
        <w:rPr>
          <w:rFonts w:asciiTheme="majorBidi" w:hAnsiTheme="majorBidi" w:cstheme="majorBidi"/>
          <w:szCs w:val="24"/>
          <w:lang w:val="en-US"/>
        </w:rPr>
        <w:t>According</w:t>
      </w:r>
      <w:r w:rsidR="00FF77BF" w:rsidRPr="00D15F75">
        <w:rPr>
          <w:rFonts w:asciiTheme="majorBidi" w:hAnsiTheme="majorBidi" w:cstheme="majorBidi"/>
          <w:szCs w:val="24"/>
          <w:lang w:val="en-US"/>
        </w:rPr>
        <w:t xml:space="preserve"> to the provisions o</w:t>
      </w:r>
      <w:r w:rsidR="008A21BA" w:rsidRPr="00D15F75">
        <w:rPr>
          <w:rFonts w:asciiTheme="majorBidi" w:hAnsiTheme="majorBidi" w:cstheme="majorBidi"/>
          <w:szCs w:val="24"/>
          <w:lang w:val="en-US"/>
        </w:rPr>
        <w:t>f article 2 paragraph (4) of Law Act Number</w:t>
      </w:r>
      <w:r w:rsidR="00FF77BF" w:rsidRPr="00D15F75">
        <w:rPr>
          <w:rFonts w:asciiTheme="majorBidi" w:hAnsiTheme="majorBidi" w:cstheme="majorBidi"/>
          <w:szCs w:val="24"/>
          <w:lang w:val="en-US"/>
        </w:rPr>
        <w:t xml:space="preserve"> 48 year 2009 on judicial power, it is stated that "the judiciary is don</w:t>
      </w:r>
      <w:r w:rsidR="008A21BA" w:rsidRPr="00D15F75">
        <w:rPr>
          <w:rFonts w:asciiTheme="majorBidi" w:hAnsiTheme="majorBidi" w:cstheme="majorBidi"/>
          <w:szCs w:val="24"/>
          <w:lang w:val="en-US"/>
        </w:rPr>
        <w:t xml:space="preserve">e with simple, quick, and low </w:t>
      </w:r>
      <w:r w:rsidR="00FF77BF" w:rsidRPr="00D15F75">
        <w:rPr>
          <w:rFonts w:asciiTheme="majorBidi" w:hAnsiTheme="majorBidi" w:cstheme="majorBidi"/>
          <w:szCs w:val="24"/>
          <w:lang w:val="en-US"/>
        </w:rPr>
        <w:t>costs</w:t>
      </w:r>
      <w:r w:rsidR="008A21BA" w:rsidRPr="00D15F75">
        <w:rPr>
          <w:rFonts w:asciiTheme="majorBidi" w:hAnsiTheme="majorBidi" w:cstheme="majorBidi"/>
          <w:szCs w:val="24"/>
          <w:lang w:val="en-US"/>
        </w:rPr>
        <w:t xml:space="preserve"> principle</w:t>
      </w:r>
      <w:r w:rsidR="00FF77BF" w:rsidRPr="00D15F75">
        <w:rPr>
          <w:rFonts w:asciiTheme="majorBidi" w:hAnsiTheme="majorBidi" w:cstheme="majorBidi"/>
          <w:szCs w:val="24"/>
          <w:lang w:val="en-US"/>
        </w:rPr>
        <w:t>". The explanation of article 2 paragraph (4), referred to as "simple" is the examination and settlement of the matter carried out in an efficient and effective manner.</w:t>
      </w:r>
      <w:r w:rsidR="008A21BA" w:rsidRPr="00D15F75">
        <w:rPr>
          <w:rFonts w:asciiTheme="majorBidi" w:hAnsiTheme="majorBidi" w:cstheme="majorBidi"/>
          <w:szCs w:val="24"/>
        </w:rPr>
        <w:t>"L</w:t>
      </w:r>
      <w:r w:rsidR="008A21BA" w:rsidRPr="00D15F75">
        <w:rPr>
          <w:rFonts w:asciiTheme="majorBidi" w:hAnsiTheme="majorBidi" w:cstheme="majorBidi"/>
          <w:szCs w:val="24"/>
          <w:lang w:val="en-US"/>
        </w:rPr>
        <w:t>ow</w:t>
      </w:r>
      <w:r w:rsidR="00FF77BF" w:rsidRPr="00D15F75">
        <w:rPr>
          <w:rFonts w:asciiTheme="majorBidi" w:hAnsiTheme="majorBidi" w:cstheme="majorBidi"/>
          <w:szCs w:val="24"/>
        </w:rPr>
        <w:t xml:space="preserve"> cost" means the cost of a matter that can be reached by the public. It has also been arranged</w:t>
      </w:r>
      <w:r w:rsidR="008A21BA" w:rsidRPr="00D15F75">
        <w:rPr>
          <w:rFonts w:asciiTheme="majorBidi" w:hAnsiTheme="majorBidi" w:cstheme="majorBidi"/>
          <w:szCs w:val="24"/>
        </w:rPr>
        <w:t xml:space="preserve"> in article 57 paragraph (3) </w:t>
      </w:r>
      <w:r w:rsidR="008A21BA" w:rsidRPr="00D15F75">
        <w:rPr>
          <w:rFonts w:asciiTheme="majorBidi" w:hAnsiTheme="majorBidi" w:cstheme="majorBidi"/>
          <w:szCs w:val="24"/>
          <w:lang w:val="en-US"/>
        </w:rPr>
        <w:t>Law Act</w:t>
      </w:r>
      <w:r w:rsidR="008A21BA" w:rsidRPr="00D15F75">
        <w:rPr>
          <w:rFonts w:asciiTheme="majorBidi" w:hAnsiTheme="majorBidi" w:cstheme="majorBidi"/>
          <w:szCs w:val="24"/>
        </w:rPr>
        <w:t xml:space="preserve"> N</w:t>
      </w:r>
      <w:r w:rsidR="008A21BA" w:rsidRPr="00D15F75">
        <w:rPr>
          <w:rFonts w:asciiTheme="majorBidi" w:hAnsiTheme="majorBidi" w:cstheme="majorBidi"/>
          <w:szCs w:val="24"/>
          <w:lang w:val="en-US"/>
        </w:rPr>
        <w:t>umber</w:t>
      </w:r>
      <w:r w:rsidR="008A21BA" w:rsidRPr="00D15F75">
        <w:rPr>
          <w:rFonts w:asciiTheme="majorBidi" w:hAnsiTheme="majorBidi" w:cstheme="majorBidi"/>
          <w:szCs w:val="24"/>
        </w:rPr>
        <w:t xml:space="preserve">7 </w:t>
      </w:r>
      <w:r w:rsidR="008A21BA" w:rsidRPr="00D15F75">
        <w:rPr>
          <w:rFonts w:asciiTheme="majorBidi" w:hAnsiTheme="majorBidi" w:cstheme="majorBidi"/>
          <w:szCs w:val="24"/>
          <w:lang w:val="en-US"/>
        </w:rPr>
        <w:t>year</w:t>
      </w:r>
      <w:r w:rsidR="008A21BA" w:rsidRPr="00D15F75">
        <w:rPr>
          <w:rFonts w:asciiTheme="majorBidi" w:hAnsiTheme="majorBidi" w:cstheme="majorBidi"/>
          <w:szCs w:val="24"/>
        </w:rPr>
        <w:t xml:space="preserve"> 1989 on the religious </w:t>
      </w:r>
      <w:r w:rsidR="008A21BA" w:rsidRPr="00D15F75">
        <w:rPr>
          <w:rFonts w:asciiTheme="majorBidi" w:hAnsiTheme="majorBidi" w:cstheme="majorBidi"/>
          <w:szCs w:val="24"/>
          <w:lang w:val="en-US"/>
        </w:rPr>
        <w:t>court</w:t>
      </w:r>
      <w:r w:rsidR="00FF77BF" w:rsidRPr="00D15F75">
        <w:rPr>
          <w:rFonts w:asciiTheme="majorBidi" w:hAnsiTheme="majorBidi" w:cstheme="majorBidi"/>
          <w:szCs w:val="24"/>
        </w:rPr>
        <w:t xml:space="preserve"> which reads "The judiciary is do</w:t>
      </w:r>
      <w:r w:rsidR="008A21BA" w:rsidRPr="00D15F75">
        <w:rPr>
          <w:rFonts w:asciiTheme="majorBidi" w:hAnsiTheme="majorBidi" w:cstheme="majorBidi"/>
          <w:szCs w:val="24"/>
        </w:rPr>
        <w:t xml:space="preserve">ne with simple, quick, and </w:t>
      </w:r>
      <w:r w:rsidR="008A21BA" w:rsidRPr="00D15F75">
        <w:rPr>
          <w:rFonts w:asciiTheme="majorBidi" w:hAnsiTheme="majorBidi" w:cstheme="majorBidi"/>
          <w:szCs w:val="24"/>
          <w:lang w:val="en-US"/>
        </w:rPr>
        <w:t>low costs</w:t>
      </w:r>
      <w:r w:rsidR="00FF77BF" w:rsidRPr="00D15F75">
        <w:rPr>
          <w:rFonts w:asciiTheme="majorBidi" w:hAnsiTheme="majorBidi" w:cstheme="majorBidi"/>
          <w:szCs w:val="24"/>
        </w:rPr>
        <w:t>".</w:t>
      </w:r>
    </w:p>
    <w:p w:rsidR="00FF77BF" w:rsidRPr="00D15F75" w:rsidRDefault="00FF77BF" w:rsidP="00341559">
      <w:pPr>
        <w:autoSpaceDE w:val="0"/>
        <w:autoSpaceDN w:val="0"/>
        <w:adjustRightInd w:val="0"/>
        <w:ind w:firstLine="709"/>
        <w:rPr>
          <w:rFonts w:asciiTheme="majorBidi" w:hAnsiTheme="majorBidi" w:cstheme="majorBidi"/>
          <w:szCs w:val="24"/>
          <w:lang w:val="en-US"/>
        </w:rPr>
      </w:pPr>
      <w:r w:rsidRPr="00D15F75">
        <w:rPr>
          <w:rFonts w:asciiTheme="majorBidi" w:hAnsiTheme="majorBidi" w:cstheme="majorBidi"/>
          <w:szCs w:val="24"/>
          <w:lang w:val="en-US"/>
        </w:rPr>
        <w:t>According to the Big Dictionary of Indonesian language</w:t>
      </w:r>
      <w:r w:rsidR="007939D3" w:rsidRPr="00D15F75">
        <w:rPr>
          <w:rFonts w:asciiTheme="majorBidi" w:hAnsiTheme="majorBidi" w:cstheme="majorBidi"/>
          <w:szCs w:val="24"/>
          <w:lang w:val="en-US"/>
        </w:rPr>
        <w:t xml:space="preserve"> (KamusBesarBahasa Indonesia)</w:t>
      </w:r>
      <w:r w:rsidRPr="00D15F75">
        <w:rPr>
          <w:rFonts w:asciiTheme="majorBidi" w:hAnsiTheme="majorBidi" w:cstheme="majorBidi"/>
          <w:szCs w:val="24"/>
          <w:lang w:val="en-US"/>
        </w:rPr>
        <w:t>, simple means medium (in the middle sense, not high and not low).</w:t>
      </w:r>
      <w:r w:rsidR="00134574" w:rsidRPr="00D15F75">
        <w:rPr>
          <w:rStyle w:val="FootnoteReference"/>
          <w:rFonts w:asciiTheme="majorBidi" w:hAnsiTheme="majorBidi" w:cstheme="majorBidi"/>
          <w:szCs w:val="24"/>
        </w:rPr>
        <w:footnoteReference w:id="9"/>
      </w:r>
      <w:r w:rsidRPr="00D15F75">
        <w:rPr>
          <w:rFonts w:asciiTheme="majorBidi" w:hAnsiTheme="majorBidi" w:cstheme="majorBidi"/>
          <w:szCs w:val="24"/>
          <w:lang w:val="en-US"/>
        </w:rPr>
        <w:t xml:space="preserve">  Simple refers to the "complicated"</w:t>
      </w:r>
      <w:r w:rsidR="007939D3" w:rsidRPr="00D15F75">
        <w:rPr>
          <w:rFonts w:asciiTheme="majorBidi" w:hAnsiTheme="majorBidi" w:cstheme="majorBidi"/>
          <w:szCs w:val="24"/>
          <w:lang w:val="en-US"/>
        </w:rPr>
        <w:t xml:space="preserve"> or not the settlement of lawsuit</w:t>
      </w:r>
      <w:r w:rsidRPr="00D15F75">
        <w:rPr>
          <w:rFonts w:asciiTheme="majorBidi" w:hAnsiTheme="majorBidi" w:cstheme="majorBidi"/>
          <w:szCs w:val="24"/>
          <w:lang w:val="en-US"/>
        </w:rPr>
        <w:t>.</w:t>
      </w:r>
      <w:r w:rsidR="00134574" w:rsidRPr="00D15F75">
        <w:rPr>
          <w:rStyle w:val="FootnoteReference"/>
          <w:rFonts w:asciiTheme="majorBidi" w:hAnsiTheme="majorBidi" w:cstheme="majorBidi"/>
          <w:szCs w:val="24"/>
        </w:rPr>
        <w:footnoteReference w:id="10"/>
      </w:r>
      <w:r w:rsidRPr="00D15F75">
        <w:rPr>
          <w:rFonts w:asciiTheme="majorBidi" w:hAnsiTheme="majorBidi" w:cstheme="majorBidi"/>
          <w:szCs w:val="24"/>
          <w:lang w:val="en-US"/>
        </w:rPr>
        <w:t xml:space="preserve">  So</w:t>
      </w:r>
      <w:r w:rsidR="00134574" w:rsidRPr="00D15F75">
        <w:rPr>
          <w:rFonts w:asciiTheme="majorBidi" w:hAnsiTheme="majorBidi" w:cstheme="majorBidi"/>
          <w:szCs w:val="24"/>
          <w:lang w:val="en-US"/>
        </w:rPr>
        <w:t>,</w:t>
      </w:r>
      <w:r w:rsidRPr="00D15F75">
        <w:rPr>
          <w:rFonts w:asciiTheme="majorBidi" w:hAnsiTheme="majorBidi" w:cstheme="majorBidi"/>
          <w:szCs w:val="24"/>
          <w:lang w:val="en-US"/>
        </w:rPr>
        <w:t xml:space="preserve"> simple principle means clear, easy-to-understand and not-belated way</w:t>
      </w:r>
      <w:r w:rsidR="007939D3" w:rsidRPr="00D15F75">
        <w:rPr>
          <w:rFonts w:asciiTheme="majorBidi" w:hAnsiTheme="majorBidi" w:cstheme="majorBidi"/>
          <w:szCs w:val="24"/>
          <w:lang w:val="en-US"/>
        </w:rPr>
        <w:t>.</w:t>
      </w:r>
      <w:r w:rsidRPr="00D15F75">
        <w:rPr>
          <w:rFonts w:asciiTheme="majorBidi" w:hAnsiTheme="majorBidi" w:cstheme="majorBidi"/>
          <w:szCs w:val="24"/>
          <w:lang w:val="en-US"/>
        </w:rPr>
        <w:t>It is important here that the parties can submit their will</w:t>
      </w:r>
      <w:r w:rsidR="007939D3" w:rsidRPr="00D15F75">
        <w:rPr>
          <w:rFonts w:asciiTheme="majorBidi" w:hAnsiTheme="majorBidi" w:cstheme="majorBidi"/>
          <w:szCs w:val="24"/>
          <w:lang w:val="en-US"/>
        </w:rPr>
        <w:t>ing</w:t>
      </w:r>
      <w:r w:rsidRPr="00D15F75">
        <w:rPr>
          <w:rFonts w:asciiTheme="majorBidi" w:hAnsiTheme="majorBidi" w:cstheme="majorBidi"/>
          <w:szCs w:val="24"/>
          <w:lang w:val="en-US"/>
        </w:rPr>
        <w:t xml:space="preserve"> clearly and definitively (</w:t>
      </w:r>
      <w:r w:rsidR="007939D3" w:rsidRPr="00D15F75">
        <w:rPr>
          <w:rFonts w:asciiTheme="majorBidi" w:hAnsiTheme="majorBidi" w:cstheme="majorBidi"/>
          <w:szCs w:val="24"/>
          <w:lang w:val="en-US"/>
        </w:rPr>
        <w:t xml:space="preserve">unchangeable) and the settlement </w:t>
      </w:r>
      <w:r w:rsidRPr="00D15F75">
        <w:rPr>
          <w:rFonts w:asciiTheme="majorBidi" w:hAnsiTheme="majorBidi" w:cstheme="majorBidi"/>
          <w:szCs w:val="24"/>
          <w:lang w:val="en-US"/>
        </w:rPr>
        <w:t>is clearly, open and definite, with t</w:t>
      </w:r>
      <w:r w:rsidR="007939D3" w:rsidRPr="00D15F75">
        <w:rPr>
          <w:rFonts w:asciiTheme="majorBidi" w:hAnsiTheme="majorBidi" w:cstheme="majorBidi"/>
          <w:szCs w:val="24"/>
          <w:lang w:val="en-US"/>
        </w:rPr>
        <w:t xml:space="preserve">he application of flexible </w:t>
      </w:r>
      <w:r w:rsidR="00134574" w:rsidRPr="00D15F75">
        <w:rPr>
          <w:rFonts w:asciiTheme="majorBidi" w:hAnsiTheme="majorBidi" w:cstheme="majorBidi"/>
          <w:szCs w:val="24"/>
          <w:lang w:val="en-US"/>
        </w:rPr>
        <w:t>procedure</w:t>
      </w:r>
      <w:r w:rsidRPr="00D15F75">
        <w:rPr>
          <w:rFonts w:asciiTheme="majorBidi" w:hAnsiTheme="majorBidi" w:cstheme="majorBidi"/>
          <w:szCs w:val="24"/>
          <w:lang w:val="en-US"/>
        </w:rPr>
        <w:t xml:space="preserve"> laws in </w:t>
      </w:r>
      <w:r w:rsidR="007939D3" w:rsidRPr="00D15F75">
        <w:rPr>
          <w:rFonts w:asciiTheme="majorBidi" w:hAnsiTheme="majorBidi" w:cstheme="majorBidi"/>
          <w:szCs w:val="24"/>
          <w:lang w:val="en-US"/>
        </w:rPr>
        <w:t>the interest of the parties that want a simple procedure</w:t>
      </w:r>
      <w:r w:rsidR="00134574" w:rsidRPr="00D15F75">
        <w:rPr>
          <w:rFonts w:asciiTheme="majorBidi" w:hAnsiTheme="majorBidi" w:cstheme="majorBidi"/>
          <w:szCs w:val="24"/>
          <w:lang w:val="en-US"/>
        </w:rPr>
        <w:t xml:space="preserve">. </w:t>
      </w:r>
      <w:r w:rsidR="00134574" w:rsidRPr="00D15F75">
        <w:rPr>
          <w:rStyle w:val="FootnoteReference"/>
          <w:rFonts w:asciiTheme="majorBidi" w:hAnsiTheme="majorBidi" w:cstheme="majorBidi"/>
          <w:szCs w:val="24"/>
        </w:rPr>
        <w:footnoteReference w:id="11"/>
      </w:r>
    </w:p>
    <w:p w:rsidR="00134574" w:rsidRPr="00D15F75" w:rsidRDefault="00FF77BF" w:rsidP="00341559">
      <w:pPr>
        <w:autoSpaceDE w:val="0"/>
        <w:autoSpaceDN w:val="0"/>
        <w:adjustRightInd w:val="0"/>
        <w:ind w:firstLine="709"/>
        <w:rPr>
          <w:rFonts w:asciiTheme="majorBidi" w:hAnsiTheme="majorBidi" w:cstheme="majorBidi"/>
          <w:szCs w:val="24"/>
          <w:lang w:val="en-US"/>
        </w:rPr>
      </w:pPr>
      <w:r w:rsidRPr="00D15F75">
        <w:rPr>
          <w:rFonts w:asciiTheme="majorBidi" w:hAnsiTheme="majorBidi" w:cstheme="majorBidi"/>
          <w:szCs w:val="24"/>
        </w:rPr>
        <w:t>Sim</w:t>
      </w:r>
      <w:r w:rsidR="00134574" w:rsidRPr="00D15F75">
        <w:rPr>
          <w:rFonts w:asciiTheme="majorBidi" w:hAnsiTheme="majorBidi" w:cstheme="majorBidi"/>
          <w:szCs w:val="24"/>
        </w:rPr>
        <w:t xml:space="preserve">ple in the judicial process </w:t>
      </w:r>
      <w:r w:rsidR="00134574" w:rsidRPr="00D15F75">
        <w:rPr>
          <w:rFonts w:asciiTheme="majorBidi" w:hAnsiTheme="majorBidi" w:cstheme="majorBidi"/>
          <w:szCs w:val="24"/>
          <w:lang w:val="en-US"/>
        </w:rPr>
        <w:t>is</w:t>
      </w:r>
      <w:r w:rsidRPr="00D15F75">
        <w:rPr>
          <w:rFonts w:asciiTheme="majorBidi" w:hAnsiTheme="majorBidi" w:cstheme="majorBidi"/>
          <w:szCs w:val="24"/>
        </w:rPr>
        <w:t xml:space="preserve"> the </w:t>
      </w:r>
      <w:r w:rsidR="007939D3" w:rsidRPr="00D15F75">
        <w:rPr>
          <w:rFonts w:asciiTheme="majorBidi" w:hAnsiTheme="majorBidi" w:cstheme="majorBidi"/>
          <w:szCs w:val="24"/>
          <w:lang w:val="en-US"/>
        </w:rPr>
        <w:t xml:space="preserve">judicial procedure </w:t>
      </w:r>
      <w:r w:rsidRPr="00D15F75">
        <w:rPr>
          <w:rFonts w:asciiTheme="majorBidi" w:hAnsiTheme="majorBidi" w:cstheme="majorBidi"/>
          <w:szCs w:val="24"/>
        </w:rPr>
        <w:t>must be clear and easy to understand and not convoluted. So the simple intention is that the procedures in the judicial process in the institution of the court should not be convoluted, not too many formalities that will lead to many interpretations.</w:t>
      </w:r>
    </w:p>
    <w:p w:rsidR="00FF77BF" w:rsidRPr="00D15F75" w:rsidRDefault="008703C5" w:rsidP="00341559">
      <w:pPr>
        <w:autoSpaceDE w:val="0"/>
        <w:autoSpaceDN w:val="0"/>
        <w:adjustRightInd w:val="0"/>
        <w:ind w:firstLine="709"/>
        <w:rPr>
          <w:rFonts w:asciiTheme="majorBidi" w:hAnsiTheme="majorBidi" w:cstheme="majorBidi"/>
          <w:szCs w:val="24"/>
          <w:lang w:val="en-US"/>
        </w:rPr>
      </w:pPr>
      <w:r w:rsidRPr="00D15F75">
        <w:rPr>
          <w:rFonts w:asciiTheme="majorBidi" w:hAnsiTheme="majorBidi" w:cstheme="majorBidi"/>
          <w:szCs w:val="24"/>
          <w:lang w:val="en-US"/>
        </w:rPr>
        <w:t xml:space="preserve">Quick </w:t>
      </w:r>
      <w:r w:rsidR="00FF77BF" w:rsidRPr="00D15F75">
        <w:rPr>
          <w:rFonts w:asciiTheme="majorBidi" w:hAnsiTheme="majorBidi" w:cstheme="majorBidi"/>
          <w:szCs w:val="24"/>
          <w:lang w:val="en-US"/>
        </w:rPr>
        <w:t>means a short time, in a short ti</w:t>
      </w:r>
      <w:r w:rsidR="00134574" w:rsidRPr="00D15F75">
        <w:rPr>
          <w:rFonts w:asciiTheme="majorBidi" w:hAnsiTheme="majorBidi" w:cstheme="majorBidi"/>
          <w:szCs w:val="24"/>
          <w:lang w:val="en-US"/>
        </w:rPr>
        <w:t>me, s</w:t>
      </w:r>
      <w:r w:rsidRPr="00D15F75">
        <w:rPr>
          <w:rFonts w:asciiTheme="majorBidi" w:hAnsiTheme="majorBidi" w:cstheme="majorBidi"/>
          <w:szCs w:val="24"/>
          <w:lang w:val="en-US"/>
        </w:rPr>
        <w:t>oon, not much in the procedure</w:t>
      </w:r>
      <w:r w:rsidR="00134574" w:rsidRPr="00D15F75">
        <w:rPr>
          <w:rFonts w:asciiTheme="majorBidi" w:hAnsiTheme="majorBidi" w:cstheme="majorBidi"/>
          <w:szCs w:val="24"/>
          <w:lang w:val="en-US"/>
        </w:rPr>
        <w:t xml:space="preserve"> (not many stages). </w:t>
      </w:r>
      <w:r w:rsidR="00134574" w:rsidRPr="00D15F75">
        <w:rPr>
          <w:rStyle w:val="FootnoteReference"/>
          <w:rFonts w:asciiTheme="majorBidi" w:hAnsiTheme="majorBidi" w:cstheme="majorBidi"/>
          <w:szCs w:val="24"/>
        </w:rPr>
        <w:footnoteReference w:id="12"/>
      </w:r>
      <w:r w:rsidR="00FF77BF" w:rsidRPr="00D15F75">
        <w:rPr>
          <w:rFonts w:asciiTheme="majorBidi" w:hAnsiTheme="majorBidi" w:cstheme="majorBidi"/>
          <w:szCs w:val="24"/>
          <w:lang w:val="en-US"/>
        </w:rPr>
        <w:t>Fast or appropriate referring to</w:t>
      </w:r>
      <w:r w:rsidRPr="00D15F75">
        <w:rPr>
          <w:rFonts w:asciiTheme="majorBidi" w:hAnsiTheme="majorBidi" w:cstheme="majorBidi"/>
          <w:szCs w:val="24"/>
          <w:lang w:val="en-US"/>
        </w:rPr>
        <w:t xml:space="preserve"> "tempo" fast or slow the settlement</w:t>
      </w:r>
      <w:r w:rsidR="00134574" w:rsidRPr="00D15F75">
        <w:rPr>
          <w:rFonts w:asciiTheme="majorBidi" w:hAnsiTheme="majorBidi" w:cstheme="majorBidi"/>
          <w:szCs w:val="24"/>
          <w:lang w:val="en-US"/>
        </w:rPr>
        <w:t xml:space="preserve"> of the dispute.</w:t>
      </w:r>
      <w:r w:rsidR="00134574" w:rsidRPr="00D15F75">
        <w:rPr>
          <w:rStyle w:val="FootnoteReference"/>
          <w:rFonts w:asciiTheme="majorBidi" w:hAnsiTheme="majorBidi" w:cstheme="majorBidi"/>
          <w:szCs w:val="24"/>
        </w:rPr>
        <w:footnoteReference w:id="13"/>
      </w:r>
      <w:r w:rsidR="00FF77BF" w:rsidRPr="00D15F75">
        <w:rPr>
          <w:rFonts w:asciiTheme="majorBidi" w:hAnsiTheme="majorBidi" w:cstheme="majorBidi"/>
          <w:szCs w:val="24"/>
          <w:lang w:val="en-US"/>
        </w:rPr>
        <w:t xml:space="preserve">The </w:t>
      </w:r>
      <w:r w:rsidR="00FF77BF" w:rsidRPr="00D15F75">
        <w:rPr>
          <w:rFonts w:asciiTheme="majorBidi" w:hAnsiTheme="majorBidi" w:cstheme="majorBidi"/>
          <w:szCs w:val="24"/>
          <w:lang w:val="en-US"/>
        </w:rPr>
        <w:lastRenderedPageBreak/>
        <w:t xml:space="preserve">quick point is that in the whole judicial process from the earliest stage to the last stage must be </w:t>
      </w:r>
      <w:r w:rsidRPr="00D15F75">
        <w:rPr>
          <w:rFonts w:asciiTheme="majorBidi" w:hAnsiTheme="majorBidi" w:cstheme="majorBidi"/>
          <w:szCs w:val="24"/>
          <w:lang w:val="en-US"/>
        </w:rPr>
        <w:t>done quickly</w:t>
      </w:r>
      <w:r w:rsidR="00FF77BF" w:rsidRPr="00D15F75">
        <w:rPr>
          <w:rFonts w:asciiTheme="majorBidi" w:hAnsiTheme="majorBidi" w:cstheme="majorBidi"/>
          <w:szCs w:val="24"/>
          <w:lang w:val="en-US"/>
        </w:rPr>
        <w:t>.</w:t>
      </w:r>
    </w:p>
    <w:p w:rsidR="00A30649" w:rsidRPr="00D15F75" w:rsidRDefault="00A30649" w:rsidP="00341559">
      <w:pPr>
        <w:autoSpaceDE w:val="0"/>
        <w:autoSpaceDN w:val="0"/>
        <w:adjustRightInd w:val="0"/>
        <w:ind w:firstLine="709"/>
        <w:rPr>
          <w:rFonts w:asciiTheme="majorBidi" w:hAnsiTheme="majorBidi" w:cstheme="majorBidi"/>
          <w:szCs w:val="24"/>
          <w:lang w:val="en-US"/>
        </w:rPr>
      </w:pPr>
      <w:r w:rsidRPr="00D15F75">
        <w:rPr>
          <w:rFonts w:asciiTheme="majorBidi" w:hAnsiTheme="majorBidi" w:cstheme="majorBidi"/>
          <w:szCs w:val="24"/>
          <w:lang w:val="en-US"/>
        </w:rPr>
        <w:t>The quickly</w:t>
      </w:r>
      <w:r w:rsidR="00FF77BF" w:rsidRPr="00D15F75">
        <w:rPr>
          <w:rFonts w:asciiTheme="majorBidi" w:hAnsiTheme="majorBidi" w:cstheme="majorBidi"/>
          <w:szCs w:val="24"/>
          <w:lang w:val="en-US"/>
        </w:rPr>
        <w:t xml:space="preserve"> principle in the judicial process here means the </w:t>
      </w:r>
      <w:r w:rsidR="00134574" w:rsidRPr="00D15F75">
        <w:rPr>
          <w:rFonts w:asciiTheme="majorBidi" w:hAnsiTheme="majorBidi" w:cstheme="majorBidi"/>
          <w:szCs w:val="24"/>
          <w:lang w:val="en-US"/>
        </w:rPr>
        <w:t>settlement of the dispute</w:t>
      </w:r>
      <w:r w:rsidR="00FF77BF" w:rsidRPr="00D15F75">
        <w:rPr>
          <w:rFonts w:asciiTheme="majorBidi" w:hAnsiTheme="majorBidi" w:cstheme="majorBidi"/>
          <w:szCs w:val="24"/>
          <w:lang w:val="en-US"/>
        </w:rPr>
        <w:t xml:space="preserve"> takes less time. The Supre</w:t>
      </w:r>
      <w:r w:rsidRPr="00D15F75">
        <w:rPr>
          <w:rFonts w:asciiTheme="majorBidi" w:hAnsiTheme="majorBidi" w:cstheme="majorBidi"/>
          <w:szCs w:val="24"/>
          <w:lang w:val="en-US"/>
        </w:rPr>
        <w:t>me Court in circular letter Number 1 year</w:t>
      </w:r>
      <w:r w:rsidR="00FF77BF" w:rsidRPr="00D15F75">
        <w:rPr>
          <w:rFonts w:asciiTheme="majorBidi" w:hAnsiTheme="majorBidi" w:cstheme="majorBidi"/>
          <w:szCs w:val="24"/>
          <w:lang w:val="en-US"/>
        </w:rPr>
        <w:t xml:space="preserve"> 1992 provides</w:t>
      </w:r>
      <w:r w:rsidR="00134574" w:rsidRPr="00D15F75">
        <w:rPr>
          <w:rFonts w:asciiTheme="majorBidi" w:hAnsiTheme="majorBidi" w:cstheme="majorBidi"/>
          <w:szCs w:val="24"/>
          <w:lang w:val="en-US"/>
        </w:rPr>
        <w:t xml:space="preserve"> a time limit of six (6) months.</w:t>
      </w:r>
      <w:r w:rsidRPr="00D15F75">
        <w:rPr>
          <w:rFonts w:asciiTheme="majorBidi" w:hAnsiTheme="majorBidi" w:cstheme="majorBidi"/>
          <w:szCs w:val="24"/>
          <w:lang w:val="en-US"/>
        </w:rPr>
        <w:t>It</w:t>
      </w:r>
      <w:r w:rsidR="00134574" w:rsidRPr="00D15F75">
        <w:rPr>
          <w:rFonts w:asciiTheme="majorBidi" w:hAnsiTheme="majorBidi" w:cstheme="majorBidi"/>
          <w:szCs w:val="24"/>
          <w:lang w:val="en-US"/>
        </w:rPr>
        <w:t>means that each dispute</w:t>
      </w:r>
      <w:r w:rsidR="00FF77BF" w:rsidRPr="00D15F75">
        <w:rPr>
          <w:rFonts w:asciiTheme="majorBidi" w:hAnsiTheme="majorBidi" w:cstheme="majorBidi"/>
          <w:szCs w:val="24"/>
          <w:lang w:val="en-US"/>
        </w:rPr>
        <w:t xml:space="preserve"> must be resolved within six (6) months from the case that it is registered in the proceeding, unless it is subject to legal provisions not to be resolved within six </w:t>
      </w:r>
      <w:r w:rsidRPr="00D15F75">
        <w:rPr>
          <w:rFonts w:asciiTheme="majorBidi" w:hAnsiTheme="majorBidi" w:cstheme="majorBidi"/>
          <w:szCs w:val="24"/>
          <w:lang w:val="en-US"/>
        </w:rPr>
        <w:t>months. Nevertheless, this quickly</w:t>
      </w:r>
      <w:r w:rsidR="00FF77BF" w:rsidRPr="00D15F75">
        <w:rPr>
          <w:rFonts w:asciiTheme="majorBidi" w:hAnsiTheme="majorBidi" w:cstheme="majorBidi"/>
          <w:szCs w:val="24"/>
          <w:lang w:val="en-US"/>
        </w:rPr>
        <w:t xml:space="preserve"> settlement should run on the right, fair and thorough rule of law</w:t>
      </w:r>
      <w:r w:rsidR="00134574" w:rsidRPr="00D15F75">
        <w:rPr>
          <w:rFonts w:asciiTheme="majorBidi" w:hAnsiTheme="majorBidi" w:cstheme="majorBidi"/>
          <w:szCs w:val="24"/>
          <w:lang w:val="en-US"/>
        </w:rPr>
        <w:t>.</w:t>
      </w:r>
      <w:r w:rsidR="00134574" w:rsidRPr="00D15F75">
        <w:rPr>
          <w:rStyle w:val="FootnoteReference"/>
          <w:rFonts w:asciiTheme="majorBidi" w:hAnsiTheme="majorBidi" w:cstheme="majorBidi"/>
          <w:szCs w:val="24"/>
        </w:rPr>
        <w:footnoteReference w:id="14"/>
      </w:r>
    </w:p>
    <w:p w:rsidR="00FF77BF" w:rsidRPr="00D15F75" w:rsidRDefault="00A30649" w:rsidP="00341559">
      <w:pPr>
        <w:autoSpaceDE w:val="0"/>
        <w:autoSpaceDN w:val="0"/>
        <w:adjustRightInd w:val="0"/>
        <w:ind w:firstLine="709"/>
        <w:rPr>
          <w:rFonts w:asciiTheme="majorBidi" w:hAnsiTheme="majorBidi" w:cstheme="majorBidi"/>
          <w:szCs w:val="24"/>
          <w:lang w:val="en-US"/>
        </w:rPr>
      </w:pPr>
      <w:r w:rsidRPr="00D15F75">
        <w:rPr>
          <w:rFonts w:asciiTheme="majorBidi" w:hAnsiTheme="majorBidi" w:cstheme="majorBidi"/>
          <w:szCs w:val="24"/>
          <w:lang w:val="en-US"/>
        </w:rPr>
        <w:t>S</w:t>
      </w:r>
      <w:r w:rsidR="00FF77BF" w:rsidRPr="00D15F75">
        <w:rPr>
          <w:rFonts w:asciiTheme="majorBidi" w:hAnsiTheme="majorBidi" w:cstheme="majorBidi"/>
          <w:szCs w:val="24"/>
          <w:lang w:val="en-US"/>
        </w:rPr>
        <w:t>ix months in this case it is checked</w:t>
      </w:r>
      <w:r w:rsidRPr="00D15F75">
        <w:rPr>
          <w:rFonts w:asciiTheme="majorBidi" w:hAnsiTheme="majorBidi" w:cstheme="majorBidi"/>
          <w:szCs w:val="24"/>
          <w:lang w:val="en-US"/>
        </w:rPr>
        <w:t xml:space="preserve"> with the regular </w:t>
      </w:r>
      <w:r w:rsidR="00134574" w:rsidRPr="00D15F75">
        <w:rPr>
          <w:rFonts w:asciiTheme="majorBidi" w:hAnsiTheme="majorBidi" w:cstheme="majorBidi"/>
          <w:szCs w:val="24"/>
          <w:lang w:val="en-US"/>
        </w:rPr>
        <w:t>procedure. It is</w:t>
      </w:r>
      <w:r w:rsidR="00FF77BF" w:rsidRPr="00D15F75">
        <w:rPr>
          <w:rFonts w:asciiTheme="majorBidi" w:hAnsiTheme="majorBidi" w:cstheme="majorBidi"/>
          <w:szCs w:val="24"/>
          <w:lang w:val="en-US"/>
        </w:rPr>
        <w:t xml:space="preserve"> in different</w:t>
      </w:r>
      <w:r w:rsidRPr="00D15F75">
        <w:rPr>
          <w:rFonts w:asciiTheme="majorBidi" w:hAnsiTheme="majorBidi" w:cstheme="majorBidi"/>
          <w:szCs w:val="24"/>
          <w:lang w:val="en-US"/>
        </w:rPr>
        <w:t xml:space="preserve"> ways with a short procedure</w:t>
      </w:r>
      <w:r w:rsidR="00134574" w:rsidRPr="00D15F75">
        <w:rPr>
          <w:rFonts w:asciiTheme="majorBidi" w:hAnsiTheme="majorBidi" w:cstheme="majorBidi"/>
          <w:szCs w:val="24"/>
          <w:lang w:val="en-US"/>
        </w:rPr>
        <w:t xml:space="preserve"> and a quick examine procedure</w:t>
      </w:r>
      <w:r w:rsidR="00FF77BF" w:rsidRPr="00D15F75">
        <w:rPr>
          <w:rFonts w:asciiTheme="majorBidi" w:hAnsiTheme="majorBidi" w:cstheme="majorBidi"/>
          <w:szCs w:val="24"/>
          <w:lang w:val="en-US"/>
        </w:rPr>
        <w:t xml:space="preserve"> that is applicable in the criminal law and the law of the Sta</w:t>
      </w:r>
      <w:r w:rsidR="00134574" w:rsidRPr="00D15F75">
        <w:rPr>
          <w:rFonts w:asciiTheme="majorBidi" w:hAnsiTheme="majorBidi" w:cstheme="majorBidi"/>
          <w:szCs w:val="24"/>
          <w:lang w:val="en-US"/>
        </w:rPr>
        <w:t>te Administrative judicial procedure</w:t>
      </w:r>
      <w:r w:rsidR="0081155A" w:rsidRPr="00D15F75">
        <w:rPr>
          <w:rFonts w:asciiTheme="majorBidi" w:hAnsiTheme="majorBidi" w:cstheme="majorBidi"/>
          <w:szCs w:val="24"/>
          <w:lang w:val="en-US"/>
        </w:rPr>
        <w:t>, while in the civil</w:t>
      </w:r>
      <w:r w:rsidR="00FF77BF" w:rsidRPr="00D15F75">
        <w:rPr>
          <w:rFonts w:asciiTheme="majorBidi" w:hAnsiTheme="majorBidi" w:cstheme="majorBidi"/>
          <w:szCs w:val="24"/>
          <w:lang w:val="en-US"/>
        </w:rPr>
        <w:t xml:space="preserve"> law (including the law o</w:t>
      </w:r>
      <w:r w:rsidR="0081155A" w:rsidRPr="00D15F75">
        <w:rPr>
          <w:rFonts w:asciiTheme="majorBidi" w:hAnsiTheme="majorBidi" w:cstheme="majorBidi"/>
          <w:szCs w:val="24"/>
          <w:lang w:val="en-US"/>
        </w:rPr>
        <w:t>f religious judicial procedure</w:t>
      </w:r>
      <w:r w:rsidR="00FF77BF" w:rsidRPr="00D15F75">
        <w:rPr>
          <w:rFonts w:asciiTheme="majorBidi" w:hAnsiTheme="majorBidi" w:cstheme="majorBidi"/>
          <w:szCs w:val="24"/>
          <w:lang w:val="en-US"/>
        </w:rPr>
        <w:t>) has not been set.</w:t>
      </w:r>
    </w:p>
    <w:p w:rsidR="00791F13" w:rsidRPr="00D15F75" w:rsidRDefault="00791F13" w:rsidP="00341559">
      <w:pPr>
        <w:autoSpaceDE w:val="0"/>
        <w:autoSpaceDN w:val="0"/>
        <w:adjustRightInd w:val="0"/>
        <w:ind w:firstLine="709"/>
        <w:rPr>
          <w:rFonts w:asciiTheme="majorBidi" w:hAnsiTheme="majorBidi" w:cstheme="majorBidi"/>
          <w:szCs w:val="24"/>
          <w:lang w:val="en-US"/>
        </w:rPr>
      </w:pPr>
      <w:r w:rsidRPr="00D15F75">
        <w:rPr>
          <w:rFonts w:asciiTheme="majorBidi" w:hAnsiTheme="majorBidi" w:cstheme="majorBidi"/>
          <w:szCs w:val="24"/>
          <w:lang w:val="en-US"/>
        </w:rPr>
        <w:t xml:space="preserve">This quick principle is not intended to </w:t>
      </w:r>
      <w:r w:rsidR="00A30649" w:rsidRPr="00D15F75">
        <w:rPr>
          <w:rFonts w:asciiTheme="majorBidi" w:hAnsiTheme="majorBidi" w:cstheme="majorBidi"/>
          <w:szCs w:val="24"/>
          <w:lang w:val="en-US"/>
        </w:rPr>
        <w:t>have the judge examine and solve</w:t>
      </w:r>
      <w:r w:rsidRPr="00D15F75">
        <w:rPr>
          <w:rFonts w:asciiTheme="majorBidi" w:hAnsiTheme="majorBidi" w:cstheme="majorBidi"/>
          <w:szCs w:val="24"/>
          <w:lang w:val="en-US"/>
        </w:rPr>
        <w:t xml:space="preserve"> the divorce case for example within an hour or</w:t>
      </w:r>
      <w:r w:rsidR="00A30649" w:rsidRPr="00D15F75">
        <w:rPr>
          <w:rFonts w:asciiTheme="majorBidi" w:hAnsiTheme="majorBidi" w:cstheme="majorBidi"/>
          <w:szCs w:val="24"/>
          <w:lang w:val="en-US"/>
        </w:rPr>
        <w:t xml:space="preserve"> a half hour. The purpose</w:t>
      </w:r>
      <w:r w:rsidRPr="00D15F75">
        <w:rPr>
          <w:rFonts w:asciiTheme="majorBidi" w:hAnsiTheme="majorBidi" w:cstheme="majorBidi"/>
          <w:szCs w:val="24"/>
          <w:lang w:val="en-US"/>
        </w:rPr>
        <w:t xml:space="preserve"> is a process of examination that is relatively not consuming a long period of time until years according to the simp</w:t>
      </w:r>
      <w:r w:rsidR="00A30649" w:rsidRPr="00D15F75">
        <w:rPr>
          <w:rFonts w:asciiTheme="majorBidi" w:hAnsiTheme="majorBidi" w:cstheme="majorBidi"/>
          <w:szCs w:val="24"/>
          <w:lang w:val="en-US"/>
        </w:rPr>
        <w:t>licity of the law procedure</w:t>
      </w:r>
      <w:r w:rsidRPr="00D15F75">
        <w:rPr>
          <w:rFonts w:asciiTheme="majorBidi" w:hAnsiTheme="majorBidi" w:cstheme="majorBidi"/>
          <w:szCs w:val="24"/>
          <w:lang w:val="en-US"/>
        </w:rPr>
        <w:t xml:space="preserve"> itself.</w:t>
      </w:r>
      <w:r w:rsidR="0081155A" w:rsidRPr="00D15F75">
        <w:rPr>
          <w:rStyle w:val="FootnoteReference"/>
          <w:rFonts w:asciiTheme="majorBidi" w:hAnsiTheme="majorBidi" w:cstheme="majorBidi"/>
          <w:szCs w:val="24"/>
        </w:rPr>
        <w:footnoteReference w:id="15"/>
      </w:r>
      <w:r w:rsidR="00E22B28" w:rsidRPr="00D15F75">
        <w:rPr>
          <w:rFonts w:asciiTheme="majorBidi" w:hAnsiTheme="majorBidi" w:cstheme="majorBidi"/>
          <w:szCs w:val="24"/>
          <w:lang w:val="en-US"/>
        </w:rPr>
        <w:t>So what is required from the judges in the implementation</w:t>
      </w:r>
      <w:r w:rsidRPr="00D15F75">
        <w:rPr>
          <w:rFonts w:asciiTheme="majorBidi" w:hAnsiTheme="majorBidi" w:cstheme="majorBidi"/>
          <w:szCs w:val="24"/>
          <w:lang w:val="en-US"/>
        </w:rPr>
        <w:t xml:space="preserve"> of thi</w:t>
      </w:r>
      <w:r w:rsidR="00E22B28" w:rsidRPr="00D15F75">
        <w:rPr>
          <w:rFonts w:asciiTheme="majorBidi" w:hAnsiTheme="majorBidi" w:cstheme="majorBidi"/>
          <w:szCs w:val="24"/>
          <w:lang w:val="en-US"/>
        </w:rPr>
        <w:t xml:space="preserve">s principle is </w:t>
      </w:r>
      <w:r w:rsidR="0081155A" w:rsidRPr="00D15F75">
        <w:rPr>
          <w:rFonts w:asciiTheme="majorBidi" w:hAnsiTheme="majorBidi" w:cstheme="majorBidi"/>
          <w:szCs w:val="24"/>
          <w:lang w:val="en-US"/>
        </w:rPr>
        <w:t>c</w:t>
      </w:r>
      <w:r w:rsidRPr="00D15F75">
        <w:rPr>
          <w:rFonts w:asciiTheme="majorBidi" w:hAnsiTheme="majorBidi" w:cstheme="majorBidi"/>
          <w:szCs w:val="24"/>
          <w:lang w:val="en-US"/>
        </w:rPr>
        <w:t>onduct a careful and reasonable examination, rational and objective by giving a balanced and appropriate opportunity to each party.</w:t>
      </w:r>
    </w:p>
    <w:p w:rsidR="00791F13" w:rsidRPr="00D15F75" w:rsidRDefault="00C5762C" w:rsidP="00341559">
      <w:pPr>
        <w:autoSpaceDE w:val="0"/>
        <w:autoSpaceDN w:val="0"/>
        <w:adjustRightInd w:val="0"/>
        <w:ind w:firstLine="709"/>
        <w:rPr>
          <w:rFonts w:asciiTheme="majorBidi" w:hAnsiTheme="majorBidi" w:cstheme="majorBidi"/>
          <w:szCs w:val="24"/>
          <w:lang w:val="en-US"/>
        </w:rPr>
      </w:pPr>
      <w:r w:rsidRPr="00D15F75">
        <w:rPr>
          <w:rFonts w:asciiTheme="majorBidi" w:hAnsiTheme="majorBidi" w:cstheme="majorBidi"/>
          <w:szCs w:val="24"/>
          <w:lang w:val="en-US"/>
        </w:rPr>
        <w:t>Secondly, the application</w:t>
      </w:r>
      <w:r w:rsidR="00791F13" w:rsidRPr="00D15F75">
        <w:rPr>
          <w:rFonts w:asciiTheme="majorBidi" w:hAnsiTheme="majorBidi" w:cstheme="majorBidi"/>
          <w:szCs w:val="24"/>
          <w:lang w:val="en-US"/>
        </w:rPr>
        <w:t xml:space="preserve"> of this principle should not reduce the accuracy of the examination and judgment according to Law and Justice.For what is the process of examination in a fast way if the law that is asserted therein contains a falsehood and rape of truth and justice. But rather for what righteousness and justice are obtained with misery and bitterness and in a waiting that never comes.</w:t>
      </w:r>
    </w:p>
    <w:p w:rsidR="00791F13" w:rsidRPr="00D15F75" w:rsidRDefault="00791F13" w:rsidP="00341559">
      <w:pPr>
        <w:autoSpaceDE w:val="0"/>
        <w:autoSpaceDN w:val="0"/>
        <w:adjustRightInd w:val="0"/>
        <w:ind w:firstLine="709"/>
        <w:rPr>
          <w:rFonts w:asciiTheme="majorBidi" w:hAnsiTheme="majorBidi" w:cstheme="majorBidi"/>
          <w:szCs w:val="24"/>
          <w:lang w:val="en-US"/>
        </w:rPr>
      </w:pPr>
      <w:r w:rsidRPr="00D15F75">
        <w:rPr>
          <w:rFonts w:asciiTheme="majorBidi" w:hAnsiTheme="majorBidi" w:cstheme="majorBidi"/>
          <w:szCs w:val="24"/>
          <w:lang w:val="en-US"/>
        </w:rPr>
        <w:t xml:space="preserve">Regarding the </w:t>
      </w:r>
      <w:r w:rsidR="00955285" w:rsidRPr="00D15F75">
        <w:rPr>
          <w:rFonts w:asciiTheme="majorBidi" w:hAnsiTheme="majorBidi" w:cstheme="majorBidi"/>
          <w:szCs w:val="24"/>
          <w:lang w:val="en-US"/>
        </w:rPr>
        <w:t xml:space="preserve">low </w:t>
      </w:r>
      <w:r w:rsidRPr="00D15F75">
        <w:rPr>
          <w:rFonts w:asciiTheme="majorBidi" w:hAnsiTheme="majorBidi" w:cstheme="majorBidi"/>
          <w:szCs w:val="24"/>
          <w:lang w:val="en-US"/>
        </w:rPr>
        <w:t>cost, cost means the money incurred to hold (establish, do, and so on) something, the cost (administration; fees incurred for mail</w:t>
      </w:r>
      <w:r w:rsidR="00955285" w:rsidRPr="00D15F75">
        <w:rPr>
          <w:rFonts w:asciiTheme="majorBidi" w:hAnsiTheme="majorBidi" w:cstheme="majorBidi"/>
          <w:szCs w:val="24"/>
          <w:lang w:val="en-US"/>
        </w:rPr>
        <w:t xml:space="preserve"> administration and so on). T</w:t>
      </w:r>
      <w:r w:rsidRPr="00D15F75">
        <w:rPr>
          <w:rFonts w:asciiTheme="majorBidi" w:hAnsiTheme="majorBidi" w:cstheme="majorBidi"/>
          <w:szCs w:val="24"/>
          <w:lang w:val="en-US"/>
        </w:rPr>
        <w:t xml:space="preserve">he </w:t>
      </w:r>
      <w:r w:rsidR="008B70C7" w:rsidRPr="00D15F75">
        <w:rPr>
          <w:rFonts w:asciiTheme="majorBidi" w:hAnsiTheme="majorBidi" w:cstheme="majorBidi"/>
          <w:szCs w:val="24"/>
          <w:lang w:val="en-US"/>
        </w:rPr>
        <w:t xml:space="preserve">cost of dispute settlement administration in religious court for example is </w:t>
      </w:r>
      <w:r w:rsidR="00955285" w:rsidRPr="00D15F75">
        <w:rPr>
          <w:rFonts w:asciiTheme="majorBidi" w:hAnsiTheme="majorBidi" w:cstheme="majorBidi"/>
          <w:szCs w:val="24"/>
          <w:lang w:val="en-US"/>
        </w:rPr>
        <w:t>for calling</w:t>
      </w:r>
      <w:r w:rsidR="008B70C7" w:rsidRPr="00D15F75">
        <w:rPr>
          <w:rFonts w:asciiTheme="majorBidi" w:hAnsiTheme="majorBidi" w:cstheme="majorBidi"/>
          <w:szCs w:val="24"/>
          <w:lang w:val="en-US"/>
        </w:rPr>
        <w:t xml:space="preserve"> the parties,</w:t>
      </w:r>
      <w:r w:rsidR="00955285" w:rsidRPr="00D15F75">
        <w:rPr>
          <w:rFonts w:asciiTheme="majorBidi" w:hAnsiTheme="majorBidi" w:cstheme="majorBidi"/>
          <w:szCs w:val="24"/>
          <w:lang w:val="en-US"/>
        </w:rPr>
        <w:t xml:space="preserve"> the Witness and Stamp.</w:t>
      </w:r>
      <w:r w:rsidR="008B70C7" w:rsidRPr="00D15F75">
        <w:rPr>
          <w:rStyle w:val="FootnoteReference"/>
          <w:rFonts w:asciiTheme="majorBidi" w:hAnsiTheme="majorBidi" w:cstheme="majorBidi"/>
          <w:szCs w:val="24"/>
        </w:rPr>
        <w:footnoteReference w:id="16"/>
      </w:r>
      <w:r w:rsidRPr="00D15F75">
        <w:rPr>
          <w:rFonts w:asciiTheme="majorBidi" w:hAnsiTheme="majorBidi" w:cstheme="majorBidi"/>
          <w:szCs w:val="24"/>
          <w:lang w:val="en-US"/>
        </w:rPr>
        <w:t>Whereas</w:t>
      </w:r>
      <w:r w:rsidR="00955285" w:rsidRPr="00D15F75">
        <w:rPr>
          <w:rFonts w:asciiTheme="majorBidi" w:hAnsiTheme="majorBidi" w:cstheme="majorBidi"/>
          <w:szCs w:val="24"/>
          <w:lang w:val="en-US"/>
        </w:rPr>
        <w:t>,</w:t>
      </w:r>
      <w:r w:rsidR="008B70C7" w:rsidRPr="00D15F75">
        <w:rPr>
          <w:rFonts w:asciiTheme="majorBidi" w:hAnsiTheme="majorBidi" w:cstheme="majorBidi"/>
          <w:szCs w:val="24"/>
          <w:lang w:val="en-US"/>
        </w:rPr>
        <w:t xml:space="preserve"> low cost</w:t>
      </w:r>
      <w:r w:rsidRPr="00D15F75">
        <w:rPr>
          <w:rFonts w:asciiTheme="majorBidi" w:hAnsiTheme="majorBidi" w:cstheme="majorBidi"/>
          <w:szCs w:val="24"/>
          <w:lang w:val="en-US"/>
        </w:rPr>
        <w:t xml:space="preserve"> here</w:t>
      </w:r>
      <w:r w:rsidR="00955285" w:rsidRPr="00D15F75">
        <w:rPr>
          <w:rFonts w:asciiTheme="majorBidi" w:hAnsiTheme="majorBidi" w:cstheme="majorBidi"/>
          <w:szCs w:val="24"/>
          <w:lang w:val="en-US"/>
        </w:rPr>
        <w:t xml:space="preserve"> is refer to the expensive or cheap</w:t>
      </w:r>
      <w:r w:rsidRPr="00D15F75">
        <w:rPr>
          <w:rFonts w:asciiTheme="majorBidi" w:hAnsiTheme="majorBidi" w:cstheme="majorBidi"/>
          <w:szCs w:val="24"/>
          <w:lang w:val="en-US"/>
        </w:rPr>
        <w:t xml:space="preserve"> the costs that the Seekers of justice must have in completing their disputes in front of the court.</w:t>
      </w:r>
      <w:r w:rsidR="008B70C7" w:rsidRPr="00D15F75">
        <w:rPr>
          <w:rStyle w:val="FootnoteReference"/>
          <w:rFonts w:asciiTheme="majorBidi" w:hAnsiTheme="majorBidi" w:cstheme="majorBidi"/>
          <w:szCs w:val="24"/>
        </w:rPr>
        <w:footnoteReference w:id="17"/>
      </w:r>
    </w:p>
    <w:p w:rsidR="00791F13" w:rsidRPr="00D15F75" w:rsidRDefault="00955285" w:rsidP="00341559">
      <w:pPr>
        <w:autoSpaceDE w:val="0"/>
        <w:autoSpaceDN w:val="0"/>
        <w:adjustRightInd w:val="0"/>
        <w:ind w:firstLine="709"/>
        <w:rPr>
          <w:rFonts w:asciiTheme="majorBidi" w:hAnsiTheme="majorBidi" w:cstheme="majorBidi"/>
          <w:szCs w:val="24"/>
          <w:lang w:val="en-US"/>
        </w:rPr>
      </w:pPr>
      <w:r w:rsidRPr="00D15F75">
        <w:rPr>
          <w:rFonts w:asciiTheme="majorBidi" w:hAnsiTheme="majorBidi" w:cstheme="majorBidi"/>
          <w:szCs w:val="24"/>
          <w:lang w:val="en-US"/>
        </w:rPr>
        <w:t>A low costs</w:t>
      </w:r>
      <w:r w:rsidR="00791F13" w:rsidRPr="00D15F75">
        <w:rPr>
          <w:rFonts w:asciiTheme="majorBidi" w:hAnsiTheme="majorBidi" w:cstheme="majorBidi"/>
          <w:szCs w:val="24"/>
          <w:lang w:val="en-US"/>
        </w:rPr>
        <w:t xml:space="preserve"> in this case means no other fees are required unless it is strictly necessary for </w:t>
      </w:r>
      <w:r w:rsidR="008B70C7" w:rsidRPr="00D15F75">
        <w:rPr>
          <w:rFonts w:asciiTheme="majorBidi" w:hAnsiTheme="majorBidi" w:cstheme="majorBidi"/>
          <w:szCs w:val="24"/>
          <w:lang w:val="en-US"/>
        </w:rPr>
        <w:t>the completion of the dispute</w:t>
      </w:r>
      <w:r w:rsidRPr="00D15F75">
        <w:rPr>
          <w:rFonts w:asciiTheme="majorBidi" w:hAnsiTheme="majorBidi" w:cstheme="majorBidi"/>
          <w:szCs w:val="24"/>
          <w:lang w:val="en-US"/>
        </w:rPr>
        <w:t>. The costs</w:t>
      </w:r>
      <w:r w:rsidR="00791F13" w:rsidRPr="00D15F75">
        <w:rPr>
          <w:rFonts w:asciiTheme="majorBidi" w:hAnsiTheme="majorBidi" w:cstheme="majorBidi"/>
          <w:szCs w:val="24"/>
          <w:lang w:val="en-US"/>
        </w:rPr>
        <w:t xml:space="preserve"> must be clear</w:t>
      </w:r>
      <w:r w:rsidRPr="00D15F75">
        <w:rPr>
          <w:rFonts w:asciiTheme="majorBidi" w:hAnsiTheme="majorBidi" w:cstheme="majorBidi"/>
          <w:szCs w:val="24"/>
          <w:lang w:val="en-US"/>
        </w:rPr>
        <w:t>ly</w:t>
      </w:r>
      <w:r w:rsidR="00791F13" w:rsidRPr="00D15F75">
        <w:rPr>
          <w:rFonts w:asciiTheme="majorBidi" w:hAnsiTheme="majorBidi" w:cstheme="majorBidi"/>
          <w:szCs w:val="24"/>
          <w:lang w:val="en-US"/>
        </w:rPr>
        <w:t xml:space="preserve"> and </w:t>
      </w:r>
      <w:r w:rsidR="006B11E5" w:rsidRPr="00D15F75">
        <w:rPr>
          <w:rFonts w:asciiTheme="majorBidi" w:hAnsiTheme="majorBidi" w:cstheme="majorBidi"/>
          <w:szCs w:val="24"/>
          <w:lang w:val="en-US"/>
        </w:rPr>
        <w:t>low costs</w:t>
      </w:r>
      <w:r w:rsidR="00F5784B" w:rsidRPr="00D15F75">
        <w:rPr>
          <w:rFonts w:asciiTheme="majorBidi" w:hAnsiTheme="majorBidi" w:cstheme="majorBidi"/>
          <w:szCs w:val="24"/>
          <w:lang w:val="en-US"/>
        </w:rPr>
        <w:t xml:space="preserve">. </w:t>
      </w:r>
      <w:r w:rsidR="00791F13" w:rsidRPr="00D15F75">
        <w:rPr>
          <w:rFonts w:asciiTheme="majorBidi" w:hAnsiTheme="majorBidi" w:cstheme="majorBidi"/>
          <w:szCs w:val="24"/>
          <w:lang w:val="en-US"/>
        </w:rPr>
        <w:t>All payments in the court must be clear and given a receipt of money. The court must respond to the money to the relevant person by noting it in the financial Journal so that the person can see it at any time</w:t>
      </w:r>
      <w:r w:rsidR="008B70C7" w:rsidRPr="00D15F75">
        <w:rPr>
          <w:rFonts w:asciiTheme="majorBidi" w:hAnsiTheme="majorBidi" w:cstheme="majorBidi"/>
          <w:szCs w:val="24"/>
          <w:lang w:val="en-US"/>
        </w:rPr>
        <w:t>.</w:t>
      </w:r>
      <w:r w:rsidR="008B70C7" w:rsidRPr="00D15F75">
        <w:rPr>
          <w:rStyle w:val="FootnoteReference"/>
          <w:rFonts w:asciiTheme="majorBidi" w:hAnsiTheme="majorBidi" w:cstheme="majorBidi"/>
          <w:szCs w:val="24"/>
        </w:rPr>
        <w:footnoteReference w:id="18"/>
      </w:r>
      <w:r w:rsidR="006B11E5" w:rsidRPr="00D15F75">
        <w:rPr>
          <w:rFonts w:asciiTheme="majorBidi" w:hAnsiTheme="majorBidi" w:cstheme="majorBidi"/>
          <w:szCs w:val="24"/>
          <w:lang w:val="en-US"/>
        </w:rPr>
        <w:t xml:space="preserve">The low cost it means that </w:t>
      </w:r>
      <w:r w:rsidR="00791F13" w:rsidRPr="00D15F75">
        <w:rPr>
          <w:rFonts w:asciiTheme="majorBidi" w:hAnsiTheme="majorBidi" w:cstheme="majorBidi"/>
          <w:szCs w:val="24"/>
          <w:lang w:val="en-US"/>
        </w:rPr>
        <w:t xml:space="preserve">to seek justice in the courts </w:t>
      </w:r>
      <w:r w:rsidR="006B11E5" w:rsidRPr="00D15F75">
        <w:rPr>
          <w:rFonts w:asciiTheme="majorBidi" w:hAnsiTheme="majorBidi" w:cstheme="majorBidi"/>
          <w:szCs w:val="24"/>
          <w:lang w:val="en-US"/>
        </w:rPr>
        <w:t>has done by all societies</w:t>
      </w:r>
      <w:r w:rsidR="00791F13" w:rsidRPr="00D15F75">
        <w:rPr>
          <w:rFonts w:asciiTheme="majorBidi" w:hAnsiTheme="majorBidi" w:cstheme="majorBidi"/>
          <w:szCs w:val="24"/>
          <w:lang w:val="en-US"/>
        </w:rPr>
        <w:t>, not only in certain societies, because all of these people are entitled to justice.</w:t>
      </w:r>
    </w:p>
    <w:p w:rsidR="00C82951" w:rsidRPr="00D15F75" w:rsidRDefault="002D7B5B" w:rsidP="00341559">
      <w:pPr>
        <w:autoSpaceDE w:val="0"/>
        <w:autoSpaceDN w:val="0"/>
        <w:adjustRightInd w:val="0"/>
        <w:ind w:firstLine="709"/>
        <w:rPr>
          <w:rFonts w:asciiTheme="majorBidi" w:hAnsiTheme="majorBidi" w:cstheme="majorBidi"/>
          <w:szCs w:val="24"/>
          <w:lang w:val="en-US"/>
        </w:rPr>
      </w:pPr>
      <w:r w:rsidRPr="00D15F75">
        <w:rPr>
          <w:rFonts w:asciiTheme="majorBidi" w:hAnsiTheme="majorBidi" w:cstheme="majorBidi"/>
          <w:szCs w:val="24"/>
          <w:lang w:val="en-US"/>
        </w:rPr>
        <w:t>According to article 121 HIR</w:t>
      </w:r>
      <w:r w:rsidR="008B70C7" w:rsidRPr="00D15F75">
        <w:rPr>
          <w:rFonts w:asciiTheme="majorBidi" w:hAnsiTheme="majorBidi" w:cstheme="majorBidi"/>
          <w:szCs w:val="24"/>
          <w:lang w:val="en-US"/>
        </w:rPr>
        <w:t xml:space="preserve"> paragraphs</w:t>
      </w:r>
      <w:r w:rsidRPr="00D15F75">
        <w:rPr>
          <w:rFonts w:asciiTheme="majorBidi" w:hAnsiTheme="majorBidi" w:cstheme="majorBidi"/>
          <w:szCs w:val="24"/>
          <w:lang w:val="en-US"/>
        </w:rPr>
        <w:t xml:space="preserve"> (1) the </w:t>
      </w:r>
      <w:r w:rsidR="00791F13" w:rsidRPr="00D15F75">
        <w:rPr>
          <w:rFonts w:asciiTheme="majorBidi" w:hAnsiTheme="majorBidi" w:cstheme="majorBidi"/>
          <w:szCs w:val="24"/>
          <w:lang w:val="en-US"/>
        </w:rPr>
        <w:t>determination of the cost of the case is done after the lawsuit made is registered by the Registrar in the list provided for it, then the Chairman determines the day an</w:t>
      </w:r>
      <w:r w:rsidRPr="00D15F75">
        <w:rPr>
          <w:rFonts w:asciiTheme="majorBidi" w:hAnsiTheme="majorBidi" w:cstheme="majorBidi"/>
          <w:szCs w:val="24"/>
          <w:lang w:val="en-US"/>
        </w:rPr>
        <w:t>d hour, the timing of the cases will be examined</w:t>
      </w:r>
      <w:r w:rsidR="00791F13" w:rsidRPr="00D15F75">
        <w:rPr>
          <w:rFonts w:asciiTheme="majorBidi" w:hAnsiTheme="majorBidi" w:cstheme="majorBidi"/>
          <w:szCs w:val="24"/>
          <w:lang w:val="en-US"/>
        </w:rPr>
        <w:t xml:space="preserve"> in the court.</w:t>
      </w:r>
      <w:r w:rsidRPr="00D15F75">
        <w:rPr>
          <w:rFonts w:asciiTheme="majorBidi" w:hAnsiTheme="majorBidi" w:cstheme="majorBidi"/>
          <w:szCs w:val="24"/>
          <w:lang w:val="en-US"/>
        </w:rPr>
        <w:t xml:space="preserve">In </w:t>
      </w:r>
      <w:r w:rsidRPr="00D15F75">
        <w:rPr>
          <w:rFonts w:asciiTheme="majorBidi" w:hAnsiTheme="majorBidi" w:cstheme="majorBidi"/>
          <w:szCs w:val="24"/>
          <w:lang w:val="en-US"/>
        </w:rPr>
        <w:lastRenderedPageBreak/>
        <w:t>article</w:t>
      </w:r>
      <w:r w:rsidR="00791F13" w:rsidRPr="00D15F75">
        <w:rPr>
          <w:rFonts w:asciiTheme="majorBidi" w:hAnsiTheme="majorBidi" w:cstheme="majorBidi"/>
          <w:szCs w:val="24"/>
          <w:lang w:val="en-US"/>
        </w:rPr>
        <w:t xml:space="preserve"> 121 (4) HIR specifies "register in the list as referred to in the first paragraph, shall not be done before </w:t>
      </w:r>
      <w:r w:rsidR="00BD7A5D" w:rsidRPr="00D15F75">
        <w:rPr>
          <w:rFonts w:asciiTheme="majorBidi" w:hAnsiTheme="majorBidi" w:cstheme="majorBidi"/>
          <w:szCs w:val="24"/>
          <w:lang w:val="en-US"/>
        </w:rPr>
        <w:t xml:space="preserve">the plaintiff paid some money to the clerk of court </w:t>
      </w:r>
      <w:r w:rsidR="008B70C7" w:rsidRPr="00D15F75">
        <w:rPr>
          <w:rFonts w:asciiTheme="majorBidi" w:hAnsiTheme="majorBidi" w:cstheme="majorBidi"/>
          <w:szCs w:val="24"/>
          <w:lang w:val="en-US"/>
        </w:rPr>
        <w:t>w</w:t>
      </w:r>
      <w:r w:rsidR="00791F13" w:rsidRPr="00D15F75">
        <w:rPr>
          <w:rFonts w:asciiTheme="majorBidi" w:hAnsiTheme="majorBidi" w:cstheme="majorBidi"/>
          <w:szCs w:val="24"/>
          <w:lang w:val="en-US"/>
        </w:rPr>
        <w:t xml:space="preserve">hich is temporarily estimated by the Chairman of </w:t>
      </w:r>
      <w:r w:rsidR="00C82951" w:rsidRPr="00D15F75">
        <w:rPr>
          <w:rFonts w:asciiTheme="majorBidi" w:hAnsiTheme="majorBidi" w:cstheme="majorBidi"/>
          <w:szCs w:val="24"/>
          <w:lang w:val="en-US"/>
        </w:rPr>
        <w:t>Court according to the type of case</w:t>
      </w:r>
      <w:r w:rsidR="00791F13" w:rsidRPr="00D15F75">
        <w:rPr>
          <w:rFonts w:asciiTheme="majorBidi" w:hAnsiTheme="majorBidi" w:cstheme="majorBidi"/>
          <w:szCs w:val="24"/>
          <w:lang w:val="en-US"/>
        </w:rPr>
        <w:t xml:space="preserve">, for the cost of clerks, calling fees and notices required to both parties and stamp rates that will be </w:t>
      </w:r>
      <w:r w:rsidR="00C82951" w:rsidRPr="00D15F75">
        <w:rPr>
          <w:rFonts w:asciiTheme="majorBidi" w:hAnsiTheme="majorBidi" w:cstheme="majorBidi"/>
          <w:szCs w:val="24"/>
          <w:lang w:val="en-US"/>
        </w:rPr>
        <w:t>accounted for. The amount paid</w:t>
      </w:r>
      <w:r w:rsidR="00791F13" w:rsidRPr="00D15F75">
        <w:rPr>
          <w:rFonts w:asciiTheme="majorBidi" w:hAnsiTheme="majorBidi" w:cstheme="majorBidi"/>
          <w:szCs w:val="24"/>
          <w:lang w:val="en-US"/>
        </w:rPr>
        <w:t xml:space="preserve"> will be taken into account</w:t>
      </w:r>
      <w:r w:rsidR="00C82951" w:rsidRPr="00D15F75">
        <w:rPr>
          <w:rFonts w:asciiTheme="majorBidi" w:hAnsiTheme="majorBidi" w:cstheme="majorBidi"/>
          <w:szCs w:val="24"/>
          <w:lang w:val="en-US"/>
        </w:rPr>
        <w:t>.</w:t>
      </w:r>
      <w:r w:rsidR="008B70C7" w:rsidRPr="00D15F75">
        <w:rPr>
          <w:rStyle w:val="FootnoteReference"/>
          <w:rFonts w:asciiTheme="majorBidi" w:hAnsiTheme="majorBidi" w:cstheme="majorBidi"/>
          <w:szCs w:val="24"/>
        </w:rPr>
        <w:footnoteReference w:id="19"/>
      </w:r>
    </w:p>
    <w:p w:rsidR="00FB13DB" w:rsidRPr="00D15F75" w:rsidRDefault="00791F13" w:rsidP="00341559">
      <w:pPr>
        <w:autoSpaceDE w:val="0"/>
        <w:autoSpaceDN w:val="0"/>
        <w:adjustRightInd w:val="0"/>
        <w:ind w:firstLine="709"/>
        <w:rPr>
          <w:rFonts w:asciiTheme="majorBidi" w:hAnsiTheme="majorBidi" w:cstheme="majorBidi"/>
          <w:szCs w:val="24"/>
          <w:lang w:val="en-US"/>
        </w:rPr>
      </w:pPr>
      <w:r w:rsidRPr="00D15F75">
        <w:rPr>
          <w:rFonts w:asciiTheme="majorBidi" w:hAnsiTheme="majorBidi" w:cstheme="majorBidi"/>
          <w:szCs w:val="24"/>
          <w:lang w:val="en-US"/>
        </w:rPr>
        <w:t>Meanwhile, according to the instructions from the Directorate General of Islamic Institutional development on the implementation of the Decree of the Minister of Rel</w:t>
      </w:r>
      <w:r w:rsidR="00E3165C" w:rsidRPr="00D15F75">
        <w:rPr>
          <w:rFonts w:asciiTheme="majorBidi" w:hAnsiTheme="majorBidi" w:cstheme="majorBidi"/>
          <w:szCs w:val="24"/>
          <w:lang w:val="en-US"/>
        </w:rPr>
        <w:t>igious Affairs Number</w:t>
      </w:r>
      <w:r w:rsidRPr="00D15F75">
        <w:rPr>
          <w:rFonts w:asciiTheme="majorBidi" w:hAnsiTheme="majorBidi" w:cstheme="majorBidi"/>
          <w:szCs w:val="24"/>
          <w:lang w:val="en-US"/>
        </w:rPr>
        <w:t xml:space="preserve"> 75 year 1979 about the cost of the matter on the subject of religious justice, at the lower left of each decision or Religious courts should include details of the cost of the subject being collected, the point in order to be clearly known by any par</w:t>
      </w:r>
      <w:r w:rsidR="008B70C7" w:rsidRPr="00D15F75">
        <w:rPr>
          <w:rFonts w:asciiTheme="majorBidi" w:hAnsiTheme="majorBidi" w:cstheme="majorBidi"/>
          <w:szCs w:val="24"/>
          <w:lang w:val="en-US"/>
        </w:rPr>
        <w:t>ties and anyone who is need</w:t>
      </w:r>
      <w:r w:rsidRPr="00D15F75">
        <w:rPr>
          <w:rFonts w:asciiTheme="majorBidi" w:hAnsiTheme="majorBidi" w:cstheme="majorBidi"/>
          <w:szCs w:val="24"/>
          <w:lang w:val="en-US"/>
        </w:rPr>
        <w:t>.</w:t>
      </w:r>
      <w:r w:rsidR="008B70C7" w:rsidRPr="00D15F75">
        <w:rPr>
          <w:rStyle w:val="FootnoteReference"/>
          <w:rFonts w:asciiTheme="majorBidi" w:hAnsiTheme="majorBidi" w:cstheme="majorBidi"/>
          <w:szCs w:val="24"/>
        </w:rPr>
        <w:footnoteReference w:id="20"/>
      </w:r>
    </w:p>
    <w:p w:rsidR="00FB13DB" w:rsidRPr="00D15F75" w:rsidRDefault="003744D4" w:rsidP="00341559">
      <w:pPr>
        <w:autoSpaceDE w:val="0"/>
        <w:autoSpaceDN w:val="0"/>
        <w:adjustRightInd w:val="0"/>
        <w:ind w:firstLine="709"/>
        <w:rPr>
          <w:rFonts w:asciiTheme="majorBidi" w:hAnsiTheme="majorBidi" w:cstheme="majorBidi"/>
          <w:szCs w:val="24"/>
          <w:lang w:val="en-US"/>
        </w:rPr>
      </w:pPr>
      <w:r w:rsidRPr="00D15F75">
        <w:rPr>
          <w:rFonts w:asciiTheme="majorBidi" w:hAnsiTheme="majorBidi" w:cstheme="majorBidi"/>
          <w:szCs w:val="24"/>
          <w:lang w:val="en-US"/>
        </w:rPr>
        <w:t>The simple, quick and low cost</w:t>
      </w:r>
      <w:r w:rsidR="00FB13DB" w:rsidRPr="00D15F75">
        <w:rPr>
          <w:rFonts w:asciiTheme="majorBidi" w:hAnsiTheme="majorBidi" w:cstheme="majorBidi"/>
          <w:szCs w:val="24"/>
          <w:lang w:val="en-US"/>
        </w:rPr>
        <w:t xml:space="preserve"> principle </w:t>
      </w:r>
      <w:r w:rsidRPr="00D15F75">
        <w:rPr>
          <w:rFonts w:asciiTheme="majorBidi" w:hAnsiTheme="majorBidi" w:cstheme="majorBidi"/>
          <w:szCs w:val="24"/>
          <w:lang w:val="en-US"/>
        </w:rPr>
        <w:t xml:space="preserve">in religious court </w:t>
      </w:r>
      <w:r w:rsidR="00FB13DB" w:rsidRPr="00D15F75">
        <w:rPr>
          <w:rFonts w:asciiTheme="majorBidi" w:hAnsiTheme="majorBidi" w:cstheme="majorBidi"/>
          <w:szCs w:val="24"/>
          <w:lang w:val="en-US"/>
        </w:rPr>
        <w:t>must meet the expectations of the Seekers of justice who always want</w:t>
      </w:r>
      <w:r w:rsidR="00F5784B" w:rsidRPr="00D15F75">
        <w:rPr>
          <w:rFonts w:asciiTheme="majorBidi" w:hAnsiTheme="majorBidi" w:cstheme="majorBidi"/>
          <w:szCs w:val="24"/>
          <w:lang w:val="en-US"/>
        </w:rPr>
        <w:t xml:space="preserve"> a fast, fair and low cost judicial</w:t>
      </w:r>
      <w:r w:rsidRPr="00D15F75">
        <w:rPr>
          <w:rFonts w:asciiTheme="majorBidi" w:hAnsiTheme="majorBidi" w:cstheme="majorBidi"/>
          <w:szCs w:val="24"/>
          <w:lang w:val="en-US"/>
        </w:rPr>
        <w:t>procedure</w:t>
      </w:r>
      <w:r w:rsidR="00FB13DB" w:rsidRPr="00D15F75">
        <w:rPr>
          <w:rFonts w:asciiTheme="majorBidi" w:hAnsiTheme="majorBidi" w:cstheme="majorBidi"/>
          <w:szCs w:val="24"/>
          <w:lang w:val="en-US"/>
        </w:rPr>
        <w:t>.T</w:t>
      </w:r>
      <w:r w:rsidRPr="00D15F75">
        <w:rPr>
          <w:rFonts w:asciiTheme="majorBidi" w:hAnsiTheme="majorBidi" w:cstheme="majorBidi"/>
          <w:szCs w:val="24"/>
          <w:lang w:val="en-US"/>
        </w:rPr>
        <w:t>here is no need for a complicated examination and procedure</w:t>
      </w:r>
      <w:r w:rsidR="00FB13DB" w:rsidRPr="00D15F75">
        <w:rPr>
          <w:rFonts w:asciiTheme="majorBidi" w:hAnsiTheme="majorBidi" w:cstheme="majorBidi"/>
          <w:szCs w:val="24"/>
          <w:lang w:val="en-US"/>
        </w:rPr>
        <w:t xml:space="preserve"> that can cause the process for up to years, even sometimes it must be continued by the heirs of seekers of justice.The </w:t>
      </w:r>
      <w:r w:rsidR="00E77619" w:rsidRPr="00D15F75">
        <w:rPr>
          <w:rFonts w:asciiTheme="majorBidi" w:hAnsiTheme="majorBidi" w:cstheme="majorBidi"/>
          <w:szCs w:val="24"/>
          <w:lang w:val="en-US"/>
        </w:rPr>
        <w:t>low cost</w:t>
      </w:r>
      <w:r w:rsidR="00FB13DB" w:rsidRPr="00D15F75">
        <w:rPr>
          <w:rFonts w:asciiTheme="majorBidi" w:hAnsiTheme="majorBidi" w:cstheme="majorBidi"/>
          <w:szCs w:val="24"/>
          <w:lang w:val="en-US"/>
        </w:rPr>
        <w:t xml:space="preserve"> means the lowest possible </w:t>
      </w:r>
      <w:r w:rsidR="00E77619" w:rsidRPr="00D15F75">
        <w:rPr>
          <w:rFonts w:asciiTheme="majorBidi" w:hAnsiTheme="majorBidi" w:cstheme="majorBidi"/>
          <w:szCs w:val="24"/>
          <w:lang w:val="en-US"/>
        </w:rPr>
        <w:t xml:space="preserve">cost so that it can be accepted all societies </w:t>
      </w:r>
      <w:r w:rsidR="00FB13DB" w:rsidRPr="00D15F75">
        <w:rPr>
          <w:rFonts w:asciiTheme="majorBidi" w:hAnsiTheme="majorBidi" w:cstheme="majorBidi"/>
          <w:szCs w:val="24"/>
          <w:lang w:val="en-US"/>
        </w:rPr>
        <w:t>without sacrificing thoroughness to seek truth and justice.</w:t>
      </w:r>
    </w:p>
    <w:p w:rsidR="00F5784B" w:rsidRPr="00D15F75" w:rsidRDefault="008335C2" w:rsidP="00341559">
      <w:pPr>
        <w:autoSpaceDE w:val="0"/>
        <w:autoSpaceDN w:val="0"/>
        <w:adjustRightInd w:val="0"/>
        <w:ind w:firstLine="709"/>
        <w:rPr>
          <w:rFonts w:asciiTheme="majorBidi" w:hAnsiTheme="majorBidi" w:cstheme="majorBidi"/>
          <w:szCs w:val="24"/>
          <w:lang w:val="en-US"/>
        </w:rPr>
      </w:pPr>
      <w:r w:rsidRPr="00D15F75">
        <w:rPr>
          <w:rFonts w:asciiTheme="majorBidi" w:hAnsiTheme="majorBidi" w:cstheme="majorBidi"/>
          <w:szCs w:val="24"/>
          <w:lang w:val="en-US"/>
        </w:rPr>
        <w:t>The regulation</w:t>
      </w:r>
      <w:r w:rsidR="00FB13DB" w:rsidRPr="00D15F75">
        <w:rPr>
          <w:rFonts w:asciiTheme="majorBidi" w:hAnsiTheme="majorBidi" w:cstheme="majorBidi"/>
          <w:szCs w:val="24"/>
          <w:lang w:val="en-US"/>
        </w:rPr>
        <w:t xml:space="preserve"> that the judiciary is done o</w:t>
      </w:r>
      <w:r w:rsidRPr="00D15F75">
        <w:rPr>
          <w:rFonts w:asciiTheme="majorBidi" w:hAnsiTheme="majorBidi" w:cstheme="majorBidi"/>
          <w:szCs w:val="24"/>
          <w:lang w:val="en-US"/>
        </w:rPr>
        <w:t xml:space="preserve">n a simple, fast and low cost principle </w:t>
      </w:r>
      <w:r w:rsidR="00FB13DB" w:rsidRPr="00D15F75">
        <w:rPr>
          <w:rFonts w:asciiTheme="majorBidi" w:hAnsiTheme="majorBidi" w:cstheme="majorBidi"/>
          <w:szCs w:val="24"/>
          <w:lang w:val="en-US"/>
        </w:rPr>
        <w:t xml:space="preserve">basis remains to be held firmly with the legal reflection on the law of </w:t>
      </w:r>
      <w:r w:rsidR="00F5784B" w:rsidRPr="00D15F75">
        <w:rPr>
          <w:rFonts w:asciiTheme="majorBidi" w:hAnsiTheme="majorBidi" w:cstheme="majorBidi"/>
          <w:szCs w:val="24"/>
          <w:lang w:val="en-US"/>
        </w:rPr>
        <w:t>civil procedure</w:t>
      </w:r>
      <w:r w:rsidR="00FB13DB" w:rsidRPr="00D15F75">
        <w:rPr>
          <w:rFonts w:asciiTheme="majorBidi" w:hAnsiTheme="majorBidi" w:cstheme="majorBidi"/>
          <w:szCs w:val="24"/>
          <w:lang w:val="en-US"/>
        </w:rPr>
        <w:t xml:space="preserve"> which </w:t>
      </w:r>
      <w:r w:rsidR="00F5784B" w:rsidRPr="00D15F75">
        <w:rPr>
          <w:rFonts w:asciiTheme="majorBidi" w:hAnsiTheme="majorBidi" w:cstheme="majorBidi"/>
          <w:szCs w:val="24"/>
          <w:lang w:val="en-US"/>
        </w:rPr>
        <w:t xml:space="preserve">is contain </w:t>
      </w:r>
      <w:r w:rsidR="00FB13DB" w:rsidRPr="00D15F75">
        <w:rPr>
          <w:rFonts w:asciiTheme="majorBidi" w:hAnsiTheme="majorBidi" w:cstheme="majorBidi"/>
          <w:szCs w:val="24"/>
          <w:lang w:val="en-US"/>
        </w:rPr>
        <w:t>regulations on a much simpler examination</w:t>
      </w:r>
      <w:r w:rsidR="00F5784B" w:rsidRPr="00D15F75">
        <w:rPr>
          <w:rFonts w:asciiTheme="majorBidi" w:hAnsiTheme="majorBidi" w:cstheme="majorBidi"/>
          <w:szCs w:val="24"/>
          <w:lang w:val="en-US"/>
        </w:rPr>
        <w:t xml:space="preserve">. </w:t>
      </w:r>
      <w:r w:rsidRPr="00D15F75">
        <w:rPr>
          <w:rFonts w:asciiTheme="majorBidi" w:hAnsiTheme="majorBidi" w:cstheme="majorBidi"/>
          <w:szCs w:val="24"/>
          <w:lang w:val="en-US"/>
        </w:rPr>
        <w:t>The meaning and purpose of judicial principle that is</w:t>
      </w:r>
      <w:r w:rsidR="00FB13DB" w:rsidRPr="00D15F75">
        <w:rPr>
          <w:rFonts w:asciiTheme="majorBidi" w:hAnsiTheme="majorBidi" w:cstheme="majorBidi"/>
          <w:szCs w:val="24"/>
          <w:lang w:val="en-US"/>
        </w:rPr>
        <w:t xml:space="preserve"> simple, fast and </w:t>
      </w:r>
      <w:r w:rsidRPr="00D15F75">
        <w:rPr>
          <w:rFonts w:asciiTheme="majorBidi" w:hAnsiTheme="majorBidi" w:cstheme="majorBidi"/>
          <w:szCs w:val="24"/>
          <w:lang w:val="en-US"/>
        </w:rPr>
        <w:t xml:space="preserve">low cost principle </w:t>
      </w:r>
      <w:r w:rsidR="00FB13DB" w:rsidRPr="00D15F75">
        <w:rPr>
          <w:rFonts w:asciiTheme="majorBidi" w:hAnsiTheme="majorBidi" w:cstheme="majorBidi"/>
          <w:szCs w:val="24"/>
          <w:lang w:val="en-US"/>
        </w:rPr>
        <w:t xml:space="preserve">not only to prioritize elements of speed and </w:t>
      </w:r>
      <w:r w:rsidRPr="00D15F75">
        <w:rPr>
          <w:rFonts w:asciiTheme="majorBidi" w:hAnsiTheme="majorBidi" w:cstheme="majorBidi"/>
          <w:szCs w:val="24"/>
          <w:lang w:val="en-US"/>
        </w:rPr>
        <w:t xml:space="preserve">low cost procedure </w:t>
      </w:r>
      <w:r w:rsidR="00FB13DB" w:rsidRPr="00D15F75">
        <w:rPr>
          <w:rFonts w:asciiTheme="majorBidi" w:hAnsiTheme="majorBidi" w:cstheme="majorBidi"/>
          <w:szCs w:val="24"/>
          <w:lang w:val="en-US"/>
        </w:rPr>
        <w:t>does not mean in the examination of the case done in a complicated way, without the thoroughness and accuracy</w:t>
      </w:r>
    </w:p>
    <w:p w:rsidR="00786BFA" w:rsidRPr="00D15F75" w:rsidRDefault="008335C2" w:rsidP="00341559">
      <w:pPr>
        <w:autoSpaceDE w:val="0"/>
        <w:autoSpaceDN w:val="0"/>
        <w:adjustRightInd w:val="0"/>
        <w:ind w:firstLine="709"/>
        <w:rPr>
          <w:rFonts w:asciiTheme="majorBidi" w:hAnsiTheme="majorBidi" w:cstheme="majorBidi"/>
          <w:szCs w:val="24"/>
          <w:lang w:val="en-US"/>
        </w:rPr>
      </w:pPr>
      <w:r w:rsidRPr="00D15F75">
        <w:rPr>
          <w:rFonts w:asciiTheme="majorBidi" w:hAnsiTheme="majorBidi" w:cstheme="majorBidi"/>
          <w:szCs w:val="24"/>
        </w:rPr>
        <w:t xml:space="preserve">The </w:t>
      </w:r>
      <w:r w:rsidRPr="00D15F75">
        <w:rPr>
          <w:rFonts w:asciiTheme="majorBidi" w:hAnsiTheme="majorBidi" w:cstheme="majorBidi"/>
          <w:szCs w:val="24"/>
          <w:lang w:val="en-US"/>
        </w:rPr>
        <w:t>implementation</w:t>
      </w:r>
      <w:r w:rsidR="00FB13DB" w:rsidRPr="00D15F75">
        <w:rPr>
          <w:rFonts w:asciiTheme="majorBidi" w:hAnsiTheme="majorBidi" w:cstheme="majorBidi"/>
          <w:szCs w:val="24"/>
        </w:rPr>
        <w:t xml:space="preserve"> of simple, fast and </w:t>
      </w:r>
      <w:r w:rsidRPr="00D15F75">
        <w:rPr>
          <w:rFonts w:asciiTheme="majorBidi" w:hAnsiTheme="majorBidi" w:cstheme="majorBidi"/>
          <w:szCs w:val="24"/>
          <w:lang w:val="en-US"/>
        </w:rPr>
        <w:t xml:space="preserve">low cost </w:t>
      </w:r>
      <w:r w:rsidR="00FB13DB" w:rsidRPr="00D15F75">
        <w:rPr>
          <w:rFonts w:asciiTheme="majorBidi" w:hAnsiTheme="majorBidi" w:cstheme="majorBidi"/>
          <w:szCs w:val="24"/>
        </w:rPr>
        <w:t>judicial principles has the intrinsic value of justice, no matter what the function of service, the judge must truly realize itself as a devoted officer for the sake of law enforcement. Moreover, for the judges who serve in the environment of religious courts, should be more noble and mor</w:t>
      </w:r>
      <w:r w:rsidR="00F5784B" w:rsidRPr="00D15F75">
        <w:rPr>
          <w:rFonts w:asciiTheme="majorBidi" w:hAnsiTheme="majorBidi" w:cstheme="majorBidi"/>
          <w:szCs w:val="24"/>
        </w:rPr>
        <w:t>e learn the religious predicate</w:t>
      </w:r>
      <w:r w:rsidR="00F5784B" w:rsidRPr="00D15F75">
        <w:rPr>
          <w:rFonts w:asciiTheme="majorBidi" w:hAnsiTheme="majorBidi" w:cstheme="majorBidi"/>
          <w:szCs w:val="24"/>
          <w:lang w:val="en-US"/>
        </w:rPr>
        <w:t>.</w:t>
      </w:r>
      <w:r w:rsidR="00F5784B" w:rsidRPr="00D15F75">
        <w:rPr>
          <w:rStyle w:val="FootnoteReference"/>
          <w:rFonts w:asciiTheme="majorBidi" w:hAnsiTheme="majorBidi" w:cstheme="majorBidi"/>
          <w:szCs w:val="24"/>
        </w:rPr>
        <w:footnoteReference w:id="21"/>
      </w:r>
    </w:p>
    <w:p w:rsidR="00ED7914" w:rsidRPr="00D15F75" w:rsidRDefault="00ED7914" w:rsidP="00341559">
      <w:pPr>
        <w:autoSpaceDE w:val="0"/>
        <w:autoSpaceDN w:val="0"/>
        <w:adjustRightInd w:val="0"/>
        <w:ind w:firstLine="709"/>
        <w:rPr>
          <w:rFonts w:asciiTheme="majorBidi" w:hAnsiTheme="majorBidi" w:cstheme="majorBidi"/>
          <w:szCs w:val="24"/>
          <w:lang w:val="en-US"/>
        </w:rPr>
      </w:pPr>
    </w:p>
    <w:p w:rsidR="00ED7914" w:rsidRPr="00D15F75" w:rsidRDefault="00ED7914" w:rsidP="00341559">
      <w:pPr>
        <w:pStyle w:val="ListParagraph"/>
        <w:numPr>
          <w:ilvl w:val="0"/>
          <w:numId w:val="2"/>
        </w:numPr>
        <w:tabs>
          <w:tab w:val="left" w:pos="567"/>
        </w:tabs>
        <w:spacing w:after="240"/>
        <w:ind w:left="450"/>
        <w:rPr>
          <w:rFonts w:asciiTheme="majorBidi" w:hAnsiTheme="majorBidi" w:cstheme="majorBidi"/>
          <w:b/>
          <w:bCs/>
          <w:szCs w:val="24"/>
        </w:rPr>
      </w:pPr>
      <w:r w:rsidRPr="00D15F75">
        <w:rPr>
          <w:rFonts w:asciiTheme="majorBidi" w:eastAsia="Times New Roman" w:hAnsiTheme="majorBidi" w:cstheme="majorBidi"/>
          <w:b/>
          <w:bCs/>
          <w:szCs w:val="24"/>
          <w:lang w:val="en-US" w:eastAsia="id-ID"/>
        </w:rPr>
        <w:t>Policy of Implementation of Small Claim Court in Religious Court</w:t>
      </w:r>
    </w:p>
    <w:p w:rsidR="00ED7914" w:rsidRPr="00D15F75" w:rsidRDefault="00ED7914" w:rsidP="005B7C1F">
      <w:pPr>
        <w:ind w:firstLine="709"/>
        <w:rPr>
          <w:rFonts w:asciiTheme="majorBidi" w:eastAsia="Times New Roman" w:hAnsiTheme="majorBidi" w:cstheme="majorBidi"/>
          <w:szCs w:val="24"/>
          <w:lang w:val="en-US" w:eastAsia="id-ID"/>
        </w:rPr>
      </w:pPr>
      <w:r w:rsidRPr="00D15F75">
        <w:rPr>
          <w:rFonts w:asciiTheme="majorBidi" w:eastAsia="Times New Roman" w:hAnsiTheme="majorBidi" w:cstheme="majorBidi"/>
          <w:szCs w:val="24"/>
          <w:lang w:val="en-US" w:eastAsia="id-ID"/>
        </w:rPr>
        <w:t>Moh.Mahfud MD</w:t>
      </w:r>
      <w:r w:rsidRPr="00D15F75">
        <w:rPr>
          <w:rStyle w:val="FootnoteReference"/>
          <w:rFonts w:asciiTheme="majorBidi" w:eastAsia="Times New Roman" w:hAnsiTheme="majorBidi" w:cstheme="majorBidi"/>
          <w:szCs w:val="24"/>
          <w:lang w:eastAsia="id-ID"/>
        </w:rPr>
        <w:footnoteReference w:id="22"/>
      </w:r>
      <w:r w:rsidRPr="00D15F75">
        <w:rPr>
          <w:rFonts w:asciiTheme="majorBidi" w:eastAsia="Times New Roman" w:hAnsiTheme="majorBidi" w:cstheme="majorBidi"/>
          <w:szCs w:val="24"/>
          <w:lang w:val="en-US" w:eastAsia="id-ID"/>
        </w:rPr>
        <w:t xml:space="preserve"> said that legal Policy is laws forced or unenforced to reach the goals of the State. Here the law is positioned as a tool for achieving state objectives. </w:t>
      </w:r>
      <w:r w:rsidRPr="00D15F75">
        <w:rPr>
          <w:rFonts w:asciiTheme="majorBidi" w:eastAsia="Times New Roman" w:hAnsiTheme="majorBidi" w:cstheme="majorBidi"/>
          <w:szCs w:val="24"/>
          <w:lang w:eastAsia="id-ID"/>
        </w:rPr>
        <w:t>Related to this, Sunaryati Hartono has expressed about "the law as a tool" so that practically legal politics are also a tool or a means that the government can use to create a national law to achieve the National ideals and objectives of the state</w:t>
      </w:r>
      <w:r w:rsidRPr="00D15F75">
        <w:rPr>
          <w:rFonts w:asciiTheme="majorBidi" w:eastAsia="Times New Roman" w:hAnsiTheme="majorBidi" w:cstheme="majorBidi"/>
          <w:szCs w:val="24"/>
          <w:lang w:val="en-US" w:eastAsia="id-ID"/>
        </w:rPr>
        <w:t>.</w:t>
      </w:r>
      <w:r w:rsidRPr="00D15F75">
        <w:rPr>
          <w:rStyle w:val="FootnoteReference"/>
          <w:rFonts w:asciiTheme="majorBidi" w:eastAsia="Times New Roman" w:hAnsiTheme="majorBidi" w:cstheme="majorBidi"/>
          <w:szCs w:val="24"/>
          <w:lang w:eastAsia="id-ID"/>
        </w:rPr>
        <w:footnoteReference w:id="23"/>
      </w:r>
    </w:p>
    <w:p w:rsidR="00ED7914" w:rsidRPr="00D15F75" w:rsidRDefault="00ED7914" w:rsidP="005B7C1F">
      <w:pPr>
        <w:ind w:firstLine="709"/>
        <w:rPr>
          <w:rFonts w:asciiTheme="majorBidi" w:eastAsia="Times New Roman" w:hAnsiTheme="majorBidi" w:cstheme="majorBidi"/>
          <w:szCs w:val="24"/>
          <w:lang w:val="en-US" w:eastAsia="id-ID"/>
        </w:rPr>
      </w:pPr>
      <w:r w:rsidRPr="00D15F75">
        <w:rPr>
          <w:rFonts w:asciiTheme="majorBidi" w:eastAsia="Times New Roman" w:hAnsiTheme="majorBidi" w:cstheme="majorBidi"/>
          <w:szCs w:val="24"/>
          <w:lang w:val="en-US" w:eastAsia="id-ID"/>
        </w:rPr>
        <w:t xml:space="preserve">According to BagirManan, legal policy is permanent and temporary. Permanent Legal Policy is related to the nature of the law that will always be the basis of establishment and enforcement policy, while the temporary law is the policy that is set from time to time according </w:t>
      </w:r>
      <w:r w:rsidRPr="00D15F75">
        <w:rPr>
          <w:rFonts w:asciiTheme="majorBidi" w:eastAsia="Times New Roman" w:hAnsiTheme="majorBidi" w:cstheme="majorBidi"/>
          <w:szCs w:val="24"/>
          <w:lang w:val="en-US" w:eastAsia="id-ID"/>
        </w:rPr>
        <w:lastRenderedPageBreak/>
        <w:t>to the needs including this category is the determination of priorities for the establishment of local regulations, renewal of legislation that supports national development and so on.</w:t>
      </w:r>
      <w:r w:rsidRPr="00D15F75">
        <w:rPr>
          <w:rStyle w:val="FootnoteReference"/>
          <w:rFonts w:asciiTheme="majorBidi" w:eastAsia="Times New Roman" w:hAnsiTheme="majorBidi" w:cstheme="majorBidi"/>
          <w:szCs w:val="24"/>
          <w:lang w:eastAsia="id-ID"/>
        </w:rPr>
        <w:footnoteReference w:id="24"/>
      </w:r>
      <w:r w:rsidRPr="00D15F75">
        <w:rPr>
          <w:rFonts w:asciiTheme="majorBidi" w:eastAsia="Times New Roman" w:hAnsiTheme="majorBidi" w:cstheme="majorBidi"/>
          <w:szCs w:val="24"/>
          <w:lang w:val="en-US" w:eastAsia="id-ID"/>
        </w:rPr>
        <w:t xml:space="preserve"> Legal policy regarding the Small Claim Court in religious court is permanent because it will be used as a legal basis for a simple lawsuit that aims to reduce the burden of the subject matter.</w:t>
      </w:r>
    </w:p>
    <w:p w:rsidR="00ED7914" w:rsidRPr="00D15F75" w:rsidRDefault="00ED7914" w:rsidP="00341559">
      <w:pPr>
        <w:ind w:firstLine="709"/>
        <w:rPr>
          <w:rFonts w:asciiTheme="majorBidi" w:hAnsiTheme="majorBidi" w:cstheme="majorBidi"/>
          <w:szCs w:val="24"/>
          <w:lang w:val="en-US"/>
        </w:rPr>
      </w:pPr>
      <w:r w:rsidRPr="00D15F75">
        <w:rPr>
          <w:rFonts w:asciiTheme="majorBidi" w:hAnsiTheme="majorBidi" w:cstheme="majorBidi"/>
          <w:szCs w:val="24"/>
          <w:lang w:val="en-US"/>
        </w:rPr>
        <w:t>Conventionally the settlement of civil disputes (in particular the absolute authority of the religious judiciary) is carried out through a lawsuit-to-justice mechanism (litigation) that in practice often takes a long time to complete one at one level of religious court. It can be the longer time takes if a party is applying for a legal effort, both appeal and cassation. This condition is not in line with the principle of fast, simple and low costs as mandated by the law of judicial power</w:t>
      </w:r>
      <w:r w:rsidRPr="00D15F75">
        <w:rPr>
          <w:rFonts w:asciiTheme="majorBidi" w:hAnsiTheme="majorBidi" w:cstheme="majorBidi"/>
          <w:szCs w:val="24"/>
        </w:rPr>
        <w:t xml:space="preserve">. </w:t>
      </w:r>
    </w:p>
    <w:p w:rsidR="00ED7914" w:rsidRPr="00D15F75" w:rsidRDefault="00ED7914" w:rsidP="00341559">
      <w:pPr>
        <w:ind w:firstLine="709"/>
        <w:rPr>
          <w:rFonts w:asciiTheme="majorBidi" w:hAnsiTheme="majorBidi" w:cstheme="majorBidi"/>
          <w:szCs w:val="24"/>
          <w:lang w:val="en-US"/>
        </w:rPr>
      </w:pPr>
      <w:r w:rsidRPr="00D15F75">
        <w:rPr>
          <w:rFonts w:asciiTheme="majorBidi" w:hAnsiTheme="majorBidi" w:cstheme="majorBidi"/>
          <w:szCs w:val="24"/>
          <w:lang w:val="en-US"/>
        </w:rPr>
        <w:t xml:space="preserve">Long and not simple mechanisms are very unfortunate to resolve disputes that require rapid settlement, especially for disputes whose value is small. </w:t>
      </w:r>
      <w:r w:rsidRPr="00D15F75">
        <w:rPr>
          <w:rFonts w:asciiTheme="majorBidi" w:hAnsiTheme="majorBidi" w:cstheme="majorBidi"/>
          <w:szCs w:val="24"/>
        </w:rPr>
        <w:t>A civil dispute resolution mechanism is required which processes fast, simple and l</w:t>
      </w:r>
      <w:r w:rsidRPr="00D15F75">
        <w:rPr>
          <w:rFonts w:asciiTheme="majorBidi" w:hAnsiTheme="majorBidi" w:cstheme="majorBidi"/>
          <w:szCs w:val="24"/>
          <w:lang w:val="en-US"/>
        </w:rPr>
        <w:t>ow costs,</w:t>
      </w:r>
      <w:r w:rsidR="00B0053F">
        <w:rPr>
          <w:rFonts w:asciiTheme="majorBidi" w:hAnsiTheme="majorBidi" w:cstheme="majorBidi"/>
          <w:szCs w:val="24"/>
        </w:rPr>
        <w:t xml:space="preserve"> </w:t>
      </w:r>
      <w:r w:rsidRPr="00D15F75">
        <w:rPr>
          <w:rFonts w:asciiTheme="majorBidi" w:hAnsiTheme="majorBidi" w:cstheme="majorBidi"/>
          <w:szCs w:val="24"/>
          <w:lang w:val="en-US"/>
        </w:rPr>
        <w:t>b</w:t>
      </w:r>
      <w:r w:rsidRPr="00D15F75">
        <w:rPr>
          <w:rFonts w:asciiTheme="majorBidi" w:hAnsiTheme="majorBidi" w:cstheme="majorBidi"/>
          <w:szCs w:val="24"/>
        </w:rPr>
        <w:t xml:space="preserve">ut the result is the judgment of judges who have the force of binding law as it is known and developed in developed countries. </w:t>
      </w:r>
      <w:r w:rsidRPr="00D15F75">
        <w:rPr>
          <w:rFonts w:asciiTheme="majorBidi" w:hAnsiTheme="majorBidi" w:cstheme="majorBidi"/>
          <w:szCs w:val="24"/>
          <w:lang w:val="en-US"/>
        </w:rPr>
        <w:t>Its mechanism is known as Small Claims Court, which is the settlement of disputes through courts with quick and simple procedure so that the costs can be lower, using the procedure outside the regular procedure in handling civil litigation. It implemented to civil litigation with small claims. Through the mechanism of Small Claims Court, civil dispute resolution is expected to meet the principle of fast, simple low costs.</w:t>
      </w:r>
      <w:r w:rsidRPr="00D15F75">
        <w:rPr>
          <w:rStyle w:val="FootnoteReference"/>
          <w:rFonts w:asciiTheme="majorBidi" w:hAnsiTheme="majorBidi" w:cstheme="majorBidi"/>
          <w:szCs w:val="24"/>
        </w:rPr>
        <w:footnoteReference w:id="25"/>
      </w:r>
    </w:p>
    <w:p w:rsidR="00ED7914" w:rsidRPr="00D15F75" w:rsidRDefault="00ED7914" w:rsidP="00341559">
      <w:pPr>
        <w:ind w:firstLine="709"/>
        <w:rPr>
          <w:rFonts w:asciiTheme="majorBidi" w:hAnsiTheme="majorBidi" w:cstheme="majorBidi"/>
          <w:szCs w:val="24"/>
          <w:lang w:val="en-US"/>
        </w:rPr>
      </w:pPr>
      <w:r w:rsidRPr="00D15F75">
        <w:rPr>
          <w:rFonts w:asciiTheme="majorBidi" w:hAnsiTheme="majorBidi" w:cstheme="majorBidi"/>
          <w:szCs w:val="24"/>
          <w:lang w:val="en-US"/>
        </w:rPr>
        <w:t>The Small Claims Court can solve the dispute with a fast procedure, inexpensive cost and avoid complex and formal litigants. The Small Claims Court is a legal institution that is intended to provide a fast and economical solution to resolve disputes that do not require an expensive cost.</w:t>
      </w:r>
      <w:r w:rsidRPr="00D15F75">
        <w:rPr>
          <w:rStyle w:val="FootnoteReference"/>
          <w:rFonts w:asciiTheme="majorBidi" w:hAnsiTheme="majorBidi" w:cstheme="majorBidi"/>
          <w:szCs w:val="24"/>
        </w:rPr>
        <w:footnoteReference w:id="26"/>
      </w:r>
      <w:r w:rsidRPr="00D15F75">
        <w:rPr>
          <w:rFonts w:asciiTheme="majorBidi" w:hAnsiTheme="majorBidi" w:cstheme="majorBidi"/>
          <w:szCs w:val="24"/>
          <w:lang w:val="en-US"/>
        </w:rPr>
        <w:t xml:space="preserve"> The Small Claims Court is also interpreted as a "people's court" or a conciliation court for people who desperately need a dispute resolution institution that does not require high fees and is done with simple process.</w:t>
      </w:r>
      <w:r w:rsidRPr="00D15F75">
        <w:rPr>
          <w:rStyle w:val="FootnoteReference"/>
          <w:rFonts w:asciiTheme="majorBidi" w:hAnsiTheme="majorBidi" w:cstheme="majorBidi"/>
          <w:szCs w:val="24"/>
        </w:rPr>
        <w:footnoteReference w:id="27"/>
      </w:r>
    </w:p>
    <w:p w:rsidR="00ED7914" w:rsidRPr="00D15F75" w:rsidRDefault="00ED7914" w:rsidP="00341559">
      <w:pPr>
        <w:tabs>
          <w:tab w:val="left" w:pos="284"/>
        </w:tabs>
        <w:autoSpaceDE w:val="0"/>
        <w:autoSpaceDN w:val="0"/>
        <w:adjustRightInd w:val="0"/>
        <w:ind w:firstLine="709"/>
        <w:rPr>
          <w:rFonts w:asciiTheme="majorBidi" w:hAnsiTheme="majorBidi" w:cstheme="majorBidi"/>
          <w:szCs w:val="24"/>
          <w:lang w:val="en-US"/>
        </w:rPr>
      </w:pPr>
      <w:r w:rsidRPr="00D15F75">
        <w:rPr>
          <w:rFonts w:asciiTheme="majorBidi" w:hAnsiTheme="majorBidi" w:cstheme="majorBidi"/>
          <w:szCs w:val="24"/>
          <w:lang w:val="en-US"/>
        </w:rPr>
        <w:t>According to</w:t>
      </w:r>
      <w:r w:rsidRPr="00D15F75">
        <w:rPr>
          <w:rFonts w:asciiTheme="majorBidi" w:hAnsiTheme="majorBidi" w:cstheme="majorBidi"/>
          <w:szCs w:val="24"/>
        </w:rPr>
        <w:t xml:space="preserve"> Black Law Dictionary, </w:t>
      </w:r>
      <w:r w:rsidRPr="00D15F75">
        <w:rPr>
          <w:rFonts w:asciiTheme="majorBidi" w:hAnsiTheme="majorBidi" w:cstheme="majorBidi"/>
          <w:i/>
          <w:iCs/>
          <w:szCs w:val="24"/>
        </w:rPr>
        <w:t xml:space="preserve">Small Claims Court </w:t>
      </w:r>
      <w:r w:rsidRPr="00D15F75">
        <w:rPr>
          <w:rFonts w:asciiTheme="majorBidi" w:hAnsiTheme="majorBidi" w:cstheme="majorBidi"/>
          <w:szCs w:val="24"/>
        </w:rPr>
        <w:t xml:space="preserve">diartikan </w:t>
      </w:r>
      <w:r w:rsidRPr="00D15F75">
        <w:rPr>
          <w:rFonts w:asciiTheme="majorBidi" w:hAnsiTheme="majorBidi" w:cstheme="majorBidi"/>
          <w:i/>
          <w:iCs/>
          <w:szCs w:val="24"/>
        </w:rPr>
        <w:t>“a court that informally and expeditiouslyadjudicates claims that seek damages below a specified monetary amount, u</w:t>
      </w:r>
      <w:r w:rsidRPr="00D15F75">
        <w:rPr>
          <w:rFonts w:asciiTheme="majorBidi" w:hAnsiTheme="majorBidi" w:cstheme="majorBidi"/>
          <w:i/>
          <w:iCs/>
          <w:szCs w:val="24"/>
          <w:lang w:val="en-US"/>
        </w:rPr>
        <w:t>s</w:t>
      </w:r>
      <w:r w:rsidRPr="00D15F75">
        <w:rPr>
          <w:rFonts w:asciiTheme="majorBidi" w:hAnsiTheme="majorBidi" w:cstheme="majorBidi"/>
          <w:i/>
          <w:iCs/>
          <w:szCs w:val="24"/>
        </w:rPr>
        <w:t xml:space="preserve"> claims to collect smallaccounts or debtsalso termed smalldebts court; conciliation court.”</w:t>
      </w:r>
      <w:r w:rsidRPr="00D15F75">
        <w:rPr>
          <w:rStyle w:val="FootnoteReference"/>
          <w:rFonts w:asciiTheme="majorBidi" w:hAnsiTheme="majorBidi" w:cstheme="majorBidi"/>
          <w:i/>
          <w:iCs/>
          <w:szCs w:val="24"/>
        </w:rPr>
        <w:footnoteReference w:id="28"/>
      </w:r>
      <w:r w:rsidRPr="00D15F75">
        <w:rPr>
          <w:rFonts w:asciiTheme="majorBidi" w:hAnsiTheme="majorBidi" w:cstheme="majorBidi"/>
          <w:szCs w:val="24"/>
          <w:lang w:val="en-US"/>
        </w:rPr>
        <w:t xml:space="preserve"> From such a definition we can understand that the Small Claims Court has several properties including: (a) informally which can mean a mechanism beyond the general judicial mechanisms; (b) done quickly and efficiently (expeditiously); and (c) compensation claims with specific monetary amount.</w:t>
      </w:r>
      <w:r w:rsidRPr="00D15F75">
        <w:rPr>
          <w:rStyle w:val="FootnoteReference"/>
          <w:rFonts w:asciiTheme="majorBidi" w:hAnsiTheme="majorBidi" w:cstheme="majorBidi"/>
          <w:szCs w:val="24"/>
        </w:rPr>
        <w:footnoteReference w:id="29"/>
      </w:r>
    </w:p>
    <w:p w:rsidR="00ED7914" w:rsidRPr="00D15F75" w:rsidRDefault="00ED7914" w:rsidP="00341559">
      <w:pPr>
        <w:rPr>
          <w:rFonts w:asciiTheme="majorBidi" w:hAnsiTheme="majorBidi" w:cstheme="majorBidi"/>
          <w:szCs w:val="24"/>
          <w:lang w:val="en-US"/>
        </w:rPr>
      </w:pPr>
      <w:r w:rsidRPr="00D15F75">
        <w:rPr>
          <w:rFonts w:asciiTheme="majorBidi" w:hAnsiTheme="majorBidi" w:cstheme="majorBidi"/>
          <w:szCs w:val="24"/>
          <w:lang w:val="en-US"/>
        </w:rPr>
        <w:t>The approach and philosophy found in the Small Claims Court are:</w:t>
      </w:r>
      <w:r w:rsidRPr="00D15F75">
        <w:rPr>
          <w:rStyle w:val="FootnoteReference"/>
          <w:rFonts w:asciiTheme="majorBidi" w:hAnsiTheme="majorBidi" w:cstheme="majorBidi"/>
          <w:szCs w:val="24"/>
        </w:rPr>
        <w:footnoteReference w:id="30"/>
      </w:r>
    </w:p>
    <w:p w:rsidR="00ED7914" w:rsidRPr="00D15F75" w:rsidRDefault="00ED7914" w:rsidP="00341559">
      <w:pPr>
        <w:pStyle w:val="ListParagraph"/>
        <w:numPr>
          <w:ilvl w:val="0"/>
          <w:numId w:val="3"/>
        </w:numPr>
        <w:spacing w:after="200"/>
        <w:ind w:left="630"/>
        <w:jc w:val="left"/>
        <w:rPr>
          <w:rFonts w:asciiTheme="majorBidi" w:hAnsiTheme="majorBidi" w:cstheme="majorBidi"/>
          <w:szCs w:val="24"/>
          <w:lang w:val="en-US"/>
        </w:rPr>
      </w:pPr>
      <w:r w:rsidRPr="00D15F75">
        <w:rPr>
          <w:rFonts w:asciiTheme="majorBidi" w:hAnsiTheme="majorBidi" w:cstheme="majorBidi"/>
          <w:szCs w:val="24"/>
          <w:lang w:val="en-US"/>
        </w:rPr>
        <w:lastRenderedPageBreak/>
        <w:t>The primary responsibility of the Small Claims Court/Tribunal, or in this case, the court is to carry out the justice;</w:t>
      </w:r>
    </w:p>
    <w:p w:rsidR="00ED7914" w:rsidRPr="00D15F75" w:rsidRDefault="00ED7914" w:rsidP="00341559">
      <w:pPr>
        <w:pStyle w:val="ListParagraph"/>
        <w:numPr>
          <w:ilvl w:val="0"/>
          <w:numId w:val="3"/>
        </w:numPr>
        <w:spacing w:after="200"/>
        <w:ind w:left="630"/>
        <w:jc w:val="left"/>
        <w:rPr>
          <w:rFonts w:asciiTheme="majorBidi" w:hAnsiTheme="majorBidi" w:cstheme="majorBidi"/>
          <w:szCs w:val="24"/>
          <w:lang w:val="en-US"/>
        </w:rPr>
      </w:pPr>
      <w:r w:rsidRPr="00D15F75">
        <w:rPr>
          <w:rFonts w:asciiTheme="majorBidi" w:hAnsiTheme="majorBidi" w:cstheme="majorBidi"/>
          <w:szCs w:val="24"/>
          <w:lang w:val="en-US"/>
        </w:rPr>
        <w:t>Each court is committed to solving the dispute effectively and fairly by upholding the rule of law and improving access to justice</w:t>
      </w:r>
    </w:p>
    <w:p w:rsidR="00ED7914" w:rsidRPr="00D15F75" w:rsidRDefault="00ED7914" w:rsidP="00341559">
      <w:pPr>
        <w:pStyle w:val="ListParagraph"/>
        <w:numPr>
          <w:ilvl w:val="0"/>
          <w:numId w:val="3"/>
        </w:numPr>
        <w:spacing w:after="200"/>
        <w:ind w:left="630"/>
        <w:jc w:val="left"/>
        <w:rPr>
          <w:rFonts w:asciiTheme="majorBidi" w:hAnsiTheme="majorBidi" w:cstheme="majorBidi"/>
          <w:szCs w:val="24"/>
          <w:lang w:val="en-US"/>
        </w:rPr>
      </w:pPr>
      <w:r w:rsidRPr="00D15F75">
        <w:rPr>
          <w:rFonts w:asciiTheme="majorBidi" w:hAnsiTheme="majorBidi" w:cstheme="majorBidi"/>
          <w:szCs w:val="24"/>
          <w:lang w:val="en-US"/>
        </w:rPr>
        <w:t>Improving access and accessibility to justice by the community</w:t>
      </w:r>
    </w:p>
    <w:p w:rsidR="00ED7914" w:rsidRPr="00D15F75" w:rsidRDefault="00ED7914" w:rsidP="00341559">
      <w:pPr>
        <w:pStyle w:val="ListParagraph"/>
        <w:numPr>
          <w:ilvl w:val="0"/>
          <w:numId w:val="3"/>
        </w:numPr>
        <w:spacing w:after="200"/>
        <w:ind w:left="630"/>
        <w:jc w:val="left"/>
        <w:rPr>
          <w:rFonts w:asciiTheme="majorBidi" w:hAnsiTheme="majorBidi" w:cstheme="majorBidi"/>
          <w:szCs w:val="24"/>
          <w:lang w:val="en-US"/>
        </w:rPr>
      </w:pPr>
      <w:r w:rsidRPr="00D15F75">
        <w:rPr>
          <w:rFonts w:asciiTheme="majorBidi" w:hAnsiTheme="majorBidi" w:cstheme="majorBidi"/>
          <w:szCs w:val="24"/>
          <w:lang w:val="en-US"/>
        </w:rPr>
        <w:t>Maintaining the quality of justice and judicial processes</w:t>
      </w:r>
    </w:p>
    <w:p w:rsidR="00ED7914" w:rsidRPr="00D15F75" w:rsidRDefault="00ED7914" w:rsidP="00341559">
      <w:pPr>
        <w:pStyle w:val="ListParagraph"/>
        <w:numPr>
          <w:ilvl w:val="0"/>
          <w:numId w:val="3"/>
        </w:numPr>
        <w:spacing w:after="200"/>
        <w:ind w:left="630"/>
        <w:jc w:val="left"/>
        <w:rPr>
          <w:rFonts w:asciiTheme="majorBidi" w:hAnsiTheme="majorBidi" w:cstheme="majorBidi"/>
          <w:szCs w:val="24"/>
          <w:lang w:val="en-US"/>
        </w:rPr>
      </w:pPr>
      <w:r w:rsidRPr="00D15F75">
        <w:rPr>
          <w:rFonts w:asciiTheme="majorBidi" w:hAnsiTheme="majorBidi" w:cstheme="majorBidi"/>
          <w:szCs w:val="24"/>
          <w:lang w:val="en-US"/>
        </w:rPr>
        <w:t>Facilitate community involvement in the justice process by making them as stakeholder of small claims court</w:t>
      </w:r>
    </w:p>
    <w:p w:rsidR="00ED7914" w:rsidRPr="00D15F75" w:rsidRDefault="00ED7914" w:rsidP="00341559">
      <w:pPr>
        <w:pStyle w:val="ListParagraph"/>
        <w:numPr>
          <w:ilvl w:val="0"/>
          <w:numId w:val="3"/>
        </w:numPr>
        <w:ind w:left="630"/>
        <w:jc w:val="left"/>
        <w:rPr>
          <w:rFonts w:asciiTheme="majorBidi" w:hAnsiTheme="majorBidi" w:cstheme="majorBidi"/>
          <w:szCs w:val="24"/>
          <w:lang w:val="en-US"/>
        </w:rPr>
      </w:pPr>
      <w:r w:rsidRPr="00D15F75">
        <w:rPr>
          <w:rFonts w:asciiTheme="majorBidi" w:hAnsiTheme="majorBidi" w:cstheme="majorBidi"/>
          <w:szCs w:val="24"/>
          <w:lang w:val="en-US"/>
        </w:rPr>
        <w:t>Strive to avoid disputes and encourage the reduction in the occurrence of disputes in society.</w:t>
      </w:r>
    </w:p>
    <w:p w:rsidR="00ED7914" w:rsidRPr="00D15F75" w:rsidRDefault="00ED7914" w:rsidP="00341559">
      <w:pPr>
        <w:ind w:firstLine="709"/>
        <w:rPr>
          <w:rFonts w:asciiTheme="majorBidi" w:hAnsiTheme="majorBidi" w:cstheme="majorBidi"/>
          <w:szCs w:val="24"/>
          <w:lang w:val="en-US"/>
        </w:rPr>
      </w:pPr>
      <w:r w:rsidRPr="00D15F75">
        <w:rPr>
          <w:rFonts w:asciiTheme="majorBidi" w:hAnsiTheme="majorBidi" w:cstheme="majorBidi"/>
          <w:szCs w:val="24"/>
          <w:lang w:val="en-US"/>
        </w:rPr>
        <w:t>From the explanation above, it is understandable that the Small Claims Court is a simple judicial outside of the regular judicial mechanisms, with the intention of resolving disputes quickly and low cost</w:t>
      </w:r>
      <w:r w:rsidR="007D6AF5" w:rsidRPr="00D15F75">
        <w:rPr>
          <w:rFonts w:asciiTheme="majorBidi" w:hAnsiTheme="majorBidi" w:cstheme="majorBidi"/>
          <w:szCs w:val="24"/>
          <w:lang w:val="en-US"/>
        </w:rPr>
        <w:t xml:space="preserve">. </w:t>
      </w:r>
      <w:r w:rsidRPr="00D15F75">
        <w:rPr>
          <w:rFonts w:asciiTheme="majorBidi" w:hAnsiTheme="majorBidi" w:cstheme="majorBidi"/>
          <w:szCs w:val="24"/>
          <w:lang w:val="en-US"/>
        </w:rPr>
        <w:t>The use of Small Claims Court will help to parse the burden of dispute in court. Of course not all things can be solved through the Small Claims Court, but only certain matters that meet the criteria can be solved with this Small Claim Court.</w:t>
      </w:r>
    </w:p>
    <w:p w:rsidR="00ED7914" w:rsidRPr="00D15F75" w:rsidRDefault="00ED7914" w:rsidP="00341559">
      <w:pPr>
        <w:ind w:firstLine="709"/>
        <w:rPr>
          <w:rFonts w:asciiTheme="majorBidi" w:hAnsiTheme="majorBidi" w:cstheme="majorBidi"/>
          <w:szCs w:val="24"/>
          <w:lang w:val="en-US"/>
        </w:rPr>
      </w:pPr>
      <w:r w:rsidRPr="00D15F75">
        <w:rPr>
          <w:rFonts w:asciiTheme="majorBidi" w:hAnsiTheme="majorBidi" w:cstheme="majorBidi"/>
          <w:szCs w:val="24"/>
          <w:lang w:val="en-US"/>
        </w:rPr>
        <w:t>In Indonesia, the idea of adopting the Small Claims Court is heavily influenced by some cases related to consumer rights</w:t>
      </w:r>
    </w:p>
    <w:p w:rsidR="00ED7914" w:rsidRPr="00D15F75" w:rsidRDefault="00ED7914" w:rsidP="00341559">
      <w:pPr>
        <w:ind w:firstLine="709"/>
        <w:rPr>
          <w:rFonts w:asciiTheme="majorBidi" w:hAnsiTheme="majorBidi" w:cstheme="majorBidi"/>
          <w:szCs w:val="24"/>
          <w:lang w:val="en-US"/>
        </w:rPr>
      </w:pPr>
      <w:r w:rsidRPr="00D15F75">
        <w:rPr>
          <w:rFonts w:asciiTheme="majorBidi" w:hAnsiTheme="majorBidi" w:cstheme="majorBidi"/>
          <w:szCs w:val="24"/>
          <w:lang w:val="en-US"/>
        </w:rPr>
        <w:t>The cases fought by David M. L Tobing related to the rights of consumers with low demands such as the case of the flight delay of Lion Air with a compensation ruling of Rp. 718,500 and parking management cases that he won with the claim of Rp. 10,000.</w:t>
      </w:r>
      <w:r w:rsidRPr="00D15F75">
        <w:rPr>
          <w:rStyle w:val="FootnoteReference"/>
          <w:rFonts w:asciiTheme="majorBidi" w:hAnsiTheme="majorBidi" w:cstheme="majorBidi"/>
          <w:szCs w:val="24"/>
        </w:rPr>
        <w:footnoteReference w:id="31"/>
      </w:r>
      <w:r w:rsidRPr="00D15F75">
        <w:rPr>
          <w:rFonts w:asciiTheme="majorBidi" w:hAnsiTheme="majorBidi" w:cstheme="majorBidi"/>
          <w:szCs w:val="24"/>
          <w:lang w:val="en-US"/>
        </w:rPr>
        <w:t>Moreover, the latter case is strengthened by the Supreme Court to be jurisprudence and more broadly that any loss of vehicles in the parking lot can be claimed indemnification to parking managers.</w:t>
      </w:r>
    </w:p>
    <w:p w:rsidR="00ED7914" w:rsidRPr="00D15F75" w:rsidRDefault="00ED7914" w:rsidP="00341559">
      <w:pPr>
        <w:ind w:firstLine="709"/>
        <w:rPr>
          <w:rFonts w:asciiTheme="majorBidi" w:hAnsiTheme="majorBidi" w:cstheme="majorBidi"/>
          <w:szCs w:val="24"/>
          <w:lang w:val="en-US"/>
        </w:rPr>
      </w:pPr>
      <w:r w:rsidRPr="00D15F75">
        <w:rPr>
          <w:rFonts w:asciiTheme="majorBidi" w:hAnsiTheme="majorBidi" w:cstheme="majorBidi"/>
          <w:szCs w:val="24"/>
          <w:lang w:val="en-US"/>
        </w:rPr>
        <w:t>For Small Claims Court, people who feel harmed or face a case can file a lawsuit without having to be accompanied by a lawyer. The procedure is also fast and of course with a low costs, which will be examined with a single judge, with a simple trial mechanism.</w:t>
      </w:r>
    </w:p>
    <w:p w:rsidR="00ED7914" w:rsidRPr="00D15F75" w:rsidRDefault="00ED7914" w:rsidP="00341559">
      <w:pPr>
        <w:ind w:firstLine="709"/>
        <w:rPr>
          <w:rFonts w:asciiTheme="majorBidi" w:hAnsiTheme="majorBidi" w:cstheme="majorBidi"/>
          <w:iCs/>
          <w:szCs w:val="24"/>
          <w:lang w:val="en-US"/>
        </w:rPr>
      </w:pPr>
      <w:r w:rsidRPr="00D15F75">
        <w:rPr>
          <w:rFonts w:asciiTheme="majorBidi" w:hAnsiTheme="majorBidi" w:cstheme="majorBidi"/>
          <w:iCs/>
          <w:szCs w:val="24"/>
          <w:lang w:val="en-US"/>
        </w:rPr>
        <w:t>Supreme Court Regulation Number 2 year 2015 on procedure of settlement of simple lawsuit (Small Claim Court) Jo Supreme Court regulation Number 2 year 2019 on amendment of regulation of the Supreme Court number 2 year 2015 about simple lawsuit and The Supreme Court regulation number 14 year 2016 on the procedure for solving the sharia economy is the entrance to solve the lawsuit with small value and voluntary lawsuit (application) in religious court. The adoption of the Small Claims Court with this simple mechanism will be able to reduce the burden of disputes in religious courts, cut complex processes, and make it easier for people to achieve justice by promoting values of Procedural justice. It mean that with the nominal value of small claims and voluntary and the case that the burden of evidence is easy, should be resolved by a simple judicial mechanism using the Small Claims Court</w:t>
      </w:r>
    </w:p>
    <w:p w:rsidR="00ED7914" w:rsidRDefault="00ED7914" w:rsidP="00341559">
      <w:pPr>
        <w:ind w:firstLine="709"/>
        <w:rPr>
          <w:rFonts w:asciiTheme="majorBidi" w:hAnsiTheme="majorBidi" w:cstheme="majorBidi"/>
          <w:iCs/>
          <w:szCs w:val="24"/>
          <w:lang w:val="en-US"/>
        </w:rPr>
      </w:pPr>
      <w:r w:rsidRPr="00D15F75">
        <w:rPr>
          <w:rFonts w:asciiTheme="majorBidi" w:hAnsiTheme="majorBidi" w:cstheme="majorBidi"/>
          <w:iCs/>
          <w:szCs w:val="24"/>
          <w:lang w:val="en-US"/>
        </w:rPr>
        <w:t>The alignment of Small Claims Court with this simple, fast and low costs principle will be able to become the entrance of society to gain justice. The relevance of Small Claims Court with this simple, fast and low cost should be thrust for the reformation of the judiciary in Indonesia as a new mechanism to settle the case with simplicity.</w:t>
      </w:r>
    </w:p>
    <w:p w:rsidR="00916ABA" w:rsidRDefault="00916ABA" w:rsidP="00341559">
      <w:pPr>
        <w:ind w:firstLine="709"/>
        <w:rPr>
          <w:rFonts w:asciiTheme="majorBidi" w:hAnsiTheme="majorBidi" w:cstheme="majorBidi"/>
          <w:iCs/>
          <w:szCs w:val="24"/>
          <w:lang w:val="en-US"/>
        </w:rPr>
      </w:pPr>
    </w:p>
    <w:p w:rsidR="00916ABA" w:rsidRPr="00D15F75" w:rsidRDefault="00916ABA" w:rsidP="00341559">
      <w:pPr>
        <w:ind w:firstLine="709"/>
        <w:rPr>
          <w:rFonts w:asciiTheme="majorBidi" w:hAnsiTheme="majorBidi" w:cstheme="majorBidi"/>
          <w:iCs/>
          <w:szCs w:val="24"/>
          <w:lang w:val="en-US"/>
        </w:rPr>
      </w:pPr>
    </w:p>
    <w:p w:rsidR="00ED7914" w:rsidRPr="00D15F75" w:rsidRDefault="00ED7914" w:rsidP="00341559">
      <w:pPr>
        <w:rPr>
          <w:rFonts w:asciiTheme="majorBidi" w:hAnsiTheme="majorBidi" w:cstheme="majorBidi"/>
          <w:b/>
          <w:szCs w:val="24"/>
        </w:rPr>
      </w:pPr>
    </w:p>
    <w:p w:rsidR="00ED7914" w:rsidRPr="00D15F75" w:rsidRDefault="007D6AF5" w:rsidP="00341559">
      <w:pPr>
        <w:pStyle w:val="ListParagraph"/>
        <w:numPr>
          <w:ilvl w:val="0"/>
          <w:numId w:val="1"/>
        </w:numPr>
        <w:spacing w:after="240"/>
        <w:jc w:val="center"/>
        <w:rPr>
          <w:rFonts w:asciiTheme="majorBidi" w:hAnsiTheme="majorBidi" w:cstheme="majorBidi"/>
          <w:b/>
          <w:szCs w:val="24"/>
          <w:lang w:val="en-US"/>
        </w:rPr>
      </w:pPr>
      <w:r w:rsidRPr="00D15F75">
        <w:rPr>
          <w:rFonts w:asciiTheme="majorBidi" w:hAnsiTheme="majorBidi" w:cstheme="majorBidi"/>
          <w:b/>
          <w:szCs w:val="24"/>
          <w:lang w:val="en-US"/>
        </w:rPr>
        <w:lastRenderedPageBreak/>
        <w:t>CONCLUSSION</w:t>
      </w:r>
    </w:p>
    <w:p w:rsidR="00ED7914" w:rsidRPr="00D15F75" w:rsidRDefault="00ED7914" w:rsidP="00341559">
      <w:pPr>
        <w:spacing w:after="240"/>
        <w:ind w:firstLine="709"/>
        <w:rPr>
          <w:rFonts w:asciiTheme="majorBidi" w:hAnsiTheme="majorBidi" w:cstheme="majorBidi"/>
          <w:szCs w:val="24"/>
          <w:lang w:val="en-US"/>
        </w:rPr>
      </w:pPr>
      <w:r w:rsidRPr="00D15F75">
        <w:rPr>
          <w:rFonts w:asciiTheme="majorBidi" w:hAnsiTheme="majorBidi" w:cstheme="majorBidi"/>
          <w:szCs w:val="24"/>
          <w:lang w:val="en-US"/>
        </w:rPr>
        <w:t>The implementation of Small Claim Court in religious courts is a breakthrough to reduce the burden of disputes submitted to religious courts</w:t>
      </w:r>
      <w:r w:rsidRPr="00D15F75">
        <w:rPr>
          <w:rFonts w:asciiTheme="majorBidi" w:hAnsiTheme="majorBidi" w:cstheme="majorBidi"/>
          <w:szCs w:val="24"/>
        </w:rPr>
        <w:t>.</w:t>
      </w:r>
      <w:r w:rsidRPr="00D15F75">
        <w:rPr>
          <w:rFonts w:asciiTheme="majorBidi" w:hAnsiTheme="majorBidi" w:cstheme="majorBidi"/>
          <w:szCs w:val="24"/>
          <w:lang w:val="en-US"/>
        </w:rPr>
        <w:t xml:space="preserve">The concept of a small claim court is aligned with a simple, fast and low cost principle. Many of the advantages and benefits of applying this Small Claim Court Procedure, but there needs to be a change in Supreme Court Regulation that regulate about Small Claim Court, it is because this regulation is in incomplete norm. </w:t>
      </w:r>
    </w:p>
    <w:p w:rsidR="00ED7914" w:rsidRPr="00D15F75" w:rsidRDefault="00ED7914" w:rsidP="00341559">
      <w:pPr>
        <w:autoSpaceDE w:val="0"/>
        <w:autoSpaceDN w:val="0"/>
        <w:adjustRightInd w:val="0"/>
        <w:ind w:firstLine="709"/>
        <w:rPr>
          <w:rFonts w:asciiTheme="majorBidi" w:hAnsiTheme="majorBidi" w:cstheme="majorBidi"/>
          <w:szCs w:val="24"/>
          <w:lang w:val="en-US"/>
        </w:rPr>
      </w:pPr>
    </w:p>
    <w:p w:rsidR="000270FD" w:rsidRPr="00D15F75" w:rsidRDefault="000270FD" w:rsidP="00341559">
      <w:pPr>
        <w:spacing w:after="240"/>
        <w:jc w:val="center"/>
        <w:rPr>
          <w:b/>
          <w:szCs w:val="24"/>
          <w:lang w:val="en-US"/>
        </w:rPr>
      </w:pPr>
      <w:r w:rsidRPr="00D15F75">
        <w:rPr>
          <w:b/>
          <w:szCs w:val="24"/>
          <w:lang w:val="en-US"/>
        </w:rPr>
        <w:t>REFERENCES</w:t>
      </w:r>
    </w:p>
    <w:p w:rsidR="000270FD" w:rsidRPr="00D15F75" w:rsidRDefault="000270FD" w:rsidP="00341559">
      <w:pPr>
        <w:pStyle w:val="FootnoteText"/>
        <w:ind w:left="993" w:hanging="993"/>
        <w:jc w:val="both"/>
        <w:rPr>
          <w:rFonts w:ascii="Times New Roman" w:hAnsi="Times New Roman" w:cs="Times New Roman"/>
          <w:sz w:val="24"/>
          <w:lang w:val="en-US"/>
        </w:rPr>
      </w:pPr>
      <w:r w:rsidRPr="00D15F75">
        <w:rPr>
          <w:rFonts w:ascii="Times New Roman" w:hAnsi="Times New Roman" w:cs="Times New Roman"/>
          <w:sz w:val="24"/>
        </w:rPr>
        <w:t xml:space="preserve">A. Mukti Arto, </w:t>
      </w:r>
      <w:r w:rsidRPr="00D15F75">
        <w:rPr>
          <w:rFonts w:ascii="Times New Roman" w:hAnsi="Times New Roman" w:cs="Times New Roman"/>
          <w:i/>
          <w:iCs/>
          <w:sz w:val="24"/>
        </w:rPr>
        <w:t>Mencari Keadilan (Kritik Dan Solusi Terhadap Praktik P</w:t>
      </w:r>
      <w:r w:rsidRPr="00D15F75">
        <w:rPr>
          <w:rFonts w:ascii="Times New Roman" w:hAnsi="Times New Roman" w:cs="Times New Roman"/>
          <w:i/>
          <w:iCs/>
          <w:sz w:val="24"/>
          <w:lang w:val="en-US"/>
        </w:rPr>
        <w:t>e</w:t>
      </w:r>
      <w:r w:rsidRPr="00D15F75">
        <w:rPr>
          <w:rFonts w:ascii="Times New Roman" w:hAnsi="Times New Roman" w:cs="Times New Roman"/>
          <w:i/>
          <w:iCs/>
          <w:sz w:val="24"/>
        </w:rPr>
        <w:t>radilanPerdata di Indonesia)</w:t>
      </w:r>
      <w:r w:rsidRPr="00D15F75">
        <w:rPr>
          <w:rFonts w:ascii="Times New Roman" w:hAnsi="Times New Roman" w:cs="Times New Roman"/>
          <w:sz w:val="24"/>
        </w:rPr>
        <w:t>, Yogyakarta : Pustaka Pelajar Offset, 2001</w:t>
      </w:r>
    </w:p>
    <w:p w:rsidR="000270FD" w:rsidRPr="00D15F75" w:rsidRDefault="000270FD" w:rsidP="00341559">
      <w:pPr>
        <w:pStyle w:val="FootnoteText"/>
        <w:ind w:left="993" w:hanging="993"/>
        <w:jc w:val="both"/>
        <w:rPr>
          <w:rFonts w:ascii="Times New Roman" w:hAnsi="Times New Roman" w:cs="Times New Roman"/>
          <w:sz w:val="24"/>
          <w:lang w:val="en-US"/>
        </w:rPr>
      </w:pPr>
      <w:r w:rsidRPr="00D15F75">
        <w:rPr>
          <w:rFonts w:ascii="Times New Roman" w:hAnsi="Times New Roman" w:cs="Times New Roman"/>
          <w:sz w:val="24"/>
        </w:rPr>
        <w:t xml:space="preserve">Bryan A. Gardner, </w:t>
      </w:r>
      <w:r w:rsidRPr="00D15F75">
        <w:rPr>
          <w:rFonts w:ascii="Times New Roman" w:hAnsi="Times New Roman" w:cs="Times New Roman"/>
          <w:bCs/>
          <w:i/>
          <w:sz w:val="24"/>
        </w:rPr>
        <w:t>Black’s Law Dictionary</w:t>
      </w:r>
      <w:r w:rsidRPr="00D15F75">
        <w:rPr>
          <w:rFonts w:ascii="Times New Roman" w:hAnsi="Times New Roman" w:cs="Times New Roman"/>
          <w:sz w:val="24"/>
        </w:rPr>
        <w:t>, eigth edition, West Publishing, St. Paul. 2004</w:t>
      </w:r>
    </w:p>
    <w:p w:rsidR="000270FD" w:rsidRPr="00D15F75" w:rsidRDefault="000270FD" w:rsidP="00341559">
      <w:pPr>
        <w:pStyle w:val="FootnoteText"/>
        <w:ind w:left="993" w:hanging="993"/>
        <w:jc w:val="both"/>
        <w:rPr>
          <w:rFonts w:ascii="Times New Roman" w:hAnsi="Times New Roman" w:cs="Times New Roman"/>
          <w:sz w:val="24"/>
          <w:lang w:val="en-US"/>
        </w:rPr>
      </w:pPr>
      <w:r w:rsidRPr="00D15F75">
        <w:rPr>
          <w:rFonts w:ascii="Times New Roman" w:hAnsi="Times New Roman" w:cs="Times New Roman"/>
          <w:sz w:val="24"/>
        </w:rPr>
        <w:t xml:space="preserve">Christopher J. Wheelan, </w:t>
      </w:r>
      <w:r w:rsidRPr="00D15F75">
        <w:rPr>
          <w:rFonts w:ascii="Times New Roman" w:hAnsi="Times New Roman" w:cs="Times New Roman"/>
          <w:i/>
          <w:iCs/>
          <w:sz w:val="24"/>
        </w:rPr>
        <w:t>S</w:t>
      </w:r>
      <w:r w:rsidRPr="00D15F75">
        <w:rPr>
          <w:rFonts w:ascii="Times New Roman" w:hAnsi="Times New Roman" w:cs="Times New Roman"/>
          <w:i/>
          <w:iCs/>
          <w:sz w:val="24"/>
          <w:lang w:val="en-US"/>
        </w:rPr>
        <w:t>m</w:t>
      </w:r>
      <w:r w:rsidRPr="00D15F75">
        <w:rPr>
          <w:rFonts w:ascii="Times New Roman" w:hAnsi="Times New Roman" w:cs="Times New Roman"/>
          <w:i/>
          <w:iCs/>
          <w:sz w:val="24"/>
        </w:rPr>
        <w:t>all Claims Courts - A Comparative Study</w:t>
      </w:r>
      <w:r w:rsidRPr="00D15F75">
        <w:rPr>
          <w:rFonts w:ascii="Times New Roman" w:hAnsi="Times New Roman" w:cs="Times New Roman"/>
          <w:sz w:val="24"/>
        </w:rPr>
        <w:t>, New York: Oxford University Press, 1990</w:t>
      </w:r>
    </w:p>
    <w:p w:rsidR="000270FD" w:rsidRPr="00D15F75" w:rsidRDefault="000270FD" w:rsidP="00341559">
      <w:pPr>
        <w:pStyle w:val="FootnoteText"/>
        <w:ind w:left="993" w:hanging="993"/>
        <w:jc w:val="both"/>
        <w:rPr>
          <w:rFonts w:ascii="Times New Roman" w:hAnsi="Times New Roman" w:cs="Times New Roman"/>
          <w:sz w:val="24"/>
          <w:lang w:val="en-US"/>
        </w:rPr>
      </w:pPr>
      <w:r w:rsidRPr="00D15F75">
        <w:rPr>
          <w:rFonts w:ascii="Times New Roman" w:hAnsi="Times New Roman" w:cs="Times New Roman"/>
          <w:sz w:val="24"/>
        </w:rPr>
        <w:t xml:space="preserve">C.F.G. Sunaryati Hartono, </w:t>
      </w:r>
      <w:r w:rsidRPr="00D15F75">
        <w:rPr>
          <w:rFonts w:ascii="Times New Roman" w:hAnsi="Times New Roman" w:cs="Times New Roman"/>
          <w:i/>
          <w:sz w:val="24"/>
        </w:rPr>
        <w:t>Politik Hukum Menuju Satu Sistem Hukum Nasional,</w:t>
      </w:r>
      <w:r w:rsidRPr="00D15F75">
        <w:rPr>
          <w:rFonts w:ascii="Times New Roman" w:hAnsi="Times New Roman" w:cs="Times New Roman"/>
          <w:sz w:val="24"/>
        </w:rPr>
        <w:t xml:space="preserve"> Bandung: Alumni, 1991</w:t>
      </w:r>
    </w:p>
    <w:p w:rsidR="000270FD" w:rsidRPr="00D15F75" w:rsidRDefault="000270FD" w:rsidP="00341559">
      <w:pPr>
        <w:pStyle w:val="FootnoteText"/>
        <w:ind w:left="993" w:hanging="993"/>
        <w:jc w:val="both"/>
        <w:rPr>
          <w:rFonts w:ascii="Times New Roman" w:hAnsi="Times New Roman" w:cs="Times New Roman"/>
          <w:sz w:val="24"/>
          <w:lang w:val="en-US"/>
        </w:rPr>
      </w:pPr>
      <w:r w:rsidRPr="00D15F75">
        <w:rPr>
          <w:rFonts w:ascii="Times New Roman" w:hAnsi="Times New Roman" w:cs="Times New Roman"/>
          <w:sz w:val="24"/>
        </w:rPr>
        <w:t xml:space="preserve">Daniel. S. Lev, </w:t>
      </w:r>
      <w:r w:rsidRPr="00D15F75">
        <w:rPr>
          <w:rFonts w:ascii="Times New Roman" w:hAnsi="Times New Roman" w:cs="Times New Roman"/>
          <w:i/>
          <w:iCs/>
          <w:sz w:val="24"/>
        </w:rPr>
        <w:t>Hukum dan PolitikIndonesia; Kesinambungan dan Perubahan</w:t>
      </w:r>
      <w:r w:rsidRPr="00D15F75">
        <w:rPr>
          <w:rFonts w:ascii="Times New Roman" w:hAnsi="Times New Roman" w:cs="Times New Roman"/>
          <w:sz w:val="24"/>
        </w:rPr>
        <w:t>, Terj. Nirwoo dan A.E. Priyono, Jakarta, LP3ES,1990</w:t>
      </w:r>
    </w:p>
    <w:p w:rsidR="000270FD" w:rsidRPr="00D15F75" w:rsidRDefault="000270FD" w:rsidP="00341559">
      <w:pPr>
        <w:pStyle w:val="FootnoteText"/>
        <w:ind w:left="993" w:hanging="993"/>
        <w:jc w:val="both"/>
        <w:rPr>
          <w:rFonts w:ascii="Times New Roman" w:hAnsi="Times New Roman" w:cs="Times New Roman"/>
          <w:sz w:val="24"/>
          <w:lang w:val="en-US"/>
        </w:rPr>
      </w:pPr>
      <w:r w:rsidRPr="00D15F75">
        <w:rPr>
          <w:rFonts w:ascii="Times New Roman" w:hAnsi="Times New Roman" w:cs="Times New Roman"/>
          <w:sz w:val="24"/>
        </w:rPr>
        <w:t>Hukumonline, November</w:t>
      </w:r>
      <w:r w:rsidRPr="00D15F75">
        <w:rPr>
          <w:rFonts w:ascii="Times New Roman" w:hAnsi="Times New Roman" w:cs="Times New Roman"/>
          <w:sz w:val="24"/>
          <w:lang w:val="en-US"/>
        </w:rPr>
        <w:t>, 20,</w:t>
      </w:r>
      <w:r w:rsidRPr="00D15F75">
        <w:rPr>
          <w:rFonts w:ascii="Times New Roman" w:hAnsi="Times New Roman" w:cs="Times New Roman"/>
          <w:sz w:val="24"/>
        </w:rPr>
        <w:t xml:space="preserve"> 2008</w:t>
      </w:r>
    </w:p>
    <w:p w:rsidR="000270FD" w:rsidRPr="00D15F75" w:rsidRDefault="000270FD" w:rsidP="00341559">
      <w:pPr>
        <w:pStyle w:val="FootnoteText"/>
        <w:ind w:left="993" w:hanging="993"/>
        <w:jc w:val="both"/>
        <w:rPr>
          <w:rFonts w:ascii="Times New Roman" w:hAnsi="Times New Roman" w:cs="Times New Roman"/>
          <w:sz w:val="24"/>
          <w:lang w:val="en-US"/>
        </w:rPr>
      </w:pPr>
      <w:r w:rsidRPr="00D15F75">
        <w:rPr>
          <w:rFonts w:ascii="Times New Roman" w:hAnsi="Times New Roman" w:cs="Times New Roman"/>
          <w:sz w:val="24"/>
        </w:rPr>
        <w:t>Ichtijanto, “</w:t>
      </w:r>
      <w:r w:rsidRPr="00D15F75">
        <w:rPr>
          <w:rFonts w:ascii="Times New Roman" w:hAnsi="Times New Roman" w:cs="Times New Roman"/>
          <w:i/>
          <w:sz w:val="24"/>
        </w:rPr>
        <w:t>Kontribusi Hukum Islam Terhadap Hukum Nasional</w:t>
      </w:r>
      <w:r w:rsidRPr="00D15F75">
        <w:rPr>
          <w:rFonts w:ascii="Times New Roman" w:hAnsi="Times New Roman" w:cs="Times New Roman"/>
          <w:i/>
          <w:iCs/>
          <w:sz w:val="24"/>
        </w:rPr>
        <w:t xml:space="preserve">” </w:t>
      </w:r>
      <w:r w:rsidRPr="00D15F75">
        <w:rPr>
          <w:rFonts w:ascii="Times New Roman" w:hAnsi="Times New Roman" w:cs="Times New Roman"/>
          <w:sz w:val="24"/>
        </w:rPr>
        <w:t>dalam Mimbar Hukum No. 13 Tahun V, Jakarta; Yayasan al Hikmah</w:t>
      </w:r>
    </w:p>
    <w:p w:rsidR="000270FD" w:rsidRPr="00D15F75" w:rsidRDefault="000270FD" w:rsidP="00341559">
      <w:pPr>
        <w:pStyle w:val="FootnoteText"/>
        <w:ind w:left="993" w:hanging="993"/>
        <w:jc w:val="both"/>
        <w:rPr>
          <w:rFonts w:ascii="Times New Roman" w:hAnsi="Times New Roman" w:cs="Times New Roman"/>
          <w:sz w:val="24"/>
          <w:lang w:val="en-US"/>
        </w:rPr>
      </w:pPr>
      <w:r w:rsidRPr="00D15F75">
        <w:rPr>
          <w:rFonts w:ascii="Times New Roman" w:hAnsi="Times New Roman" w:cs="Times New Roman"/>
          <w:sz w:val="24"/>
        </w:rPr>
        <w:t xml:space="preserve">Moh. Mahfud MD, </w:t>
      </w:r>
      <w:r w:rsidRPr="00D15F75">
        <w:rPr>
          <w:rFonts w:ascii="Times New Roman" w:hAnsi="Times New Roman" w:cs="Times New Roman"/>
          <w:i/>
          <w:sz w:val="24"/>
        </w:rPr>
        <w:t xml:space="preserve">Politik Hukum Di Indonesia, </w:t>
      </w:r>
      <w:r w:rsidRPr="00D15F75">
        <w:rPr>
          <w:rFonts w:ascii="Times New Roman" w:hAnsi="Times New Roman" w:cs="Times New Roman"/>
          <w:sz w:val="24"/>
        </w:rPr>
        <w:t>Jakarta: Rajawali Pres, 2011</w:t>
      </w:r>
    </w:p>
    <w:p w:rsidR="000270FD" w:rsidRPr="00D15F75" w:rsidRDefault="000270FD" w:rsidP="00341559">
      <w:pPr>
        <w:pStyle w:val="FootnoteText"/>
        <w:ind w:left="993" w:hanging="993"/>
        <w:jc w:val="both"/>
        <w:rPr>
          <w:rFonts w:ascii="Times New Roman" w:hAnsi="Times New Roman" w:cs="Times New Roman"/>
          <w:sz w:val="24"/>
          <w:lang w:val="en-US"/>
        </w:rPr>
      </w:pPr>
      <w:r w:rsidRPr="00D15F75">
        <w:rPr>
          <w:rFonts w:ascii="Times New Roman" w:hAnsi="Times New Roman" w:cs="Times New Roman"/>
          <w:sz w:val="24"/>
        </w:rPr>
        <w:t xml:space="preserve">Moh. Taufik Makarao, </w:t>
      </w:r>
      <w:r w:rsidRPr="00D15F75">
        <w:rPr>
          <w:rFonts w:ascii="Times New Roman" w:hAnsi="Times New Roman" w:cs="Times New Roman"/>
          <w:i/>
          <w:iCs/>
          <w:sz w:val="24"/>
        </w:rPr>
        <w:t xml:space="preserve">Pokok-Pokok Hukum Acara Perdata, </w:t>
      </w:r>
      <w:r w:rsidRPr="00D15F75">
        <w:rPr>
          <w:rFonts w:ascii="Times New Roman" w:hAnsi="Times New Roman" w:cs="Times New Roman"/>
          <w:iCs/>
          <w:sz w:val="24"/>
        </w:rPr>
        <w:t>J</w:t>
      </w:r>
      <w:r w:rsidRPr="00D15F75">
        <w:rPr>
          <w:rFonts w:ascii="Times New Roman" w:hAnsi="Times New Roman" w:cs="Times New Roman"/>
          <w:sz w:val="24"/>
        </w:rPr>
        <w:t>akarta: PT Rineka Cipta, 2004</w:t>
      </w:r>
    </w:p>
    <w:p w:rsidR="000270FD" w:rsidRPr="00D15F75" w:rsidRDefault="000270FD" w:rsidP="00341559">
      <w:pPr>
        <w:pStyle w:val="FootnoteText"/>
        <w:ind w:left="993" w:hanging="993"/>
        <w:jc w:val="both"/>
        <w:rPr>
          <w:rFonts w:ascii="Times New Roman" w:hAnsi="Times New Roman" w:cs="Times New Roman"/>
          <w:sz w:val="24"/>
          <w:lang w:val="en-US"/>
        </w:rPr>
      </w:pPr>
      <w:r w:rsidRPr="00D15F75">
        <w:rPr>
          <w:rFonts w:ascii="Times New Roman" w:hAnsi="Times New Roman" w:cs="Times New Roman"/>
          <w:sz w:val="24"/>
        </w:rPr>
        <w:t xml:space="preserve">M. Yahya Harahap, </w:t>
      </w:r>
      <w:r w:rsidRPr="00D15F75">
        <w:rPr>
          <w:rFonts w:ascii="Times New Roman" w:hAnsi="Times New Roman" w:cs="Times New Roman"/>
          <w:i/>
          <w:iCs/>
          <w:sz w:val="24"/>
        </w:rPr>
        <w:t>Kedudukan Kewenangan dan Acara Peradilan Agama (Undang</w:t>
      </w:r>
      <w:r w:rsidRPr="00D15F75">
        <w:rPr>
          <w:rFonts w:ascii="Times New Roman" w:hAnsi="Times New Roman" w:cs="Times New Roman"/>
          <w:i/>
          <w:iCs/>
          <w:sz w:val="24"/>
          <w:lang w:val="en-US"/>
        </w:rPr>
        <w:t>-</w:t>
      </w:r>
      <w:r w:rsidRPr="00D15F75">
        <w:rPr>
          <w:rFonts w:ascii="Times New Roman" w:hAnsi="Times New Roman" w:cs="Times New Roman"/>
          <w:i/>
          <w:iCs/>
          <w:sz w:val="24"/>
        </w:rPr>
        <w:t>undang No 7 Tahun 1989)</w:t>
      </w:r>
      <w:r w:rsidRPr="00D15F75">
        <w:rPr>
          <w:rFonts w:ascii="Times New Roman" w:hAnsi="Times New Roman" w:cs="Times New Roman"/>
          <w:sz w:val="24"/>
        </w:rPr>
        <w:t>, Jakarta : Sinar Grafika Offset, 2003</w:t>
      </w:r>
    </w:p>
    <w:p w:rsidR="000270FD" w:rsidRPr="00D15F75" w:rsidRDefault="000270FD" w:rsidP="00341559">
      <w:pPr>
        <w:pStyle w:val="FootnoteText"/>
        <w:ind w:left="993" w:hanging="993"/>
        <w:jc w:val="both"/>
        <w:rPr>
          <w:rFonts w:ascii="Times New Roman" w:hAnsi="Times New Roman" w:cs="Times New Roman"/>
          <w:sz w:val="24"/>
          <w:lang w:val="en-US"/>
        </w:rPr>
      </w:pPr>
      <w:r w:rsidRPr="00D15F75">
        <w:rPr>
          <w:rFonts w:ascii="Times New Roman" w:hAnsi="Times New Roman" w:cs="Times New Roman"/>
          <w:sz w:val="24"/>
        </w:rPr>
        <w:t xml:space="preserve">Padwo Wahjono, </w:t>
      </w:r>
      <w:r w:rsidRPr="00D15F75">
        <w:rPr>
          <w:rFonts w:ascii="Times New Roman" w:hAnsi="Times New Roman" w:cs="Times New Roman"/>
          <w:i/>
          <w:sz w:val="24"/>
        </w:rPr>
        <w:t>Indonesia Negara Berdasarkan Atas Hukum,</w:t>
      </w:r>
      <w:r w:rsidRPr="00D15F75">
        <w:rPr>
          <w:rFonts w:ascii="Times New Roman" w:hAnsi="Times New Roman" w:cs="Times New Roman"/>
          <w:sz w:val="24"/>
        </w:rPr>
        <w:t xml:space="preserve"> (Jakarta: Ghalia Indonesia, 1986</w:t>
      </w:r>
    </w:p>
    <w:p w:rsidR="000270FD" w:rsidRPr="00D15F75" w:rsidRDefault="000270FD" w:rsidP="00341559">
      <w:pPr>
        <w:pStyle w:val="FootnoteText"/>
        <w:ind w:left="993" w:hanging="993"/>
        <w:jc w:val="both"/>
        <w:rPr>
          <w:rFonts w:ascii="Times New Roman" w:hAnsi="Times New Roman" w:cs="Times New Roman"/>
          <w:sz w:val="24"/>
          <w:lang w:val="en-US"/>
        </w:rPr>
      </w:pPr>
      <w:r w:rsidRPr="00D15F75">
        <w:rPr>
          <w:rFonts w:ascii="Times New Roman" w:hAnsi="Times New Roman" w:cs="Times New Roman"/>
          <w:sz w:val="24"/>
          <w:lang w:val="en-US"/>
        </w:rPr>
        <w:t>____________</w:t>
      </w:r>
      <w:r w:rsidRPr="00D15F75">
        <w:rPr>
          <w:rFonts w:ascii="Times New Roman" w:hAnsi="Times New Roman" w:cs="Times New Roman"/>
          <w:sz w:val="24"/>
        </w:rPr>
        <w:t>, Menyelisik Proses Terbentuknya Peraturan Perundang-Undangan” dalam Majalah Forum Keadilan, No.29 April 1991</w:t>
      </w:r>
    </w:p>
    <w:p w:rsidR="000270FD" w:rsidRPr="00D15F75" w:rsidRDefault="000270FD" w:rsidP="00341559">
      <w:pPr>
        <w:pStyle w:val="FootnoteText"/>
        <w:ind w:left="993" w:hanging="993"/>
        <w:jc w:val="both"/>
        <w:rPr>
          <w:rFonts w:ascii="Times New Roman" w:hAnsi="Times New Roman" w:cs="Times New Roman"/>
          <w:sz w:val="24"/>
          <w:lang w:val="en-US"/>
        </w:rPr>
      </w:pPr>
      <w:r w:rsidRPr="00D15F75">
        <w:rPr>
          <w:rFonts w:ascii="Times New Roman" w:hAnsi="Times New Roman" w:cs="Times New Roman"/>
          <w:sz w:val="24"/>
        </w:rPr>
        <w:t xml:space="preserve">Roihan A. Rasyid, </w:t>
      </w:r>
      <w:r w:rsidRPr="00D15F75">
        <w:rPr>
          <w:rFonts w:ascii="Times New Roman" w:hAnsi="Times New Roman" w:cs="Times New Roman"/>
          <w:i/>
          <w:iCs/>
          <w:sz w:val="24"/>
        </w:rPr>
        <w:t>Upaya Hukum Terhadap Putusan Pengadilan Agama</w:t>
      </w:r>
      <w:r w:rsidRPr="00D15F75">
        <w:rPr>
          <w:rFonts w:ascii="Times New Roman" w:hAnsi="Times New Roman" w:cs="Times New Roman"/>
          <w:sz w:val="24"/>
        </w:rPr>
        <w:t xml:space="preserve">, </w:t>
      </w:r>
      <w:r w:rsidR="00D15F75" w:rsidRPr="00D15F75">
        <w:rPr>
          <w:rFonts w:ascii="Times New Roman" w:hAnsi="Times New Roman" w:cs="Times New Roman"/>
          <w:sz w:val="24"/>
        </w:rPr>
        <w:t>Jakarta: CV</w:t>
      </w:r>
      <w:r w:rsidR="00D15F75" w:rsidRPr="00D15F75">
        <w:rPr>
          <w:rFonts w:ascii="Times New Roman" w:hAnsi="Times New Roman" w:cs="Times New Roman"/>
          <w:sz w:val="24"/>
        </w:rPr>
        <w:br/>
        <w:t>Pedoman Ilmu Jaya</w:t>
      </w:r>
      <w:r w:rsidRPr="00D15F75">
        <w:rPr>
          <w:rFonts w:ascii="Times New Roman" w:hAnsi="Times New Roman" w:cs="Times New Roman"/>
          <w:sz w:val="24"/>
        </w:rPr>
        <w:t>, 1989</w:t>
      </w:r>
    </w:p>
    <w:p w:rsidR="000270FD" w:rsidRPr="00D15F75" w:rsidRDefault="000270FD" w:rsidP="00341559">
      <w:pPr>
        <w:pStyle w:val="FootnoteText"/>
        <w:ind w:left="993" w:hanging="993"/>
        <w:jc w:val="both"/>
        <w:rPr>
          <w:rFonts w:ascii="Times New Roman" w:hAnsi="Times New Roman" w:cs="Times New Roman"/>
          <w:i/>
          <w:iCs/>
          <w:sz w:val="24"/>
          <w:lang w:val="en-US"/>
        </w:rPr>
      </w:pPr>
      <w:r w:rsidRPr="00D15F75">
        <w:rPr>
          <w:rFonts w:ascii="Times New Roman" w:hAnsi="Times New Roman" w:cs="Times New Roman"/>
          <w:sz w:val="24"/>
        </w:rPr>
        <w:t>Septi Wulan Sari, “</w:t>
      </w:r>
      <w:r w:rsidRPr="00D15F75">
        <w:rPr>
          <w:rFonts w:ascii="Times New Roman" w:hAnsi="Times New Roman" w:cs="Times New Roman"/>
          <w:i/>
          <w:sz w:val="24"/>
        </w:rPr>
        <w:t>Penyelesaian Sengketa Melalui Small Claim Cour</w:t>
      </w:r>
      <w:r w:rsidRPr="00D15F75">
        <w:rPr>
          <w:rFonts w:ascii="Times New Roman" w:hAnsi="Times New Roman" w:cs="Times New Roman"/>
          <w:i/>
          <w:sz w:val="24"/>
          <w:lang w:val="en-US"/>
        </w:rPr>
        <w:t>t</w:t>
      </w:r>
      <w:r w:rsidRPr="00D15F75">
        <w:rPr>
          <w:rFonts w:ascii="Times New Roman" w:hAnsi="Times New Roman" w:cs="Times New Roman"/>
          <w:i/>
          <w:sz w:val="24"/>
        </w:rPr>
        <w:t xml:space="preserve">”, </w:t>
      </w:r>
      <w:r w:rsidR="00D15F75" w:rsidRPr="00D15F75">
        <w:rPr>
          <w:rFonts w:ascii="Times New Roman" w:hAnsi="Times New Roman" w:cs="Times New Roman"/>
          <w:sz w:val="24"/>
        </w:rPr>
        <w:t>J</w:t>
      </w:r>
      <w:r w:rsidR="00D15F75" w:rsidRPr="00D15F75">
        <w:rPr>
          <w:rFonts w:ascii="Times New Roman" w:hAnsi="Times New Roman" w:cs="Times New Roman"/>
          <w:sz w:val="24"/>
          <w:lang w:val="en-US"/>
        </w:rPr>
        <w:t>ournal</w:t>
      </w:r>
      <w:r w:rsidRPr="00D15F75">
        <w:rPr>
          <w:rFonts w:ascii="Times New Roman" w:hAnsi="Times New Roman" w:cs="Times New Roman"/>
          <w:sz w:val="24"/>
        </w:rPr>
        <w:t xml:space="preserve"> Ahkam, </w:t>
      </w:r>
      <w:r w:rsidR="00D15F75" w:rsidRPr="00D15F75">
        <w:rPr>
          <w:rFonts w:ascii="Times New Roman" w:hAnsi="Times New Roman" w:cs="Times New Roman"/>
          <w:i/>
          <w:iCs/>
          <w:sz w:val="24"/>
        </w:rPr>
        <w:t>Volume 4, N</w:t>
      </w:r>
      <w:r w:rsidR="00D15F75" w:rsidRPr="00D15F75">
        <w:rPr>
          <w:rFonts w:ascii="Times New Roman" w:hAnsi="Times New Roman" w:cs="Times New Roman"/>
          <w:i/>
          <w:iCs/>
          <w:sz w:val="24"/>
          <w:lang w:val="en-US"/>
        </w:rPr>
        <w:t>umber</w:t>
      </w:r>
      <w:r w:rsidRPr="00D15F75">
        <w:rPr>
          <w:rFonts w:ascii="Times New Roman" w:hAnsi="Times New Roman" w:cs="Times New Roman"/>
          <w:i/>
          <w:iCs/>
          <w:sz w:val="24"/>
        </w:rPr>
        <w:t xml:space="preserve"> 2, November 2016</w:t>
      </w:r>
    </w:p>
    <w:p w:rsidR="000270FD" w:rsidRPr="00D15F75" w:rsidRDefault="000270FD" w:rsidP="00341559">
      <w:pPr>
        <w:pStyle w:val="FootnoteText"/>
        <w:ind w:left="993" w:hanging="993"/>
        <w:jc w:val="both"/>
        <w:rPr>
          <w:rFonts w:ascii="Times New Roman" w:hAnsi="Times New Roman" w:cs="Times New Roman"/>
          <w:sz w:val="24"/>
          <w:lang w:val="en-US"/>
        </w:rPr>
      </w:pPr>
      <w:r w:rsidRPr="00D15F75">
        <w:rPr>
          <w:rFonts w:ascii="Times New Roman" w:hAnsi="Times New Roman" w:cs="Times New Roman"/>
          <w:sz w:val="24"/>
        </w:rPr>
        <w:t xml:space="preserve">Setiawan, </w:t>
      </w:r>
      <w:r w:rsidRPr="00D15F75">
        <w:rPr>
          <w:rFonts w:ascii="Times New Roman" w:hAnsi="Times New Roman" w:cs="Times New Roman"/>
          <w:i/>
          <w:iCs/>
          <w:sz w:val="24"/>
        </w:rPr>
        <w:t xml:space="preserve">Aneka Masalah Hukum dan Hukum Acara Perdata, </w:t>
      </w:r>
      <w:r w:rsidRPr="00D15F75">
        <w:rPr>
          <w:rFonts w:ascii="Times New Roman" w:hAnsi="Times New Roman" w:cs="Times New Roman"/>
          <w:iCs/>
          <w:sz w:val="24"/>
        </w:rPr>
        <w:t>(</w:t>
      </w:r>
      <w:r w:rsidRPr="00D15F75">
        <w:rPr>
          <w:rFonts w:ascii="Times New Roman" w:hAnsi="Times New Roman" w:cs="Times New Roman"/>
          <w:sz w:val="24"/>
        </w:rPr>
        <w:t>Bandung : PT Alumni,</w:t>
      </w:r>
      <w:r w:rsidRPr="00D15F75">
        <w:rPr>
          <w:rFonts w:ascii="Times New Roman" w:hAnsi="Times New Roman" w:cs="Times New Roman"/>
          <w:sz w:val="24"/>
        </w:rPr>
        <w:br/>
        <w:t>1992</w:t>
      </w:r>
    </w:p>
    <w:p w:rsidR="000270FD" w:rsidRPr="00D15F75" w:rsidRDefault="000270FD" w:rsidP="00341559">
      <w:pPr>
        <w:pStyle w:val="FootnoteText"/>
        <w:ind w:left="993" w:hanging="993"/>
        <w:jc w:val="both"/>
        <w:rPr>
          <w:rFonts w:ascii="Times New Roman" w:hAnsi="Times New Roman" w:cs="Times New Roman"/>
          <w:sz w:val="24"/>
          <w:lang w:val="en-US"/>
        </w:rPr>
      </w:pPr>
      <w:r w:rsidRPr="00D15F75">
        <w:rPr>
          <w:rFonts w:ascii="Times New Roman" w:hAnsi="Times New Roman" w:cs="Times New Roman"/>
          <w:sz w:val="24"/>
        </w:rPr>
        <w:t xml:space="preserve">Soimin, </w:t>
      </w:r>
      <w:r w:rsidRPr="00D15F75">
        <w:rPr>
          <w:rFonts w:ascii="Times New Roman" w:hAnsi="Times New Roman" w:cs="Times New Roman"/>
          <w:i/>
          <w:sz w:val="24"/>
        </w:rPr>
        <w:t>Pembentukan Peraturan Perundang-Undangan Negara Di Indonesia,</w:t>
      </w:r>
      <w:r w:rsidRPr="00D15F75">
        <w:rPr>
          <w:rFonts w:ascii="Times New Roman" w:hAnsi="Times New Roman" w:cs="Times New Roman"/>
          <w:sz w:val="24"/>
        </w:rPr>
        <w:t xml:space="preserve"> UII Press, Yogjakarta, 2010</w:t>
      </w:r>
    </w:p>
    <w:p w:rsidR="000270FD" w:rsidRPr="00D15F75" w:rsidRDefault="000270FD" w:rsidP="00341559">
      <w:pPr>
        <w:pStyle w:val="FootnoteText"/>
        <w:ind w:left="993" w:hanging="993"/>
        <w:jc w:val="both"/>
        <w:rPr>
          <w:rFonts w:ascii="Times New Roman" w:hAnsi="Times New Roman" w:cs="Times New Roman"/>
          <w:sz w:val="24"/>
          <w:lang w:val="en-US"/>
        </w:rPr>
      </w:pPr>
      <w:r w:rsidRPr="00D15F75">
        <w:rPr>
          <w:rFonts w:ascii="Times New Roman" w:hAnsi="Times New Roman" w:cs="Times New Roman"/>
          <w:sz w:val="24"/>
        </w:rPr>
        <w:t xml:space="preserve">Texas Young Lawyers Association and the State Bar of Texas, </w:t>
      </w:r>
      <w:r w:rsidRPr="00D15F75">
        <w:rPr>
          <w:rFonts w:ascii="Times New Roman" w:hAnsi="Times New Roman" w:cs="Times New Roman"/>
          <w:i/>
          <w:iCs/>
          <w:sz w:val="24"/>
        </w:rPr>
        <w:t xml:space="preserve">How to Sue inSmall Claims Court, </w:t>
      </w:r>
      <w:r w:rsidRPr="00D15F75">
        <w:rPr>
          <w:rFonts w:ascii="Times New Roman" w:hAnsi="Times New Roman" w:cs="Times New Roman"/>
          <w:sz w:val="24"/>
        </w:rPr>
        <w:t>5th Edition, 2009</w:t>
      </w:r>
    </w:p>
    <w:p w:rsidR="000270FD" w:rsidRPr="00D15F75" w:rsidRDefault="000270FD" w:rsidP="00341559">
      <w:pPr>
        <w:pStyle w:val="FootnoteText"/>
        <w:ind w:left="993" w:hanging="993"/>
        <w:jc w:val="both"/>
        <w:rPr>
          <w:rFonts w:ascii="Times New Roman" w:hAnsi="Times New Roman" w:cs="Times New Roman"/>
          <w:sz w:val="24"/>
          <w:lang w:val="en-US"/>
        </w:rPr>
      </w:pPr>
      <w:r w:rsidRPr="00D15F75">
        <w:rPr>
          <w:rFonts w:ascii="Times New Roman" w:hAnsi="Times New Roman" w:cs="Times New Roman"/>
          <w:sz w:val="24"/>
        </w:rPr>
        <w:t xml:space="preserve">Tim Penyusun Kamus Besar Bahasa Indonesia, </w:t>
      </w:r>
      <w:r w:rsidRPr="00D15F75">
        <w:rPr>
          <w:rFonts w:ascii="Times New Roman" w:hAnsi="Times New Roman" w:cs="Times New Roman"/>
          <w:i/>
          <w:iCs/>
          <w:sz w:val="24"/>
        </w:rPr>
        <w:t>Kamus Besar Bahasa Indonesia</w:t>
      </w:r>
      <w:r w:rsidRPr="00D15F75">
        <w:rPr>
          <w:rFonts w:ascii="Times New Roman" w:hAnsi="Times New Roman" w:cs="Times New Roman"/>
          <w:sz w:val="24"/>
        </w:rPr>
        <w:t>, Jakarta: Balai Pustaka, 1990</w:t>
      </w:r>
    </w:p>
    <w:p w:rsidR="000270FD" w:rsidRPr="00D15F75" w:rsidRDefault="000270FD" w:rsidP="00341559">
      <w:pPr>
        <w:pStyle w:val="FootnoteText"/>
        <w:ind w:left="993" w:hanging="993"/>
        <w:jc w:val="both"/>
        <w:rPr>
          <w:rFonts w:ascii="Times New Roman" w:hAnsi="Times New Roman" w:cs="Times New Roman"/>
          <w:sz w:val="24"/>
          <w:lang w:val="en-US"/>
        </w:rPr>
      </w:pPr>
      <w:r w:rsidRPr="00D15F75">
        <w:rPr>
          <w:rFonts w:ascii="Times New Roman" w:hAnsi="Times New Roman" w:cs="Times New Roman"/>
          <w:sz w:val="24"/>
        </w:rPr>
        <w:lastRenderedPageBreak/>
        <w:t xml:space="preserve">Yance Arizona, </w:t>
      </w:r>
      <w:r w:rsidRPr="00D15F75">
        <w:rPr>
          <w:rFonts w:ascii="Times New Roman" w:hAnsi="Times New Roman" w:cs="Times New Roman"/>
          <w:bCs/>
          <w:i/>
          <w:sz w:val="24"/>
        </w:rPr>
        <w:t>Small Claim Court: Apa Gunanya Bagi Masyarakat Adat dan Lingkungan Hidup</w:t>
      </w:r>
      <w:r w:rsidRPr="00D15F75">
        <w:rPr>
          <w:rFonts w:ascii="Times New Roman" w:hAnsi="Times New Roman" w:cs="Times New Roman"/>
          <w:i/>
          <w:iCs/>
          <w:sz w:val="24"/>
        </w:rPr>
        <w:t>,</w:t>
      </w:r>
      <w:r w:rsidR="00D15F75" w:rsidRPr="00D15F75">
        <w:rPr>
          <w:rFonts w:asciiTheme="majorBidi" w:hAnsiTheme="majorBidi" w:cstheme="majorBidi"/>
          <w:sz w:val="24"/>
          <w:szCs w:val="24"/>
          <w:lang w:val="en-US"/>
        </w:rPr>
        <w:t xml:space="preserve">Paper for Research Seminar conducted by LeIP and faculty of Law of Universitas Indonesia </w:t>
      </w:r>
      <w:r w:rsidR="00D15F75" w:rsidRPr="00D15F75">
        <w:rPr>
          <w:rFonts w:asciiTheme="majorBidi" w:hAnsiTheme="majorBidi" w:cstheme="majorBidi"/>
          <w:sz w:val="24"/>
          <w:szCs w:val="24"/>
        </w:rPr>
        <w:t xml:space="preserve">Depok, </w:t>
      </w:r>
      <w:r w:rsidR="00D15F75" w:rsidRPr="00D15F75">
        <w:rPr>
          <w:rFonts w:asciiTheme="majorBidi" w:hAnsiTheme="majorBidi" w:cstheme="majorBidi"/>
          <w:sz w:val="24"/>
          <w:szCs w:val="24"/>
          <w:lang w:val="en-US"/>
        </w:rPr>
        <w:t xml:space="preserve">august 19, </w:t>
      </w:r>
      <w:r w:rsidR="00D15F75" w:rsidRPr="00D15F75">
        <w:rPr>
          <w:rFonts w:asciiTheme="majorBidi" w:hAnsiTheme="majorBidi" w:cstheme="majorBidi"/>
          <w:sz w:val="24"/>
          <w:szCs w:val="24"/>
        </w:rPr>
        <w:t>2010</w:t>
      </w:r>
    </w:p>
    <w:p w:rsidR="000F5A74" w:rsidRPr="00D15F75" w:rsidRDefault="000270FD" w:rsidP="00341559">
      <w:pPr>
        <w:pStyle w:val="FootnoteText"/>
        <w:ind w:left="993" w:hanging="993"/>
        <w:jc w:val="both"/>
        <w:rPr>
          <w:rFonts w:ascii="Times New Roman" w:hAnsi="Times New Roman" w:cs="Times New Roman"/>
          <w:sz w:val="24"/>
          <w:lang w:val="en-US"/>
        </w:rPr>
      </w:pPr>
      <w:r w:rsidRPr="00D15F75">
        <w:rPr>
          <w:rFonts w:ascii="Times New Roman" w:hAnsi="Times New Roman" w:cs="Times New Roman"/>
          <w:sz w:val="24"/>
        </w:rPr>
        <w:t xml:space="preserve">Zudan Arif Fakrulloh, </w:t>
      </w:r>
      <w:r w:rsidRPr="00D15F75">
        <w:rPr>
          <w:rFonts w:ascii="Times New Roman" w:hAnsi="Times New Roman" w:cs="Times New Roman"/>
          <w:i/>
          <w:sz w:val="24"/>
        </w:rPr>
        <w:t>Ilmu Lembaga Dan Pranata Hukum</w:t>
      </w:r>
      <w:r w:rsidRPr="00D15F75">
        <w:rPr>
          <w:rFonts w:ascii="Times New Roman" w:hAnsi="Times New Roman" w:cs="Times New Roman"/>
          <w:sz w:val="24"/>
        </w:rPr>
        <w:t>, Jakarta: Rajawali Pers, 2011</w:t>
      </w:r>
    </w:p>
    <w:sectPr w:rsidR="000F5A74" w:rsidRPr="00D15F75" w:rsidSect="005B7C1F">
      <w:pgSz w:w="12240" w:h="15840"/>
      <w:pgMar w:top="2275"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3AC" w:rsidRDefault="00C613AC" w:rsidP="00786BFA">
      <w:r>
        <w:separator/>
      </w:r>
    </w:p>
  </w:endnote>
  <w:endnote w:type="continuationSeparator" w:id="1">
    <w:p w:rsidR="00C613AC" w:rsidRDefault="00C613AC" w:rsidP="00786B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3AC" w:rsidRDefault="00C613AC" w:rsidP="00786BFA">
      <w:r>
        <w:separator/>
      </w:r>
    </w:p>
  </w:footnote>
  <w:footnote w:type="continuationSeparator" w:id="1">
    <w:p w:rsidR="00C613AC" w:rsidRDefault="00C613AC" w:rsidP="00786BFA">
      <w:r>
        <w:continuationSeparator/>
      </w:r>
    </w:p>
  </w:footnote>
  <w:footnote w:id="2">
    <w:p w:rsidR="00786BFA" w:rsidRPr="00341559" w:rsidRDefault="00786BFA" w:rsidP="00786BFA">
      <w:pPr>
        <w:pStyle w:val="FootnoteText"/>
        <w:ind w:firstLine="709"/>
        <w:jc w:val="both"/>
        <w:rPr>
          <w:rFonts w:ascii="Times New Roman" w:hAnsi="Times New Roman" w:cs="Times New Roman"/>
        </w:rPr>
      </w:pPr>
      <w:r w:rsidRPr="00341559">
        <w:rPr>
          <w:rStyle w:val="FootnoteReference"/>
          <w:rFonts w:ascii="Times New Roman" w:hAnsi="Times New Roman"/>
        </w:rPr>
        <w:footnoteRef/>
      </w:r>
      <w:r w:rsidRPr="00341559">
        <w:rPr>
          <w:rFonts w:ascii="Times New Roman" w:hAnsi="Times New Roman" w:cs="Times New Roman"/>
        </w:rPr>
        <w:t xml:space="preserve"> Soimin, </w:t>
      </w:r>
      <w:r w:rsidRPr="00341559">
        <w:rPr>
          <w:rFonts w:ascii="Times New Roman" w:hAnsi="Times New Roman" w:cs="Times New Roman"/>
          <w:i/>
        </w:rPr>
        <w:t>Pembentukan Peraturan Perundang-Undangan Negara Di Indonesia,</w:t>
      </w:r>
      <w:r w:rsidR="00195E09" w:rsidRPr="00341559">
        <w:rPr>
          <w:rFonts w:ascii="Times New Roman" w:hAnsi="Times New Roman" w:cs="Times New Roman"/>
          <w:lang w:val="en-US"/>
        </w:rPr>
        <w:t xml:space="preserve">(Yogyakarta: </w:t>
      </w:r>
      <w:r w:rsidR="00195E09" w:rsidRPr="00341559">
        <w:rPr>
          <w:rFonts w:ascii="Times New Roman" w:hAnsi="Times New Roman" w:cs="Times New Roman"/>
        </w:rPr>
        <w:t>UII Press</w:t>
      </w:r>
      <w:r w:rsidR="00195E09" w:rsidRPr="00341559">
        <w:rPr>
          <w:rFonts w:ascii="Times New Roman" w:hAnsi="Times New Roman" w:cs="Times New Roman"/>
          <w:lang w:val="en-US"/>
        </w:rPr>
        <w:t>)</w:t>
      </w:r>
      <w:r w:rsidR="00195E09" w:rsidRPr="00341559">
        <w:rPr>
          <w:rFonts w:ascii="Times New Roman" w:hAnsi="Times New Roman" w:cs="Times New Roman"/>
        </w:rPr>
        <w:t xml:space="preserve">, 2010, </w:t>
      </w:r>
      <w:r w:rsidR="00195E09" w:rsidRPr="00341559">
        <w:rPr>
          <w:rFonts w:ascii="Times New Roman" w:hAnsi="Times New Roman" w:cs="Times New Roman"/>
          <w:lang w:val="en-US"/>
        </w:rPr>
        <w:t>p</w:t>
      </w:r>
      <w:r w:rsidRPr="00341559">
        <w:rPr>
          <w:rFonts w:ascii="Times New Roman" w:hAnsi="Times New Roman" w:cs="Times New Roman"/>
        </w:rPr>
        <w:t>. 12.</w:t>
      </w:r>
    </w:p>
  </w:footnote>
  <w:footnote w:id="3">
    <w:p w:rsidR="00786BFA" w:rsidRPr="00341559" w:rsidRDefault="00786BFA" w:rsidP="00786BFA">
      <w:pPr>
        <w:pStyle w:val="FootnoteText"/>
        <w:ind w:firstLine="709"/>
        <w:jc w:val="both"/>
        <w:rPr>
          <w:rFonts w:ascii="Times New Roman" w:hAnsi="Times New Roman" w:cs="Times New Roman"/>
        </w:rPr>
      </w:pPr>
      <w:r w:rsidRPr="00341559">
        <w:rPr>
          <w:rStyle w:val="FootnoteReference"/>
          <w:rFonts w:ascii="Times New Roman" w:hAnsi="Times New Roman"/>
        </w:rPr>
        <w:footnoteRef/>
      </w:r>
      <w:r w:rsidRPr="00341559">
        <w:rPr>
          <w:rFonts w:ascii="Times New Roman" w:hAnsi="Times New Roman" w:cs="Times New Roman"/>
        </w:rPr>
        <w:t xml:space="preserve"> Padwo Wahjono, </w:t>
      </w:r>
      <w:r w:rsidRPr="00341559">
        <w:rPr>
          <w:rFonts w:ascii="Times New Roman" w:hAnsi="Times New Roman" w:cs="Times New Roman"/>
          <w:i/>
        </w:rPr>
        <w:t>Indonesia Negara Berdasarkan Atas Hukum,</w:t>
      </w:r>
      <w:r w:rsidRPr="00341559">
        <w:rPr>
          <w:rFonts w:ascii="Times New Roman" w:hAnsi="Times New Roman" w:cs="Times New Roman"/>
        </w:rPr>
        <w:t xml:space="preserve"> (Jakar</w:t>
      </w:r>
      <w:r w:rsidR="00195E09" w:rsidRPr="00341559">
        <w:rPr>
          <w:rFonts w:ascii="Times New Roman" w:hAnsi="Times New Roman" w:cs="Times New Roman"/>
        </w:rPr>
        <w:t xml:space="preserve">ta: Ghalia Indonesia, 1986), </w:t>
      </w:r>
      <w:r w:rsidR="00195E09" w:rsidRPr="00341559">
        <w:rPr>
          <w:rFonts w:ascii="Times New Roman" w:hAnsi="Times New Roman" w:cs="Times New Roman"/>
          <w:lang w:val="en-US"/>
        </w:rPr>
        <w:t>p</w:t>
      </w:r>
      <w:r w:rsidRPr="00341559">
        <w:rPr>
          <w:rFonts w:ascii="Times New Roman" w:hAnsi="Times New Roman" w:cs="Times New Roman"/>
        </w:rPr>
        <w:t>. 160</w:t>
      </w:r>
    </w:p>
  </w:footnote>
  <w:footnote w:id="4">
    <w:p w:rsidR="00786BFA" w:rsidRPr="00341559" w:rsidRDefault="00786BFA" w:rsidP="00786BFA">
      <w:pPr>
        <w:pStyle w:val="FootnoteText"/>
        <w:ind w:firstLine="709"/>
        <w:jc w:val="both"/>
        <w:rPr>
          <w:rFonts w:ascii="Times New Roman" w:hAnsi="Times New Roman" w:cs="Times New Roman"/>
        </w:rPr>
      </w:pPr>
      <w:r w:rsidRPr="00341559">
        <w:rPr>
          <w:rStyle w:val="FootnoteReference"/>
          <w:rFonts w:ascii="Times New Roman" w:hAnsi="Times New Roman"/>
        </w:rPr>
        <w:footnoteRef/>
      </w:r>
      <w:r w:rsidRPr="00341559">
        <w:rPr>
          <w:rFonts w:ascii="Times New Roman" w:hAnsi="Times New Roman" w:cs="Times New Roman"/>
        </w:rPr>
        <w:t xml:space="preserve"> Padwo Wahjono, </w:t>
      </w:r>
      <w:r w:rsidRPr="00341559">
        <w:rPr>
          <w:rFonts w:ascii="Times New Roman" w:hAnsi="Times New Roman" w:cs="Times New Roman"/>
          <w:i/>
          <w:iCs/>
        </w:rPr>
        <w:t>Menyelisik Proses Terbentuknya Peraturan P</w:t>
      </w:r>
      <w:r w:rsidR="00195E09" w:rsidRPr="00341559">
        <w:rPr>
          <w:rFonts w:ascii="Times New Roman" w:hAnsi="Times New Roman" w:cs="Times New Roman"/>
          <w:i/>
          <w:iCs/>
        </w:rPr>
        <w:t>erundang-Undangan</w:t>
      </w:r>
      <w:r w:rsidR="00195E09" w:rsidRPr="00341559">
        <w:rPr>
          <w:rFonts w:ascii="Times New Roman" w:hAnsi="Times New Roman" w:cs="Times New Roman"/>
        </w:rPr>
        <w:t xml:space="preserve">” </w:t>
      </w:r>
      <w:r w:rsidR="00195E09" w:rsidRPr="00341559">
        <w:rPr>
          <w:rFonts w:ascii="Times New Roman" w:hAnsi="Times New Roman" w:cs="Times New Roman"/>
          <w:lang w:val="en-US"/>
        </w:rPr>
        <w:t>in Magazine</w:t>
      </w:r>
      <w:r w:rsidRPr="00341559">
        <w:rPr>
          <w:rFonts w:ascii="Times New Roman" w:hAnsi="Times New Roman" w:cs="Times New Roman"/>
        </w:rPr>
        <w:t xml:space="preserve"> Forum</w:t>
      </w:r>
      <w:r w:rsidR="00195E09" w:rsidRPr="00341559">
        <w:rPr>
          <w:rFonts w:ascii="Times New Roman" w:hAnsi="Times New Roman" w:cs="Times New Roman"/>
        </w:rPr>
        <w:t xml:space="preserve"> Keadilan, N</w:t>
      </w:r>
      <w:r w:rsidR="00195E09" w:rsidRPr="00341559">
        <w:rPr>
          <w:rFonts w:ascii="Times New Roman" w:hAnsi="Times New Roman" w:cs="Times New Roman"/>
          <w:lang w:val="en-US"/>
        </w:rPr>
        <w:t xml:space="preserve">umber </w:t>
      </w:r>
      <w:r w:rsidR="00195E09" w:rsidRPr="00341559">
        <w:rPr>
          <w:rFonts w:ascii="Times New Roman" w:hAnsi="Times New Roman" w:cs="Times New Roman"/>
        </w:rPr>
        <w:t xml:space="preserve">.29 April 1991, </w:t>
      </w:r>
      <w:r w:rsidR="00195E09" w:rsidRPr="00341559">
        <w:rPr>
          <w:rFonts w:ascii="Times New Roman" w:hAnsi="Times New Roman" w:cs="Times New Roman"/>
          <w:lang w:val="en-US"/>
        </w:rPr>
        <w:t>p</w:t>
      </w:r>
      <w:r w:rsidRPr="00341559">
        <w:rPr>
          <w:rFonts w:ascii="Times New Roman" w:hAnsi="Times New Roman" w:cs="Times New Roman"/>
        </w:rPr>
        <w:t>. 65.</w:t>
      </w:r>
    </w:p>
  </w:footnote>
  <w:footnote w:id="5">
    <w:p w:rsidR="00786BFA" w:rsidRPr="00341559" w:rsidRDefault="00786BFA" w:rsidP="00786BFA">
      <w:pPr>
        <w:pStyle w:val="FootnoteText"/>
        <w:ind w:firstLine="709"/>
        <w:jc w:val="both"/>
        <w:rPr>
          <w:rFonts w:ascii="Times New Roman" w:hAnsi="Times New Roman" w:cs="Times New Roman"/>
        </w:rPr>
      </w:pPr>
      <w:r w:rsidRPr="00341559">
        <w:rPr>
          <w:rStyle w:val="FootnoteReference"/>
          <w:rFonts w:ascii="Times New Roman" w:hAnsi="Times New Roman"/>
        </w:rPr>
        <w:footnoteRef/>
      </w:r>
      <w:r w:rsidRPr="00341559">
        <w:rPr>
          <w:rFonts w:ascii="Times New Roman" w:hAnsi="Times New Roman" w:cs="Times New Roman"/>
          <w:color w:val="000000"/>
        </w:rPr>
        <w:t>Ichtijanto, “</w:t>
      </w:r>
      <w:r w:rsidRPr="00341559">
        <w:rPr>
          <w:rFonts w:ascii="Times New Roman" w:hAnsi="Times New Roman" w:cs="Times New Roman"/>
          <w:i/>
          <w:color w:val="000000"/>
        </w:rPr>
        <w:t>Kontribusi Hukum Islam Terhadap Hukum Nasional</w:t>
      </w:r>
      <w:r w:rsidRPr="00341559">
        <w:rPr>
          <w:rFonts w:ascii="Times New Roman" w:hAnsi="Times New Roman" w:cs="Times New Roman"/>
          <w:i/>
          <w:iCs/>
          <w:color w:val="000000"/>
        </w:rPr>
        <w:t xml:space="preserve">” </w:t>
      </w:r>
      <w:r w:rsidR="006F0555" w:rsidRPr="00341559">
        <w:rPr>
          <w:rFonts w:ascii="Times New Roman" w:hAnsi="Times New Roman" w:cs="Times New Roman"/>
          <w:color w:val="000000"/>
          <w:lang w:val="en-US"/>
        </w:rPr>
        <w:t>in Journal</w:t>
      </w:r>
      <w:r w:rsidR="006F0555" w:rsidRPr="00341559">
        <w:rPr>
          <w:rFonts w:ascii="Times New Roman" w:hAnsi="Times New Roman" w:cs="Times New Roman"/>
          <w:color w:val="000000"/>
        </w:rPr>
        <w:t xml:space="preserve"> Mimbar Hukum N</w:t>
      </w:r>
      <w:r w:rsidR="006F0555" w:rsidRPr="00341559">
        <w:rPr>
          <w:rFonts w:ascii="Times New Roman" w:hAnsi="Times New Roman" w:cs="Times New Roman"/>
          <w:color w:val="000000"/>
          <w:lang w:val="en-US"/>
        </w:rPr>
        <w:t>umber</w:t>
      </w:r>
      <w:r w:rsidR="006F0555" w:rsidRPr="00341559">
        <w:rPr>
          <w:rFonts w:ascii="Times New Roman" w:hAnsi="Times New Roman" w:cs="Times New Roman"/>
          <w:color w:val="000000"/>
        </w:rPr>
        <w:t xml:space="preserve">. 13 </w:t>
      </w:r>
      <w:r w:rsidR="006F0555" w:rsidRPr="00341559">
        <w:rPr>
          <w:rFonts w:ascii="Times New Roman" w:hAnsi="Times New Roman" w:cs="Times New Roman"/>
          <w:color w:val="000000"/>
          <w:lang w:val="en-US"/>
        </w:rPr>
        <w:t xml:space="preserve">Year </w:t>
      </w:r>
      <w:r w:rsidRPr="00341559">
        <w:rPr>
          <w:rFonts w:ascii="Times New Roman" w:hAnsi="Times New Roman" w:cs="Times New Roman"/>
          <w:color w:val="000000"/>
        </w:rPr>
        <w:t xml:space="preserve"> V, </w:t>
      </w:r>
      <w:r w:rsidR="006F0555" w:rsidRPr="00341559">
        <w:rPr>
          <w:rFonts w:ascii="Times New Roman" w:hAnsi="Times New Roman" w:cs="Times New Roman"/>
          <w:color w:val="000000"/>
          <w:lang w:val="en-US"/>
        </w:rPr>
        <w:t>(</w:t>
      </w:r>
      <w:r w:rsidR="006F0555" w:rsidRPr="00341559">
        <w:rPr>
          <w:rFonts w:ascii="Times New Roman" w:hAnsi="Times New Roman" w:cs="Times New Roman"/>
          <w:color w:val="000000"/>
        </w:rPr>
        <w:t>Jakarta</w:t>
      </w:r>
      <w:r w:rsidR="006F0555" w:rsidRPr="00341559">
        <w:rPr>
          <w:rFonts w:ascii="Times New Roman" w:hAnsi="Times New Roman" w:cs="Times New Roman"/>
          <w:color w:val="000000"/>
          <w:lang w:val="en-US"/>
        </w:rPr>
        <w:t>:</w:t>
      </w:r>
      <w:r w:rsidRPr="00341559">
        <w:rPr>
          <w:rFonts w:ascii="Times New Roman" w:hAnsi="Times New Roman" w:cs="Times New Roman"/>
          <w:color w:val="000000"/>
        </w:rPr>
        <w:t>Yayasan al Hikmah</w:t>
      </w:r>
      <w:r w:rsidR="006F0555" w:rsidRPr="00341559">
        <w:rPr>
          <w:rFonts w:ascii="Times New Roman" w:hAnsi="Times New Roman" w:cs="Times New Roman"/>
          <w:color w:val="000000"/>
          <w:lang w:val="en-US"/>
        </w:rPr>
        <w:t>).p</w:t>
      </w:r>
      <w:r w:rsidRPr="00341559">
        <w:rPr>
          <w:rFonts w:ascii="Times New Roman" w:hAnsi="Times New Roman" w:cs="Times New Roman"/>
          <w:color w:val="000000"/>
        </w:rPr>
        <w:t>. 17</w:t>
      </w:r>
    </w:p>
  </w:footnote>
  <w:footnote w:id="6">
    <w:p w:rsidR="00786BFA" w:rsidRPr="00341559" w:rsidRDefault="00786BFA" w:rsidP="00786BFA">
      <w:pPr>
        <w:pStyle w:val="FootnoteText"/>
        <w:ind w:firstLine="709"/>
        <w:jc w:val="both"/>
        <w:rPr>
          <w:rFonts w:ascii="Times New Roman" w:hAnsi="Times New Roman" w:cs="Times New Roman"/>
        </w:rPr>
      </w:pPr>
      <w:r w:rsidRPr="00341559">
        <w:rPr>
          <w:rStyle w:val="FootnoteReference"/>
          <w:rFonts w:ascii="Times New Roman" w:hAnsi="Times New Roman"/>
        </w:rPr>
        <w:footnoteRef/>
      </w:r>
      <w:r w:rsidRPr="00341559">
        <w:rPr>
          <w:rFonts w:ascii="Times New Roman" w:hAnsi="Times New Roman" w:cs="Times New Roman"/>
          <w:color w:val="000000"/>
        </w:rPr>
        <w:t>ibid</w:t>
      </w:r>
    </w:p>
  </w:footnote>
  <w:footnote w:id="7">
    <w:p w:rsidR="00786BFA" w:rsidRPr="00341559" w:rsidRDefault="00786BFA" w:rsidP="00786BFA">
      <w:pPr>
        <w:pStyle w:val="FootnoteText"/>
        <w:ind w:firstLine="709"/>
        <w:jc w:val="both"/>
        <w:rPr>
          <w:rFonts w:ascii="Times New Roman" w:hAnsi="Times New Roman" w:cs="Times New Roman"/>
        </w:rPr>
      </w:pPr>
      <w:r w:rsidRPr="00341559">
        <w:rPr>
          <w:rStyle w:val="FootnoteReference"/>
          <w:rFonts w:ascii="Times New Roman" w:hAnsi="Times New Roman"/>
        </w:rPr>
        <w:footnoteRef/>
      </w:r>
      <w:r w:rsidRPr="00341559">
        <w:rPr>
          <w:rFonts w:ascii="Times New Roman" w:hAnsi="Times New Roman" w:cs="Times New Roman"/>
          <w:color w:val="000000"/>
        </w:rPr>
        <w:t xml:space="preserve">Daniel. S. Lev, </w:t>
      </w:r>
      <w:r w:rsidRPr="00341559">
        <w:rPr>
          <w:rFonts w:ascii="Times New Roman" w:hAnsi="Times New Roman" w:cs="Times New Roman"/>
          <w:i/>
          <w:iCs/>
          <w:color w:val="000000"/>
        </w:rPr>
        <w:t>Hukum dan PolitikIndonesia; Kesinambungan dan Perubahan</w:t>
      </w:r>
      <w:r w:rsidRPr="00341559">
        <w:rPr>
          <w:rFonts w:ascii="Times New Roman" w:hAnsi="Times New Roman" w:cs="Times New Roman"/>
          <w:color w:val="000000"/>
        </w:rPr>
        <w:t>, Terj. Ni</w:t>
      </w:r>
      <w:r w:rsidR="006F0555" w:rsidRPr="00341559">
        <w:rPr>
          <w:rFonts w:ascii="Times New Roman" w:hAnsi="Times New Roman" w:cs="Times New Roman"/>
          <w:color w:val="000000"/>
        </w:rPr>
        <w:t>rwoo dan A.E. Priyono, (Jakarta</w:t>
      </w:r>
      <w:r w:rsidR="006F0555" w:rsidRPr="00341559">
        <w:rPr>
          <w:rFonts w:ascii="Times New Roman" w:hAnsi="Times New Roman" w:cs="Times New Roman"/>
          <w:color w:val="000000"/>
          <w:lang w:val="en-US"/>
        </w:rPr>
        <w:t>:</w:t>
      </w:r>
      <w:r w:rsidR="006F0555" w:rsidRPr="00341559">
        <w:rPr>
          <w:rFonts w:ascii="Times New Roman" w:hAnsi="Times New Roman" w:cs="Times New Roman"/>
          <w:color w:val="000000"/>
        </w:rPr>
        <w:t xml:space="preserve"> LP3ES,1990), </w:t>
      </w:r>
      <w:r w:rsidR="006F0555" w:rsidRPr="00341559">
        <w:rPr>
          <w:rFonts w:ascii="Times New Roman" w:hAnsi="Times New Roman" w:cs="Times New Roman"/>
          <w:color w:val="000000"/>
          <w:lang w:val="en-US"/>
        </w:rPr>
        <w:t>p</w:t>
      </w:r>
      <w:r w:rsidRPr="00341559">
        <w:rPr>
          <w:rFonts w:ascii="Times New Roman" w:hAnsi="Times New Roman" w:cs="Times New Roman"/>
          <w:color w:val="000000"/>
        </w:rPr>
        <w:t>. 121</w:t>
      </w:r>
    </w:p>
  </w:footnote>
  <w:footnote w:id="8">
    <w:p w:rsidR="006F0555" w:rsidRPr="00341559" w:rsidRDefault="000412A7" w:rsidP="006F0555">
      <w:pPr>
        <w:pStyle w:val="FootnoteText"/>
        <w:ind w:firstLine="709"/>
        <w:jc w:val="both"/>
        <w:rPr>
          <w:rFonts w:ascii="Times New Roman" w:hAnsi="Times New Roman" w:cs="Times New Roman"/>
          <w:lang w:val="en-US"/>
        </w:rPr>
      </w:pPr>
      <w:r w:rsidRPr="00341559">
        <w:rPr>
          <w:rStyle w:val="FootnoteReference"/>
          <w:rFonts w:ascii="Times New Roman" w:hAnsi="Times New Roman"/>
        </w:rPr>
        <w:footnoteRef/>
      </w:r>
      <w:r w:rsidR="006F0555" w:rsidRPr="00341559">
        <w:rPr>
          <w:rFonts w:ascii="Times New Roman" w:hAnsi="Times New Roman" w:cs="Times New Roman"/>
          <w:lang w:val="en-US"/>
        </w:rPr>
        <w:t>For example in Religious Court of Malang District as one of  court with the best innovations and got the award from the Supreme Court in 2015, almost every year there are the remaining things that will be a burden on The following year.</w:t>
      </w:r>
    </w:p>
  </w:footnote>
  <w:footnote w:id="9">
    <w:p w:rsidR="00134574" w:rsidRPr="00341559" w:rsidRDefault="00134574" w:rsidP="00134574">
      <w:pPr>
        <w:pStyle w:val="FootnoteText"/>
        <w:ind w:firstLine="709"/>
        <w:jc w:val="both"/>
        <w:rPr>
          <w:rFonts w:ascii="Times New Roman" w:hAnsi="Times New Roman" w:cs="Times New Roman"/>
        </w:rPr>
      </w:pPr>
      <w:r w:rsidRPr="00341559">
        <w:rPr>
          <w:rStyle w:val="FootnoteReference"/>
          <w:rFonts w:ascii="Times New Roman" w:hAnsi="Times New Roman"/>
        </w:rPr>
        <w:footnoteRef/>
      </w:r>
      <w:r w:rsidRPr="00341559">
        <w:rPr>
          <w:rFonts w:ascii="Times New Roman" w:hAnsi="Times New Roman" w:cs="Times New Roman"/>
          <w:color w:val="000000"/>
        </w:rPr>
        <w:t xml:space="preserve">Tim Penyusun Kamus Besar Bahasa Indonesia, </w:t>
      </w:r>
      <w:r w:rsidRPr="00341559">
        <w:rPr>
          <w:rFonts w:ascii="Times New Roman" w:hAnsi="Times New Roman" w:cs="Times New Roman"/>
          <w:i/>
          <w:iCs/>
          <w:color w:val="000000"/>
        </w:rPr>
        <w:t>Kamus Besar Bahasa Indonesia</w:t>
      </w:r>
      <w:r w:rsidRPr="00341559">
        <w:rPr>
          <w:rFonts w:ascii="Times New Roman" w:hAnsi="Times New Roman" w:cs="Times New Roman"/>
          <w:color w:val="000000"/>
        </w:rPr>
        <w:t>, (Ja</w:t>
      </w:r>
      <w:r w:rsidR="00ED7914" w:rsidRPr="00341559">
        <w:rPr>
          <w:rFonts w:ascii="Times New Roman" w:hAnsi="Times New Roman" w:cs="Times New Roman"/>
          <w:color w:val="000000"/>
        </w:rPr>
        <w:t xml:space="preserve">karta: Balai Pustaka, 1990), </w:t>
      </w:r>
      <w:r w:rsidR="00ED7914" w:rsidRPr="00341559">
        <w:rPr>
          <w:rFonts w:ascii="Times New Roman" w:hAnsi="Times New Roman" w:cs="Times New Roman"/>
          <w:color w:val="000000"/>
          <w:lang w:val="en-US"/>
        </w:rPr>
        <w:t>p</w:t>
      </w:r>
      <w:r w:rsidRPr="00341559">
        <w:rPr>
          <w:rFonts w:ascii="Times New Roman" w:hAnsi="Times New Roman" w:cs="Times New Roman"/>
          <w:color w:val="000000"/>
        </w:rPr>
        <w:t>. 163</w:t>
      </w:r>
    </w:p>
  </w:footnote>
  <w:footnote w:id="10">
    <w:p w:rsidR="00134574" w:rsidRPr="00341559" w:rsidRDefault="00134574" w:rsidP="00134574">
      <w:pPr>
        <w:pStyle w:val="FootnoteText"/>
        <w:ind w:firstLine="709"/>
        <w:jc w:val="both"/>
        <w:rPr>
          <w:rFonts w:ascii="Times New Roman" w:hAnsi="Times New Roman" w:cs="Times New Roman"/>
        </w:rPr>
      </w:pPr>
      <w:r w:rsidRPr="00341559">
        <w:rPr>
          <w:rStyle w:val="FootnoteReference"/>
          <w:rFonts w:ascii="Times New Roman" w:hAnsi="Times New Roman"/>
        </w:rPr>
        <w:footnoteRef/>
      </w:r>
      <w:r w:rsidRPr="00341559">
        <w:rPr>
          <w:rFonts w:ascii="Times New Roman" w:hAnsi="Times New Roman" w:cs="Times New Roman"/>
          <w:color w:val="000000"/>
        </w:rPr>
        <w:t xml:space="preserve">Setiawan, </w:t>
      </w:r>
      <w:r w:rsidRPr="00341559">
        <w:rPr>
          <w:rFonts w:ascii="Times New Roman" w:hAnsi="Times New Roman" w:cs="Times New Roman"/>
          <w:i/>
          <w:iCs/>
          <w:color w:val="000000"/>
        </w:rPr>
        <w:t xml:space="preserve">Aneka Masalah Hukum dan Hukum Acara Perdata, </w:t>
      </w:r>
      <w:r w:rsidRPr="00341559">
        <w:rPr>
          <w:rFonts w:ascii="Times New Roman" w:hAnsi="Times New Roman" w:cs="Times New Roman"/>
          <w:iCs/>
          <w:color w:val="000000"/>
        </w:rPr>
        <w:t>(</w:t>
      </w:r>
      <w:r w:rsidR="00ED7914" w:rsidRPr="00341559">
        <w:rPr>
          <w:rFonts w:ascii="Times New Roman" w:hAnsi="Times New Roman" w:cs="Times New Roman"/>
          <w:color w:val="000000"/>
        </w:rPr>
        <w:t>Bandung : PT Alumni,</w:t>
      </w:r>
      <w:r w:rsidR="00ED7914" w:rsidRPr="00341559">
        <w:rPr>
          <w:rFonts w:ascii="Times New Roman" w:hAnsi="Times New Roman" w:cs="Times New Roman"/>
          <w:color w:val="000000"/>
        </w:rPr>
        <w:br/>
        <w:t xml:space="preserve">1992), </w:t>
      </w:r>
      <w:r w:rsidR="00ED7914" w:rsidRPr="00341559">
        <w:rPr>
          <w:rFonts w:ascii="Times New Roman" w:hAnsi="Times New Roman" w:cs="Times New Roman"/>
          <w:color w:val="000000"/>
          <w:lang w:val="en-US"/>
        </w:rPr>
        <w:t>p.</w:t>
      </w:r>
      <w:r w:rsidRPr="00341559">
        <w:rPr>
          <w:rFonts w:ascii="Times New Roman" w:hAnsi="Times New Roman" w:cs="Times New Roman"/>
          <w:color w:val="000000"/>
        </w:rPr>
        <w:t xml:space="preserve"> 426</w:t>
      </w:r>
    </w:p>
  </w:footnote>
  <w:footnote w:id="11">
    <w:p w:rsidR="00134574" w:rsidRPr="00341559" w:rsidRDefault="00134574" w:rsidP="00134574">
      <w:pPr>
        <w:pStyle w:val="FootnoteText"/>
        <w:ind w:firstLine="709"/>
        <w:jc w:val="both"/>
        <w:rPr>
          <w:rFonts w:ascii="Times New Roman" w:hAnsi="Times New Roman" w:cs="Times New Roman"/>
        </w:rPr>
      </w:pPr>
      <w:r w:rsidRPr="00341559">
        <w:rPr>
          <w:rStyle w:val="FootnoteReference"/>
          <w:rFonts w:ascii="Times New Roman" w:hAnsi="Times New Roman"/>
        </w:rPr>
        <w:footnoteRef/>
      </w:r>
      <w:r w:rsidRPr="00341559">
        <w:rPr>
          <w:rFonts w:ascii="Times New Roman" w:hAnsi="Times New Roman" w:cs="Times New Roman"/>
          <w:color w:val="000000"/>
        </w:rPr>
        <w:t xml:space="preserve">A. Mukti Arto, </w:t>
      </w:r>
      <w:r w:rsidRPr="00341559">
        <w:rPr>
          <w:rFonts w:ascii="Times New Roman" w:hAnsi="Times New Roman" w:cs="Times New Roman"/>
          <w:i/>
          <w:iCs/>
          <w:color w:val="000000"/>
        </w:rPr>
        <w:t>Mencari Keadilan (Kritik Dan Solusi Terhadap Praktik P</w:t>
      </w:r>
      <w:r w:rsidRPr="00341559">
        <w:rPr>
          <w:rFonts w:ascii="Times New Roman" w:hAnsi="Times New Roman" w:cs="Times New Roman"/>
          <w:i/>
          <w:iCs/>
          <w:color w:val="000000"/>
          <w:lang w:val="en-US"/>
        </w:rPr>
        <w:t>e</w:t>
      </w:r>
      <w:r w:rsidRPr="00341559">
        <w:rPr>
          <w:rFonts w:ascii="Times New Roman" w:hAnsi="Times New Roman" w:cs="Times New Roman"/>
          <w:i/>
          <w:iCs/>
          <w:color w:val="000000"/>
        </w:rPr>
        <w:t>radilanPerdata di Indonesia)</w:t>
      </w:r>
      <w:r w:rsidRPr="00341559">
        <w:rPr>
          <w:rFonts w:ascii="Times New Roman" w:hAnsi="Times New Roman" w:cs="Times New Roman"/>
          <w:color w:val="000000"/>
        </w:rPr>
        <w:t>, (Yogyakarta : Pu</w:t>
      </w:r>
      <w:r w:rsidR="00ED7914" w:rsidRPr="00341559">
        <w:rPr>
          <w:rFonts w:ascii="Times New Roman" w:hAnsi="Times New Roman" w:cs="Times New Roman"/>
          <w:color w:val="000000"/>
        </w:rPr>
        <w:t xml:space="preserve">staka Pelajar Offset, 2001), </w:t>
      </w:r>
      <w:r w:rsidR="00ED7914" w:rsidRPr="00341559">
        <w:rPr>
          <w:rFonts w:ascii="Times New Roman" w:hAnsi="Times New Roman" w:cs="Times New Roman"/>
          <w:color w:val="000000"/>
          <w:lang w:val="en-US"/>
        </w:rPr>
        <w:t>p</w:t>
      </w:r>
      <w:r w:rsidRPr="00341559">
        <w:rPr>
          <w:rFonts w:ascii="Times New Roman" w:hAnsi="Times New Roman" w:cs="Times New Roman"/>
          <w:color w:val="000000"/>
        </w:rPr>
        <w:t>. 64</w:t>
      </w:r>
    </w:p>
  </w:footnote>
  <w:footnote w:id="12">
    <w:p w:rsidR="00134574" w:rsidRPr="00341559" w:rsidRDefault="00134574" w:rsidP="00134574">
      <w:pPr>
        <w:pStyle w:val="FootnoteText"/>
        <w:ind w:firstLine="709"/>
        <w:jc w:val="both"/>
        <w:rPr>
          <w:rFonts w:ascii="Times New Roman" w:hAnsi="Times New Roman" w:cs="Times New Roman"/>
        </w:rPr>
      </w:pPr>
      <w:r w:rsidRPr="00341559">
        <w:rPr>
          <w:rStyle w:val="FootnoteReference"/>
          <w:rFonts w:ascii="Times New Roman" w:hAnsi="Times New Roman"/>
        </w:rPr>
        <w:footnoteRef/>
      </w:r>
      <w:r w:rsidRPr="00341559">
        <w:rPr>
          <w:rFonts w:ascii="Times New Roman" w:hAnsi="Times New Roman" w:cs="Times New Roman"/>
          <w:color w:val="000000"/>
        </w:rPr>
        <w:t xml:space="preserve">Tim Penyusun Kamus Besar Bahasa Indonesia, </w:t>
      </w:r>
      <w:r w:rsidRPr="00341559">
        <w:rPr>
          <w:rFonts w:ascii="Times New Roman" w:hAnsi="Times New Roman" w:cs="Times New Roman"/>
          <w:i/>
          <w:iCs/>
          <w:color w:val="000000"/>
        </w:rPr>
        <w:t>Op. cit</w:t>
      </w:r>
      <w:r w:rsidR="00ED7914" w:rsidRPr="00341559">
        <w:rPr>
          <w:rFonts w:ascii="Times New Roman" w:hAnsi="Times New Roman" w:cs="Times New Roman"/>
          <w:color w:val="000000"/>
        </w:rPr>
        <w:t xml:space="preserve">, </w:t>
      </w:r>
      <w:r w:rsidR="00ED7914" w:rsidRPr="00341559">
        <w:rPr>
          <w:rFonts w:ascii="Times New Roman" w:hAnsi="Times New Roman" w:cs="Times New Roman"/>
          <w:color w:val="000000"/>
          <w:lang w:val="en-US"/>
        </w:rPr>
        <w:t>p</w:t>
      </w:r>
      <w:r w:rsidRPr="00341559">
        <w:rPr>
          <w:rFonts w:ascii="Times New Roman" w:hAnsi="Times New Roman" w:cs="Times New Roman"/>
          <w:color w:val="000000"/>
        </w:rPr>
        <w:t xml:space="preserve"> 792</w:t>
      </w:r>
    </w:p>
  </w:footnote>
  <w:footnote w:id="13">
    <w:p w:rsidR="00134574" w:rsidRPr="00341559" w:rsidRDefault="00134574" w:rsidP="00ED7914">
      <w:pPr>
        <w:pStyle w:val="FootnoteText"/>
        <w:ind w:firstLine="709"/>
        <w:jc w:val="both"/>
        <w:rPr>
          <w:rFonts w:ascii="Times New Roman" w:hAnsi="Times New Roman" w:cs="Times New Roman"/>
        </w:rPr>
      </w:pPr>
      <w:r w:rsidRPr="00341559">
        <w:rPr>
          <w:rStyle w:val="FootnoteReference"/>
          <w:rFonts w:ascii="Times New Roman" w:hAnsi="Times New Roman"/>
        </w:rPr>
        <w:footnoteRef/>
      </w:r>
      <w:r w:rsidRPr="00341559">
        <w:rPr>
          <w:rFonts w:ascii="Times New Roman" w:hAnsi="Times New Roman" w:cs="Times New Roman"/>
          <w:color w:val="000000"/>
        </w:rPr>
        <w:t xml:space="preserve">Setiawan, </w:t>
      </w:r>
      <w:r w:rsidRPr="00341559">
        <w:rPr>
          <w:rFonts w:ascii="Times New Roman" w:hAnsi="Times New Roman" w:cs="Times New Roman"/>
          <w:i/>
          <w:iCs/>
          <w:color w:val="000000"/>
        </w:rPr>
        <w:t>Op. cit</w:t>
      </w:r>
      <w:r w:rsidR="00ED7914" w:rsidRPr="00341559">
        <w:rPr>
          <w:rFonts w:ascii="Times New Roman" w:hAnsi="Times New Roman" w:cs="Times New Roman"/>
          <w:color w:val="000000"/>
        </w:rPr>
        <w:t>,</w:t>
      </w:r>
      <w:r w:rsidR="00ED7914" w:rsidRPr="00341559">
        <w:rPr>
          <w:rFonts w:ascii="Times New Roman" w:hAnsi="Times New Roman" w:cs="Times New Roman"/>
          <w:color w:val="000000"/>
          <w:lang w:val="en-US"/>
        </w:rPr>
        <w:t xml:space="preserve"> p. </w:t>
      </w:r>
      <w:r w:rsidRPr="00341559">
        <w:rPr>
          <w:rFonts w:ascii="Times New Roman" w:hAnsi="Times New Roman" w:cs="Times New Roman"/>
          <w:color w:val="000000"/>
        </w:rPr>
        <w:t>427</w:t>
      </w:r>
    </w:p>
  </w:footnote>
  <w:footnote w:id="14">
    <w:p w:rsidR="00134574" w:rsidRPr="00341559" w:rsidRDefault="00134574" w:rsidP="00134574">
      <w:pPr>
        <w:pStyle w:val="FootnoteText"/>
        <w:ind w:firstLine="709"/>
        <w:jc w:val="both"/>
        <w:rPr>
          <w:rFonts w:ascii="Times New Roman" w:hAnsi="Times New Roman" w:cs="Times New Roman"/>
        </w:rPr>
      </w:pPr>
      <w:r w:rsidRPr="00341559">
        <w:rPr>
          <w:rStyle w:val="FootnoteReference"/>
          <w:rFonts w:ascii="Times New Roman" w:hAnsi="Times New Roman"/>
        </w:rPr>
        <w:footnoteRef/>
      </w:r>
      <w:r w:rsidRPr="00341559">
        <w:rPr>
          <w:rFonts w:ascii="Times New Roman" w:hAnsi="Times New Roman" w:cs="Times New Roman"/>
          <w:color w:val="000000"/>
        </w:rPr>
        <w:t xml:space="preserve">A. Mukti Arto, </w:t>
      </w:r>
      <w:r w:rsidRPr="00341559">
        <w:rPr>
          <w:rFonts w:ascii="Times New Roman" w:hAnsi="Times New Roman" w:cs="Times New Roman"/>
          <w:i/>
          <w:iCs/>
          <w:color w:val="000000"/>
        </w:rPr>
        <w:t>Mencari Keadilan</w:t>
      </w:r>
      <w:r w:rsidRPr="00341559">
        <w:rPr>
          <w:rFonts w:ascii="Times New Roman" w:hAnsi="Times New Roman" w:cs="Times New Roman"/>
          <w:color w:val="000000"/>
        </w:rPr>
        <w:t xml:space="preserve">, </w:t>
      </w:r>
      <w:r w:rsidRPr="00341559">
        <w:rPr>
          <w:rFonts w:ascii="Times New Roman" w:hAnsi="Times New Roman" w:cs="Times New Roman"/>
          <w:i/>
          <w:iCs/>
          <w:color w:val="000000"/>
        </w:rPr>
        <w:t xml:space="preserve">Op., cit </w:t>
      </w:r>
      <w:r w:rsidR="00ED7914" w:rsidRPr="00341559">
        <w:rPr>
          <w:rFonts w:ascii="Times New Roman" w:hAnsi="Times New Roman" w:cs="Times New Roman"/>
          <w:color w:val="000000"/>
          <w:lang w:val="en-US"/>
        </w:rPr>
        <w:t>p</w:t>
      </w:r>
      <w:r w:rsidRPr="00341559">
        <w:rPr>
          <w:rFonts w:ascii="Times New Roman" w:hAnsi="Times New Roman" w:cs="Times New Roman"/>
          <w:color w:val="000000"/>
        </w:rPr>
        <w:t>. 65</w:t>
      </w:r>
    </w:p>
  </w:footnote>
  <w:footnote w:id="15">
    <w:p w:rsidR="0081155A" w:rsidRPr="00341559" w:rsidRDefault="0081155A" w:rsidP="0081155A">
      <w:pPr>
        <w:pStyle w:val="FootnoteText"/>
        <w:ind w:firstLine="709"/>
        <w:jc w:val="both"/>
        <w:rPr>
          <w:rFonts w:ascii="Times New Roman" w:hAnsi="Times New Roman" w:cs="Times New Roman"/>
        </w:rPr>
      </w:pPr>
      <w:r w:rsidRPr="00341559">
        <w:rPr>
          <w:rStyle w:val="FootnoteReference"/>
          <w:rFonts w:ascii="Times New Roman" w:hAnsi="Times New Roman"/>
        </w:rPr>
        <w:footnoteRef/>
      </w:r>
      <w:r w:rsidRPr="00341559">
        <w:rPr>
          <w:rFonts w:ascii="Times New Roman" w:hAnsi="Times New Roman" w:cs="Times New Roman"/>
          <w:color w:val="000000"/>
        </w:rPr>
        <w:t xml:space="preserve">M. Yahya Harahap, </w:t>
      </w:r>
      <w:r w:rsidRPr="00341559">
        <w:rPr>
          <w:rFonts w:ascii="Times New Roman" w:hAnsi="Times New Roman" w:cs="Times New Roman"/>
          <w:i/>
          <w:iCs/>
          <w:color w:val="000000"/>
        </w:rPr>
        <w:t>Kedudukan Kewenangan dan Acara Peradilan Agama (Undang</w:t>
      </w:r>
      <w:r w:rsidRPr="00341559">
        <w:rPr>
          <w:rFonts w:ascii="Times New Roman" w:hAnsi="Times New Roman" w:cs="Times New Roman"/>
          <w:i/>
          <w:iCs/>
          <w:color w:val="000000"/>
          <w:lang w:val="en-US"/>
        </w:rPr>
        <w:t>-</w:t>
      </w:r>
      <w:r w:rsidRPr="00341559">
        <w:rPr>
          <w:rFonts w:ascii="Times New Roman" w:hAnsi="Times New Roman" w:cs="Times New Roman"/>
          <w:i/>
          <w:iCs/>
          <w:color w:val="000000"/>
        </w:rPr>
        <w:t>undang No 7 Tahun 1989)</w:t>
      </w:r>
      <w:r w:rsidRPr="00341559">
        <w:rPr>
          <w:rFonts w:ascii="Times New Roman" w:hAnsi="Times New Roman" w:cs="Times New Roman"/>
          <w:color w:val="000000"/>
        </w:rPr>
        <w:t>, (Jakar</w:t>
      </w:r>
      <w:r w:rsidR="00ED7914" w:rsidRPr="00341559">
        <w:rPr>
          <w:rFonts w:ascii="Times New Roman" w:hAnsi="Times New Roman" w:cs="Times New Roman"/>
          <w:color w:val="000000"/>
        </w:rPr>
        <w:t>ta : Sinar Grafika Offset</w:t>
      </w:r>
      <w:r w:rsidR="00ED7914" w:rsidRPr="00341559">
        <w:rPr>
          <w:rFonts w:ascii="Times New Roman" w:hAnsi="Times New Roman" w:cs="Times New Roman"/>
          <w:color w:val="000000"/>
          <w:lang w:val="en-US"/>
        </w:rPr>
        <w:t>, 2003)</w:t>
      </w:r>
      <w:r w:rsidR="00ED7914" w:rsidRPr="00341559">
        <w:rPr>
          <w:rFonts w:ascii="Times New Roman" w:hAnsi="Times New Roman" w:cs="Times New Roman"/>
          <w:color w:val="000000"/>
        </w:rPr>
        <w:t xml:space="preserve">, </w:t>
      </w:r>
      <w:r w:rsidR="00ED7914" w:rsidRPr="00341559">
        <w:rPr>
          <w:rFonts w:ascii="Times New Roman" w:hAnsi="Times New Roman" w:cs="Times New Roman"/>
          <w:color w:val="000000"/>
          <w:lang w:val="en-US"/>
        </w:rPr>
        <w:t>p</w:t>
      </w:r>
      <w:r w:rsidRPr="00341559">
        <w:rPr>
          <w:rFonts w:ascii="Times New Roman" w:hAnsi="Times New Roman" w:cs="Times New Roman"/>
          <w:color w:val="000000"/>
        </w:rPr>
        <w:t>. 71</w:t>
      </w:r>
    </w:p>
  </w:footnote>
  <w:footnote w:id="16">
    <w:p w:rsidR="008B70C7" w:rsidRPr="00341559" w:rsidRDefault="008B70C7" w:rsidP="008B70C7">
      <w:pPr>
        <w:pStyle w:val="FootnoteText"/>
        <w:ind w:firstLine="709"/>
        <w:jc w:val="both"/>
        <w:rPr>
          <w:rFonts w:ascii="Times New Roman" w:hAnsi="Times New Roman" w:cs="Times New Roman"/>
        </w:rPr>
      </w:pPr>
      <w:r w:rsidRPr="00341559">
        <w:rPr>
          <w:rStyle w:val="FootnoteReference"/>
          <w:rFonts w:ascii="Times New Roman" w:hAnsi="Times New Roman"/>
        </w:rPr>
        <w:footnoteRef/>
      </w:r>
      <w:r w:rsidRPr="00341559">
        <w:rPr>
          <w:rFonts w:ascii="Times New Roman" w:hAnsi="Times New Roman" w:cs="Times New Roman"/>
          <w:color w:val="000000"/>
        </w:rPr>
        <w:t xml:space="preserve">Tim Penyusun Kamus Besar Bahasa Indonesia, </w:t>
      </w:r>
      <w:r w:rsidR="00ED7914" w:rsidRPr="00341559">
        <w:rPr>
          <w:rFonts w:ascii="Times New Roman" w:hAnsi="Times New Roman" w:cs="Times New Roman"/>
          <w:i/>
          <w:iCs/>
          <w:color w:val="000000"/>
        </w:rPr>
        <w:t>Op. Cit</w:t>
      </w:r>
      <w:r w:rsidR="00ED7914" w:rsidRPr="00341559">
        <w:rPr>
          <w:rFonts w:ascii="Times New Roman" w:hAnsi="Times New Roman" w:cs="Times New Roman"/>
          <w:i/>
          <w:iCs/>
          <w:color w:val="000000"/>
          <w:lang w:val="en-US"/>
        </w:rPr>
        <w:t>,</w:t>
      </w:r>
      <w:r w:rsidR="00ED7914" w:rsidRPr="00341559">
        <w:rPr>
          <w:rFonts w:ascii="Times New Roman" w:hAnsi="Times New Roman" w:cs="Times New Roman"/>
          <w:color w:val="000000"/>
          <w:lang w:val="en-US"/>
        </w:rPr>
        <w:t>p.</w:t>
      </w:r>
      <w:r w:rsidRPr="00341559">
        <w:rPr>
          <w:rFonts w:ascii="Times New Roman" w:hAnsi="Times New Roman" w:cs="Times New Roman"/>
          <w:color w:val="000000"/>
        </w:rPr>
        <w:t>113</w:t>
      </w:r>
    </w:p>
  </w:footnote>
  <w:footnote w:id="17">
    <w:p w:rsidR="008B70C7" w:rsidRPr="00341559" w:rsidRDefault="008B70C7" w:rsidP="008B70C7">
      <w:pPr>
        <w:pStyle w:val="FootnoteText"/>
        <w:ind w:firstLine="709"/>
        <w:jc w:val="both"/>
        <w:rPr>
          <w:rFonts w:ascii="Times New Roman" w:hAnsi="Times New Roman" w:cs="Times New Roman"/>
        </w:rPr>
      </w:pPr>
      <w:r w:rsidRPr="00341559">
        <w:rPr>
          <w:rStyle w:val="FootnoteReference"/>
          <w:rFonts w:ascii="Times New Roman" w:hAnsi="Times New Roman"/>
        </w:rPr>
        <w:footnoteRef/>
      </w:r>
      <w:r w:rsidRPr="00341559">
        <w:rPr>
          <w:rFonts w:ascii="Times New Roman" w:hAnsi="Times New Roman" w:cs="Times New Roman"/>
          <w:color w:val="000000"/>
        </w:rPr>
        <w:t xml:space="preserve">Setiawan , </w:t>
      </w:r>
      <w:r w:rsidRPr="00341559">
        <w:rPr>
          <w:rFonts w:ascii="Times New Roman" w:hAnsi="Times New Roman" w:cs="Times New Roman"/>
          <w:i/>
          <w:iCs/>
          <w:color w:val="000000"/>
        </w:rPr>
        <w:t>Op. Cit</w:t>
      </w:r>
      <w:r w:rsidRPr="00341559">
        <w:rPr>
          <w:rFonts w:ascii="Times New Roman" w:hAnsi="Times New Roman" w:cs="Times New Roman"/>
          <w:color w:val="000000"/>
        </w:rPr>
        <w:t>, hlm 749</w:t>
      </w:r>
    </w:p>
  </w:footnote>
  <w:footnote w:id="18">
    <w:p w:rsidR="008B70C7" w:rsidRPr="00341559" w:rsidRDefault="008B70C7" w:rsidP="008B70C7">
      <w:pPr>
        <w:pStyle w:val="FootnoteText"/>
        <w:ind w:firstLine="709"/>
        <w:jc w:val="both"/>
        <w:rPr>
          <w:rFonts w:ascii="Times New Roman" w:hAnsi="Times New Roman" w:cs="Times New Roman"/>
        </w:rPr>
      </w:pPr>
      <w:r w:rsidRPr="00341559">
        <w:rPr>
          <w:rStyle w:val="FootnoteReference"/>
          <w:rFonts w:ascii="Times New Roman" w:hAnsi="Times New Roman"/>
        </w:rPr>
        <w:footnoteRef/>
      </w:r>
      <w:r w:rsidRPr="00341559">
        <w:rPr>
          <w:rFonts w:ascii="Times New Roman" w:hAnsi="Times New Roman" w:cs="Times New Roman"/>
          <w:color w:val="000000"/>
        </w:rPr>
        <w:t xml:space="preserve">A. Mukti Arto. </w:t>
      </w:r>
      <w:r w:rsidRPr="00341559">
        <w:rPr>
          <w:rFonts w:ascii="Times New Roman" w:hAnsi="Times New Roman" w:cs="Times New Roman"/>
          <w:i/>
          <w:iCs/>
          <w:color w:val="000000"/>
        </w:rPr>
        <w:t>Mencari Keadilan, Op. Cit</w:t>
      </w:r>
      <w:r w:rsidR="00ED7914" w:rsidRPr="00341559">
        <w:rPr>
          <w:rFonts w:ascii="Times New Roman" w:hAnsi="Times New Roman" w:cs="Times New Roman"/>
          <w:color w:val="000000"/>
        </w:rPr>
        <w:t xml:space="preserve">, </w:t>
      </w:r>
      <w:r w:rsidR="00ED7914" w:rsidRPr="00341559">
        <w:rPr>
          <w:rFonts w:ascii="Times New Roman" w:hAnsi="Times New Roman" w:cs="Times New Roman"/>
          <w:color w:val="000000"/>
          <w:lang w:val="en-US"/>
        </w:rPr>
        <w:t>p.</w:t>
      </w:r>
      <w:r w:rsidRPr="00341559">
        <w:rPr>
          <w:rFonts w:ascii="Times New Roman" w:hAnsi="Times New Roman" w:cs="Times New Roman"/>
          <w:color w:val="000000"/>
        </w:rPr>
        <w:t xml:space="preserve"> 67</w:t>
      </w:r>
    </w:p>
  </w:footnote>
  <w:footnote w:id="19">
    <w:p w:rsidR="008B70C7" w:rsidRPr="00341559" w:rsidRDefault="008B70C7" w:rsidP="008B70C7">
      <w:pPr>
        <w:pStyle w:val="FootnoteText"/>
        <w:ind w:firstLine="709"/>
        <w:jc w:val="both"/>
        <w:rPr>
          <w:rFonts w:ascii="Times New Roman" w:hAnsi="Times New Roman" w:cs="Times New Roman"/>
        </w:rPr>
      </w:pPr>
      <w:r w:rsidRPr="00341559">
        <w:rPr>
          <w:rStyle w:val="FootnoteReference"/>
          <w:rFonts w:ascii="Times New Roman" w:hAnsi="Times New Roman"/>
        </w:rPr>
        <w:footnoteRef/>
      </w:r>
      <w:r w:rsidRPr="00341559">
        <w:rPr>
          <w:rFonts w:ascii="Times New Roman" w:hAnsi="Times New Roman" w:cs="Times New Roman"/>
          <w:color w:val="000000"/>
        </w:rPr>
        <w:t xml:space="preserve">Moh. Taufik Makarao, </w:t>
      </w:r>
      <w:r w:rsidRPr="00341559">
        <w:rPr>
          <w:rFonts w:ascii="Times New Roman" w:hAnsi="Times New Roman" w:cs="Times New Roman"/>
          <w:i/>
          <w:iCs/>
          <w:color w:val="000000"/>
        </w:rPr>
        <w:t xml:space="preserve">Pokok-Pokok Hukum Acara Perdata, </w:t>
      </w:r>
      <w:r w:rsidRPr="00341559">
        <w:rPr>
          <w:rFonts w:ascii="Times New Roman" w:hAnsi="Times New Roman" w:cs="Times New Roman"/>
          <w:iCs/>
          <w:color w:val="000000"/>
        </w:rPr>
        <w:t>(</w:t>
      </w:r>
      <w:r w:rsidRPr="00341559">
        <w:rPr>
          <w:rFonts w:ascii="Times New Roman" w:hAnsi="Times New Roman" w:cs="Times New Roman"/>
          <w:color w:val="000000"/>
        </w:rPr>
        <w:t>Jakarta: PT Rineka Cipta</w:t>
      </w:r>
      <w:r w:rsidR="00ED7914" w:rsidRPr="00341559">
        <w:rPr>
          <w:rFonts w:ascii="Times New Roman" w:hAnsi="Times New Roman" w:cs="Times New Roman"/>
          <w:color w:val="000000"/>
        </w:rPr>
        <w:t>, 2004</w:t>
      </w:r>
      <w:r w:rsidR="00ED7914" w:rsidRPr="00341559">
        <w:rPr>
          <w:rFonts w:ascii="Times New Roman" w:hAnsi="Times New Roman" w:cs="Times New Roman"/>
          <w:color w:val="000000"/>
          <w:lang w:val="en-US"/>
        </w:rPr>
        <w:t>)</w:t>
      </w:r>
      <w:r w:rsidR="00ED7914" w:rsidRPr="00341559">
        <w:rPr>
          <w:rFonts w:ascii="Times New Roman" w:hAnsi="Times New Roman" w:cs="Times New Roman"/>
          <w:color w:val="000000"/>
        </w:rPr>
        <w:t xml:space="preserve">, </w:t>
      </w:r>
      <w:r w:rsidR="00ED7914" w:rsidRPr="00341559">
        <w:rPr>
          <w:rFonts w:ascii="Times New Roman" w:hAnsi="Times New Roman" w:cs="Times New Roman"/>
          <w:color w:val="000000"/>
          <w:lang w:val="en-US"/>
        </w:rPr>
        <w:t>p</w:t>
      </w:r>
      <w:r w:rsidRPr="00341559">
        <w:rPr>
          <w:rFonts w:ascii="Times New Roman" w:hAnsi="Times New Roman" w:cs="Times New Roman"/>
          <w:color w:val="000000"/>
        </w:rPr>
        <w:t>. 43</w:t>
      </w:r>
    </w:p>
  </w:footnote>
  <w:footnote w:id="20">
    <w:p w:rsidR="008B70C7" w:rsidRPr="00341559" w:rsidRDefault="008B70C7" w:rsidP="008B70C7">
      <w:pPr>
        <w:pStyle w:val="FootnoteText"/>
        <w:ind w:firstLine="709"/>
        <w:jc w:val="both"/>
        <w:rPr>
          <w:rFonts w:ascii="Times New Roman" w:hAnsi="Times New Roman" w:cs="Times New Roman"/>
        </w:rPr>
      </w:pPr>
      <w:r w:rsidRPr="00341559">
        <w:rPr>
          <w:rStyle w:val="FootnoteReference"/>
          <w:rFonts w:ascii="Times New Roman" w:hAnsi="Times New Roman"/>
        </w:rPr>
        <w:footnoteRef/>
      </w:r>
      <w:r w:rsidRPr="00341559">
        <w:rPr>
          <w:rFonts w:ascii="Times New Roman" w:hAnsi="Times New Roman" w:cs="Times New Roman"/>
          <w:color w:val="000000"/>
        </w:rPr>
        <w:t xml:space="preserve">Roihan A. Rasyid, </w:t>
      </w:r>
      <w:r w:rsidRPr="00341559">
        <w:rPr>
          <w:rFonts w:ascii="Times New Roman" w:hAnsi="Times New Roman" w:cs="Times New Roman"/>
          <w:i/>
          <w:iCs/>
          <w:color w:val="000000"/>
        </w:rPr>
        <w:t>Upaya Hukum Terhadap Putusan Pengadilan Agama</w:t>
      </w:r>
      <w:r w:rsidRPr="00341559">
        <w:rPr>
          <w:rFonts w:ascii="Times New Roman" w:hAnsi="Times New Roman" w:cs="Times New Roman"/>
          <w:color w:val="000000"/>
        </w:rPr>
        <w:t xml:space="preserve">, (Jakarta: </w:t>
      </w:r>
      <w:r w:rsidR="00ED7914" w:rsidRPr="00341559">
        <w:rPr>
          <w:rFonts w:ascii="Times New Roman" w:hAnsi="Times New Roman" w:cs="Times New Roman"/>
          <w:color w:val="000000"/>
        </w:rPr>
        <w:t>CV</w:t>
      </w:r>
      <w:r w:rsidR="00ED7914" w:rsidRPr="00341559">
        <w:rPr>
          <w:rFonts w:ascii="Times New Roman" w:hAnsi="Times New Roman" w:cs="Times New Roman"/>
          <w:color w:val="000000"/>
        </w:rPr>
        <w:br/>
        <w:t xml:space="preserve">Pedoman Ilmu Jaya), 1989, </w:t>
      </w:r>
      <w:r w:rsidR="00ED7914" w:rsidRPr="00341559">
        <w:rPr>
          <w:rFonts w:ascii="Times New Roman" w:hAnsi="Times New Roman" w:cs="Times New Roman"/>
          <w:color w:val="000000"/>
          <w:lang w:val="en-US"/>
        </w:rPr>
        <w:t>p</w:t>
      </w:r>
      <w:r w:rsidRPr="00341559">
        <w:rPr>
          <w:rFonts w:ascii="Times New Roman" w:hAnsi="Times New Roman" w:cs="Times New Roman"/>
          <w:color w:val="000000"/>
        </w:rPr>
        <w:t>. 35</w:t>
      </w:r>
    </w:p>
  </w:footnote>
  <w:footnote w:id="21">
    <w:p w:rsidR="00F5784B" w:rsidRPr="00341559" w:rsidRDefault="00F5784B" w:rsidP="00F5784B">
      <w:pPr>
        <w:pStyle w:val="FootnoteText"/>
        <w:ind w:firstLine="709"/>
        <w:jc w:val="both"/>
        <w:rPr>
          <w:rFonts w:ascii="Times New Roman" w:hAnsi="Times New Roman" w:cs="Times New Roman"/>
        </w:rPr>
      </w:pPr>
      <w:r w:rsidRPr="00341559">
        <w:rPr>
          <w:rStyle w:val="FootnoteReference"/>
          <w:rFonts w:ascii="Times New Roman" w:hAnsi="Times New Roman"/>
        </w:rPr>
        <w:footnoteRef/>
      </w:r>
      <w:r w:rsidRPr="00341559">
        <w:rPr>
          <w:rFonts w:ascii="Times New Roman" w:hAnsi="Times New Roman" w:cs="Times New Roman"/>
          <w:color w:val="000000"/>
        </w:rPr>
        <w:t xml:space="preserve">M. Yahya Harahap, </w:t>
      </w:r>
      <w:r w:rsidRPr="00341559">
        <w:rPr>
          <w:rFonts w:ascii="Times New Roman" w:hAnsi="Times New Roman" w:cs="Times New Roman"/>
          <w:i/>
          <w:iCs/>
          <w:color w:val="000000"/>
        </w:rPr>
        <w:t>Op. Cit</w:t>
      </w:r>
      <w:r w:rsidR="00ED7914" w:rsidRPr="00341559">
        <w:rPr>
          <w:rFonts w:ascii="Times New Roman" w:hAnsi="Times New Roman" w:cs="Times New Roman"/>
          <w:color w:val="000000"/>
        </w:rPr>
        <w:t xml:space="preserve">, </w:t>
      </w:r>
      <w:r w:rsidR="00ED7914" w:rsidRPr="00341559">
        <w:rPr>
          <w:rFonts w:ascii="Times New Roman" w:hAnsi="Times New Roman" w:cs="Times New Roman"/>
          <w:color w:val="000000"/>
          <w:lang w:val="en-US"/>
        </w:rPr>
        <w:t>p.</w:t>
      </w:r>
      <w:r w:rsidRPr="00341559">
        <w:rPr>
          <w:rFonts w:ascii="Times New Roman" w:hAnsi="Times New Roman" w:cs="Times New Roman"/>
          <w:color w:val="000000"/>
        </w:rPr>
        <w:t>72</w:t>
      </w:r>
    </w:p>
  </w:footnote>
  <w:footnote w:id="22">
    <w:p w:rsidR="00ED7914" w:rsidRPr="00341559" w:rsidRDefault="00ED7914" w:rsidP="00ED7914">
      <w:pPr>
        <w:pStyle w:val="FootnoteText"/>
        <w:ind w:firstLine="709"/>
        <w:jc w:val="both"/>
        <w:rPr>
          <w:rFonts w:ascii="Times New Roman" w:hAnsi="Times New Roman" w:cs="Times New Roman"/>
        </w:rPr>
      </w:pPr>
      <w:r w:rsidRPr="00341559">
        <w:rPr>
          <w:rStyle w:val="FootnoteReference"/>
          <w:rFonts w:ascii="Times New Roman" w:hAnsi="Times New Roman"/>
        </w:rPr>
        <w:footnoteRef/>
      </w:r>
      <w:r w:rsidRPr="00341559">
        <w:rPr>
          <w:rFonts w:ascii="Times New Roman" w:hAnsi="Times New Roman" w:cs="Times New Roman"/>
        </w:rPr>
        <w:t xml:space="preserve"> Moh. Mahfud MD, </w:t>
      </w:r>
      <w:r w:rsidRPr="00341559">
        <w:rPr>
          <w:rFonts w:ascii="Times New Roman" w:hAnsi="Times New Roman" w:cs="Times New Roman"/>
          <w:i/>
        </w:rPr>
        <w:t xml:space="preserve">Politik Hukum Di Indonesia, </w:t>
      </w:r>
      <w:r w:rsidRPr="00341559">
        <w:rPr>
          <w:rFonts w:ascii="Times New Roman" w:hAnsi="Times New Roman" w:cs="Times New Roman"/>
        </w:rPr>
        <w:t xml:space="preserve">(Jakarta: Rajawali Pres, 2011), </w:t>
      </w:r>
      <w:r w:rsidRPr="00341559">
        <w:rPr>
          <w:rFonts w:ascii="Times New Roman" w:hAnsi="Times New Roman" w:cs="Times New Roman"/>
          <w:lang w:val="en-US"/>
        </w:rPr>
        <w:t>p</w:t>
      </w:r>
      <w:r w:rsidRPr="00341559">
        <w:rPr>
          <w:rFonts w:ascii="Times New Roman" w:hAnsi="Times New Roman" w:cs="Times New Roman"/>
        </w:rPr>
        <w:t>. 1</w:t>
      </w:r>
    </w:p>
  </w:footnote>
  <w:footnote w:id="23">
    <w:p w:rsidR="00ED7914" w:rsidRPr="00341559" w:rsidRDefault="00ED7914" w:rsidP="00ED7914">
      <w:pPr>
        <w:pStyle w:val="FootnoteText"/>
        <w:ind w:firstLine="709"/>
        <w:jc w:val="both"/>
        <w:rPr>
          <w:rFonts w:ascii="Times New Roman" w:hAnsi="Times New Roman" w:cs="Times New Roman"/>
        </w:rPr>
      </w:pPr>
      <w:r w:rsidRPr="00341559">
        <w:rPr>
          <w:rStyle w:val="FootnoteReference"/>
          <w:rFonts w:ascii="Times New Roman" w:hAnsi="Times New Roman"/>
        </w:rPr>
        <w:footnoteRef/>
      </w:r>
      <w:r w:rsidRPr="00341559">
        <w:rPr>
          <w:rFonts w:ascii="Times New Roman" w:hAnsi="Times New Roman" w:cs="Times New Roman"/>
        </w:rPr>
        <w:t xml:space="preserve"> C.F.G. Sunaryati Hartono, </w:t>
      </w:r>
      <w:r w:rsidRPr="00341559">
        <w:rPr>
          <w:rFonts w:ascii="Times New Roman" w:hAnsi="Times New Roman" w:cs="Times New Roman"/>
          <w:i/>
        </w:rPr>
        <w:t>Politik Hukum Menuju Satu Sistem Hukum Nasional,</w:t>
      </w:r>
      <w:r w:rsidRPr="00341559">
        <w:rPr>
          <w:rFonts w:ascii="Times New Roman" w:hAnsi="Times New Roman" w:cs="Times New Roman"/>
        </w:rPr>
        <w:t xml:space="preserve"> (Bandung: Alumni, 1991), </w:t>
      </w:r>
      <w:r w:rsidRPr="00341559">
        <w:rPr>
          <w:rFonts w:ascii="Times New Roman" w:hAnsi="Times New Roman" w:cs="Times New Roman"/>
          <w:lang w:val="en-US"/>
        </w:rPr>
        <w:t>p</w:t>
      </w:r>
      <w:r w:rsidRPr="00341559">
        <w:rPr>
          <w:rFonts w:ascii="Times New Roman" w:hAnsi="Times New Roman" w:cs="Times New Roman"/>
        </w:rPr>
        <w:t>. 1.</w:t>
      </w:r>
    </w:p>
  </w:footnote>
  <w:footnote w:id="24">
    <w:p w:rsidR="00ED7914" w:rsidRPr="00341559" w:rsidRDefault="00ED7914" w:rsidP="00ED7914">
      <w:pPr>
        <w:pStyle w:val="FootnoteText"/>
        <w:ind w:firstLine="709"/>
        <w:jc w:val="both"/>
        <w:rPr>
          <w:rFonts w:ascii="Times New Roman" w:hAnsi="Times New Roman" w:cs="Times New Roman"/>
        </w:rPr>
      </w:pPr>
      <w:r w:rsidRPr="00341559">
        <w:rPr>
          <w:rStyle w:val="FootnoteReference"/>
          <w:rFonts w:ascii="Times New Roman" w:hAnsi="Times New Roman"/>
        </w:rPr>
        <w:footnoteRef/>
      </w:r>
      <w:r w:rsidRPr="00341559">
        <w:rPr>
          <w:rFonts w:ascii="Times New Roman" w:hAnsi="Times New Roman" w:cs="Times New Roman"/>
        </w:rPr>
        <w:t xml:space="preserve"> Zudan Arif Fakrulloh, </w:t>
      </w:r>
      <w:r w:rsidRPr="00341559">
        <w:rPr>
          <w:rFonts w:ascii="Times New Roman" w:hAnsi="Times New Roman" w:cs="Times New Roman"/>
          <w:i/>
        </w:rPr>
        <w:t>Ilmu Lembaga Dan Pranata Hukum</w:t>
      </w:r>
      <w:r w:rsidRPr="00341559">
        <w:rPr>
          <w:rFonts w:ascii="Times New Roman" w:hAnsi="Times New Roman" w:cs="Times New Roman"/>
        </w:rPr>
        <w:t>, (Ja</w:t>
      </w:r>
      <w:r w:rsidR="00053C04" w:rsidRPr="00341559">
        <w:rPr>
          <w:rFonts w:ascii="Times New Roman" w:hAnsi="Times New Roman" w:cs="Times New Roman"/>
        </w:rPr>
        <w:t xml:space="preserve">karta: Rajawali Pers, 2011), </w:t>
      </w:r>
      <w:r w:rsidR="00053C04" w:rsidRPr="00341559">
        <w:rPr>
          <w:rFonts w:ascii="Times New Roman" w:hAnsi="Times New Roman" w:cs="Times New Roman"/>
          <w:lang w:val="en-US"/>
        </w:rPr>
        <w:t>p</w:t>
      </w:r>
      <w:r w:rsidRPr="00341559">
        <w:rPr>
          <w:rFonts w:ascii="Times New Roman" w:hAnsi="Times New Roman" w:cs="Times New Roman"/>
        </w:rPr>
        <w:t>. 121.</w:t>
      </w:r>
    </w:p>
  </w:footnote>
  <w:footnote w:id="25">
    <w:p w:rsidR="00ED7914" w:rsidRPr="00341559" w:rsidRDefault="00ED7914" w:rsidP="00ED7914">
      <w:pPr>
        <w:pStyle w:val="FootnoteText"/>
        <w:ind w:firstLine="709"/>
        <w:jc w:val="both"/>
        <w:rPr>
          <w:rFonts w:ascii="Times New Roman" w:hAnsi="Times New Roman" w:cs="Times New Roman"/>
        </w:rPr>
      </w:pPr>
      <w:r w:rsidRPr="00341559">
        <w:rPr>
          <w:rStyle w:val="FootnoteReference"/>
          <w:rFonts w:ascii="Times New Roman" w:hAnsi="Times New Roman"/>
        </w:rPr>
        <w:footnoteRef/>
      </w:r>
      <w:r w:rsidRPr="00341559">
        <w:rPr>
          <w:rFonts w:ascii="Times New Roman" w:hAnsi="Times New Roman" w:cs="Times New Roman"/>
        </w:rPr>
        <w:t xml:space="preserve"> Septi Wulan Sari, “</w:t>
      </w:r>
      <w:r w:rsidRPr="00341559">
        <w:rPr>
          <w:rFonts w:ascii="Times New Roman" w:hAnsi="Times New Roman" w:cs="Times New Roman"/>
          <w:i/>
        </w:rPr>
        <w:t>Penyelesaian Sengketa Melalui Small Claim Cour</w:t>
      </w:r>
      <w:r w:rsidRPr="00341559">
        <w:rPr>
          <w:rFonts w:ascii="Times New Roman" w:hAnsi="Times New Roman" w:cs="Times New Roman"/>
          <w:i/>
          <w:lang w:val="en-US"/>
        </w:rPr>
        <w:t>t</w:t>
      </w:r>
      <w:r w:rsidRPr="00341559">
        <w:rPr>
          <w:rFonts w:ascii="Times New Roman" w:hAnsi="Times New Roman" w:cs="Times New Roman"/>
          <w:i/>
        </w:rPr>
        <w:t xml:space="preserve">”, </w:t>
      </w:r>
      <w:r w:rsidR="00053C04" w:rsidRPr="00341559">
        <w:rPr>
          <w:rFonts w:ascii="Times New Roman" w:hAnsi="Times New Roman" w:cs="Times New Roman"/>
        </w:rPr>
        <w:t>J</w:t>
      </w:r>
      <w:r w:rsidR="00053C04" w:rsidRPr="00341559">
        <w:rPr>
          <w:rFonts w:ascii="Times New Roman" w:hAnsi="Times New Roman" w:cs="Times New Roman"/>
          <w:lang w:val="en-US"/>
        </w:rPr>
        <w:t>ournal</w:t>
      </w:r>
      <w:r w:rsidRPr="00341559">
        <w:rPr>
          <w:rFonts w:ascii="Times New Roman" w:hAnsi="Times New Roman" w:cs="Times New Roman"/>
        </w:rPr>
        <w:t xml:space="preserve"> Ahkam, </w:t>
      </w:r>
      <w:r w:rsidR="00053C04" w:rsidRPr="00341559">
        <w:rPr>
          <w:rFonts w:ascii="Times New Roman" w:hAnsi="Times New Roman" w:cs="Times New Roman"/>
          <w:i/>
          <w:iCs/>
          <w:color w:val="231F20"/>
        </w:rPr>
        <w:t>Volume 4, N</w:t>
      </w:r>
      <w:r w:rsidR="00053C04" w:rsidRPr="00341559">
        <w:rPr>
          <w:rFonts w:ascii="Times New Roman" w:hAnsi="Times New Roman" w:cs="Times New Roman"/>
          <w:i/>
          <w:iCs/>
          <w:color w:val="231F20"/>
          <w:lang w:val="en-US"/>
        </w:rPr>
        <w:t>umber</w:t>
      </w:r>
      <w:r w:rsidRPr="00341559">
        <w:rPr>
          <w:rFonts w:ascii="Times New Roman" w:hAnsi="Times New Roman" w:cs="Times New Roman"/>
          <w:i/>
          <w:iCs/>
          <w:color w:val="231F20"/>
        </w:rPr>
        <w:t xml:space="preserve"> 2, November 2016, </w:t>
      </w:r>
      <w:r w:rsidR="00053C04" w:rsidRPr="00341559">
        <w:rPr>
          <w:rFonts w:ascii="Times New Roman" w:hAnsi="Times New Roman" w:cs="Times New Roman"/>
          <w:iCs/>
          <w:color w:val="231F20"/>
          <w:lang w:val="en-US"/>
        </w:rPr>
        <w:t>p</w:t>
      </w:r>
      <w:r w:rsidRPr="00341559">
        <w:rPr>
          <w:rFonts w:ascii="Times New Roman" w:hAnsi="Times New Roman" w:cs="Times New Roman"/>
          <w:iCs/>
          <w:color w:val="231F20"/>
        </w:rPr>
        <w:t>. 328</w:t>
      </w:r>
    </w:p>
  </w:footnote>
  <w:footnote w:id="26">
    <w:p w:rsidR="00ED7914" w:rsidRPr="00341559" w:rsidRDefault="00ED7914" w:rsidP="00ED7914">
      <w:pPr>
        <w:pStyle w:val="FootnoteText"/>
        <w:ind w:firstLine="709"/>
        <w:jc w:val="both"/>
        <w:rPr>
          <w:rFonts w:ascii="Times New Roman" w:hAnsi="Times New Roman" w:cs="Times New Roman"/>
        </w:rPr>
      </w:pPr>
      <w:r w:rsidRPr="00341559">
        <w:rPr>
          <w:rStyle w:val="FootnoteReference"/>
          <w:rFonts w:ascii="Times New Roman" w:hAnsi="Times New Roman"/>
        </w:rPr>
        <w:footnoteRef/>
      </w:r>
      <w:r w:rsidRPr="00341559">
        <w:rPr>
          <w:rFonts w:ascii="Times New Roman" w:hAnsi="Times New Roman" w:cs="Times New Roman"/>
          <w:color w:val="231F20"/>
        </w:rPr>
        <w:t xml:space="preserve">Christopher J. Wheelan, </w:t>
      </w:r>
      <w:r w:rsidRPr="00341559">
        <w:rPr>
          <w:rFonts w:ascii="Times New Roman" w:hAnsi="Times New Roman" w:cs="Times New Roman"/>
          <w:i/>
          <w:iCs/>
          <w:color w:val="231F20"/>
        </w:rPr>
        <w:t>S</w:t>
      </w:r>
      <w:r w:rsidRPr="00341559">
        <w:rPr>
          <w:rFonts w:ascii="Times New Roman" w:hAnsi="Times New Roman" w:cs="Times New Roman"/>
          <w:i/>
          <w:iCs/>
          <w:color w:val="231F20"/>
          <w:lang w:val="en-US"/>
        </w:rPr>
        <w:t>m</w:t>
      </w:r>
      <w:r w:rsidRPr="00341559">
        <w:rPr>
          <w:rFonts w:ascii="Times New Roman" w:hAnsi="Times New Roman" w:cs="Times New Roman"/>
          <w:i/>
          <w:iCs/>
          <w:color w:val="231F20"/>
        </w:rPr>
        <w:t>all Claims Courts - A Comparative Study</w:t>
      </w:r>
      <w:r w:rsidRPr="00341559">
        <w:rPr>
          <w:rFonts w:ascii="Times New Roman" w:hAnsi="Times New Roman" w:cs="Times New Roman"/>
          <w:color w:val="231F20"/>
        </w:rPr>
        <w:t>, (New York: Oxf</w:t>
      </w:r>
      <w:r w:rsidR="00053C04" w:rsidRPr="00341559">
        <w:rPr>
          <w:rFonts w:ascii="Times New Roman" w:hAnsi="Times New Roman" w:cs="Times New Roman"/>
          <w:color w:val="231F20"/>
        </w:rPr>
        <w:t xml:space="preserve">ord University Press, 1990), </w:t>
      </w:r>
      <w:r w:rsidR="00053C04" w:rsidRPr="00341559">
        <w:rPr>
          <w:rFonts w:ascii="Times New Roman" w:hAnsi="Times New Roman" w:cs="Times New Roman"/>
          <w:color w:val="231F20"/>
          <w:lang w:val="en-US"/>
        </w:rPr>
        <w:t>p</w:t>
      </w:r>
      <w:r w:rsidRPr="00341559">
        <w:rPr>
          <w:rFonts w:ascii="Times New Roman" w:hAnsi="Times New Roman" w:cs="Times New Roman"/>
          <w:color w:val="231F20"/>
        </w:rPr>
        <w:t>. 7</w:t>
      </w:r>
    </w:p>
  </w:footnote>
  <w:footnote w:id="27">
    <w:p w:rsidR="00ED7914" w:rsidRPr="00341559" w:rsidRDefault="00ED7914" w:rsidP="00ED7914">
      <w:pPr>
        <w:pStyle w:val="FootnoteText"/>
        <w:ind w:firstLine="709"/>
        <w:jc w:val="both"/>
        <w:rPr>
          <w:rFonts w:ascii="Times New Roman" w:hAnsi="Times New Roman" w:cs="Times New Roman"/>
        </w:rPr>
      </w:pPr>
      <w:r w:rsidRPr="00341559">
        <w:rPr>
          <w:rStyle w:val="FootnoteReference"/>
          <w:rFonts w:ascii="Times New Roman" w:hAnsi="Times New Roman"/>
        </w:rPr>
        <w:footnoteRef/>
      </w:r>
      <w:r w:rsidRPr="00341559">
        <w:rPr>
          <w:rFonts w:ascii="Times New Roman" w:hAnsi="Times New Roman" w:cs="Times New Roman"/>
          <w:color w:val="231F20"/>
        </w:rPr>
        <w:t xml:space="preserve">Texas Young Lawyers Association and the State Bar of Texas, </w:t>
      </w:r>
      <w:r w:rsidRPr="00341559">
        <w:rPr>
          <w:rFonts w:ascii="Times New Roman" w:hAnsi="Times New Roman" w:cs="Times New Roman"/>
          <w:i/>
          <w:iCs/>
          <w:color w:val="231F20"/>
        </w:rPr>
        <w:t xml:space="preserve">How to Sue inSmall Claims Court, </w:t>
      </w:r>
      <w:r w:rsidR="00053C04" w:rsidRPr="00341559">
        <w:rPr>
          <w:rFonts w:ascii="Times New Roman" w:hAnsi="Times New Roman" w:cs="Times New Roman"/>
          <w:color w:val="231F20"/>
        </w:rPr>
        <w:t xml:space="preserve">5th Edition, 2009), </w:t>
      </w:r>
      <w:r w:rsidR="00053C04" w:rsidRPr="00341559">
        <w:rPr>
          <w:rFonts w:ascii="Times New Roman" w:hAnsi="Times New Roman" w:cs="Times New Roman"/>
          <w:color w:val="231F20"/>
          <w:lang w:val="en-US"/>
        </w:rPr>
        <w:t>p</w:t>
      </w:r>
      <w:r w:rsidRPr="00341559">
        <w:rPr>
          <w:rFonts w:ascii="Times New Roman" w:hAnsi="Times New Roman" w:cs="Times New Roman"/>
          <w:color w:val="231F20"/>
        </w:rPr>
        <w:t>. 1</w:t>
      </w:r>
    </w:p>
  </w:footnote>
  <w:footnote w:id="28">
    <w:p w:rsidR="00ED7914" w:rsidRPr="00341559" w:rsidRDefault="00ED7914" w:rsidP="00ED7914">
      <w:pPr>
        <w:pStyle w:val="FootnoteText"/>
        <w:ind w:firstLine="709"/>
        <w:jc w:val="both"/>
        <w:rPr>
          <w:rFonts w:ascii="Times New Roman" w:hAnsi="Times New Roman" w:cs="Times New Roman"/>
        </w:rPr>
      </w:pPr>
      <w:r w:rsidRPr="00341559">
        <w:rPr>
          <w:rStyle w:val="FootnoteReference"/>
          <w:rFonts w:ascii="Times New Roman" w:hAnsi="Times New Roman"/>
          <w:color w:val="000000"/>
        </w:rPr>
        <w:footnoteRef/>
      </w:r>
      <w:r w:rsidRPr="00341559">
        <w:rPr>
          <w:rFonts w:ascii="Times New Roman" w:hAnsi="Times New Roman" w:cs="Times New Roman"/>
          <w:color w:val="000000"/>
        </w:rPr>
        <w:t xml:space="preserve"> Bryan A. Gardner, </w:t>
      </w:r>
      <w:r w:rsidRPr="00341559">
        <w:rPr>
          <w:rFonts w:ascii="Times New Roman" w:hAnsi="Times New Roman" w:cs="Times New Roman"/>
          <w:i/>
          <w:color w:val="000000"/>
        </w:rPr>
        <w:t>Black’s Law Dictionary</w:t>
      </w:r>
      <w:r w:rsidRPr="00341559">
        <w:rPr>
          <w:rFonts w:ascii="Times New Roman" w:hAnsi="Times New Roman" w:cs="Times New Roman"/>
          <w:color w:val="000000"/>
        </w:rPr>
        <w:t>, eigth edition, West Publishing, St. Paul. 2004</w:t>
      </w:r>
    </w:p>
  </w:footnote>
  <w:footnote w:id="29">
    <w:p w:rsidR="00ED7914" w:rsidRPr="00341559" w:rsidRDefault="00ED7914" w:rsidP="007D6AF5">
      <w:pPr>
        <w:ind w:firstLine="709"/>
      </w:pPr>
      <w:r w:rsidRPr="00341559">
        <w:rPr>
          <w:rStyle w:val="FootnoteReference"/>
          <w:color w:val="000000"/>
          <w:sz w:val="20"/>
          <w:szCs w:val="20"/>
        </w:rPr>
        <w:footnoteRef/>
      </w:r>
      <w:r w:rsidRPr="00341559">
        <w:rPr>
          <w:color w:val="000000"/>
          <w:sz w:val="20"/>
          <w:szCs w:val="20"/>
        </w:rPr>
        <w:t xml:space="preserve"> Yance Arizona, </w:t>
      </w:r>
      <w:r w:rsidRPr="00341559">
        <w:rPr>
          <w:i/>
          <w:color w:val="000000"/>
          <w:sz w:val="20"/>
          <w:szCs w:val="20"/>
        </w:rPr>
        <w:t>Small Claim Court: Apa Gunanya Bagi Masyarakat Adat dan Lingkungan Hidup</w:t>
      </w:r>
      <w:r w:rsidRPr="00341559">
        <w:rPr>
          <w:i/>
          <w:iCs/>
          <w:color w:val="000000"/>
          <w:sz w:val="20"/>
          <w:szCs w:val="20"/>
        </w:rPr>
        <w:t>,</w:t>
      </w:r>
      <w:r w:rsidR="00053C04" w:rsidRPr="00341559">
        <w:rPr>
          <w:color w:val="000000"/>
          <w:sz w:val="20"/>
          <w:szCs w:val="20"/>
          <w:lang w:val="en-US"/>
        </w:rPr>
        <w:t xml:space="preserve"> Paper for Research Seminar conducted by LeIP and faculty of Law of Universitas Indonesia </w:t>
      </w:r>
      <w:r w:rsidR="007D6AF5" w:rsidRPr="00341559">
        <w:rPr>
          <w:color w:val="000000"/>
          <w:sz w:val="20"/>
          <w:szCs w:val="20"/>
        </w:rPr>
        <w:t xml:space="preserve">Depok, </w:t>
      </w:r>
      <w:r w:rsidR="007D6AF5" w:rsidRPr="00341559">
        <w:rPr>
          <w:color w:val="000000"/>
          <w:sz w:val="20"/>
          <w:szCs w:val="20"/>
          <w:lang w:val="en-US"/>
        </w:rPr>
        <w:t xml:space="preserve">august 19, </w:t>
      </w:r>
      <w:r w:rsidR="007D6AF5" w:rsidRPr="00341559">
        <w:rPr>
          <w:color w:val="000000"/>
          <w:sz w:val="20"/>
          <w:szCs w:val="20"/>
        </w:rPr>
        <w:t xml:space="preserve">2010. </w:t>
      </w:r>
      <w:r w:rsidR="007D6AF5" w:rsidRPr="00341559">
        <w:rPr>
          <w:color w:val="000000"/>
          <w:sz w:val="20"/>
          <w:szCs w:val="20"/>
          <w:lang w:val="en-US"/>
        </w:rPr>
        <w:t>p</w:t>
      </w:r>
      <w:r w:rsidRPr="00341559">
        <w:rPr>
          <w:color w:val="000000"/>
          <w:sz w:val="20"/>
          <w:szCs w:val="20"/>
        </w:rPr>
        <w:t>. 1</w:t>
      </w:r>
    </w:p>
  </w:footnote>
  <w:footnote w:id="30">
    <w:p w:rsidR="00ED7914" w:rsidRPr="00341559" w:rsidRDefault="00ED7914" w:rsidP="00ED7914">
      <w:pPr>
        <w:pStyle w:val="FootnoteText"/>
        <w:ind w:firstLine="709"/>
        <w:jc w:val="both"/>
        <w:rPr>
          <w:rFonts w:ascii="Times New Roman" w:hAnsi="Times New Roman" w:cs="Times New Roman"/>
        </w:rPr>
      </w:pPr>
      <w:r w:rsidRPr="00341559">
        <w:rPr>
          <w:rStyle w:val="FootnoteReference"/>
          <w:rFonts w:ascii="Times New Roman" w:hAnsi="Times New Roman"/>
        </w:rPr>
        <w:footnoteRef/>
      </w:r>
      <w:r w:rsidRPr="00341559">
        <w:rPr>
          <w:rFonts w:ascii="Times New Roman" w:hAnsi="Times New Roman" w:cs="Times New Roman"/>
        </w:rPr>
        <w:t xml:space="preserve"> Septi Wulan Sari, </w:t>
      </w:r>
      <w:r w:rsidRPr="00341559">
        <w:rPr>
          <w:rFonts w:ascii="Times New Roman" w:hAnsi="Times New Roman" w:cs="Times New Roman"/>
          <w:i/>
        </w:rPr>
        <w:t xml:space="preserve">Op Cit., </w:t>
      </w:r>
      <w:r w:rsidR="007D6AF5" w:rsidRPr="00341559">
        <w:rPr>
          <w:rFonts w:ascii="Times New Roman" w:hAnsi="Times New Roman" w:cs="Times New Roman"/>
          <w:lang w:val="en-US"/>
        </w:rPr>
        <w:t>p</w:t>
      </w:r>
      <w:r w:rsidRPr="00341559">
        <w:rPr>
          <w:rFonts w:ascii="Times New Roman" w:hAnsi="Times New Roman" w:cs="Times New Roman"/>
        </w:rPr>
        <w:t>. 331</w:t>
      </w:r>
    </w:p>
  </w:footnote>
  <w:footnote w:id="31">
    <w:p w:rsidR="00ED7914" w:rsidRPr="00341559" w:rsidRDefault="00ED7914" w:rsidP="00ED7914">
      <w:pPr>
        <w:pStyle w:val="FootnoteText"/>
        <w:ind w:firstLine="709"/>
        <w:jc w:val="both"/>
        <w:rPr>
          <w:rFonts w:ascii="Times New Roman" w:hAnsi="Times New Roman" w:cs="Times New Roman"/>
        </w:rPr>
      </w:pPr>
      <w:r w:rsidRPr="00341559">
        <w:rPr>
          <w:rStyle w:val="FootnoteReference"/>
          <w:rFonts w:ascii="Times New Roman" w:hAnsi="Times New Roman"/>
        </w:rPr>
        <w:footnoteRef/>
      </w:r>
      <w:r w:rsidR="007D6AF5" w:rsidRPr="00341559">
        <w:rPr>
          <w:rFonts w:ascii="Times New Roman" w:hAnsi="Times New Roman" w:cs="Times New Roman"/>
        </w:rPr>
        <w:t xml:space="preserve"> Detik, </w:t>
      </w:r>
      <w:r w:rsidR="007D6AF5" w:rsidRPr="00341559">
        <w:rPr>
          <w:rFonts w:ascii="Times New Roman" w:hAnsi="Times New Roman" w:cs="Times New Roman"/>
          <w:lang w:val="en-US"/>
        </w:rPr>
        <w:t>June 3,</w:t>
      </w:r>
      <w:r w:rsidRPr="00341559">
        <w:rPr>
          <w:rFonts w:ascii="Times New Roman" w:hAnsi="Times New Roman" w:cs="Times New Roman"/>
        </w:rPr>
        <w:t xml:space="preserve"> 2010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5009C"/>
    <w:multiLevelType w:val="hybridMultilevel"/>
    <w:tmpl w:val="161C780C"/>
    <w:lvl w:ilvl="0" w:tplc="600652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413D55"/>
    <w:multiLevelType w:val="hybridMultilevel"/>
    <w:tmpl w:val="494C5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14371D"/>
    <w:multiLevelType w:val="hybridMultilevel"/>
    <w:tmpl w:val="397A7C90"/>
    <w:lvl w:ilvl="0" w:tplc="47B8D446">
      <w:start w:val="1"/>
      <w:numFmt w:val="decimal"/>
      <w:lvlText w:val="%1."/>
      <w:lvlJc w:val="left"/>
      <w:pPr>
        <w:ind w:left="2160"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86BFA"/>
    <w:rsid w:val="000270FD"/>
    <w:rsid w:val="000412A7"/>
    <w:rsid w:val="00053C04"/>
    <w:rsid w:val="00061FCD"/>
    <w:rsid w:val="000F5A74"/>
    <w:rsid w:val="00107D7E"/>
    <w:rsid w:val="00120A45"/>
    <w:rsid w:val="00134574"/>
    <w:rsid w:val="00195E09"/>
    <w:rsid w:val="001D1FE0"/>
    <w:rsid w:val="00222811"/>
    <w:rsid w:val="002258EE"/>
    <w:rsid w:val="002610D4"/>
    <w:rsid w:val="0027093F"/>
    <w:rsid w:val="002D7B5B"/>
    <w:rsid w:val="002E3E59"/>
    <w:rsid w:val="00341559"/>
    <w:rsid w:val="003744D4"/>
    <w:rsid w:val="003E6D9F"/>
    <w:rsid w:val="003F5223"/>
    <w:rsid w:val="00431D16"/>
    <w:rsid w:val="004860FE"/>
    <w:rsid w:val="004C7B9C"/>
    <w:rsid w:val="005A4B44"/>
    <w:rsid w:val="005B7C1F"/>
    <w:rsid w:val="005C43A4"/>
    <w:rsid w:val="00642661"/>
    <w:rsid w:val="006B11E5"/>
    <w:rsid w:val="006D4D71"/>
    <w:rsid w:val="006F0555"/>
    <w:rsid w:val="00760B2E"/>
    <w:rsid w:val="0076135D"/>
    <w:rsid w:val="00786BFA"/>
    <w:rsid w:val="00791F13"/>
    <w:rsid w:val="007939D3"/>
    <w:rsid w:val="007B5FBB"/>
    <w:rsid w:val="007D6AF5"/>
    <w:rsid w:val="0081155A"/>
    <w:rsid w:val="008335C2"/>
    <w:rsid w:val="00834D53"/>
    <w:rsid w:val="00854BD1"/>
    <w:rsid w:val="008703C5"/>
    <w:rsid w:val="008862CC"/>
    <w:rsid w:val="008A21BA"/>
    <w:rsid w:val="008B70C7"/>
    <w:rsid w:val="008F2B20"/>
    <w:rsid w:val="00916ABA"/>
    <w:rsid w:val="0094130A"/>
    <w:rsid w:val="00955285"/>
    <w:rsid w:val="0096189C"/>
    <w:rsid w:val="009C4590"/>
    <w:rsid w:val="00A30649"/>
    <w:rsid w:val="00AD654A"/>
    <w:rsid w:val="00B0053F"/>
    <w:rsid w:val="00B0389F"/>
    <w:rsid w:val="00B03A4C"/>
    <w:rsid w:val="00BC4AB0"/>
    <w:rsid w:val="00BD7A5D"/>
    <w:rsid w:val="00C1337F"/>
    <w:rsid w:val="00C5762C"/>
    <w:rsid w:val="00C613AC"/>
    <w:rsid w:val="00C82951"/>
    <w:rsid w:val="00C95302"/>
    <w:rsid w:val="00D15F75"/>
    <w:rsid w:val="00E22B28"/>
    <w:rsid w:val="00E3165C"/>
    <w:rsid w:val="00E65D39"/>
    <w:rsid w:val="00E77619"/>
    <w:rsid w:val="00EC064C"/>
    <w:rsid w:val="00ED7914"/>
    <w:rsid w:val="00F5784B"/>
    <w:rsid w:val="00FB13DB"/>
    <w:rsid w:val="00FF77B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FA"/>
    <w:pPr>
      <w:spacing w:after="0" w:line="240" w:lineRule="auto"/>
      <w:jc w:val="both"/>
    </w:pPr>
    <w:rPr>
      <w:rFonts w:ascii="Times New Roman" w:hAnsi="Times New Roman" w:cs="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6BFA"/>
    <w:rPr>
      <w:color w:val="0000FF" w:themeColor="hyperlink"/>
      <w:u w:val="single"/>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 Char3"/>
    <w:basedOn w:val="Normal"/>
    <w:link w:val="FootnoteTextChar"/>
    <w:uiPriority w:val="99"/>
    <w:unhideWhenUsed/>
    <w:rsid w:val="00786BFA"/>
    <w:pPr>
      <w:jc w:val="left"/>
    </w:pPr>
    <w:rPr>
      <w:rFonts w:ascii="Calibri" w:eastAsia="Times New Roman" w:hAnsi="Calibri" w:cs="Arial"/>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3 Char"/>
    <w:basedOn w:val="DefaultParagraphFont"/>
    <w:link w:val="FootnoteText"/>
    <w:uiPriority w:val="99"/>
    <w:rsid w:val="00786BFA"/>
    <w:rPr>
      <w:rFonts w:ascii="Calibri" w:eastAsia="Times New Roman" w:hAnsi="Calibri" w:cs="Arial"/>
      <w:sz w:val="20"/>
      <w:szCs w:val="20"/>
      <w:lang w:val="id-ID"/>
    </w:rPr>
  </w:style>
  <w:style w:type="character" w:styleId="FootnoteReference">
    <w:name w:val="footnote reference"/>
    <w:basedOn w:val="DefaultParagraphFont"/>
    <w:uiPriority w:val="99"/>
    <w:unhideWhenUsed/>
    <w:rsid w:val="00786BFA"/>
    <w:rPr>
      <w:rFonts w:cs="Times New Roman"/>
      <w:vertAlign w:val="superscript"/>
    </w:rPr>
  </w:style>
  <w:style w:type="paragraph" w:styleId="ListParagraph">
    <w:name w:val="List Paragraph"/>
    <w:basedOn w:val="Normal"/>
    <w:uiPriority w:val="34"/>
    <w:qFormat/>
    <w:rsid w:val="00195E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FA"/>
    <w:pPr>
      <w:spacing w:after="0" w:line="240" w:lineRule="auto"/>
      <w:jc w:val="both"/>
    </w:pPr>
    <w:rPr>
      <w:rFonts w:ascii="Times New Roman" w:hAnsi="Times New Roman" w:cs="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6BFA"/>
    <w:rPr>
      <w:color w:val="0000FF" w:themeColor="hyperlink"/>
      <w:u w:val="single"/>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 Char3"/>
    <w:basedOn w:val="Normal"/>
    <w:link w:val="FootnoteTextChar"/>
    <w:uiPriority w:val="99"/>
    <w:unhideWhenUsed/>
    <w:rsid w:val="00786BFA"/>
    <w:pPr>
      <w:jc w:val="left"/>
    </w:pPr>
    <w:rPr>
      <w:rFonts w:ascii="Calibri" w:eastAsia="Times New Roman" w:hAnsi="Calibri" w:cs="Arial"/>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3 Char"/>
    <w:basedOn w:val="DefaultParagraphFont"/>
    <w:link w:val="FootnoteText"/>
    <w:uiPriority w:val="99"/>
    <w:rsid w:val="00786BFA"/>
    <w:rPr>
      <w:rFonts w:ascii="Calibri" w:eastAsia="Times New Roman" w:hAnsi="Calibri" w:cs="Arial"/>
      <w:sz w:val="20"/>
      <w:szCs w:val="20"/>
      <w:lang w:val="id-ID"/>
    </w:rPr>
  </w:style>
  <w:style w:type="character" w:styleId="FootnoteReference">
    <w:name w:val="footnote reference"/>
    <w:basedOn w:val="DefaultParagraphFont"/>
    <w:uiPriority w:val="99"/>
    <w:unhideWhenUsed/>
    <w:rsid w:val="00786BFA"/>
    <w:rPr>
      <w:rFonts w:cs="Times New Roman"/>
      <w:vertAlign w:val="superscript"/>
    </w:rPr>
  </w:style>
  <w:style w:type="paragraph" w:styleId="ListParagraph">
    <w:name w:val="List Paragraph"/>
    <w:basedOn w:val="Normal"/>
    <w:uiPriority w:val="34"/>
    <w:qFormat/>
    <w:rsid w:val="00195E0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m_sukadi@ymail.com" TargetMode="External"/><Relationship Id="rId3" Type="http://schemas.openxmlformats.org/officeDocument/2006/relationships/settings" Target="settings.xml"/><Relationship Id="rId7" Type="http://schemas.openxmlformats.org/officeDocument/2006/relationships/hyperlink" Target="mailto:erfaniah@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3410</Words>
  <Characters>19439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uswa</dc:creator>
  <cp:lastModifiedBy>Asus PC</cp:lastModifiedBy>
  <cp:revision>5</cp:revision>
  <dcterms:created xsi:type="dcterms:W3CDTF">2019-10-11T01:57:00Z</dcterms:created>
  <dcterms:modified xsi:type="dcterms:W3CDTF">2019-10-11T02:52:00Z</dcterms:modified>
</cp:coreProperties>
</file>