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6701CDA4" w:rsidR="00C26026" w:rsidRPr="004C7CB9" w:rsidRDefault="003B3CFF" w:rsidP="00C26026">
            <w:pPr>
              <w:jc w:val="both"/>
              <w:rPr>
                <w:rFonts w:asciiTheme="minorHAnsi" w:hAnsiTheme="minorHAnsi" w:cstheme="minorHAnsi"/>
                <w:b/>
                <w:sz w:val="26"/>
                <w:szCs w:val="26"/>
              </w:rPr>
            </w:pPr>
            <w:r w:rsidRPr="003B3CFF">
              <w:rPr>
                <w:rFonts w:asciiTheme="minorHAnsi" w:hAnsiTheme="minorHAnsi" w:cstheme="minorHAnsi"/>
                <w:b/>
                <w:sz w:val="28"/>
                <w:szCs w:val="28"/>
              </w:rPr>
              <w:t xml:space="preserve">THE ARCHITECTURE OF </w:t>
            </w:r>
            <w:r w:rsidR="001D4DAB" w:rsidRPr="001D4DAB">
              <w:rPr>
                <w:rFonts w:asciiTheme="minorHAnsi" w:hAnsiTheme="minorHAnsi" w:cstheme="minorHAnsi"/>
                <w:b/>
                <w:i/>
                <w:iCs/>
                <w:sz w:val="28"/>
                <w:szCs w:val="28"/>
              </w:rPr>
              <w:t>LANGGAR DHUWUR</w:t>
            </w:r>
            <w:r w:rsidRPr="003B3CFF">
              <w:rPr>
                <w:rFonts w:asciiTheme="minorHAnsi" w:hAnsiTheme="minorHAnsi" w:cstheme="minorHAnsi"/>
                <w:b/>
                <w:sz w:val="28"/>
                <w:szCs w:val="28"/>
              </w:rPr>
              <w:t xml:space="preserve"> IN JAVA: VERNACULAR FORMS IN RELIGIOUS ARCHITECTURE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D989E11" w:rsidR="00D869DB" w:rsidRPr="004C7CB9" w:rsidRDefault="003B3CFF">
            <w:pPr>
              <w:rPr>
                <w:rFonts w:asciiTheme="minorHAnsi" w:hAnsiTheme="minorHAnsi" w:cstheme="minorHAnsi"/>
              </w:rPr>
            </w:pPr>
            <w:r w:rsidRPr="003B3CFF">
              <w:rPr>
                <w:rFonts w:asciiTheme="minorHAnsi" w:hAnsiTheme="minorHAnsi" w:cstheme="minorHAnsi"/>
              </w:rPr>
              <w:t xml:space="preserve">Arif Budi </w:t>
            </w:r>
            <w:proofErr w:type="spellStart"/>
            <w:r w:rsidRPr="003B3CFF">
              <w:rPr>
                <w:rFonts w:asciiTheme="minorHAnsi" w:hAnsiTheme="minorHAnsi" w:cstheme="minorHAnsi"/>
              </w:rPr>
              <w:t>Sholihah</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proofErr w:type="spellStart"/>
            <w:r w:rsidRPr="003B3CFF">
              <w:rPr>
                <w:rFonts w:asciiTheme="minorHAnsi" w:hAnsiTheme="minorHAnsi" w:cstheme="minorHAnsi"/>
              </w:rPr>
              <w:t>Asrul</w:t>
            </w:r>
            <w:proofErr w:type="spellEnd"/>
            <w:r w:rsidRPr="003B3CFF">
              <w:rPr>
                <w:rFonts w:asciiTheme="minorHAnsi" w:hAnsiTheme="minorHAnsi" w:cstheme="minorHAnsi"/>
              </w:rPr>
              <w:t xml:space="preserve"> </w:t>
            </w:r>
            <w:proofErr w:type="spellStart"/>
            <w:r w:rsidRPr="003B3CFF">
              <w:rPr>
                <w:rFonts w:asciiTheme="minorHAnsi" w:hAnsiTheme="minorHAnsi" w:cstheme="minorHAnsi"/>
              </w:rPr>
              <w:t>Mahjuddin</w:t>
            </w:r>
            <w:proofErr w:type="spellEnd"/>
            <w:r w:rsidRPr="003B3CFF">
              <w:rPr>
                <w:rFonts w:asciiTheme="minorHAnsi" w:hAnsiTheme="minorHAnsi" w:cstheme="minorHAnsi"/>
              </w:rPr>
              <w:t xml:space="preserve"> </w:t>
            </w:r>
            <w:proofErr w:type="spellStart"/>
            <w:r w:rsidRPr="003B3CFF">
              <w:rPr>
                <w:rFonts w:asciiTheme="minorHAnsi" w:hAnsiTheme="minorHAnsi" w:cstheme="minorHAnsi"/>
              </w:rPr>
              <w:t>Ressang</w:t>
            </w:r>
            <w:r w:rsidR="00D869DB" w:rsidRPr="004C7CB9">
              <w:rPr>
                <w:rFonts w:asciiTheme="minorHAnsi" w:hAnsiTheme="minorHAnsi" w:cstheme="minorHAnsi"/>
                <w:vertAlign w:val="superscript"/>
              </w:rPr>
              <w:t>b</w:t>
            </w:r>
            <w:proofErr w:type="spellEnd"/>
            <w:r w:rsidR="00D869DB" w:rsidRPr="004C7CB9">
              <w:rPr>
                <w:rFonts w:asciiTheme="minorHAnsi" w:hAnsiTheme="minorHAnsi" w:cstheme="minorHAnsi"/>
              </w:rPr>
              <w:t xml:space="preserve">, </w:t>
            </w:r>
            <w:r w:rsidRPr="003B3CFF">
              <w:rPr>
                <w:rFonts w:asciiTheme="minorHAnsi" w:hAnsiTheme="minorHAnsi" w:cstheme="minorHAnsi"/>
              </w:rPr>
              <w:t xml:space="preserve">Wisnu </w:t>
            </w:r>
            <w:proofErr w:type="spellStart"/>
            <w:r w:rsidRPr="003B3CFF">
              <w:rPr>
                <w:rFonts w:asciiTheme="minorHAnsi" w:hAnsiTheme="minorHAnsi" w:cstheme="minorHAnsi"/>
              </w:rPr>
              <w:t>Setiawan</w:t>
            </w:r>
            <w:r w:rsidR="00D869DB" w:rsidRPr="004C7CB9">
              <w:rPr>
                <w:rFonts w:asciiTheme="minorHAnsi" w:hAnsiTheme="minorHAnsi" w:cstheme="minorHAnsi"/>
                <w:vertAlign w:val="superscript"/>
              </w:rPr>
              <w:t>c</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24EED227" w:rsidR="00D869DB" w:rsidRPr="004C7CB9" w:rsidRDefault="00D869DB" w:rsidP="00D869DB">
            <w:pPr>
              <w:rPr>
                <w:sz w:val="18"/>
                <w:szCs w:val="18"/>
              </w:rPr>
            </w:pPr>
            <w:proofErr w:type="spellStart"/>
            <w:r w:rsidRPr="004C7CB9">
              <w:rPr>
                <w:sz w:val="18"/>
                <w:szCs w:val="18"/>
                <w:vertAlign w:val="superscript"/>
              </w:rPr>
              <w:t>a</w:t>
            </w:r>
            <w:r w:rsidR="003B3CFF" w:rsidRPr="003B3CFF">
              <w:rPr>
                <w:sz w:val="18"/>
                <w:szCs w:val="18"/>
              </w:rPr>
              <w:t>Department</w:t>
            </w:r>
            <w:proofErr w:type="spellEnd"/>
            <w:r w:rsidR="003B3CFF" w:rsidRPr="003B3CFF">
              <w:rPr>
                <w:sz w:val="18"/>
                <w:szCs w:val="18"/>
              </w:rPr>
              <w:t xml:space="preserve"> of Architecture</w:t>
            </w:r>
            <w:r w:rsidR="003B3CFF">
              <w:rPr>
                <w:sz w:val="18"/>
                <w:szCs w:val="18"/>
              </w:rPr>
              <w:t>,</w:t>
            </w:r>
            <w:r w:rsidR="003B3CFF" w:rsidRPr="003B3CFF">
              <w:rPr>
                <w:sz w:val="18"/>
                <w:szCs w:val="18"/>
              </w:rPr>
              <w:t xml:space="preserve"> Universitas Islam Indonesia, Yogyakarta, Indonesia</w:t>
            </w:r>
          </w:p>
          <w:p w14:paraId="5F17B761" w14:textId="32F0CB82" w:rsidR="003B3CFF" w:rsidRPr="003B3CFF" w:rsidRDefault="00D869DB" w:rsidP="003B3CFF">
            <w:pPr>
              <w:rPr>
                <w:sz w:val="18"/>
                <w:szCs w:val="18"/>
              </w:rPr>
            </w:pPr>
            <w:proofErr w:type="spellStart"/>
            <w:r w:rsidRPr="004C7CB9">
              <w:rPr>
                <w:sz w:val="18"/>
                <w:szCs w:val="18"/>
                <w:vertAlign w:val="superscript"/>
              </w:rPr>
              <w:t>b</w:t>
            </w:r>
            <w:r w:rsidR="003B3CFF" w:rsidRPr="003B3CFF">
              <w:rPr>
                <w:sz w:val="18"/>
                <w:szCs w:val="18"/>
              </w:rPr>
              <w:t>Department</w:t>
            </w:r>
            <w:proofErr w:type="spellEnd"/>
            <w:r w:rsidR="003B3CFF" w:rsidRPr="003B3CFF">
              <w:rPr>
                <w:sz w:val="18"/>
                <w:szCs w:val="18"/>
              </w:rPr>
              <w:t xml:space="preserve"> of Architecture</w:t>
            </w:r>
            <w:r w:rsidR="003B3CFF">
              <w:rPr>
                <w:sz w:val="18"/>
                <w:szCs w:val="18"/>
              </w:rPr>
              <w:t>,</w:t>
            </w:r>
            <w:r w:rsidR="003B3CFF" w:rsidRPr="003B3CFF">
              <w:rPr>
                <w:sz w:val="18"/>
                <w:szCs w:val="18"/>
              </w:rPr>
              <w:t xml:space="preserve"> University of Malaya, Kuala Lumpur, Malaysia</w:t>
            </w:r>
          </w:p>
          <w:p w14:paraId="2E3ECF52" w14:textId="610B0813" w:rsidR="00D869DB" w:rsidRPr="004C7CB9" w:rsidRDefault="00D869DB" w:rsidP="003B3CFF">
            <w:pPr>
              <w:rPr>
                <w:sz w:val="18"/>
                <w:szCs w:val="18"/>
              </w:rPr>
            </w:pPr>
            <w:proofErr w:type="spellStart"/>
            <w:r w:rsidRPr="004C7CB9">
              <w:rPr>
                <w:sz w:val="18"/>
                <w:szCs w:val="18"/>
                <w:vertAlign w:val="superscript"/>
              </w:rPr>
              <w:t>c</w:t>
            </w:r>
            <w:r w:rsidR="003B3CFF" w:rsidRPr="003B3CFF">
              <w:rPr>
                <w:sz w:val="18"/>
                <w:szCs w:val="18"/>
              </w:rPr>
              <w:t>Department</w:t>
            </w:r>
            <w:proofErr w:type="spellEnd"/>
            <w:r w:rsidR="003B3CFF" w:rsidRPr="003B3CFF">
              <w:rPr>
                <w:sz w:val="18"/>
                <w:szCs w:val="18"/>
              </w:rPr>
              <w:t xml:space="preserve"> of Architecture</w:t>
            </w:r>
            <w:r w:rsidR="003B3CFF">
              <w:rPr>
                <w:sz w:val="18"/>
                <w:szCs w:val="18"/>
              </w:rPr>
              <w:t>,</w:t>
            </w:r>
            <w:r w:rsidR="003B3CFF" w:rsidRPr="003B3CFF">
              <w:rPr>
                <w:sz w:val="18"/>
                <w:szCs w:val="18"/>
              </w:rPr>
              <w:t xml:space="preserve"> University Muhammadiyah Surakarta, Surakarta, Indonesia</w:t>
            </w:r>
          </w:p>
          <w:p w14:paraId="4B54932F" w14:textId="3BD013B7" w:rsidR="00D869DB" w:rsidRPr="004C7CB9" w:rsidRDefault="00D869DB" w:rsidP="00D869DB">
            <w:r w:rsidRPr="004C7CB9">
              <w:rPr>
                <w:sz w:val="18"/>
                <w:szCs w:val="18"/>
              </w:rPr>
              <w:t xml:space="preserve">*Corresponding Author: </w:t>
            </w:r>
            <w:hyperlink r:id="rId8" w:history="1">
              <w:r w:rsidR="003B3CFF" w:rsidRPr="000F7EC8">
                <w:rPr>
                  <w:rStyle w:val="Hyperlink"/>
                  <w:sz w:val="18"/>
                  <w:szCs w:val="18"/>
                </w:rPr>
                <w:t>arif.sholihah@uii.ac.id</w:t>
              </w:r>
            </w:hyperlink>
            <w:r w:rsidR="003B3CFF">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F93648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3B3CFF">
              <w:rPr>
                <w:rFonts w:asciiTheme="majorHAnsi" w:hAnsiTheme="majorHAnsi" w:cstheme="majorHAnsi"/>
                <w:sz w:val="18"/>
                <w:szCs w:val="18"/>
              </w:rPr>
              <w:t xml:space="preserve"> 8</w:t>
            </w:r>
          </w:p>
          <w:p w14:paraId="5F8B2097" w14:textId="4BD929B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3B3CFF">
              <w:rPr>
                <w:rFonts w:asciiTheme="majorHAnsi" w:hAnsiTheme="majorHAnsi" w:cstheme="majorHAnsi"/>
                <w:sz w:val="18"/>
                <w:szCs w:val="18"/>
              </w:rPr>
              <w:t xml:space="preserve"> 1</w:t>
            </w:r>
          </w:p>
          <w:p w14:paraId="1727970E" w14:textId="24CB778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3B3CFF">
              <w:rPr>
                <w:rFonts w:asciiTheme="majorHAnsi" w:hAnsiTheme="majorHAnsi" w:cstheme="majorHAnsi"/>
                <w:sz w:val="18"/>
                <w:szCs w:val="18"/>
              </w:rPr>
              <w:t xml:space="preserve"> 106</w:t>
            </w:r>
            <w:r w:rsidR="002A645E">
              <w:rPr>
                <w:rFonts w:asciiTheme="majorHAnsi" w:hAnsiTheme="majorHAnsi" w:cstheme="majorHAnsi"/>
                <w:sz w:val="18"/>
                <w:szCs w:val="18"/>
              </w:rPr>
              <w:t>-116</w:t>
            </w:r>
          </w:p>
          <w:p w14:paraId="42AC331B" w14:textId="0D39252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3B3CFF">
              <w:rPr>
                <w:rFonts w:asciiTheme="majorHAnsi" w:hAnsiTheme="majorHAnsi" w:cstheme="majorHAnsi"/>
                <w:sz w:val="18"/>
                <w:szCs w:val="18"/>
              </w:rPr>
              <w:t>May 10</w:t>
            </w:r>
            <w:r w:rsidR="003B3CFF" w:rsidRPr="003B3CFF">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5B1CE4D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November </w:t>
            </w:r>
            <w:r w:rsidR="003B3CFF">
              <w:rPr>
                <w:rFonts w:asciiTheme="majorHAnsi" w:hAnsiTheme="majorHAnsi" w:cstheme="majorHAnsi"/>
                <w:sz w:val="18"/>
                <w:szCs w:val="18"/>
              </w:rPr>
              <w:t>28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4A62E6AC"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3B3CFF">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B3CFF">
              <w:rPr>
                <w:rFonts w:asciiTheme="majorHAnsi" w:hAnsiTheme="majorHAnsi" w:cstheme="majorHAnsi"/>
                <w:sz w:val="18"/>
                <w:szCs w:val="18"/>
              </w:rPr>
              <w:t>4</w:t>
            </w:r>
          </w:p>
          <w:p w14:paraId="579CDBAA" w14:textId="77777777" w:rsidR="003B3CFF"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6C8F7C35" w:rsidR="001D517C" w:rsidRPr="004C7CB9" w:rsidRDefault="003B3CFF" w:rsidP="001D517C">
            <w:pPr>
              <w:rPr>
                <w:rFonts w:asciiTheme="majorHAnsi" w:hAnsiTheme="majorHAnsi" w:cstheme="majorHAnsi"/>
                <w:sz w:val="18"/>
                <w:szCs w:val="18"/>
              </w:rPr>
            </w:pPr>
            <w:r w:rsidRPr="003B3CFF">
              <w:rPr>
                <w:rFonts w:asciiTheme="majorHAnsi" w:hAnsiTheme="majorHAnsi" w:cstheme="majorHAnsi"/>
                <w:sz w:val="18"/>
                <w:szCs w:val="18"/>
              </w:rPr>
              <w:t>http://dx.doi.org/10.18860/jia.v8i1.21107</w:t>
            </w:r>
          </w:p>
        </w:tc>
        <w:tc>
          <w:tcPr>
            <w:tcW w:w="5671" w:type="dxa"/>
          </w:tcPr>
          <w:p w14:paraId="68C518DA" w14:textId="4D0DFFC3" w:rsidR="001D517C" w:rsidRPr="004C7CB9" w:rsidRDefault="003B3CFF" w:rsidP="001D517C">
            <w:pPr>
              <w:jc w:val="both"/>
              <w:rPr>
                <w:rFonts w:asciiTheme="majorHAnsi" w:hAnsiTheme="majorHAnsi" w:cstheme="majorHAnsi"/>
                <w:sz w:val="18"/>
                <w:szCs w:val="18"/>
                <w:lang w:val="id-ID"/>
              </w:rPr>
            </w:pPr>
            <w:r w:rsidRPr="003B3CFF">
              <w:rPr>
                <w:rFonts w:asciiTheme="majorHAnsi" w:hAnsiTheme="majorHAnsi" w:cstheme="majorHAnsi"/>
                <w:sz w:val="18"/>
                <w:szCs w:val="18"/>
              </w:rPr>
              <w:t xml:space="preserve">Research on Friday Mosques dominates the study of religious buildings in Java. Meanwhile, research on small mosques, particularly </w:t>
            </w:r>
            <w:r w:rsidR="001D4DAB" w:rsidRPr="001D4DAB">
              <w:rPr>
                <w:rFonts w:asciiTheme="majorHAnsi" w:hAnsiTheme="majorHAnsi" w:cstheme="majorHAnsi"/>
                <w:i/>
                <w:iCs/>
                <w:sz w:val="18"/>
                <w:szCs w:val="18"/>
              </w:rPr>
              <w:t xml:space="preserve">Langgar </w:t>
            </w:r>
            <w:proofErr w:type="spellStart"/>
            <w:r w:rsidR="001D4DAB" w:rsidRPr="001D4DAB">
              <w:rPr>
                <w:rFonts w:asciiTheme="majorHAnsi" w:hAnsiTheme="majorHAnsi" w:cstheme="majorHAnsi"/>
                <w:i/>
                <w:iCs/>
                <w:sz w:val="18"/>
                <w:szCs w:val="18"/>
              </w:rPr>
              <w:t>Dhuwur</w:t>
            </w:r>
            <w:proofErr w:type="spellEnd"/>
            <w:r w:rsidRPr="003B3CFF">
              <w:rPr>
                <w:rFonts w:asciiTheme="majorHAnsi" w:hAnsiTheme="majorHAnsi" w:cstheme="majorHAnsi"/>
                <w:sz w:val="18"/>
                <w:szCs w:val="18"/>
              </w:rPr>
              <w:t xml:space="preserve">, remains limited. The purpose of this study is to examine two </w:t>
            </w:r>
            <w:r w:rsidR="001D4DAB" w:rsidRPr="001D4DAB">
              <w:rPr>
                <w:rFonts w:asciiTheme="majorHAnsi" w:hAnsiTheme="majorHAnsi" w:cstheme="majorHAnsi"/>
                <w:i/>
                <w:iCs/>
                <w:sz w:val="18"/>
                <w:szCs w:val="18"/>
              </w:rPr>
              <w:t xml:space="preserve">Langgar </w:t>
            </w:r>
            <w:proofErr w:type="spellStart"/>
            <w:r w:rsidR="001D4DAB" w:rsidRPr="001D4DAB">
              <w:rPr>
                <w:rFonts w:asciiTheme="majorHAnsi" w:hAnsiTheme="majorHAnsi" w:cstheme="majorHAnsi"/>
                <w:i/>
                <w:iCs/>
                <w:sz w:val="18"/>
                <w:szCs w:val="18"/>
              </w:rPr>
              <w:t>Dhuwur</w:t>
            </w:r>
            <w:proofErr w:type="spellEnd"/>
            <w:r w:rsidRPr="003B3CFF">
              <w:rPr>
                <w:rFonts w:asciiTheme="majorHAnsi" w:hAnsiTheme="majorHAnsi" w:cstheme="majorHAnsi"/>
                <w:sz w:val="18"/>
                <w:szCs w:val="18"/>
              </w:rPr>
              <w:t xml:space="preserve"> in Kauman Yogyakarta from architectural and narrative perspectives in order to reveal the architectural characteristics as well as their role in society. Direct visual observations, measured drawings, and narratives about the study’s context were conducted. Five major themes from the observations were </w:t>
            </w:r>
            <w:proofErr w:type="spellStart"/>
            <w:r w:rsidRPr="003B3CFF">
              <w:rPr>
                <w:rFonts w:asciiTheme="majorHAnsi" w:hAnsiTheme="majorHAnsi" w:cstheme="majorHAnsi"/>
                <w:sz w:val="18"/>
                <w:szCs w:val="18"/>
              </w:rPr>
              <w:t>analyzed</w:t>
            </w:r>
            <w:proofErr w:type="spellEnd"/>
            <w:r w:rsidRPr="003B3CFF">
              <w:rPr>
                <w:rFonts w:asciiTheme="majorHAnsi" w:hAnsiTheme="majorHAnsi" w:cstheme="majorHAnsi"/>
                <w:sz w:val="18"/>
                <w:szCs w:val="18"/>
              </w:rPr>
              <w:t xml:space="preserve"> and discussed to draw significant conclusions. It is concluded that </w:t>
            </w:r>
            <w:r w:rsidR="001D4DAB" w:rsidRPr="001D4DAB">
              <w:rPr>
                <w:rFonts w:asciiTheme="majorHAnsi" w:hAnsiTheme="majorHAnsi" w:cstheme="majorHAnsi"/>
                <w:i/>
                <w:iCs/>
                <w:sz w:val="18"/>
                <w:szCs w:val="18"/>
              </w:rPr>
              <w:t xml:space="preserve">Langgar </w:t>
            </w:r>
            <w:proofErr w:type="spellStart"/>
            <w:r w:rsidR="001D4DAB" w:rsidRPr="001D4DAB">
              <w:rPr>
                <w:rFonts w:asciiTheme="majorHAnsi" w:hAnsiTheme="majorHAnsi" w:cstheme="majorHAnsi"/>
                <w:i/>
                <w:iCs/>
                <w:sz w:val="18"/>
                <w:szCs w:val="18"/>
              </w:rPr>
              <w:t>Dhuwur</w:t>
            </w:r>
            <w:proofErr w:type="spellEnd"/>
            <w:r w:rsidRPr="003B3CFF">
              <w:rPr>
                <w:rFonts w:asciiTheme="majorHAnsi" w:hAnsiTheme="majorHAnsi" w:cstheme="majorHAnsi"/>
                <w:sz w:val="18"/>
                <w:szCs w:val="18"/>
              </w:rPr>
              <w:t xml:space="preserve"> is a unique architectural type that preserves Indonesia’s vernacular and pre-Islamic architecture. </w:t>
            </w:r>
            <w:r w:rsidR="001D4DAB" w:rsidRPr="001D4DAB">
              <w:rPr>
                <w:rFonts w:asciiTheme="majorHAnsi" w:hAnsiTheme="majorHAnsi" w:cstheme="majorHAnsi"/>
                <w:i/>
                <w:iCs/>
                <w:sz w:val="18"/>
                <w:szCs w:val="18"/>
              </w:rPr>
              <w:t xml:space="preserve">Langgar </w:t>
            </w:r>
            <w:proofErr w:type="spellStart"/>
            <w:r w:rsidR="001D4DAB" w:rsidRPr="001D4DAB">
              <w:rPr>
                <w:rFonts w:asciiTheme="majorHAnsi" w:hAnsiTheme="majorHAnsi" w:cstheme="majorHAnsi"/>
                <w:i/>
                <w:iCs/>
                <w:sz w:val="18"/>
                <w:szCs w:val="18"/>
              </w:rPr>
              <w:t>Dhuwur</w:t>
            </w:r>
            <w:proofErr w:type="spellEnd"/>
            <w:r w:rsidRPr="003B3CFF">
              <w:rPr>
                <w:rFonts w:asciiTheme="majorHAnsi" w:hAnsiTheme="majorHAnsi" w:cstheme="majorHAnsi"/>
                <w:sz w:val="18"/>
                <w:szCs w:val="18"/>
              </w:rPr>
              <w:t xml:space="preserve"> in Kauman designated the second floor as a sacred area following the Hindu-Buddhist concept of </w:t>
            </w:r>
            <w:proofErr w:type="spellStart"/>
            <w:r w:rsidRPr="003B3CFF">
              <w:rPr>
                <w:rFonts w:asciiTheme="majorHAnsi" w:hAnsiTheme="majorHAnsi" w:cstheme="majorHAnsi"/>
                <w:sz w:val="18"/>
                <w:szCs w:val="18"/>
              </w:rPr>
              <w:t>Triloka</w:t>
            </w:r>
            <w:proofErr w:type="spellEnd"/>
            <w:r w:rsidRPr="003B3CFF">
              <w:rPr>
                <w:rFonts w:asciiTheme="majorHAnsi" w:hAnsiTheme="majorHAnsi" w:cstheme="majorHAnsi"/>
                <w:sz w:val="18"/>
                <w:szCs w:val="18"/>
              </w:rPr>
              <w:t xml:space="preserve"> (</w:t>
            </w:r>
            <w:proofErr w:type="spellStart"/>
            <w:r w:rsidRPr="003B3CFF">
              <w:rPr>
                <w:rFonts w:asciiTheme="majorHAnsi" w:hAnsiTheme="majorHAnsi" w:cstheme="majorHAnsi"/>
                <w:sz w:val="18"/>
                <w:szCs w:val="18"/>
              </w:rPr>
              <w:t>Svarloka</w:t>
            </w:r>
            <w:proofErr w:type="spellEnd"/>
            <w:r w:rsidRPr="003B3CFF">
              <w:rPr>
                <w:rFonts w:asciiTheme="majorHAnsi" w:hAnsiTheme="majorHAnsi" w:cstheme="majorHAnsi"/>
                <w:sz w:val="18"/>
                <w:szCs w:val="18"/>
              </w:rPr>
              <w:t xml:space="preserve">). As a public building, </w:t>
            </w:r>
            <w:r w:rsidR="001D4DAB" w:rsidRPr="001D4DAB">
              <w:rPr>
                <w:rFonts w:asciiTheme="majorHAnsi" w:hAnsiTheme="majorHAnsi" w:cstheme="majorHAnsi"/>
                <w:i/>
                <w:iCs/>
                <w:sz w:val="18"/>
                <w:szCs w:val="18"/>
              </w:rPr>
              <w:t xml:space="preserve">Langgar </w:t>
            </w:r>
            <w:proofErr w:type="spellStart"/>
            <w:r w:rsidR="001D4DAB" w:rsidRPr="001D4DAB">
              <w:rPr>
                <w:rFonts w:asciiTheme="majorHAnsi" w:hAnsiTheme="majorHAnsi" w:cstheme="majorHAnsi"/>
                <w:i/>
                <w:iCs/>
                <w:sz w:val="18"/>
                <w:szCs w:val="18"/>
              </w:rPr>
              <w:t>Dhuwur</w:t>
            </w:r>
            <w:proofErr w:type="spellEnd"/>
            <w:r w:rsidRPr="003B3CFF">
              <w:rPr>
                <w:rFonts w:asciiTheme="majorHAnsi" w:hAnsiTheme="majorHAnsi" w:cstheme="majorHAnsi"/>
                <w:sz w:val="18"/>
                <w:szCs w:val="18"/>
              </w:rPr>
              <w:t xml:space="preserve"> serves as a place of worship as well as a cultural and social </w:t>
            </w:r>
            <w:proofErr w:type="spellStart"/>
            <w:r w:rsidRPr="003B3CFF">
              <w:rPr>
                <w:rFonts w:asciiTheme="majorHAnsi" w:hAnsiTheme="majorHAnsi" w:cstheme="majorHAnsi"/>
                <w:sz w:val="18"/>
                <w:szCs w:val="18"/>
              </w:rPr>
              <w:t>center</w:t>
            </w:r>
            <w:proofErr w:type="spellEnd"/>
            <w:r w:rsidRPr="003B3CFF">
              <w:rPr>
                <w:rFonts w:asciiTheme="majorHAnsi" w:hAnsiTheme="majorHAnsi" w:cstheme="majorHAnsi"/>
                <w:sz w:val="18"/>
                <w:szCs w:val="18"/>
              </w:rPr>
              <w:t xml:space="preserve">. Therefore, it can be regarded as one of Indonesia’s religious architectural treasures due to its distinctive architectural style and rich history. It is recommended that the existence of </w:t>
            </w:r>
            <w:r w:rsidR="001D4DAB" w:rsidRPr="001D4DAB">
              <w:rPr>
                <w:rFonts w:asciiTheme="majorHAnsi" w:hAnsiTheme="majorHAnsi" w:cstheme="majorHAnsi"/>
                <w:i/>
                <w:iCs/>
                <w:sz w:val="18"/>
                <w:szCs w:val="18"/>
              </w:rPr>
              <w:t xml:space="preserve">Langgar </w:t>
            </w:r>
            <w:proofErr w:type="spellStart"/>
            <w:r w:rsidR="001D4DAB" w:rsidRPr="001D4DAB">
              <w:rPr>
                <w:rFonts w:asciiTheme="majorHAnsi" w:hAnsiTheme="majorHAnsi" w:cstheme="majorHAnsi"/>
                <w:i/>
                <w:iCs/>
                <w:sz w:val="18"/>
                <w:szCs w:val="18"/>
              </w:rPr>
              <w:t>Dhuwur</w:t>
            </w:r>
            <w:proofErr w:type="spellEnd"/>
            <w:r w:rsidRPr="003B3CFF">
              <w:rPr>
                <w:rFonts w:asciiTheme="majorHAnsi" w:hAnsiTheme="majorHAnsi" w:cstheme="majorHAnsi"/>
                <w:sz w:val="18"/>
                <w:szCs w:val="18"/>
              </w:rPr>
              <w:t xml:space="preserve">, which has a multifunction role in community development, be preserved. Future designs </w:t>
            </w:r>
            <w:proofErr w:type="gramStart"/>
            <w:r w:rsidRPr="003B3CFF">
              <w:rPr>
                <w:rFonts w:asciiTheme="majorHAnsi" w:hAnsiTheme="majorHAnsi" w:cstheme="majorHAnsi"/>
                <w:sz w:val="18"/>
                <w:szCs w:val="18"/>
              </w:rPr>
              <w:t>needs</w:t>
            </w:r>
            <w:proofErr w:type="gramEnd"/>
            <w:r w:rsidRPr="003B3CFF">
              <w:rPr>
                <w:rFonts w:asciiTheme="majorHAnsi" w:hAnsiTheme="majorHAnsi" w:cstheme="majorHAnsi"/>
                <w:sz w:val="18"/>
                <w:szCs w:val="18"/>
              </w:rPr>
              <w:t xml:space="preserve"> to emphasize an architectural typology that follows residential architecture, flexible space, and an open plan to accommodate various activities in the micro-scale community area</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4D812FB6" w:rsidR="001D517C" w:rsidRPr="004C7CB9" w:rsidRDefault="003B3CFF" w:rsidP="001D517C">
            <w:pPr>
              <w:jc w:val="both"/>
              <w:rPr>
                <w:rFonts w:asciiTheme="majorHAnsi" w:hAnsiTheme="majorHAnsi" w:cstheme="majorHAnsi"/>
                <w:sz w:val="18"/>
                <w:szCs w:val="18"/>
                <w:lang w:val="en-US"/>
              </w:rPr>
            </w:pPr>
            <w:r w:rsidRPr="003B3CFF">
              <w:rPr>
                <w:rFonts w:asciiTheme="majorHAnsi" w:hAnsiTheme="majorHAnsi" w:cstheme="majorHAnsi"/>
                <w:sz w:val="18"/>
                <w:szCs w:val="18"/>
                <w:lang w:val="en-US"/>
              </w:rPr>
              <w:t xml:space="preserve">Religious architecture, </w:t>
            </w:r>
            <w:r w:rsidR="001D4DAB" w:rsidRPr="001D4DAB">
              <w:rPr>
                <w:rFonts w:asciiTheme="majorHAnsi" w:hAnsiTheme="majorHAnsi" w:cstheme="majorHAnsi"/>
                <w:i/>
                <w:iCs/>
                <w:sz w:val="18"/>
                <w:szCs w:val="18"/>
                <w:lang w:val="en-US"/>
              </w:rPr>
              <w:t xml:space="preserve">Langgar </w:t>
            </w:r>
            <w:proofErr w:type="spellStart"/>
            <w:r w:rsidR="001D4DAB" w:rsidRPr="001D4DAB">
              <w:rPr>
                <w:rFonts w:asciiTheme="majorHAnsi" w:hAnsiTheme="majorHAnsi" w:cstheme="majorHAnsi"/>
                <w:i/>
                <w:iCs/>
                <w:sz w:val="18"/>
                <w:szCs w:val="18"/>
                <w:lang w:val="en-US"/>
              </w:rPr>
              <w:t>Dhuwur</w:t>
            </w:r>
            <w:proofErr w:type="spellEnd"/>
            <w:r w:rsidRPr="003B3CFF">
              <w:rPr>
                <w:rFonts w:asciiTheme="majorHAnsi" w:hAnsiTheme="majorHAnsi" w:cstheme="majorHAnsi"/>
                <w:sz w:val="18"/>
                <w:szCs w:val="18"/>
                <w:lang w:val="en-US"/>
              </w:rPr>
              <w:t>, vernacular architecture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7CC7333"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107ED8B3" w14:textId="319D3D93" w:rsidR="003B3CFF" w:rsidRPr="003B3CFF" w:rsidRDefault="003B3CFF" w:rsidP="003B3CFF">
      <w:pPr>
        <w:ind w:firstLine="284"/>
        <w:jc w:val="both"/>
        <w:rPr>
          <w:rFonts w:asciiTheme="majorHAnsi" w:hAnsiTheme="majorHAnsi" w:cstheme="majorHAnsi"/>
          <w:sz w:val="20"/>
          <w:szCs w:val="20"/>
        </w:rPr>
      </w:pPr>
      <w:r w:rsidRPr="003B3CFF">
        <w:rPr>
          <w:rFonts w:asciiTheme="majorHAnsi" w:hAnsiTheme="majorHAnsi" w:cstheme="majorHAnsi"/>
          <w:sz w:val="20"/>
          <w:szCs w:val="20"/>
        </w:rPr>
        <w:t xml:space="preserve">Friday Mosque continues to be the primary research focus on mosques in Java. Few studies have been conducted on small mosques, commonly as called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The typology of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is comparable to that of surau in Sumatra or Malaysia and </w:t>
      </w:r>
      <w:proofErr w:type="spellStart"/>
      <w:r w:rsidRPr="003B3CFF">
        <w:rPr>
          <w:rFonts w:asciiTheme="majorHAnsi" w:hAnsiTheme="majorHAnsi" w:cstheme="majorHAnsi"/>
          <w:sz w:val="20"/>
          <w:szCs w:val="20"/>
        </w:rPr>
        <w:t>tajug</w:t>
      </w:r>
      <w:proofErr w:type="spellEnd"/>
      <w:r w:rsidRPr="003B3CFF">
        <w:rPr>
          <w:rFonts w:asciiTheme="majorHAnsi" w:hAnsiTheme="majorHAnsi" w:cstheme="majorHAnsi"/>
          <w:sz w:val="20"/>
          <w:szCs w:val="20"/>
        </w:rPr>
        <w:t xml:space="preserve"> in West Java. We argue that the existence of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in Java is not limited to its function as a private place of worship for the owner's family or the surrounding community but is also related to the emergence of a </w:t>
      </w:r>
      <w:proofErr w:type="spellStart"/>
      <w:r w:rsidRPr="003B3CFF">
        <w:rPr>
          <w:rFonts w:asciiTheme="majorHAnsi" w:hAnsiTheme="majorHAnsi" w:cstheme="majorHAnsi"/>
          <w:sz w:val="20"/>
          <w:szCs w:val="20"/>
        </w:rPr>
        <w:t>pesantren</w:t>
      </w:r>
      <w:proofErr w:type="spellEnd"/>
      <w:r w:rsidRPr="003B3CFF">
        <w:rPr>
          <w:rFonts w:asciiTheme="majorHAnsi" w:hAnsiTheme="majorHAnsi" w:cstheme="majorHAnsi"/>
          <w:sz w:val="20"/>
          <w:szCs w:val="20"/>
        </w:rPr>
        <w:t xml:space="preserve"> (Islamic Boarding School) or madrasa (Islamic School) in the early stages of its development. In many cases,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also serves as a community gathering place, with women and children spending most of their time there. Adult men spend most of their time at the Friday Mosque.</w:t>
      </w:r>
    </w:p>
    <w:p w14:paraId="6D4BF4E9" w14:textId="2B7D1234" w:rsidR="003B3CFF" w:rsidRPr="003B3CFF" w:rsidRDefault="003B3CFF" w:rsidP="003B3CFF">
      <w:pPr>
        <w:ind w:firstLine="284"/>
        <w:jc w:val="both"/>
        <w:rPr>
          <w:rFonts w:asciiTheme="majorHAnsi" w:hAnsiTheme="majorHAnsi" w:cstheme="majorHAnsi"/>
          <w:sz w:val="20"/>
          <w:szCs w:val="20"/>
        </w:rPr>
      </w:pPr>
      <w:r w:rsidRPr="003B3CFF">
        <w:rPr>
          <w:rFonts w:asciiTheme="majorHAnsi" w:hAnsiTheme="majorHAnsi" w:cstheme="majorHAnsi"/>
          <w:sz w:val="20"/>
          <w:szCs w:val="20"/>
        </w:rPr>
        <w:t xml:space="preserve">Now that more mosques are being constructed, the existence of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is dwindling, or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is being replaced by the term </w:t>
      </w:r>
      <w:proofErr w:type="spellStart"/>
      <w:r w:rsidRPr="003B3CFF">
        <w:rPr>
          <w:rFonts w:asciiTheme="majorHAnsi" w:hAnsiTheme="majorHAnsi" w:cstheme="majorHAnsi"/>
          <w:sz w:val="20"/>
          <w:szCs w:val="20"/>
        </w:rPr>
        <w:t>musholla</w:t>
      </w:r>
      <w:proofErr w:type="spellEnd"/>
      <w:r w:rsidRPr="003B3CFF">
        <w:rPr>
          <w:rFonts w:asciiTheme="majorHAnsi" w:hAnsiTheme="majorHAnsi" w:cstheme="majorHAnsi"/>
          <w:sz w:val="20"/>
          <w:szCs w:val="20"/>
        </w:rPr>
        <w:t xml:space="preserve"> (a place for prayer in Arabic). In Indonesia, the term </w:t>
      </w:r>
      <w:proofErr w:type="spellStart"/>
      <w:r w:rsidRPr="003B3CFF">
        <w:rPr>
          <w:rFonts w:asciiTheme="majorHAnsi" w:hAnsiTheme="majorHAnsi" w:cstheme="majorHAnsi"/>
          <w:sz w:val="20"/>
          <w:szCs w:val="20"/>
        </w:rPr>
        <w:t>musholla</w:t>
      </w:r>
      <w:proofErr w:type="spellEnd"/>
      <w:r w:rsidRPr="003B3CFF">
        <w:rPr>
          <w:rFonts w:asciiTheme="majorHAnsi" w:hAnsiTheme="majorHAnsi" w:cstheme="majorHAnsi"/>
          <w:sz w:val="20"/>
          <w:szCs w:val="20"/>
        </w:rPr>
        <w:t xml:space="preserve"> is more commonly used to refer to a place of worship, whether it be a dedicated building or a prayer room included in the regular living quarters of a Muslim household. The term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on the other hand, is still commonly used, particularly in older city or rural areas.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3B3CFF">
        <w:rPr>
          <w:rFonts w:asciiTheme="majorHAnsi" w:hAnsiTheme="majorHAnsi" w:cstheme="majorHAnsi"/>
          <w:sz w:val="20"/>
          <w:szCs w:val="20"/>
        </w:rPr>
        <w:t xml:space="preserve"> or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Tinggi (</w:t>
      </w:r>
      <w:proofErr w:type="spellStart"/>
      <w:r w:rsidRPr="003B3CFF">
        <w:rPr>
          <w:rFonts w:asciiTheme="majorHAnsi" w:hAnsiTheme="majorHAnsi" w:cstheme="majorHAnsi"/>
          <w:sz w:val="20"/>
          <w:szCs w:val="20"/>
        </w:rPr>
        <w:t>Dhuwur</w:t>
      </w:r>
      <w:proofErr w:type="spellEnd"/>
      <w:r w:rsidRPr="003B3CFF">
        <w:rPr>
          <w:rFonts w:asciiTheme="majorHAnsi" w:hAnsiTheme="majorHAnsi" w:cstheme="majorHAnsi"/>
          <w:sz w:val="20"/>
          <w:szCs w:val="20"/>
        </w:rPr>
        <w:t xml:space="preserve"> in Javanese or Tinggi in Indonesian means High) is one of the typologies whose existence is on the verge of extinction. The wooden prayer room on this structure’s second floor exemplifies the building’s unique character. Kauman in Yogyakarta is one of the Javanese Islamic districts that has preserved the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3B3CFF">
        <w:rPr>
          <w:rFonts w:asciiTheme="majorHAnsi" w:hAnsiTheme="majorHAnsi" w:cstheme="majorHAnsi"/>
          <w:sz w:val="20"/>
          <w:szCs w:val="20"/>
        </w:rPr>
        <w:t xml:space="preserve"> architectural style. Since the establishment of Yogyakarta </w:t>
      </w:r>
      <w:r w:rsidRPr="003B3CFF">
        <w:rPr>
          <w:rFonts w:asciiTheme="majorHAnsi" w:hAnsiTheme="majorHAnsi" w:cstheme="majorHAnsi"/>
          <w:sz w:val="20"/>
          <w:szCs w:val="20"/>
        </w:rPr>
        <w:lastRenderedPageBreak/>
        <w:t xml:space="preserve">as the capital of the </w:t>
      </w:r>
      <w:proofErr w:type="spellStart"/>
      <w:r w:rsidRPr="003B3CFF">
        <w:rPr>
          <w:rFonts w:asciiTheme="majorHAnsi" w:hAnsiTheme="majorHAnsi" w:cstheme="majorHAnsi"/>
          <w:sz w:val="20"/>
          <w:szCs w:val="20"/>
        </w:rPr>
        <w:t>Ngayogyakarta</w:t>
      </w:r>
      <w:proofErr w:type="spellEnd"/>
      <w:r w:rsidRPr="003B3CFF">
        <w:rPr>
          <w:rFonts w:asciiTheme="majorHAnsi" w:hAnsiTheme="majorHAnsi" w:cstheme="majorHAnsi"/>
          <w:sz w:val="20"/>
          <w:szCs w:val="20"/>
        </w:rPr>
        <w:t xml:space="preserve"> </w:t>
      </w:r>
      <w:proofErr w:type="spellStart"/>
      <w:r w:rsidRPr="003B3CFF">
        <w:rPr>
          <w:rFonts w:asciiTheme="majorHAnsi" w:hAnsiTheme="majorHAnsi" w:cstheme="majorHAnsi"/>
          <w:sz w:val="20"/>
          <w:szCs w:val="20"/>
        </w:rPr>
        <w:t>Hadiningrat</w:t>
      </w:r>
      <w:proofErr w:type="spellEnd"/>
      <w:r w:rsidRPr="003B3CFF">
        <w:rPr>
          <w:rFonts w:asciiTheme="majorHAnsi" w:hAnsiTheme="majorHAnsi" w:cstheme="majorHAnsi"/>
          <w:sz w:val="20"/>
          <w:szCs w:val="20"/>
        </w:rPr>
        <w:t xml:space="preserve"> Sultanate in the eighteenth century, this region has been inhabited by Muslims.</w:t>
      </w:r>
    </w:p>
    <w:p w14:paraId="36EDB5FE" w14:textId="2144A682" w:rsidR="0079305C" w:rsidRPr="0079305C" w:rsidRDefault="003B3CFF" w:rsidP="003B3CFF">
      <w:pPr>
        <w:ind w:firstLine="284"/>
        <w:jc w:val="both"/>
        <w:rPr>
          <w:rFonts w:asciiTheme="majorHAnsi" w:hAnsiTheme="majorHAnsi" w:cstheme="majorHAnsi"/>
          <w:sz w:val="20"/>
          <w:szCs w:val="20"/>
          <w:lang w:val="id-ID"/>
        </w:rPr>
      </w:pPr>
      <w:r w:rsidRPr="003B3CFF">
        <w:rPr>
          <w:rFonts w:asciiTheme="majorHAnsi" w:hAnsiTheme="majorHAnsi" w:cstheme="majorHAnsi"/>
          <w:sz w:val="20"/>
          <w:szCs w:val="20"/>
        </w:rPr>
        <w:t xml:space="preserve">This study aims to examine two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3B3CFF">
        <w:rPr>
          <w:rFonts w:asciiTheme="majorHAnsi" w:hAnsiTheme="majorHAnsi" w:cstheme="majorHAnsi"/>
          <w:sz w:val="20"/>
          <w:szCs w:val="20"/>
        </w:rPr>
        <w:t xml:space="preserve"> in Kauman from an architectural and narrative perspective to reveal the architectural characteristics as well as the function of the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3B3CFF">
        <w:rPr>
          <w:rFonts w:asciiTheme="majorHAnsi" w:hAnsiTheme="majorHAnsi" w:cstheme="majorHAnsi"/>
          <w:sz w:val="20"/>
          <w:szCs w:val="20"/>
        </w:rPr>
        <w:t xml:space="preserve"> in society so that it can be considered one of the architectural treasures of Nusantara architecture with an Islamic pattern and typology, as well as one of the architectural treasures of Indonesian architecture. Moreover, according to a literature review conducted in certain nations, Islamic religious architecture is primarily or exclusively referred to as a mosque or mosque complex. No other building type is comparable to the </w:t>
      </w:r>
      <w:r w:rsidR="001D4DAB" w:rsidRPr="001D4DAB">
        <w:rPr>
          <w:rFonts w:asciiTheme="majorHAnsi" w:hAnsiTheme="majorHAnsi" w:cstheme="majorHAnsi"/>
          <w:i/>
          <w:iCs/>
          <w:sz w:val="20"/>
          <w:szCs w:val="20"/>
        </w:rPr>
        <w:t>Langgar</w:t>
      </w:r>
      <w:r w:rsidRPr="003B3CFF">
        <w:rPr>
          <w:rFonts w:asciiTheme="majorHAnsi" w:hAnsiTheme="majorHAnsi" w:cstheme="majorHAnsi"/>
          <w:sz w:val="20"/>
          <w:szCs w:val="20"/>
        </w:rPr>
        <w:t xml:space="preserve"> building, and this study will reveal its cultural significance, enabling it to be recognized as a cultural heritage that must be preserved architecturally and socio-culturally</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2DEB50B1" w14:textId="4706BCB3" w:rsidR="003B3CFF" w:rsidRDefault="003B3CFF" w:rsidP="003B3CFF">
      <w:pPr>
        <w:pStyle w:val="ListParagraph"/>
        <w:numPr>
          <w:ilvl w:val="1"/>
          <w:numId w:val="2"/>
        </w:numPr>
        <w:ind w:left="567" w:hanging="284"/>
        <w:jc w:val="both"/>
        <w:rPr>
          <w:rFonts w:asciiTheme="minorHAnsi" w:hAnsiTheme="minorHAnsi" w:cstheme="minorHAnsi"/>
          <w:b/>
          <w:bCs/>
          <w:sz w:val="18"/>
          <w:szCs w:val="18"/>
        </w:rPr>
      </w:pPr>
      <w:r w:rsidRPr="003B3CFF">
        <w:rPr>
          <w:rFonts w:asciiTheme="minorHAnsi" w:hAnsiTheme="minorHAnsi" w:cstheme="minorHAnsi"/>
          <w:b/>
          <w:bCs/>
          <w:sz w:val="18"/>
          <w:szCs w:val="18"/>
        </w:rPr>
        <w:t>MOSQUE ARCHITECTURE IN JAVA</w:t>
      </w:r>
    </w:p>
    <w:p w14:paraId="3783523F" w14:textId="36E635DB" w:rsidR="003B3CFF" w:rsidRPr="00D132AE" w:rsidRDefault="003B3CFF" w:rsidP="003B3CFF">
      <w:pPr>
        <w:ind w:left="283" w:firstLine="284"/>
        <w:jc w:val="both"/>
        <w:rPr>
          <w:rFonts w:asciiTheme="majorHAnsi" w:hAnsiTheme="majorHAnsi" w:cstheme="majorHAnsi"/>
          <w:sz w:val="20"/>
          <w:szCs w:val="20"/>
          <w:lang w:val="id-ID"/>
        </w:rPr>
      </w:pPr>
      <w:r w:rsidRPr="003B3CFF">
        <w:rPr>
          <w:rFonts w:asciiTheme="majorHAnsi" w:eastAsia="Times New Roman" w:hAnsiTheme="majorHAnsi" w:cstheme="majorHAnsi"/>
          <w:sz w:val="20"/>
          <w:szCs w:val="20"/>
          <w:lang w:val="id-ID" w:eastAsia="ko-KR"/>
        </w:rPr>
        <w:t>The form of the earliest Indonesian mosques on Java, constructed in the fifteenth century, was determined by a combination of Islamic and indigenous ideas. The origins of multi-tiered roofs (tajuk) can be traced back to pre-Islamic temple reliefs and are directly related to Balinese Meru roofs [1]. The mosque architecture in Java may have been derived from the local community buildings that can be seen today as Pendapa in Java and Wantilan in Bali [2], and a sacred building with a five-roof overlap as seen in relief in several temples, including Candi Sukuh in Central Java. The relief from the Sukuh Temple depicts a sacred building with a five-tiered roof and a four-pole building as a public gathering place, which was likely an architectural reference for mosques design</w:t>
      </w:r>
      <w:r w:rsidRPr="00D132AE">
        <w:rPr>
          <w:rFonts w:asciiTheme="majorHAnsi" w:eastAsia="Times New Roman" w:hAnsiTheme="majorHAnsi" w:cstheme="majorHAnsi"/>
          <w:sz w:val="20"/>
          <w:szCs w:val="20"/>
          <w:lang w:val="id-ID" w:eastAsia="ko-KR"/>
        </w:rPr>
        <w:t>.</w:t>
      </w:r>
    </w:p>
    <w:p w14:paraId="43F6FA5A" w14:textId="77777777" w:rsidR="003B3CFF" w:rsidRPr="00D132AE" w:rsidRDefault="003B3CFF" w:rsidP="003B3CFF">
      <w:pPr>
        <w:ind w:left="283" w:firstLine="284"/>
        <w:jc w:val="both"/>
        <w:rPr>
          <w:rFonts w:asciiTheme="majorHAnsi" w:hAnsiTheme="majorHAnsi" w:cstheme="majorHAnsi"/>
          <w:sz w:val="20"/>
          <w:szCs w:val="20"/>
          <w:lang w:val="id-ID"/>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3B3CFF" w14:paraId="2008F80F" w14:textId="77777777" w:rsidTr="003B3CFF">
        <w:tc>
          <w:tcPr>
            <w:tcW w:w="9060" w:type="dxa"/>
          </w:tcPr>
          <w:p w14:paraId="6E9D350C" w14:textId="519A35D6" w:rsidR="003B3CFF" w:rsidRDefault="003B3CFF" w:rsidP="003B3CFF">
            <w:pPr>
              <w:pStyle w:val="ListParagraph"/>
              <w:ind w:left="0"/>
              <w:jc w:val="center"/>
              <w:rPr>
                <w:rFonts w:asciiTheme="minorHAnsi" w:hAnsiTheme="minorHAnsi" w:cstheme="minorHAnsi"/>
                <w:b/>
                <w:bCs/>
                <w:sz w:val="18"/>
                <w:szCs w:val="18"/>
              </w:rPr>
            </w:pPr>
            <w:r>
              <w:rPr>
                <w:noProof/>
              </w:rPr>
              <w:drawing>
                <wp:inline distT="114300" distB="114300" distL="114300" distR="114300" wp14:anchorId="2410264A" wp14:editId="1A99ACAB">
                  <wp:extent cx="2476500" cy="1562100"/>
                  <wp:effectExtent l="0" t="0" r="0" b="0"/>
                  <wp:docPr id="2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a:srcRect/>
                          <a:stretch>
                            <a:fillRect/>
                          </a:stretch>
                        </pic:blipFill>
                        <pic:spPr>
                          <a:xfrm>
                            <a:off x="0" y="0"/>
                            <a:ext cx="2477026" cy="1562432"/>
                          </a:xfrm>
                          <a:prstGeom prst="rect">
                            <a:avLst/>
                          </a:prstGeom>
                          <a:ln/>
                        </pic:spPr>
                      </pic:pic>
                    </a:graphicData>
                  </a:graphic>
                </wp:inline>
              </w:drawing>
            </w:r>
          </w:p>
        </w:tc>
      </w:tr>
      <w:tr w:rsidR="003B3CFF" w14:paraId="7972CC50" w14:textId="77777777" w:rsidTr="003B3CFF">
        <w:tc>
          <w:tcPr>
            <w:tcW w:w="9060" w:type="dxa"/>
          </w:tcPr>
          <w:p w14:paraId="39997AD6" w14:textId="77777777" w:rsidR="003B3CFF" w:rsidRDefault="003B3CFF" w:rsidP="003B3CFF">
            <w:pPr>
              <w:spacing w:line="264" w:lineRule="auto"/>
              <w:jc w:val="center"/>
              <w:rPr>
                <w:rFonts w:asciiTheme="majorHAnsi" w:hAnsiTheme="majorHAnsi" w:cstheme="majorHAnsi"/>
                <w:bCs/>
                <w:sz w:val="16"/>
                <w:szCs w:val="16"/>
              </w:rPr>
            </w:pPr>
          </w:p>
          <w:p w14:paraId="5F1CCDCA" w14:textId="21CFDF3D" w:rsidR="003B3CFF" w:rsidRPr="005E66A5" w:rsidRDefault="003B3CFF" w:rsidP="003B3CFF">
            <w:pPr>
              <w:spacing w:line="264" w:lineRule="auto"/>
              <w:jc w:val="center"/>
              <w:rPr>
                <w:rFonts w:asciiTheme="majorHAnsi" w:hAnsiTheme="majorHAnsi" w:cstheme="majorHAnsi"/>
                <w:bCs/>
                <w:sz w:val="16"/>
                <w:szCs w:val="16"/>
                <w:lang w:val="id-ID"/>
              </w:rPr>
            </w:pPr>
            <w:r>
              <w:rPr>
                <w:rFonts w:asciiTheme="majorHAnsi" w:hAnsiTheme="majorHAnsi" w:cstheme="majorHAnsi"/>
                <w:bCs/>
                <w:sz w:val="16"/>
                <w:szCs w:val="16"/>
              </w:rPr>
              <w:t>Fig</w:t>
            </w:r>
            <w:r w:rsidRPr="003B3CFF">
              <w:rPr>
                <w:rFonts w:asciiTheme="majorHAnsi" w:hAnsiTheme="majorHAnsi" w:cstheme="majorHAnsi"/>
                <w:bCs/>
                <w:sz w:val="16"/>
                <w:szCs w:val="16"/>
              </w:rPr>
              <w:t xml:space="preserve">ure 1. Scene from the </w:t>
            </w:r>
            <w:proofErr w:type="spellStart"/>
            <w:r w:rsidRPr="003B3CFF">
              <w:rPr>
                <w:rFonts w:asciiTheme="majorHAnsi" w:hAnsiTheme="majorHAnsi" w:cstheme="majorHAnsi"/>
                <w:bCs/>
                <w:sz w:val="16"/>
                <w:szCs w:val="16"/>
              </w:rPr>
              <w:t>Sudamala</w:t>
            </w:r>
            <w:proofErr w:type="spellEnd"/>
            <w:r w:rsidRPr="003B3CFF">
              <w:rPr>
                <w:rFonts w:asciiTheme="majorHAnsi" w:hAnsiTheme="majorHAnsi" w:cstheme="majorHAnsi"/>
                <w:bCs/>
                <w:sz w:val="16"/>
                <w:szCs w:val="16"/>
              </w:rPr>
              <w:t xml:space="preserve">, </w:t>
            </w:r>
            <w:proofErr w:type="spellStart"/>
            <w:r w:rsidRPr="003B3CFF">
              <w:rPr>
                <w:rFonts w:asciiTheme="majorHAnsi" w:hAnsiTheme="majorHAnsi" w:cstheme="majorHAnsi"/>
                <w:bCs/>
                <w:sz w:val="16"/>
                <w:szCs w:val="16"/>
              </w:rPr>
              <w:t>Sukuh</w:t>
            </w:r>
            <w:proofErr w:type="spellEnd"/>
            <w:r w:rsidRPr="003B3CFF">
              <w:rPr>
                <w:rFonts w:asciiTheme="majorHAnsi" w:hAnsiTheme="majorHAnsi" w:cstheme="majorHAnsi"/>
                <w:bCs/>
                <w:sz w:val="16"/>
                <w:szCs w:val="16"/>
              </w:rPr>
              <w:t xml:space="preserve"> Temple, Central Java, 15th century [3]</w:t>
            </w:r>
          </w:p>
          <w:p w14:paraId="1321241B" w14:textId="77777777" w:rsidR="003B3CFF" w:rsidRPr="003B3CFF" w:rsidRDefault="003B3CFF" w:rsidP="003B3CFF">
            <w:pPr>
              <w:pStyle w:val="ListParagraph"/>
              <w:ind w:left="0"/>
              <w:jc w:val="center"/>
              <w:rPr>
                <w:rFonts w:asciiTheme="minorHAnsi" w:hAnsiTheme="minorHAnsi" w:cstheme="minorHAnsi"/>
                <w:b/>
                <w:bCs/>
                <w:sz w:val="20"/>
                <w:szCs w:val="20"/>
              </w:rPr>
            </w:pPr>
          </w:p>
        </w:tc>
      </w:tr>
    </w:tbl>
    <w:p w14:paraId="15158B67" w14:textId="668DBB20" w:rsidR="003B3CFF" w:rsidRDefault="001D4DAB" w:rsidP="003B3CFF">
      <w:pPr>
        <w:pStyle w:val="ListParagraph"/>
        <w:numPr>
          <w:ilvl w:val="1"/>
          <w:numId w:val="2"/>
        </w:numPr>
        <w:ind w:left="567" w:hanging="284"/>
        <w:jc w:val="both"/>
        <w:rPr>
          <w:rFonts w:asciiTheme="minorHAnsi" w:hAnsiTheme="minorHAnsi" w:cstheme="minorHAnsi"/>
          <w:b/>
          <w:bCs/>
          <w:sz w:val="18"/>
          <w:szCs w:val="18"/>
        </w:rPr>
      </w:pPr>
      <w:r w:rsidRPr="001D4DAB">
        <w:rPr>
          <w:rFonts w:asciiTheme="minorHAnsi" w:hAnsiTheme="minorHAnsi" w:cstheme="minorHAnsi"/>
          <w:b/>
          <w:bCs/>
          <w:i/>
          <w:iCs/>
          <w:sz w:val="18"/>
          <w:szCs w:val="18"/>
        </w:rPr>
        <w:t>LANGGAR DHUWUR</w:t>
      </w:r>
      <w:r w:rsidR="003B3CFF" w:rsidRPr="003B3CFF">
        <w:rPr>
          <w:rFonts w:asciiTheme="minorHAnsi" w:hAnsiTheme="minorHAnsi" w:cstheme="minorHAnsi"/>
          <w:b/>
          <w:bCs/>
          <w:sz w:val="18"/>
          <w:szCs w:val="18"/>
        </w:rPr>
        <w:t xml:space="preserve"> AS A VERNACULAR FORM OF RELIGIOUS ARCHITECTURE</w:t>
      </w:r>
    </w:p>
    <w:p w14:paraId="590A168F" w14:textId="11E70364" w:rsidR="003B3CFF" w:rsidRPr="003B3CFF" w:rsidRDefault="001D4DAB" w:rsidP="003B3CFF">
      <w:pPr>
        <w:ind w:left="283" w:firstLine="284"/>
        <w:jc w:val="both"/>
        <w:rPr>
          <w:rFonts w:asciiTheme="majorHAnsi" w:eastAsia="Times New Roman" w:hAnsiTheme="majorHAnsi" w:cstheme="majorHAnsi"/>
          <w:sz w:val="20"/>
          <w:szCs w:val="20"/>
          <w:lang w:val="id-ID" w:eastAsia="ko-KR"/>
        </w:rPr>
      </w:pPr>
      <w:r w:rsidRPr="001D4DAB">
        <w:rPr>
          <w:rFonts w:asciiTheme="majorHAnsi" w:eastAsia="Times New Roman" w:hAnsiTheme="majorHAnsi" w:cstheme="majorHAnsi"/>
          <w:i/>
          <w:iCs/>
          <w:sz w:val="20"/>
          <w:szCs w:val="20"/>
          <w:lang w:val="id-ID" w:eastAsia="ko-KR"/>
        </w:rPr>
        <w:t>Langgar</w:t>
      </w:r>
      <w:r w:rsidR="003B3CFF" w:rsidRPr="003B3CFF">
        <w:rPr>
          <w:rFonts w:asciiTheme="majorHAnsi" w:eastAsia="Times New Roman" w:hAnsiTheme="majorHAnsi" w:cstheme="majorHAnsi"/>
          <w:sz w:val="20"/>
          <w:szCs w:val="20"/>
          <w:lang w:val="id-ID" w:eastAsia="ko-KR"/>
        </w:rPr>
        <w:t xml:space="preserve"> is a small prayer house, typically attached to an individual house or a separate structure [4], used for five times daily prayer but not for Friday prayers [5], [6], a merchant-built small mosque on a pole [2], [7]. The term </w:t>
      </w:r>
      <w:r w:rsidRPr="001D4DAB">
        <w:rPr>
          <w:rFonts w:asciiTheme="majorHAnsi" w:eastAsia="Times New Roman" w:hAnsiTheme="majorHAnsi" w:cstheme="majorHAnsi"/>
          <w:i/>
          <w:iCs/>
          <w:sz w:val="20"/>
          <w:szCs w:val="20"/>
          <w:lang w:val="id-ID" w:eastAsia="ko-KR"/>
        </w:rPr>
        <w:t>Langgar</w:t>
      </w:r>
      <w:r w:rsidR="003B3CFF" w:rsidRPr="003B3CFF">
        <w:rPr>
          <w:rFonts w:asciiTheme="majorHAnsi" w:eastAsia="Times New Roman" w:hAnsiTheme="majorHAnsi" w:cstheme="majorHAnsi"/>
          <w:sz w:val="20"/>
          <w:szCs w:val="20"/>
          <w:lang w:val="id-ID" w:eastAsia="ko-KR"/>
        </w:rPr>
        <w:t xml:space="preserve"> is related to Sanggar (the Sanskrit word for a place for learning, studio, or place of worship) [8], which refers to a place of worship that is part of an ancient Javanese home or within the scope of a family [9].</w:t>
      </w:r>
    </w:p>
    <w:p w14:paraId="73106016" w14:textId="2A3E8F65" w:rsidR="003B3CFF" w:rsidRPr="003B3CFF" w:rsidRDefault="001D4DAB" w:rsidP="003B3CFF">
      <w:pPr>
        <w:ind w:left="283" w:firstLine="284"/>
        <w:jc w:val="both"/>
        <w:rPr>
          <w:rFonts w:asciiTheme="majorHAnsi" w:eastAsia="Times New Roman" w:hAnsiTheme="majorHAnsi" w:cstheme="majorHAnsi"/>
          <w:sz w:val="20"/>
          <w:szCs w:val="20"/>
          <w:lang w:val="id-ID" w:eastAsia="ko-KR"/>
        </w:rPr>
      </w:pPr>
      <w:r w:rsidRPr="001D4DAB">
        <w:rPr>
          <w:rFonts w:asciiTheme="majorHAnsi" w:eastAsia="Times New Roman" w:hAnsiTheme="majorHAnsi" w:cstheme="majorHAnsi"/>
          <w:i/>
          <w:iCs/>
          <w:sz w:val="20"/>
          <w:szCs w:val="20"/>
          <w:lang w:val="id-ID" w:eastAsia="ko-KR"/>
        </w:rPr>
        <w:t>Langgar</w:t>
      </w:r>
      <w:r w:rsidR="003B3CFF" w:rsidRPr="003B3CFF">
        <w:rPr>
          <w:rFonts w:asciiTheme="majorHAnsi" w:eastAsia="Times New Roman" w:hAnsiTheme="majorHAnsi" w:cstheme="majorHAnsi"/>
          <w:sz w:val="20"/>
          <w:szCs w:val="20"/>
          <w:lang w:val="id-ID" w:eastAsia="ko-KR"/>
        </w:rPr>
        <w:t xml:space="preserve"> is frequently interchanged with Surau (in Sumatra and Malaysia) and Tajuk (in West Java). In addition, due to the development of the language, the term Musholla is more commonly used to refer to small mosques in Indonesian (from the Arabic word musholla, which means a place for prayer). Walisongo (refer to Nine Pioneer Wali or Ulama who spread Islam in Java in the 15th century) did not necessarily change the cosmography of a Sanggar or </w:t>
      </w:r>
      <w:r w:rsidRPr="001D4DAB">
        <w:rPr>
          <w:rFonts w:asciiTheme="majorHAnsi" w:eastAsia="Times New Roman" w:hAnsiTheme="majorHAnsi" w:cstheme="majorHAnsi"/>
          <w:i/>
          <w:iCs/>
          <w:sz w:val="20"/>
          <w:szCs w:val="20"/>
          <w:lang w:val="id-ID" w:eastAsia="ko-KR"/>
        </w:rPr>
        <w:t>Langgar</w:t>
      </w:r>
      <w:r w:rsidR="003B3CFF" w:rsidRPr="003B3CFF">
        <w:rPr>
          <w:rFonts w:asciiTheme="majorHAnsi" w:eastAsia="Times New Roman" w:hAnsiTheme="majorHAnsi" w:cstheme="majorHAnsi"/>
          <w:sz w:val="20"/>
          <w:szCs w:val="20"/>
          <w:lang w:val="id-ID" w:eastAsia="ko-KR"/>
        </w:rPr>
        <w:t xml:space="preserve"> to Musholla to make it more “Islamic”. Instead, they kept their original vocabulary as an acculturative preaching strategy towards the existing Javanese belief culture (Kapitayan or Kejawen) and Hindu Buddhist communities [9].</w:t>
      </w:r>
    </w:p>
    <w:p w14:paraId="7691ABEE" w14:textId="2B2D0ABF" w:rsidR="003B3CFF" w:rsidRPr="005E66A5" w:rsidRDefault="003B3CFF" w:rsidP="003B3CFF">
      <w:pPr>
        <w:ind w:left="283" w:firstLine="284"/>
        <w:jc w:val="both"/>
        <w:rPr>
          <w:rFonts w:asciiTheme="majorHAnsi" w:hAnsiTheme="majorHAnsi" w:cstheme="majorHAnsi"/>
          <w:sz w:val="20"/>
          <w:szCs w:val="20"/>
          <w:lang w:val="id-ID"/>
        </w:rPr>
      </w:pPr>
      <w:r w:rsidRPr="003B3CFF">
        <w:rPr>
          <w:rFonts w:asciiTheme="majorHAnsi" w:eastAsia="Times New Roman" w:hAnsiTheme="majorHAnsi" w:cstheme="majorHAnsi"/>
          <w:sz w:val="20"/>
          <w:szCs w:val="20"/>
          <w:lang w:val="id-ID" w:eastAsia="ko-KR"/>
        </w:rPr>
        <w:t xml:space="preserve">According to [10], there are four styles of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architecture in Java, including the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Tropo or </w:t>
      </w:r>
      <w:r w:rsidRPr="001D4DAB">
        <w:rPr>
          <w:rFonts w:asciiTheme="majorHAnsi" w:eastAsia="Times New Roman" w:hAnsiTheme="majorHAnsi" w:cstheme="majorHAnsi"/>
          <w:i/>
          <w:iCs/>
          <w:sz w:val="20"/>
          <w:szCs w:val="20"/>
          <w:lang w:val="id-ID" w:eastAsia="ko-KR"/>
        </w:rPr>
        <w:t>Angkringan</w:t>
      </w:r>
      <w:r w:rsidRPr="003B3CFF">
        <w:rPr>
          <w:rFonts w:asciiTheme="majorHAnsi" w:eastAsia="Times New Roman" w:hAnsiTheme="majorHAnsi" w:cstheme="majorHAnsi"/>
          <w:sz w:val="20"/>
          <w:szCs w:val="20"/>
          <w:lang w:val="id-ID" w:eastAsia="ko-KR"/>
        </w:rPr>
        <w:t xml:space="preserve">, consisting of a wooden house on stilts, bamboo booths, and a saddle roof.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Gedong is frequently a variant of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Tropo. The structure is no longer a stilted house but has a stone foundation, brick walls, tiled floors, and a pool for bath (Blumbang). The final is the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Meru, so named because the roof is three-tiered (Tajuk), permanent, with a mix of masonry and exquisitely carved teak wood walls, a tiled roof using Mustaka with flower bud motifs, and the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room is decorated with numerous ornaments and calligraphy, typically built by wealthy people of his time</w:t>
      </w:r>
      <w:r>
        <w:rPr>
          <w:rFonts w:asciiTheme="majorHAnsi" w:eastAsia="Times New Roman" w:hAnsiTheme="majorHAnsi" w:cstheme="majorHAnsi"/>
          <w:sz w:val="20"/>
          <w:szCs w:val="20"/>
          <w:lang w:val="id-ID" w:eastAsia="ko-KR"/>
        </w:rPr>
        <w:t>.</w:t>
      </w:r>
    </w:p>
    <w:p w14:paraId="572DD9ED" w14:textId="150E36C3" w:rsidR="005E66A5" w:rsidRDefault="005E66A5" w:rsidP="0079305C">
      <w:pPr>
        <w:jc w:val="both"/>
        <w:rPr>
          <w:rFonts w:asciiTheme="minorHAnsi" w:hAnsiTheme="minorHAnsi" w:cstheme="minorHAnsi"/>
          <w:b/>
          <w:bCs/>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3B3CFF" w14:paraId="2492E522" w14:textId="77777777" w:rsidTr="003B3CFF">
        <w:tc>
          <w:tcPr>
            <w:tcW w:w="8503" w:type="dxa"/>
          </w:tcPr>
          <w:p w14:paraId="4CE5BD10" w14:textId="6492EE0F" w:rsidR="003B3CFF" w:rsidRDefault="003B3CFF" w:rsidP="00F5397D">
            <w:pPr>
              <w:pStyle w:val="ListParagraph"/>
              <w:ind w:left="0"/>
              <w:jc w:val="center"/>
              <w:rPr>
                <w:rFonts w:asciiTheme="minorHAnsi" w:hAnsiTheme="minorHAnsi" w:cstheme="minorHAnsi"/>
                <w:b/>
                <w:bCs/>
                <w:sz w:val="18"/>
                <w:szCs w:val="18"/>
              </w:rPr>
            </w:pPr>
            <w:r>
              <w:rPr>
                <w:noProof/>
              </w:rPr>
              <w:lastRenderedPageBreak/>
              <w:drawing>
                <wp:inline distT="0" distB="0" distL="0" distR="0" wp14:anchorId="73C3AF81" wp14:editId="6E31F3EA">
                  <wp:extent cx="2640330" cy="2127885"/>
                  <wp:effectExtent l="0" t="0" r="7620" b="5715"/>
                  <wp:docPr id="1766983319" name="Picture 176698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lika Langgar Trop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0330" cy="2127885"/>
                          </a:xfrm>
                          <a:prstGeom prst="rect">
                            <a:avLst/>
                          </a:prstGeom>
                        </pic:spPr>
                      </pic:pic>
                    </a:graphicData>
                  </a:graphic>
                </wp:inline>
              </w:drawing>
            </w:r>
          </w:p>
        </w:tc>
      </w:tr>
      <w:tr w:rsidR="003B3CFF" w14:paraId="70B7E5B1" w14:textId="77777777" w:rsidTr="003B3CFF">
        <w:tc>
          <w:tcPr>
            <w:tcW w:w="8503" w:type="dxa"/>
          </w:tcPr>
          <w:p w14:paraId="326D066B" w14:textId="77777777" w:rsidR="003B3CFF" w:rsidRDefault="003B3CFF" w:rsidP="00F5397D">
            <w:pPr>
              <w:spacing w:line="264" w:lineRule="auto"/>
              <w:jc w:val="center"/>
              <w:rPr>
                <w:rFonts w:asciiTheme="majorHAnsi" w:hAnsiTheme="majorHAnsi" w:cstheme="majorHAnsi"/>
                <w:bCs/>
                <w:sz w:val="16"/>
                <w:szCs w:val="16"/>
              </w:rPr>
            </w:pPr>
          </w:p>
          <w:p w14:paraId="1B9C1223" w14:textId="7B3BA4F0" w:rsidR="003B3CFF" w:rsidRPr="005E66A5" w:rsidRDefault="003B3CFF" w:rsidP="00F5397D">
            <w:pPr>
              <w:spacing w:line="264" w:lineRule="auto"/>
              <w:jc w:val="center"/>
              <w:rPr>
                <w:rFonts w:asciiTheme="majorHAnsi" w:hAnsiTheme="majorHAnsi" w:cstheme="majorHAnsi"/>
                <w:bCs/>
                <w:sz w:val="16"/>
                <w:szCs w:val="16"/>
                <w:lang w:val="id-ID"/>
              </w:rPr>
            </w:pPr>
            <w:r w:rsidRPr="003B3CFF">
              <w:rPr>
                <w:rFonts w:asciiTheme="majorHAnsi" w:hAnsiTheme="majorHAnsi" w:cstheme="majorHAnsi"/>
                <w:bCs/>
                <w:sz w:val="16"/>
                <w:szCs w:val="16"/>
              </w:rPr>
              <w:t>Figure 2</w:t>
            </w:r>
            <w:r w:rsidR="00894F31">
              <w:rPr>
                <w:rFonts w:asciiTheme="majorHAnsi" w:hAnsiTheme="majorHAnsi" w:cstheme="majorHAnsi"/>
                <w:bCs/>
                <w:sz w:val="16"/>
                <w:szCs w:val="16"/>
              </w:rPr>
              <w:t>.</w:t>
            </w:r>
            <w:r w:rsidRPr="003B3CFF">
              <w:rPr>
                <w:rFonts w:asciiTheme="majorHAnsi" w:hAnsiTheme="majorHAnsi" w:cstheme="majorHAnsi"/>
                <w:bCs/>
                <w:sz w:val="16"/>
                <w:szCs w:val="16"/>
              </w:rPr>
              <w:t xml:space="preserve"> A Replica of </w:t>
            </w:r>
            <w:r w:rsidR="001D4DAB" w:rsidRPr="001D4DAB">
              <w:rPr>
                <w:rFonts w:asciiTheme="majorHAnsi" w:hAnsiTheme="majorHAnsi" w:cstheme="majorHAnsi"/>
                <w:bCs/>
                <w:i/>
                <w:iCs/>
                <w:sz w:val="16"/>
                <w:szCs w:val="16"/>
              </w:rPr>
              <w:t>Langgar</w:t>
            </w:r>
            <w:r w:rsidRPr="003B3CFF">
              <w:rPr>
                <w:rFonts w:asciiTheme="majorHAnsi" w:hAnsiTheme="majorHAnsi" w:cstheme="majorHAnsi"/>
                <w:bCs/>
                <w:sz w:val="16"/>
                <w:szCs w:val="16"/>
              </w:rPr>
              <w:t xml:space="preserve"> </w:t>
            </w:r>
            <w:proofErr w:type="spellStart"/>
            <w:r w:rsidRPr="003B3CFF">
              <w:rPr>
                <w:rFonts w:asciiTheme="majorHAnsi" w:hAnsiTheme="majorHAnsi" w:cstheme="majorHAnsi"/>
                <w:bCs/>
                <w:sz w:val="16"/>
                <w:szCs w:val="16"/>
              </w:rPr>
              <w:t>Tropo</w:t>
            </w:r>
            <w:proofErr w:type="spellEnd"/>
            <w:r w:rsidRPr="003B3CFF">
              <w:rPr>
                <w:rFonts w:asciiTheme="majorHAnsi" w:hAnsiTheme="majorHAnsi" w:cstheme="majorHAnsi"/>
                <w:bCs/>
                <w:sz w:val="16"/>
                <w:szCs w:val="16"/>
              </w:rPr>
              <w:t xml:space="preserve"> Nearby Yogyakarta</w:t>
            </w:r>
          </w:p>
          <w:p w14:paraId="4D708555" w14:textId="77777777" w:rsidR="003B3CFF" w:rsidRPr="003B3CFF" w:rsidRDefault="003B3CFF" w:rsidP="00F5397D">
            <w:pPr>
              <w:pStyle w:val="ListParagraph"/>
              <w:ind w:left="0"/>
              <w:jc w:val="center"/>
              <w:rPr>
                <w:rFonts w:asciiTheme="minorHAnsi" w:hAnsiTheme="minorHAnsi" w:cstheme="minorHAnsi"/>
                <w:b/>
                <w:bCs/>
                <w:sz w:val="20"/>
                <w:szCs w:val="20"/>
              </w:rPr>
            </w:pPr>
          </w:p>
        </w:tc>
      </w:tr>
    </w:tbl>
    <w:p w14:paraId="4468C86C" w14:textId="75BFFA2E" w:rsidR="005E66A5" w:rsidRDefault="003B3CFF" w:rsidP="003B3CFF">
      <w:pPr>
        <w:ind w:left="284" w:firstLine="283"/>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 xml:space="preserve">Functionally,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is the smallest religious building entity or Islamic institution in Javanese society [11]. Madura Island (a small island to the north of Java) is designated as a neighborhood school where children learn fundamental religious lessons, such as reciting the Qur'an and performing rituals such as daily prayers [12]. According to Geertz [4],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serves as a school, a place of worship, and a location for religious brotherhood, all connected to the Javanese and the larger Islamic society. Tarekat was another form of mysticism practiced by the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In terms of ownership,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is typically constructed by aristocrats (Priyayi) and Hajj (Haji), who are wealthy individuals who endow (waqf) their land to be used as a place of worship as part of the community's responsibilities that wealthy individuals must assist the less fortunate [1].</w:t>
      </w:r>
    </w:p>
    <w:p w14:paraId="788EE39B" w14:textId="77777777" w:rsidR="003B3CFF" w:rsidRDefault="003B3CFF" w:rsidP="003B3CFF">
      <w:pPr>
        <w:ind w:left="284" w:firstLine="283"/>
        <w:rPr>
          <w:rFonts w:asciiTheme="majorHAnsi" w:eastAsia="Times New Roman" w:hAnsiTheme="majorHAnsi" w:cstheme="majorHAnsi"/>
          <w:sz w:val="20"/>
          <w:szCs w:val="20"/>
          <w:lang w:val="id-ID" w:eastAsia="ko-KR"/>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3B3CFF" w14:paraId="43D29993" w14:textId="77777777" w:rsidTr="00F5397D">
        <w:tc>
          <w:tcPr>
            <w:tcW w:w="8503" w:type="dxa"/>
          </w:tcPr>
          <w:p w14:paraId="70929E5F" w14:textId="77E3FC10" w:rsidR="003B3CFF" w:rsidRDefault="003B3CFF" w:rsidP="00F5397D">
            <w:pPr>
              <w:pStyle w:val="ListParagraph"/>
              <w:ind w:left="0"/>
              <w:jc w:val="center"/>
              <w:rPr>
                <w:rFonts w:asciiTheme="minorHAnsi" w:hAnsiTheme="minorHAnsi" w:cstheme="minorHAnsi"/>
                <w:b/>
                <w:bCs/>
                <w:sz w:val="18"/>
                <w:szCs w:val="18"/>
              </w:rPr>
            </w:pPr>
            <w:r>
              <w:rPr>
                <w:noProof/>
              </w:rPr>
              <w:drawing>
                <wp:inline distT="114300" distB="114300" distL="114300" distR="114300" wp14:anchorId="0049F278" wp14:editId="2FE7946D">
                  <wp:extent cx="3384550" cy="1943100"/>
                  <wp:effectExtent l="0" t="0" r="6350" b="0"/>
                  <wp:docPr id="3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1"/>
                          <a:srcRect/>
                          <a:stretch>
                            <a:fillRect/>
                          </a:stretch>
                        </pic:blipFill>
                        <pic:spPr>
                          <a:xfrm>
                            <a:off x="0" y="0"/>
                            <a:ext cx="3388720" cy="1945494"/>
                          </a:xfrm>
                          <a:prstGeom prst="rect">
                            <a:avLst/>
                          </a:prstGeom>
                          <a:ln/>
                        </pic:spPr>
                      </pic:pic>
                    </a:graphicData>
                  </a:graphic>
                </wp:inline>
              </w:drawing>
            </w:r>
          </w:p>
        </w:tc>
      </w:tr>
      <w:tr w:rsidR="003B3CFF" w14:paraId="73C87FC8" w14:textId="77777777" w:rsidTr="00F5397D">
        <w:tc>
          <w:tcPr>
            <w:tcW w:w="8503" w:type="dxa"/>
          </w:tcPr>
          <w:p w14:paraId="015A6802" w14:textId="77777777" w:rsidR="003B3CFF" w:rsidRDefault="003B3CFF" w:rsidP="00F5397D">
            <w:pPr>
              <w:spacing w:line="264" w:lineRule="auto"/>
              <w:jc w:val="center"/>
              <w:rPr>
                <w:rFonts w:asciiTheme="majorHAnsi" w:hAnsiTheme="majorHAnsi" w:cstheme="majorHAnsi"/>
                <w:bCs/>
                <w:sz w:val="16"/>
                <w:szCs w:val="16"/>
              </w:rPr>
            </w:pPr>
          </w:p>
          <w:p w14:paraId="0454D2C5" w14:textId="40DFF6EA" w:rsidR="003B3CFF" w:rsidRPr="005E66A5" w:rsidRDefault="003B3CFF" w:rsidP="00F5397D">
            <w:pPr>
              <w:spacing w:line="264" w:lineRule="auto"/>
              <w:jc w:val="center"/>
              <w:rPr>
                <w:rFonts w:asciiTheme="majorHAnsi" w:hAnsiTheme="majorHAnsi" w:cstheme="majorHAnsi"/>
                <w:bCs/>
                <w:sz w:val="16"/>
                <w:szCs w:val="16"/>
                <w:lang w:val="id-ID"/>
              </w:rPr>
            </w:pPr>
            <w:r w:rsidRPr="003B3CFF">
              <w:rPr>
                <w:rFonts w:asciiTheme="majorHAnsi" w:hAnsiTheme="majorHAnsi" w:cstheme="majorHAnsi"/>
                <w:bCs/>
                <w:sz w:val="16"/>
                <w:szCs w:val="16"/>
              </w:rPr>
              <w:t xml:space="preserve">Figure 3. Map of </w:t>
            </w:r>
            <w:r w:rsidR="001D4DAB" w:rsidRPr="001D4DAB">
              <w:rPr>
                <w:rFonts w:asciiTheme="majorHAnsi" w:hAnsiTheme="majorHAnsi" w:cstheme="majorHAnsi"/>
                <w:bCs/>
                <w:i/>
                <w:iCs/>
                <w:sz w:val="16"/>
                <w:szCs w:val="16"/>
              </w:rPr>
              <w:t xml:space="preserve">Langgar </w:t>
            </w:r>
            <w:proofErr w:type="spellStart"/>
            <w:r w:rsidR="001D4DAB" w:rsidRPr="001D4DAB">
              <w:rPr>
                <w:rFonts w:asciiTheme="majorHAnsi" w:hAnsiTheme="majorHAnsi" w:cstheme="majorHAnsi"/>
                <w:bCs/>
                <w:i/>
                <w:iCs/>
                <w:sz w:val="16"/>
                <w:szCs w:val="16"/>
              </w:rPr>
              <w:t>Dhuwur</w:t>
            </w:r>
            <w:proofErr w:type="spellEnd"/>
            <w:r w:rsidRPr="003B3CFF">
              <w:rPr>
                <w:rFonts w:asciiTheme="majorHAnsi" w:hAnsiTheme="majorHAnsi" w:cstheme="majorHAnsi"/>
                <w:bCs/>
                <w:sz w:val="16"/>
                <w:szCs w:val="16"/>
              </w:rPr>
              <w:t xml:space="preserve"> in Java</w:t>
            </w:r>
          </w:p>
          <w:p w14:paraId="45269254" w14:textId="77777777" w:rsidR="003B3CFF" w:rsidRPr="003B3CFF" w:rsidRDefault="003B3CFF" w:rsidP="00F5397D">
            <w:pPr>
              <w:pStyle w:val="ListParagraph"/>
              <w:ind w:left="0"/>
              <w:jc w:val="center"/>
              <w:rPr>
                <w:rFonts w:asciiTheme="minorHAnsi" w:hAnsiTheme="minorHAnsi" w:cstheme="minorHAnsi"/>
                <w:b/>
                <w:bCs/>
                <w:sz w:val="20"/>
                <w:szCs w:val="20"/>
              </w:rPr>
            </w:pPr>
          </w:p>
        </w:tc>
      </w:tr>
    </w:tbl>
    <w:p w14:paraId="31F71FFB" w14:textId="71AE26A9" w:rsidR="003B3CFF" w:rsidRDefault="001D4DAB" w:rsidP="003B3CFF">
      <w:pPr>
        <w:ind w:left="284" w:firstLine="283"/>
        <w:jc w:val="both"/>
        <w:rPr>
          <w:rFonts w:asciiTheme="majorHAnsi" w:eastAsia="Times New Roman" w:hAnsiTheme="majorHAnsi" w:cstheme="majorHAnsi"/>
          <w:sz w:val="20"/>
          <w:szCs w:val="20"/>
          <w:lang w:val="id-ID" w:eastAsia="ko-KR"/>
        </w:rPr>
      </w:pP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 is a family mosque located within a compound for family or community prayers [13], with a simple wooden platform architecture and a traditional Hip roof (Limasan)[14]. Figure 3 demonstrates the distribution of </w:t>
      </w: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 in Java. From Jakarta in West Java to Surabaya in East Java, at least 11 </w:t>
      </w: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 still exist today, according to a review of the relevant literature. A </w:t>
      </w: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 in Tegal and Jakarta, cities on Coastal Java, was constructed to conduct religious activities for seafarers from Arab (Moors), Indian (Koja), and Gujarati seafarers [6] [15]. </w:t>
      </w: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 in Lamongan (constructed in the 1920s) is the birthplace of Pesantren (Islami Boarding School) Tahfidhul Qur'an, which was established by Kyai Haji Mastur Asnawi [14]. </w:t>
      </w: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's role as the birthplace of Pesantren was also played out in </w:t>
      </w: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 Kyai Haji Muhsen Kauman Yogyakarta.</w:t>
      </w:r>
    </w:p>
    <w:p w14:paraId="64ED92E4" w14:textId="77777777" w:rsidR="003B3CFF" w:rsidRDefault="003B3CFF" w:rsidP="003B3CFF">
      <w:pPr>
        <w:ind w:left="284" w:firstLine="283"/>
        <w:jc w:val="both"/>
        <w:rPr>
          <w:rFonts w:asciiTheme="majorHAnsi" w:eastAsia="Times New Roman" w:hAnsiTheme="majorHAnsi" w:cstheme="majorHAnsi"/>
          <w:sz w:val="20"/>
          <w:szCs w:val="20"/>
          <w:lang w:val="id-ID" w:eastAsia="ko-KR"/>
        </w:rPr>
      </w:pPr>
    </w:p>
    <w:p w14:paraId="2AE3A885" w14:textId="78A6912D" w:rsidR="003B3CFF" w:rsidRDefault="003B3CFF" w:rsidP="003B3CFF">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7AC4C8BC" w14:textId="00199CD9" w:rsidR="003B3CFF" w:rsidRPr="005E66A5" w:rsidRDefault="003B3CFF" w:rsidP="003B3CFF">
      <w:pPr>
        <w:ind w:firstLine="284"/>
        <w:jc w:val="both"/>
        <w:rPr>
          <w:rFonts w:asciiTheme="majorHAnsi" w:hAnsiTheme="majorHAnsi" w:cstheme="majorHAnsi"/>
          <w:b/>
          <w:sz w:val="20"/>
          <w:szCs w:val="20"/>
          <w:lang w:val="id-ID"/>
        </w:rPr>
      </w:pPr>
      <w:r w:rsidRPr="003B3CFF">
        <w:rPr>
          <w:rFonts w:asciiTheme="majorHAnsi" w:hAnsiTheme="majorHAnsi" w:cstheme="majorHAnsi"/>
          <w:sz w:val="20"/>
          <w:szCs w:val="20"/>
        </w:rPr>
        <w:t xml:space="preserve">As a starting point for this investigation, we conducted direct visual observations of religious structures in Kauman, Yogyakarta. In the next section, we will examine the two case studies,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3B3CFF">
        <w:rPr>
          <w:rFonts w:asciiTheme="majorHAnsi" w:hAnsiTheme="majorHAnsi" w:cstheme="majorHAnsi"/>
          <w:sz w:val="20"/>
          <w:szCs w:val="20"/>
        </w:rPr>
        <w:t xml:space="preserve"> Kyai Haji Muhsen and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3B3CFF">
        <w:rPr>
          <w:rFonts w:asciiTheme="majorHAnsi" w:hAnsiTheme="majorHAnsi" w:cstheme="majorHAnsi"/>
          <w:sz w:val="20"/>
          <w:szCs w:val="20"/>
        </w:rPr>
        <w:t xml:space="preserve"> Kyai Haji Ahmad Dahlan, in greater detail. Our direct observations allowed us to understand the area's context better, and our outputs of photographs, building sketches, and measured drawings allowed us to see in detail the existing condition of the two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3B3CFF">
        <w:rPr>
          <w:rFonts w:asciiTheme="majorHAnsi" w:hAnsiTheme="majorHAnsi" w:cstheme="majorHAnsi"/>
          <w:sz w:val="20"/>
          <w:szCs w:val="20"/>
        </w:rPr>
        <w:t xml:space="preserve"> structures' form and spatial organization. The </w:t>
      </w:r>
      <w:r w:rsidRPr="003B3CFF">
        <w:rPr>
          <w:rFonts w:asciiTheme="majorHAnsi" w:hAnsiTheme="majorHAnsi" w:cstheme="majorHAnsi"/>
          <w:sz w:val="20"/>
          <w:szCs w:val="20"/>
        </w:rPr>
        <w:lastRenderedPageBreak/>
        <w:t>attention to detail and ornamentation were also considered to identify the building's distinguishing features. During the measured drawing process, there was extensive communication with the building's owner/manager to collect information about its history, function, form, and significance to the local community. Open-ended interviews were conducted with critical questions prepared in advance, and dynamic development occurred on the ground. After collecting primary data through field observation, we organized it into the five major themes explained in Table 1</w:t>
      </w:r>
      <w:r w:rsidRPr="005E66A5">
        <w:rPr>
          <w:rFonts w:asciiTheme="majorHAnsi" w:hAnsiTheme="majorHAnsi" w:cstheme="majorHAnsi"/>
          <w:sz w:val="20"/>
          <w:szCs w:val="20"/>
        </w:rPr>
        <w:t>.</w:t>
      </w:r>
    </w:p>
    <w:p w14:paraId="6A55CD01" w14:textId="77777777" w:rsidR="003B3CFF" w:rsidRDefault="003B3CFF" w:rsidP="003B3CFF">
      <w:pPr>
        <w:jc w:val="both"/>
        <w:rPr>
          <w:rFonts w:asciiTheme="minorHAnsi" w:hAnsiTheme="minorHAnsi" w:cstheme="minorHAnsi"/>
          <w:b/>
          <w:bCs/>
        </w:rPr>
      </w:pPr>
    </w:p>
    <w:p w14:paraId="07CB995C" w14:textId="0F9C5934" w:rsidR="003B3CFF" w:rsidRDefault="003B3CFF" w:rsidP="003B3CFF">
      <w:pPr>
        <w:jc w:val="center"/>
        <w:rPr>
          <w:rFonts w:asciiTheme="majorHAnsi" w:hAnsiTheme="majorHAnsi" w:cstheme="majorHAnsi"/>
          <w:sz w:val="16"/>
          <w:szCs w:val="16"/>
        </w:rPr>
      </w:pPr>
      <w:r w:rsidRPr="003B3CFF">
        <w:rPr>
          <w:rFonts w:asciiTheme="majorHAnsi" w:hAnsiTheme="majorHAnsi" w:cstheme="majorHAnsi"/>
          <w:sz w:val="16"/>
          <w:szCs w:val="16"/>
        </w:rPr>
        <w:t xml:space="preserve">Table 1. Parameter of </w:t>
      </w:r>
      <w:r w:rsidR="001D4DAB" w:rsidRPr="001D4DAB">
        <w:rPr>
          <w:rFonts w:asciiTheme="majorHAnsi" w:hAnsiTheme="majorHAnsi" w:cstheme="majorHAnsi"/>
          <w:i/>
          <w:iCs/>
          <w:sz w:val="16"/>
          <w:szCs w:val="16"/>
        </w:rPr>
        <w:t xml:space="preserve">Langgar </w:t>
      </w:r>
      <w:proofErr w:type="spellStart"/>
      <w:r w:rsidR="001D4DAB" w:rsidRPr="001D4DAB">
        <w:rPr>
          <w:rFonts w:asciiTheme="majorHAnsi" w:hAnsiTheme="majorHAnsi" w:cstheme="majorHAnsi"/>
          <w:i/>
          <w:iCs/>
          <w:sz w:val="16"/>
          <w:szCs w:val="16"/>
        </w:rPr>
        <w:t>Dhuwur</w:t>
      </w:r>
      <w:proofErr w:type="spellEnd"/>
      <w:r w:rsidRPr="003B3CFF">
        <w:rPr>
          <w:rFonts w:asciiTheme="majorHAnsi" w:hAnsiTheme="majorHAnsi" w:cstheme="majorHAnsi"/>
          <w:sz w:val="16"/>
          <w:szCs w:val="16"/>
        </w:rPr>
        <w:t xml:space="preserve"> as Religious Architecture</w:t>
      </w:r>
      <w:r>
        <w:rPr>
          <w:rFonts w:asciiTheme="majorHAnsi" w:hAnsiTheme="majorHAnsi" w:cstheme="majorHAnsi"/>
          <w:sz w:val="16"/>
          <w:szCs w:val="16"/>
        </w:rPr>
        <w:t xml:space="preserve"> [</w:t>
      </w:r>
      <w:r w:rsidRPr="003B3CFF">
        <w:rPr>
          <w:rFonts w:asciiTheme="majorHAnsi" w:hAnsiTheme="majorHAnsi" w:cstheme="majorHAnsi"/>
          <w:sz w:val="16"/>
          <w:szCs w:val="16"/>
        </w:rPr>
        <w:t xml:space="preserve">modified from </w:t>
      </w:r>
      <w:r w:rsidRPr="003B3CFF">
        <w:rPr>
          <w:rStyle w:val="FootnoteReference"/>
          <w:rFonts w:asciiTheme="majorHAnsi" w:hAnsiTheme="majorHAnsi" w:cstheme="majorHAnsi"/>
          <w:sz w:val="16"/>
          <w:szCs w:val="16"/>
        </w:rPr>
        <w:fldChar w:fldCharType="begin" w:fldLock="1"/>
      </w:r>
      <w:r w:rsidRPr="003B3CFF">
        <w:rPr>
          <w:rFonts w:asciiTheme="majorHAnsi" w:hAnsiTheme="majorHAnsi" w:cstheme="majorHAnsi"/>
          <w:sz w:val="16"/>
          <w:szCs w:val="16"/>
        </w:rPr>
        <w:instrText>ADDIN CSL_CITATION {"citationItems":[{"id":"ITEM-1","itemData":{"author":[{"dropping-particle":"","family":"Crosbie","given":"M. J.","non-dropping-particle":"","parse-names":false,"suffix":""}],"id":"ITEM-1","issued":{"date-parts":[["2006"]]},"publisher":"Images Publishing","title":"Houses of God: religious architecture for a new millennium","type":"book"},"uris":["http://www.mendeley.com/documents/?uuid=fc74ae58-b18f-430f-af04-87b3d0453598"]},{"id":"ITEM-2","itemData":{"DOI":"10.1017/9789048518340.001","abstract":"Religious Architecture: Anthropological Perspectives / Oskar Verkaaik -- Stability, Continuity, Place: An English Benedictine Monastery as a Case Study in Counterfactual Architecture / Richard D.G. Irvine -- The Biggest Mosque in Europe! : A Symmetrical Anthropology of Islamic Architecture in Rotterdam / Pooyan Tamimi Arab -- Golden Storm: The Ecstasy of the Igreja de São Francisco, Salvador da Bahia, Brazil / Mattijs van de Port -- Works of Penance: New Churches in Post-Soviet Russia / Tobias Köllner -- Divining Siddhivinayak: The Temple and the City / Markha Valenta -- The Djenné Mosque: World Heritage and Social Renewal in a West African Town / Trevor H.J. Marchand -- The New Morabitun Mosque of Granada and the Sensational Practices of Al Andaluz / Oskar Verkaaik -- The Israelite Temple of Florence / Ivan Kalmar -- The Mosque in Britain Finding its Place / Shahed Saleem -- About the Authors -- Index.","author":[{"dropping-particle":"","family":"Verkaaik","given":"Oskar","non-dropping-particle":"","parse-names":false,"suffix":""}],"container-title":"Religious Architecture","id":"ITEM-2","issued":{"date-parts":[["2021"]]},"page":"7-24","title":"Religious Architecture: Anthropological Perspectives","type":"article-journal"},"uris":["http://www.mendeley.com/documents/?uuid=6a1816bf-2eed-4550-9ae4-ba8271a06dee"]}],"mendeley":{"formattedCitation":"[14], [15]","plainTextFormattedCitation":"[14], [15]","previouslyFormattedCitation":"[14], [15]"},"properties":{"noteIndex":0},"schema":"https://github.com/citation-style-language/schema/raw/master/csl-citation.json"}</w:instrText>
      </w:r>
      <w:r w:rsidRPr="003B3CFF">
        <w:rPr>
          <w:rStyle w:val="FootnoteReference"/>
          <w:rFonts w:asciiTheme="majorHAnsi" w:hAnsiTheme="majorHAnsi" w:cstheme="majorHAnsi"/>
          <w:sz w:val="16"/>
          <w:szCs w:val="16"/>
        </w:rPr>
        <w:fldChar w:fldCharType="separate"/>
      </w:r>
      <w:r w:rsidRPr="003B3CFF">
        <w:rPr>
          <w:rFonts w:asciiTheme="majorHAnsi" w:hAnsiTheme="majorHAnsi" w:cstheme="majorHAnsi"/>
          <w:noProof/>
          <w:sz w:val="16"/>
          <w:szCs w:val="16"/>
        </w:rPr>
        <w:t>[16],</w:t>
      </w:r>
      <w:r w:rsidRPr="003B3CFF">
        <w:rPr>
          <w:rStyle w:val="FootnoteReference"/>
          <w:rFonts w:asciiTheme="majorHAnsi" w:hAnsiTheme="majorHAnsi" w:cstheme="majorHAnsi"/>
          <w:sz w:val="16"/>
          <w:szCs w:val="16"/>
        </w:rPr>
        <w:fldChar w:fldCharType="end"/>
      </w:r>
      <w:r w:rsidRPr="003B3CFF">
        <w:rPr>
          <w:rFonts w:asciiTheme="majorHAnsi" w:hAnsiTheme="majorHAnsi" w:cstheme="majorHAnsi"/>
          <w:sz w:val="16"/>
          <w:szCs w:val="16"/>
        </w:rPr>
        <w:t>[17]</w:t>
      </w:r>
      <w:r>
        <w:rPr>
          <w:rFonts w:asciiTheme="majorHAnsi" w:hAnsiTheme="majorHAnsi" w:cstheme="majorHAnsi"/>
          <w:sz w:val="16"/>
          <w:szCs w:val="16"/>
        </w:rPr>
        <w:t>]</w:t>
      </w:r>
    </w:p>
    <w:p w14:paraId="2717E222" w14:textId="77777777" w:rsidR="003B3CFF" w:rsidRPr="003B3CFF" w:rsidRDefault="003B3CFF" w:rsidP="003B3CFF">
      <w:pPr>
        <w:jc w:val="center"/>
        <w:rPr>
          <w:rFonts w:asciiTheme="majorHAnsi" w:hAnsiTheme="majorHAnsi" w:cstheme="majorHAnsi"/>
          <w:sz w:val="6"/>
          <w:szCs w:val="6"/>
        </w:rPr>
      </w:pPr>
    </w:p>
    <w:tbl>
      <w:tblPr>
        <w:tblW w:w="4111" w:type="dxa"/>
        <w:tblInd w:w="2202" w:type="dxa"/>
        <w:tblBorders>
          <w:top w:val="single" w:sz="4" w:space="0" w:color="000000"/>
          <w:bottom w:val="single" w:sz="4" w:space="0" w:color="000000"/>
        </w:tblBorders>
        <w:tblLayout w:type="fixed"/>
        <w:tblLook w:val="0400" w:firstRow="0" w:lastRow="0" w:firstColumn="0" w:lastColumn="0" w:noHBand="0" w:noVBand="1"/>
      </w:tblPr>
      <w:tblGrid>
        <w:gridCol w:w="426"/>
        <w:gridCol w:w="3685"/>
      </w:tblGrid>
      <w:tr w:rsidR="003B3CFF" w:rsidRPr="003B3CFF" w14:paraId="5E959E0B" w14:textId="77777777" w:rsidTr="00F5397D">
        <w:tc>
          <w:tcPr>
            <w:tcW w:w="426" w:type="dxa"/>
            <w:tcBorders>
              <w:bottom w:val="single" w:sz="4" w:space="0" w:color="000000"/>
            </w:tcBorders>
            <w:shd w:val="clear" w:color="auto" w:fill="auto"/>
          </w:tcPr>
          <w:p w14:paraId="28C7005E" w14:textId="77777777" w:rsidR="003B3CFF" w:rsidRPr="003B3CFF" w:rsidRDefault="003B3CFF" w:rsidP="00F5397D">
            <w:pPr>
              <w:jc w:val="center"/>
              <w:rPr>
                <w:rFonts w:asciiTheme="majorHAnsi" w:hAnsiTheme="majorHAnsi" w:cstheme="majorHAnsi"/>
                <w:sz w:val="16"/>
                <w:szCs w:val="16"/>
              </w:rPr>
            </w:pPr>
            <w:r w:rsidRPr="003B3CFF">
              <w:rPr>
                <w:rFonts w:asciiTheme="majorHAnsi" w:hAnsiTheme="majorHAnsi" w:cstheme="majorHAnsi"/>
                <w:sz w:val="16"/>
                <w:szCs w:val="16"/>
              </w:rPr>
              <w:t>No</w:t>
            </w:r>
          </w:p>
        </w:tc>
        <w:tc>
          <w:tcPr>
            <w:tcW w:w="3685" w:type="dxa"/>
            <w:tcBorders>
              <w:bottom w:val="single" w:sz="4" w:space="0" w:color="000000"/>
            </w:tcBorders>
            <w:shd w:val="clear" w:color="auto" w:fill="auto"/>
          </w:tcPr>
          <w:p w14:paraId="7565D47C" w14:textId="77777777" w:rsidR="003B3CFF" w:rsidRPr="003B3CFF" w:rsidRDefault="003B3CFF" w:rsidP="00F5397D">
            <w:pPr>
              <w:jc w:val="center"/>
              <w:rPr>
                <w:rFonts w:asciiTheme="majorHAnsi" w:hAnsiTheme="majorHAnsi" w:cstheme="majorHAnsi"/>
                <w:sz w:val="16"/>
                <w:szCs w:val="16"/>
              </w:rPr>
            </w:pPr>
            <w:r w:rsidRPr="003B3CFF">
              <w:rPr>
                <w:rFonts w:asciiTheme="majorHAnsi" w:hAnsiTheme="majorHAnsi" w:cstheme="majorHAnsi"/>
                <w:sz w:val="16"/>
                <w:szCs w:val="16"/>
              </w:rPr>
              <w:t>Parameter</w:t>
            </w:r>
          </w:p>
        </w:tc>
      </w:tr>
      <w:tr w:rsidR="003B3CFF" w:rsidRPr="003B3CFF" w14:paraId="1FEDB0B8" w14:textId="77777777" w:rsidTr="00F5397D">
        <w:tc>
          <w:tcPr>
            <w:tcW w:w="426" w:type="dxa"/>
            <w:tcBorders>
              <w:bottom w:val="nil"/>
            </w:tcBorders>
            <w:shd w:val="clear" w:color="auto" w:fill="auto"/>
          </w:tcPr>
          <w:p w14:paraId="2CDCF5B9" w14:textId="77777777" w:rsidR="003B3CFF" w:rsidRPr="003B3CFF" w:rsidRDefault="003B3CFF" w:rsidP="00F5397D">
            <w:pPr>
              <w:jc w:val="center"/>
              <w:rPr>
                <w:rFonts w:asciiTheme="majorHAnsi" w:hAnsiTheme="majorHAnsi" w:cstheme="majorHAnsi"/>
                <w:sz w:val="16"/>
                <w:szCs w:val="16"/>
              </w:rPr>
            </w:pPr>
            <w:r w:rsidRPr="003B3CFF">
              <w:rPr>
                <w:rFonts w:asciiTheme="majorHAnsi" w:hAnsiTheme="majorHAnsi" w:cstheme="majorHAnsi"/>
                <w:sz w:val="16"/>
                <w:szCs w:val="16"/>
              </w:rPr>
              <w:t>1</w:t>
            </w:r>
          </w:p>
        </w:tc>
        <w:tc>
          <w:tcPr>
            <w:tcW w:w="3685" w:type="dxa"/>
            <w:tcBorders>
              <w:bottom w:val="nil"/>
            </w:tcBorders>
            <w:shd w:val="clear" w:color="auto" w:fill="auto"/>
          </w:tcPr>
          <w:p w14:paraId="33CB78FF" w14:textId="13FF4015" w:rsidR="003B3CFF" w:rsidRPr="003B3CFF" w:rsidRDefault="001D4DAB" w:rsidP="00F5397D">
            <w:pPr>
              <w:rPr>
                <w:rFonts w:asciiTheme="majorHAnsi" w:hAnsiTheme="majorHAnsi" w:cstheme="majorHAnsi"/>
                <w:sz w:val="16"/>
                <w:szCs w:val="16"/>
              </w:rPr>
            </w:pPr>
            <w:r w:rsidRPr="001D4DAB">
              <w:rPr>
                <w:rFonts w:asciiTheme="majorHAnsi" w:hAnsiTheme="majorHAnsi" w:cstheme="majorHAnsi"/>
                <w:i/>
                <w:iCs/>
                <w:sz w:val="16"/>
                <w:szCs w:val="16"/>
              </w:rPr>
              <w:t xml:space="preserve">Langgar </w:t>
            </w:r>
            <w:proofErr w:type="spellStart"/>
            <w:r w:rsidRPr="001D4DAB">
              <w:rPr>
                <w:rFonts w:asciiTheme="majorHAnsi" w:hAnsiTheme="majorHAnsi" w:cstheme="majorHAnsi"/>
                <w:i/>
                <w:iCs/>
                <w:sz w:val="16"/>
                <w:szCs w:val="16"/>
              </w:rPr>
              <w:t>Dhuwur</w:t>
            </w:r>
            <w:proofErr w:type="spellEnd"/>
            <w:r w:rsidR="003B3CFF" w:rsidRPr="003B3CFF">
              <w:rPr>
                <w:rFonts w:asciiTheme="majorHAnsi" w:hAnsiTheme="majorHAnsi" w:cstheme="majorHAnsi"/>
                <w:sz w:val="16"/>
                <w:szCs w:val="16"/>
              </w:rPr>
              <w:t xml:space="preserve"> and Religious Architecture in Kauman</w:t>
            </w:r>
          </w:p>
        </w:tc>
      </w:tr>
      <w:tr w:rsidR="003B3CFF" w:rsidRPr="003B3CFF" w14:paraId="20C94C5D" w14:textId="77777777" w:rsidTr="00F5397D">
        <w:tc>
          <w:tcPr>
            <w:tcW w:w="426" w:type="dxa"/>
            <w:tcBorders>
              <w:top w:val="nil"/>
              <w:bottom w:val="nil"/>
            </w:tcBorders>
            <w:shd w:val="clear" w:color="auto" w:fill="auto"/>
          </w:tcPr>
          <w:p w14:paraId="7CA153C3" w14:textId="77777777" w:rsidR="003B3CFF" w:rsidRPr="003B3CFF" w:rsidRDefault="003B3CFF" w:rsidP="00F5397D">
            <w:pPr>
              <w:jc w:val="center"/>
              <w:rPr>
                <w:rFonts w:asciiTheme="majorHAnsi" w:hAnsiTheme="majorHAnsi" w:cstheme="majorHAnsi"/>
                <w:sz w:val="16"/>
                <w:szCs w:val="16"/>
              </w:rPr>
            </w:pPr>
            <w:r w:rsidRPr="003B3CFF">
              <w:rPr>
                <w:rFonts w:asciiTheme="majorHAnsi" w:hAnsiTheme="majorHAnsi" w:cstheme="majorHAnsi"/>
                <w:sz w:val="16"/>
                <w:szCs w:val="16"/>
              </w:rPr>
              <w:t>2</w:t>
            </w:r>
          </w:p>
        </w:tc>
        <w:tc>
          <w:tcPr>
            <w:tcW w:w="3685" w:type="dxa"/>
            <w:tcBorders>
              <w:top w:val="nil"/>
              <w:bottom w:val="nil"/>
            </w:tcBorders>
            <w:shd w:val="clear" w:color="auto" w:fill="auto"/>
          </w:tcPr>
          <w:p w14:paraId="541766A3" w14:textId="2E36838E" w:rsidR="003B3CFF" w:rsidRPr="003B3CFF" w:rsidRDefault="001D4DAB" w:rsidP="00F5397D">
            <w:pPr>
              <w:rPr>
                <w:rFonts w:asciiTheme="majorHAnsi" w:hAnsiTheme="majorHAnsi" w:cstheme="majorHAnsi"/>
                <w:sz w:val="16"/>
                <w:szCs w:val="16"/>
              </w:rPr>
            </w:pPr>
            <w:r w:rsidRPr="001D4DAB">
              <w:rPr>
                <w:rFonts w:asciiTheme="majorHAnsi" w:hAnsiTheme="majorHAnsi" w:cstheme="majorHAnsi"/>
                <w:i/>
                <w:iCs/>
                <w:sz w:val="16"/>
                <w:szCs w:val="16"/>
              </w:rPr>
              <w:t xml:space="preserve">Langgar </w:t>
            </w:r>
            <w:proofErr w:type="spellStart"/>
            <w:r w:rsidRPr="001D4DAB">
              <w:rPr>
                <w:rFonts w:asciiTheme="majorHAnsi" w:hAnsiTheme="majorHAnsi" w:cstheme="majorHAnsi"/>
                <w:i/>
                <w:iCs/>
                <w:sz w:val="16"/>
                <w:szCs w:val="16"/>
              </w:rPr>
              <w:t>Dhuwur</w:t>
            </w:r>
            <w:proofErr w:type="spellEnd"/>
            <w:r w:rsidR="003B3CFF" w:rsidRPr="003B3CFF">
              <w:rPr>
                <w:rFonts w:asciiTheme="majorHAnsi" w:hAnsiTheme="majorHAnsi" w:cstheme="majorHAnsi"/>
                <w:sz w:val="16"/>
                <w:szCs w:val="16"/>
              </w:rPr>
              <w:t xml:space="preserve"> and Vernacular Architecture in Indonesia</w:t>
            </w:r>
          </w:p>
        </w:tc>
      </w:tr>
      <w:tr w:rsidR="003B3CFF" w:rsidRPr="003B3CFF" w14:paraId="08847D5B" w14:textId="77777777" w:rsidTr="00F5397D">
        <w:tc>
          <w:tcPr>
            <w:tcW w:w="426" w:type="dxa"/>
            <w:tcBorders>
              <w:top w:val="nil"/>
              <w:bottom w:val="nil"/>
            </w:tcBorders>
            <w:shd w:val="clear" w:color="auto" w:fill="auto"/>
          </w:tcPr>
          <w:p w14:paraId="65835AC2" w14:textId="77777777" w:rsidR="003B3CFF" w:rsidRPr="003B3CFF" w:rsidRDefault="003B3CFF" w:rsidP="00F5397D">
            <w:pPr>
              <w:jc w:val="center"/>
              <w:rPr>
                <w:rFonts w:asciiTheme="majorHAnsi" w:hAnsiTheme="majorHAnsi" w:cstheme="majorHAnsi"/>
                <w:sz w:val="16"/>
                <w:szCs w:val="16"/>
              </w:rPr>
            </w:pPr>
            <w:r w:rsidRPr="003B3CFF">
              <w:rPr>
                <w:rFonts w:asciiTheme="majorHAnsi" w:hAnsiTheme="majorHAnsi" w:cstheme="majorHAnsi"/>
                <w:sz w:val="16"/>
                <w:szCs w:val="16"/>
              </w:rPr>
              <w:t>3</w:t>
            </w:r>
          </w:p>
        </w:tc>
        <w:tc>
          <w:tcPr>
            <w:tcW w:w="3685" w:type="dxa"/>
            <w:tcBorders>
              <w:top w:val="nil"/>
              <w:bottom w:val="nil"/>
            </w:tcBorders>
            <w:shd w:val="clear" w:color="auto" w:fill="auto"/>
          </w:tcPr>
          <w:p w14:paraId="7B3DAF8C" w14:textId="4724765D" w:rsidR="003B3CFF" w:rsidRPr="003B3CFF" w:rsidRDefault="001D4DAB" w:rsidP="00F5397D">
            <w:pPr>
              <w:rPr>
                <w:rFonts w:asciiTheme="majorHAnsi" w:hAnsiTheme="majorHAnsi" w:cstheme="majorHAnsi"/>
                <w:sz w:val="16"/>
                <w:szCs w:val="16"/>
              </w:rPr>
            </w:pPr>
            <w:r w:rsidRPr="001D4DAB">
              <w:rPr>
                <w:rFonts w:asciiTheme="majorHAnsi" w:hAnsiTheme="majorHAnsi" w:cstheme="majorHAnsi"/>
                <w:i/>
                <w:iCs/>
                <w:sz w:val="16"/>
                <w:szCs w:val="16"/>
              </w:rPr>
              <w:t xml:space="preserve">Langgar </w:t>
            </w:r>
            <w:proofErr w:type="spellStart"/>
            <w:r w:rsidRPr="001D4DAB">
              <w:rPr>
                <w:rFonts w:asciiTheme="majorHAnsi" w:hAnsiTheme="majorHAnsi" w:cstheme="majorHAnsi"/>
                <w:i/>
                <w:iCs/>
                <w:sz w:val="16"/>
                <w:szCs w:val="16"/>
              </w:rPr>
              <w:t>Dhuwur</w:t>
            </w:r>
            <w:proofErr w:type="spellEnd"/>
            <w:r w:rsidR="003B3CFF" w:rsidRPr="003B3CFF">
              <w:rPr>
                <w:rFonts w:asciiTheme="majorHAnsi" w:hAnsiTheme="majorHAnsi" w:cstheme="majorHAnsi"/>
                <w:sz w:val="16"/>
                <w:szCs w:val="16"/>
              </w:rPr>
              <w:t xml:space="preserve"> as Public-Private Prayer Space</w:t>
            </w:r>
          </w:p>
        </w:tc>
      </w:tr>
      <w:tr w:rsidR="003B3CFF" w:rsidRPr="003B3CFF" w14:paraId="0776A4B3" w14:textId="77777777" w:rsidTr="00F5397D">
        <w:tc>
          <w:tcPr>
            <w:tcW w:w="426" w:type="dxa"/>
            <w:tcBorders>
              <w:top w:val="nil"/>
              <w:bottom w:val="nil"/>
            </w:tcBorders>
            <w:shd w:val="clear" w:color="auto" w:fill="auto"/>
          </w:tcPr>
          <w:p w14:paraId="5DC9CA53" w14:textId="77777777" w:rsidR="003B3CFF" w:rsidRPr="003B3CFF" w:rsidRDefault="003B3CFF" w:rsidP="00F5397D">
            <w:pPr>
              <w:jc w:val="center"/>
              <w:rPr>
                <w:rFonts w:asciiTheme="majorHAnsi" w:hAnsiTheme="majorHAnsi" w:cstheme="majorHAnsi"/>
                <w:sz w:val="16"/>
                <w:szCs w:val="16"/>
              </w:rPr>
            </w:pPr>
            <w:r w:rsidRPr="003B3CFF">
              <w:rPr>
                <w:rFonts w:asciiTheme="majorHAnsi" w:hAnsiTheme="majorHAnsi" w:cstheme="majorHAnsi"/>
                <w:sz w:val="16"/>
                <w:szCs w:val="16"/>
              </w:rPr>
              <w:t>4</w:t>
            </w:r>
          </w:p>
        </w:tc>
        <w:tc>
          <w:tcPr>
            <w:tcW w:w="3685" w:type="dxa"/>
            <w:tcBorders>
              <w:top w:val="nil"/>
              <w:bottom w:val="nil"/>
            </w:tcBorders>
            <w:shd w:val="clear" w:color="auto" w:fill="auto"/>
          </w:tcPr>
          <w:p w14:paraId="2163A9D2" w14:textId="3D04875A" w:rsidR="003B3CFF" w:rsidRPr="003B3CFF" w:rsidRDefault="001D4DAB" w:rsidP="00F5397D">
            <w:pPr>
              <w:rPr>
                <w:rFonts w:asciiTheme="majorHAnsi" w:hAnsiTheme="majorHAnsi" w:cstheme="majorHAnsi"/>
                <w:sz w:val="16"/>
                <w:szCs w:val="16"/>
              </w:rPr>
            </w:pPr>
            <w:r w:rsidRPr="001D4DAB">
              <w:rPr>
                <w:rFonts w:asciiTheme="majorHAnsi" w:hAnsiTheme="majorHAnsi" w:cstheme="majorHAnsi"/>
                <w:i/>
                <w:iCs/>
                <w:sz w:val="16"/>
                <w:szCs w:val="16"/>
              </w:rPr>
              <w:t xml:space="preserve">Langgar </w:t>
            </w:r>
            <w:proofErr w:type="spellStart"/>
            <w:r w:rsidRPr="001D4DAB">
              <w:rPr>
                <w:rFonts w:asciiTheme="majorHAnsi" w:hAnsiTheme="majorHAnsi" w:cstheme="majorHAnsi"/>
                <w:i/>
                <w:iCs/>
                <w:sz w:val="16"/>
                <w:szCs w:val="16"/>
              </w:rPr>
              <w:t>Dhuwur</w:t>
            </w:r>
            <w:proofErr w:type="spellEnd"/>
            <w:r w:rsidR="003B3CFF" w:rsidRPr="003B3CFF">
              <w:rPr>
                <w:rFonts w:asciiTheme="majorHAnsi" w:hAnsiTheme="majorHAnsi" w:cstheme="majorHAnsi"/>
                <w:sz w:val="16"/>
                <w:szCs w:val="16"/>
              </w:rPr>
              <w:t xml:space="preserve"> as Gathering Space of the Society</w:t>
            </w:r>
          </w:p>
        </w:tc>
      </w:tr>
      <w:tr w:rsidR="003B3CFF" w:rsidRPr="003B3CFF" w14:paraId="0B6E8571" w14:textId="77777777" w:rsidTr="00F5397D">
        <w:tc>
          <w:tcPr>
            <w:tcW w:w="426" w:type="dxa"/>
            <w:tcBorders>
              <w:top w:val="nil"/>
              <w:bottom w:val="single" w:sz="4" w:space="0" w:color="000000"/>
            </w:tcBorders>
            <w:shd w:val="clear" w:color="auto" w:fill="auto"/>
          </w:tcPr>
          <w:p w14:paraId="6D991E79" w14:textId="77777777" w:rsidR="003B3CFF" w:rsidRPr="003B3CFF" w:rsidRDefault="003B3CFF" w:rsidP="00F5397D">
            <w:pPr>
              <w:jc w:val="center"/>
              <w:rPr>
                <w:rFonts w:asciiTheme="majorHAnsi" w:hAnsiTheme="majorHAnsi" w:cstheme="majorHAnsi"/>
                <w:sz w:val="16"/>
                <w:szCs w:val="16"/>
              </w:rPr>
            </w:pPr>
            <w:r w:rsidRPr="003B3CFF">
              <w:rPr>
                <w:rFonts w:asciiTheme="majorHAnsi" w:hAnsiTheme="majorHAnsi" w:cstheme="majorHAnsi"/>
                <w:sz w:val="16"/>
                <w:szCs w:val="16"/>
              </w:rPr>
              <w:t>5</w:t>
            </w:r>
          </w:p>
        </w:tc>
        <w:tc>
          <w:tcPr>
            <w:tcW w:w="3685" w:type="dxa"/>
            <w:tcBorders>
              <w:top w:val="nil"/>
              <w:bottom w:val="single" w:sz="4" w:space="0" w:color="000000"/>
            </w:tcBorders>
            <w:shd w:val="clear" w:color="auto" w:fill="auto"/>
          </w:tcPr>
          <w:p w14:paraId="2632F1AF" w14:textId="542E67C5" w:rsidR="003B3CFF" w:rsidRPr="003B3CFF" w:rsidRDefault="001D4DAB" w:rsidP="00F5397D">
            <w:pPr>
              <w:rPr>
                <w:rFonts w:asciiTheme="majorHAnsi" w:hAnsiTheme="majorHAnsi" w:cstheme="majorHAnsi"/>
                <w:sz w:val="16"/>
                <w:szCs w:val="16"/>
              </w:rPr>
            </w:pPr>
            <w:r w:rsidRPr="001D4DAB">
              <w:rPr>
                <w:rFonts w:asciiTheme="majorHAnsi" w:hAnsiTheme="majorHAnsi" w:cstheme="majorHAnsi"/>
                <w:i/>
                <w:iCs/>
                <w:sz w:val="16"/>
                <w:szCs w:val="16"/>
              </w:rPr>
              <w:t xml:space="preserve">Langgar </w:t>
            </w:r>
            <w:proofErr w:type="spellStart"/>
            <w:r w:rsidRPr="001D4DAB">
              <w:rPr>
                <w:rFonts w:asciiTheme="majorHAnsi" w:hAnsiTheme="majorHAnsi" w:cstheme="majorHAnsi"/>
                <w:i/>
                <w:iCs/>
                <w:sz w:val="16"/>
                <w:szCs w:val="16"/>
              </w:rPr>
              <w:t>Dhuwur</w:t>
            </w:r>
            <w:proofErr w:type="spellEnd"/>
            <w:r w:rsidR="003B3CFF" w:rsidRPr="003B3CFF">
              <w:rPr>
                <w:rFonts w:asciiTheme="majorHAnsi" w:hAnsiTheme="majorHAnsi" w:cstheme="majorHAnsi"/>
                <w:sz w:val="16"/>
                <w:szCs w:val="16"/>
              </w:rPr>
              <w:t xml:space="preserve"> as Architectural Heritage</w:t>
            </w:r>
          </w:p>
        </w:tc>
      </w:tr>
    </w:tbl>
    <w:p w14:paraId="3DF72490" w14:textId="77777777" w:rsidR="003B3CFF" w:rsidRDefault="003B3CFF" w:rsidP="003B3CFF">
      <w:pPr>
        <w:pStyle w:val="ListParagraph"/>
        <w:ind w:left="284"/>
        <w:jc w:val="both"/>
        <w:rPr>
          <w:rFonts w:asciiTheme="minorHAnsi" w:hAnsiTheme="minorHAnsi" w:cstheme="minorHAnsi"/>
          <w:b/>
          <w:bCs/>
        </w:rPr>
      </w:pPr>
    </w:p>
    <w:p w14:paraId="08A18F10" w14:textId="6B40B5AF" w:rsidR="003B3CFF" w:rsidRDefault="003B3CFF" w:rsidP="003B3CFF">
      <w:pPr>
        <w:pStyle w:val="ListParagraph"/>
        <w:numPr>
          <w:ilvl w:val="0"/>
          <w:numId w:val="1"/>
        </w:numPr>
        <w:ind w:left="284" w:hanging="284"/>
        <w:jc w:val="both"/>
        <w:rPr>
          <w:rFonts w:asciiTheme="minorHAnsi" w:hAnsiTheme="minorHAnsi" w:cstheme="minorHAnsi"/>
          <w:b/>
          <w:bCs/>
        </w:rPr>
      </w:pPr>
      <w:r w:rsidRPr="003B3CFF">
        <w:rPr>
          <w:rFonts w:asciiTheme="minorHAnsi" w:hAnsiTheme="minorHAnsi" w:cstheme="minorHAnsi"/>
          <w:b/>
          <w:bCs/>
        </w:rPr>
        <w:t>RESULT AND</w:t>
      </w:r>
      <w:r w:rsidRPr="003B3CFF">
        <w:rPr>
          <w:rFonts w:asciiTheme="minorHAnsi" w:hAnsiTheme="minorHAnsi" w:cstheme="minorHAnsi"/>
          <w:b/>
          <w:bCs/>
          <w:color w:val="FF0000"/>
        </w:rPr>
        <w:t xml:space="preserve"> </w:t>
      </w:r>
      <w:r w:rsidRPr="003B3CFF">
        <w:rPr>
          <w:rFonts w:asciiTheme="minorHAnsi" w:hAnsiTheme="minorHAnsi" w:cstheme="minorHAnsi"/>
          <w:b/>
          <w:bCs/>
        </w:rPr>
        <w:t>DISCUSSION</w:t>
      </w:r>
    </w:p>
    <w:p w14:paraId="4CFCC7E8" w14:textId="77777777" w:rsidR="003B3CFF" w:rsidRPr="003B3CFF" w:rsidRDefault="003B3CFF" w:rsidP="003B3CFF">
      <w:pPr>
        <w:pStyle w:val="ListParagraph"/>
        <w:ind w:left="284"/>
        <w:jc w:val="both"/>
        <w:rPr>
          <w:rFonts w:asciiTheme="minorHAnsi" w:hAnsiTheme="minorHAnsi" w:cstheme="minorHAnsi"/>
          <w:b/>
          <w:bCs/>
        </w:rPr>
      </w:pPr>
    </w:p>
    <w:p w14:paraId="38F9FFB3" w14:textId="7948301A" w:rsidR="003B3CFF" w:rsidRDefault="001D4DAB" w:rsidP="003B3CFF">
      <w:pPr>
        <w:pStyle w:val="ListParagraph"/>
        <w:numPr>
          <w:ilvl w:val="0"/>
          <w:numId w:val="3"/>
        </w:numPr>
        <w:ind w:left="567" w:hanging="283"/>
        <w:jc w:val="both"/>
        <w:rPr>
          <w:rFonts w:asciiTheme="minorHAnsi" w:hAnsiTheme="minorHAnsi" w:cstheme="minorHAnsi"/>
          <w:b/>
          <w:bCs/>
          <w:sz w:val="18"/>
          <w:szCs w:val="18"/>
        </w:rPr>
      </w:pPr>
      <w:r w:rsidRPr="001D4DAB">
        <w:rPr>
          <w:rFonts w:asciiTheme="minorHAnsi" w:hAnsiTheme="minorHAnsi" w:cstheme="minorHAnsi"/>
          <w:b/>
          <w:bCs/>
          <w:i/>
          <w:iCs/>
          <w:sz w:val="18"/>
          <w:szCs w:val="18"/>
        </w:rPr>
        <w:t>LANGGAR DHUWUR</w:t>
      </w:r>
      <w:r w:rsidR="003B3CFF" w:rsidRPr="003B3CFF">
        <w:rPr>
          <w:rFonts w:asciiTheme="minorHAnsi" w:hAnsiTheme="minorHAnsi" w:cstheme="minorHAnsi"/>
          <w:b/>
          <w:bCs/>
          <w:sz w:val="18"/>
          <w:szCs w:val="18"/>
        </w:rPr>
        <w:t xml:space="preserve"> AND RELIGIOUS ARCHITECTURE IN KAUMAN</w:t>
      </w:r>
    </w:p>
    <w:p w14:paraId="6D3655A6" w14:textId="77777777" w:rsidR="003B3CFF" w:rsidRPr="003B3CFF" w:rsidRDefault="003B3CFF" w:rsidP="003B3CFF">
      <w:pPr>
        <w:ind w:left="283" w:firstLine="284"/>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Kauman is in the heart of Yogyakarta, close to the Great Mosque Complex. Spatially, Kauman is an inseparable part of the four main elements of Yogyakarta. Yogyakarta was founded in 1755, adhering to the ancient city planning inherited from the Kingdom of Majapahit, specifically the Catur Gatra Tunggal city planning concept. This concept identifies the Palace, the City Square, the Great Mosque, and the Market as the four major elements of the city. Kauman’s location is west of the city square, around the mosque complex.</w:t>
      </w:r>
    </w:p>
    <w:p w14:paraId="69D35A47" w14:textId="5880A2EF" w:rsidR="003B3CFF" w:rsidRDefault="003B3CFF" w:rsidP="003B3CFF">
      <w:pPr>
        <w:ind w:left="283" w:firstLine="284"/>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The term Kauman comes from the word Pakauman or the land where the Kaum lives, which in Javanese or Indonesian are scholars and leaders in Islamic society [18]. It is believed to have evolved after the Kingdom of Demak and Islamic Mataram [19]. Kauman district is found in several Central and East Java cities. It specifically refers to a residential area inhabited by a devout Muslim community. Therefore, Kauman is typically close to the mosque as the hub of Muslim community activities. Spatially, Kauman is usually located behind the mosque (on the west side of the mosque) of the city, which is usually not far from the city center and is characterized by elements of the city square, Palace, and market. Although Kauman’s location is very close to the Palace, both the Mosque and Kauman are outside the Yogyakarta Palace Wall</w:t>
      </w:r>
      <w:r w:rsidRPr="00D132AE">
        <w:rPr>
          <w:rFonts w:asciiTheme="majorHAnsi" w:eastAsia="Times New Roman" w:hAnsiTheme="majorHAnsi" w:cstheme="majorHAnsi"/>
          <w:sz w:val="20"/>
          <w:szCs w:val="20"/>
          <w:lang w:val="id-ID" w:eastAsia="ko-KR"/>
        </w:rPr>
        <w:t>.</w:t>
      </w:r>
    </w:p>
    <w:p w14:paraId="0B91926E" w14:textId="77777777" w:rsidR="003B3CFF" w:rsidRDefault="003B3CFF" w:rsidP="003B3CFF">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3B3CFF" w14:paraId="2F0C3FCE" w14:textId="77777777" w:rsidTr="003B3CFF">
        <w:tc>
          <w:tcPr>
            <w:tcW w:w="8787" w:type="dxa"/>
          </w:tcPr>
          <w:p w14:paraId="7E5F74AE" w14:textId="1B770F99" w:rsidR="003B3CFF" w:rsidRDefault="003B3CFF" w:rsidP="003B3CFF">
            <w:pPr>
              <w:jc w:val="center"/>
              <w:rPr>
                <w:rFonts w:asciiTheme="majorHAnsi" w:hAnsiTheme="majorHAnsi" w:cstheme="majorHAnsi"/>
                <w:sz w:val="20"/>
                <w:szCs w:val="20"/>
                <w:lang w:val="id-ID"/>
              </w:rPr>
            </w:pPr>
            <w:r>
              <w:rPr>
                <w:rFonts w:ascii="Candara" w:hAnsi="Candara"/>
                <w:bCs/>
                <w:noProof/>
                <w:sz w:val="18"/>
                <w:szCs w:val="18"/>
              </w:rPr>
              <w:drawing>
                <wp:inline distT="0" distB="0" distL="0" distR="0" wp14:anchorId="419E26CA" wp14:editId="48A68DDB">
                  <wp:extent cx="3419475" cy="2446381"/>
                  <wp:effectExtent l="0" t="0" r="0" b="0"/>
                  <wp:docPr id="23005901" name="Picture 2300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1932" cy="2455293"/>
                          </a:xfrm>
                          <a:prstGeom prst="rect">
                            <a:avLst/>
                          </a:prstGeom>
                          <a:noFill/>
                        </pic:spPr>
                      </pic:pic>
                    </a:graphicData>
                  </a:graphic>
                </wp:inline>
              </w:drawing>
            </w:r>
          </w:p>
        </w:tc>
      </w:tr>
      <w:tr w:rsidR="003B3CFF" w14:paraId="743C84B9" w14:textId="77777777" w:rsidTr="003B3CFF">
        <w:tc>
          <w:tcPr>
            <w:tcW w:w="8787" w:type="dxa"/>
          </w:tcPr>
          <w:p w14:paraId="28358A36" w14:textId="77777777" w:rsidR="003B3CFF" w:rsidRDefault="003B3CFF" w:rsidP="003B3CFF">
            <w:pPr>
              <w:spacing w:line="264" w:lineRule="auto"/>
              <w:jc w:val="center"/>
              <w:rPr>
                <w:rFonts w:asciiTheme="majorHAnsi" w:hAnsiTheme="majorHAnsi" w:cstheme="majorHAnsi"/>
                <w:bCs/>
                <w:sz w:val="16"/>
                <w:szCs w:val="16"/>
              </w:rPr>
            </w:pPr>
          </w:p>
          <w:p w14:paraId="239F87AC" w14:textId="32D3FFCD" w:rsidR="003B3CFF" w:rsidRPr="005E66A5" w:rsidRDefault="003B3CFF" w:rsidP="003B3CFF">
            <w:pPr>
              <w:spacing w:line="264" w:lineRule="auto"/>
              <w:jc w:val="center"/>
              <w:rPr>
                <w:rFonts w:asciiTheme="majorHAnsi" w:hAnsiTheme="majorHAnsi" w:cstheme="majorHAnsi"/>
                <w:bCs/>
                <w:sz w:val="16"/>
                <w:szCs w:val="16"/>
                <w:lang w:val="id-ID"/>
              </w:rPr>
            </w:pPr>
            <w:r w:rsidRPr="003B3CFF">
              <w:rPr>
                <w:rFonts w:asciiTheme="majorHAnsi" w:hAnsiTheme="majorHAnsi" w:cstheme="majorHAnsi"/>
                <w:bCs/>
                <w:sz w:val="16"/>
                <w:szCs w:val="16"/>
              </w:rPr>
              <w:t>Figure 4: Religious Architecture in Kauman Yogyakarta, Indonesia [20]</w:t>
            </w:r>
          </w:p>
          <w:p w14:paraId="03F8A0C6" w14:textId="77777777" w:rsidR="003B3CFF" w:rsidRDefault="003B3CFF" w:rsidP="003B3CFF">
            <w:pPr>
              <w:jc w:val="both"/>
              <w:rPr>
                <w:rFonts w:asciiTheme="majorHAnsi" w:hAnsiTheme="majorHAnsi" w:cstheme="majorHAnsi"/>
                <w:sz w:val="20"/>
                <w:szCs w:val="20"/>
                <w:lang w:val="id-ID"/>
              </w:rPr>
            </w:pPr>
          </w:p>
        </w:tc>
      </w:tr>
    </w:tbl>
    <w:p w14:paraId="66162738" w14:textId="5CB3BACA" w:rsidR="003B3CFF" w:rsidRDefault="003B3CFF" w:rsidP="003B3CFF">
      <w:pPr>
        <w:ind w:left="283" w:firstLine="284"/>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 xml:space="preserve">At least ten mosques and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s are in Kauman, as shown in Figure 4, although only eight are currently in use. Figure 5 depicts the distribution of religious buildings in Kauman with various facades and their current state. Despite community’s building size and distance differences, the distribution appears relatively even throughout the area. According to the appearance of the buildings, there appears to be a variety of architectural styles that can be classified in Figure 5</w:t>
      </w:r>
      <w:r w:rsidRPr="00D132AE">
        <w:rPr>
          <w:rFonts w:asciiTheme="majorHAnsi" w:eastAsia="Times New Roman" w:hAnsiTheme="majorHAnsi" w:cstheme="majorHAnsi"/>
          <w:sz w:val="20"/>
          <w:szCs w:val="20"/>
          <w:lang w:val="id-ID" w:eastAsia="ko-KR"/>
        </w:rPr>
        <w:t>.</w:t>
      </w:r>
    </w:p>
    <w:p w14:paraId="7D383D09" w14:textId="77777777" w:rsidR="003B3CFF" w:rsidRDefault="003B3CFF" w:rsidP="003B3CFF">
      <w:pPr>
        <w:ind w:left="283" w:firstLine="284"/>
        <w:jc w:val="both"/>
        <w:rPr>
          <w:rFonts w:asciiTheme="majorHAnsi" w:eastAsia="Times New Roman" w:hAnsiTheme="majorHAnsi" w:cstheme="majorHAnsi"/>
          <w:sz w:val="20"/>
          <w:szCs w:val="20"/>
          <w:lang w:val="id-ID" w:eastAsia="ko-KR"/>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3B3CFF" w14:paraId="7CDAEB21" w14:textId="77777777" w:rsidTr="00F5397D">
        <w:trPr>
          <w:jc w:val="center"/>
        </w:trPr>
        <w:tc>
          <w:tcPr>
            <w:tcW w:w="3020" w:type="dxa"/>
          </w:tcPr>
          <w:p w14:paraId="3F3C02E6" w14:textId="77777777" w:rsidR="003B3CFF" w:rsidRDefault="003B3CFF" w:rsidP="00F5397D">
            <w:pPr>
              <w:jc w:val="center"/>
              <w:rPr>
                <w:rFonts w:ascii="Candara" w:hAnsi="Candara"/>
                <w:sz w:val="18"/>
                <w:szCs w:val="18"/>
              </w:rPr>
            </w:pPr>
            <w:r>
              <w:rPr>
                <w:rFonts w:ascii="Candara" w:hAnsi="Candara"/>
                <w:noProof/>
                <w:sz w:val="18"/>
                <w:szCs w:val="18"/>
              </w:rPr>
              <w:drawing>
                <wp:inline distT="0" distB="0" distL="0" distR="0" wp14:anchorId="4E971369" wp14:editId="14D0866D">
                  <wp:extent cx="1030605" cy="676910"/>
                  <wp:effectExtent l="0" t="0" r="0" b="8890"/>
                  <wp:docPr id="1802297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0605" cy="676910"/>
                          </a:xfrm>
                          <a:prstGeom prst="rect">
                            <a:avLst/>
                          </a:prstGeom>
                          <a:noFill/>
                        </pic:spPr>
                      </pic:pic>
                    </a:graphicData>
                  </a:graphic>
                </wp:inline>
              </w:drawing>
            </w:r>
          </w:p>
        </w:tc>
        <w:tc>
          <w:tcPr>
            <w:tcW w:w="3020" w:type="dxa"/>
          </w:tcPr>
          <w:p w14:paraId="7C47FE81" w14:textId="77777777" w:rsidR="003B3CFF" w:rsidRDefault="003B3CFF" w:rsidP="00F5397D">
            <w:pPr>
              <w:jc w:val="center"/>
              <w:rPr>
                <w:rFonts w:ascii="Candara" w:hAnsi="Candara"/>
                <w:sz w:val="18"/>
                <w:szCs w:val="18"/>
              </w:rPr>
            </w:pPr>
            <w:r>
              <w:rPr>
                <w:rFonts w:ascii="Candara" w:hAnsi="Candara"/>
                <w:noProof/>
                <w:sz w:val="18"/>
                <w:szCs w:val="18"/>
              </w:rPr>
              <w:drawing>
                <wp:inline distT="0" distB="0" distL="0" distR="0" wp14:anchorId="1EC1D0ED" wp14:editId="0C78D8F6">
                  <wp:extent cx="1304925" cy="749935"/>
                  <wp:effectExtent l="0" t="0" r="9525" b="0"/>
                  <wp:docPr id="1913492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4925" cy="749935"/>
                          </a:xfrm>
                          <a:prstGeom prst="rect">
                            <a:avLst/>
                          </a:prstGeom>
                          <a:noFill/>
                        </pic:spPr>
                      </pic:pic>
                    </a:graphicData>
                  </a:graphic>
                </wp:inline>
              </w:drawing>
            </w:r>
          </w:p>
        </w:tc>
        <w:tc>
          <w:tcPr>
            <w:tcW w:w="3021" w:type="dxa"/>
          </w:tcPr>
          <w:p w14:paraId="70FB899B" w14:textId="77777777" w:rsidR="003B3CFF" w:rsidRDefault="003B3CFF" w:rsidP="00F5397D">
            <w:pPr>
              <w:jc w:val="center"/>
              <w:rPr>
                <w:rFonts w:ascii="Candara" w:hAnsi="Candara"/>
                <w:sz w:val="18"/>
                <w:szCs w:val="18"/>
              </w:rPr>
            </w:pPr>
            <w:r>
              <w:rPr>
                <w:rFonts w:ascii="Candara" w:hAnsi="Candara"/>
                <w:noProof/>
                <w:sz w:val="18"/>
                <w:szCs w:val="18"/>
              </w:rPr>
              <w:drawing>
                <wp:inline distT="0" distB="0" distL="0" distR="0" wp14:anchorId="13280613" wp14:editId="017DBCEE">
                  <wp:extent cx="1085215" cy="762000"/>
                  <wp:effectExtent l="0" t="0" r="635" b="0"/>
                  <wp:docPr id="15224686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5215" cy="762000"/>
                          </a:xfrm>
                          <a:prstGeom prst="rect">
                            <a:avLst/>
                          </a:prstGeom>
                          <a:noFill/>
                        </pic:spPr>
                      </pic:pic>
                    </a:graphicData>
                  </a:graphic>
                </wp:inline>
              </w:drawing>
            </w:r>
          </w:p>
        </w:tc>
      </w:tr>
      <w:tr w:rsidR="003B3CFF" w14:paraId="38D5F850" w14:textId="77777777" w:rsidTr="00F5397D">
        <w:trPr>
          <w:jc w:val="center"/>
        </w:trPr>
        <w:tc>
          <w:tcPr>
            <w:tcW w:w="3020" w:type="dxa"/>
          </w:tcPr>
          <w:p w14:paraId="757B3983" w14:textId="77777777" w:rsidR="003B3CFF" w:rsidRPr="00EA4B31" w:rsidRDefault="003B3CFF" w:rsidP="00F5397D">
            <w:pPr>
              <w:jc w:val="center"/>
              <w:rPr>
                <w:rFonts w:ascii="Candara" w:hAnsi="Candara"/>
                <w:b/>
                <w:sz w:val="15"/>
                <w:szCs w:val="15"/>
              </w:rPr>
            </w:pPr>
            <w:r w:rsidRPr="00EA4B31">
              <w:rPr>
                <w:rFonts w:ascii="Candara" w:hAnsi="Candara"/>
                <w:b/>
                <w:sz w:val="15"/>
                <w:szCs w:val="15"/>
              </w:rPr>
              <w:t>Kauman Great Mosque</w:t>
            </w:r>
          </w:p>
          <w:p w14:paraId="135A3F6B" w14:textId="77777777" w:rsidR="003B3CFF" w:rsidRPr="00EA4B31" w:rsidRDefault="003B3CFF" w:rsidP="00F5397D">
            <w:pPr>
              <w:jc w:val="center"/>
              <w:rPr>
                <w:rFonts w:ascii="Candara" w:hAnsi="Candara"/>
                <w:sz w:val="15"/>
                <w:szCs w:val="15"/>
              </w:rPr>
            </w:pPr>
            <w:r w:rsidRPr="00EA4B31">
              <w:rPr>
                <w:rFonts w:ascii="Candara" w:hAnsi="Candara"/>
                <w:sz w:val="15"/>
                <w:szCs w:val="15"/>
              </w:rPr>
              <w:t>- square configuration</w:t>
            </w:r>
          </w:p>
          <w:p w14:paraId="083FA3D9" w14:textId="77777777" w:rsidR="003B3CFF" w:rsidRPr="00EA4B31" w:rsidRDefault="003B3CFF" w:rsidP="00F5397D">
            <w:pPr>
              <w:jc w:val="center"/>
              <w:rPr>
                <w:rFonts w:ascii="Candara" w:hAnsi="Candara"/>
                <w:sz w:val="15"/>
                <w:szCs w:val="15"/>
              </w:rPr>
            </w:pPr>
            <w:r w:rsidRPr="00EA4B31">
              <w:rPr>
                <w:rFonts w:ascii="Candara" w:hAnsi="Candara"/>
                <w:sz w:val="15"/>
                <w:szCs w:val="15"/>
              </w:rPr>
              <w:t>- three-tier pyramidal roof (</w:t>
            </w:r>
            <w:proofErr w:type="spellStart"/>
            <w:r w:rsidRPr="00EA4B31">
              <w:rPr>
                <w:rFonts w:ascii="Candara" w:hAnsi="Candara"/>
                <w:sz w:val="15"/>
                <w:szCs w:val="15"/>
              </w:rPr>
              <w:t>taju</w:t>
            </w:r>
            <w:r>
              <w:rPr>
                <w:rFonts w:ascii="Candara" w:hAnsi="Candara"/>
                <w:sz w:val="15"/>
                <w:szCs w:val="15"/>
              </w:rPr>
              <w:t>k</w:t>
            </w:r>
            <w:proofErr w:type="spellEnd"/>
            <w:r w:rsidRPr="00EA4B31">
              <w:rPr>
                <w:rFonts w:ascii="Candara" w:hAnsi="Candara"/>
                <w:sz w:val="15"/>
                <w:szCs w:val="15"/>
              </w:rPr>
              <w:t>)</w:t>
            </w:r>
          </w:p>
          <w:p w14:paraId="0C7D633F" w14:textId="77777777" w:rsidR="003B3CFF" w:rsidRDefault="003B3CFF" w:rsidP="00F5397D">
            <w:pPr>
              <w:jc w:val="center"/>
              <w:rPr>
                <w:rFonts w:ascii="Candara" w:hAnsi="Candara"/>
                <w:sz w:val="18"/>
                <w:szCs w:val="18"/>
              </w:rPr>
            </w:pPr>
            <w:r w:rsidRPr="00EA4B31">
              <w:rPr>
                <w:rFonts w:ascii="Candara" w:hAnsi="Candara"/>
                <w:sz w:val="15"/>
                <w:szCs w:val="15"/>
              </w:rPr>
              <w:t>- timber construction</w:t>
            </w:r>
          </w:p>
        </w:tc>
        <w:tc>
          <w:tcPr>
            <w:tcW w:w="3020" w:type="dxa"/>
          </w:tcPr>
          <w:p w14:paraId="41553031" w14:textId="1F2A907E" w:rsidR="003B3CFF" w:rsidRPr="00EA4B31" w:rsidRDefault="001D4DAB" w:rsidP="00F5397D">
            <w:pPr>
              <w:jc w:val="center"/>
              <w:rPr>
                <w:rFonts w:ascii="Candara" w:hAnsi="Candara"/>
                <w:b/>
                <w:sz w:val="15"/>
                <w:szCs w:val="15"/>
              </w:rPr>
            </w:pPr>
            <w:r w:rsidRPr="001D4DAB">
              <w:rPr>
                <w:rFonts w:ascii="Candara" w:hAnsi="Candara"/>
                <w:b/>
                <w:i/>
                <w:iCs/>
                <w:sz w:val="15"/>
                <w:szCs w:val="15"/>
              </w:rPr>
              <w:t>Langgar</w:t>
            </w:r>
            <w:r w:rsidR="003B3CFF" w:rsidRPr="00EA4B31">
              <w:rPr>
                <w:rFonts w:ascii="Candara" w:hAnsi="Candara"/>
                <w:b/>
                <w:sz w:val="15"/>
                <w:szCs w:val="15"/>
              </w:rPr>
              <w:t xml:space="preserve"> Al Makmur</w:t>
            </w:r>
          </w:p>
          <w:p w14:paraId="7C26AC80" w14:textId="77777777" w:rsidR="003B3CFF" w:rsidRPr="00EA4B31" w:rsidRDefault="003B3CFF" w:rsidP="00F5397D">
            <w:pPr>
              <w:jc w:val="center"/>
              <w:rPr>
                <w:rFonts w:ascii="Candara" w:hAnsi="Candara"/>
                <w:sz w:val="15"/>
                <w:szCs w:val="15"/>
              </w:rPr>
            </w:pPr>
            <w:r w:rsidRPr="00EA4B31">
              <w:rPr>
                <w:rFonts w:ascii="Candara" w:hAnsi="Candara"/>
                <w:sz w:val="15"/>
                <w:szCs w:val="15"/>
              </w:rPr>
              <w:t>- square plan</w:t>
            </w:r>
          </w:p>
          <w:p w14:paraId="72B4AF7F" w14:textId="77777777" w:rsidR="003B3CFF" w:rsidRPr="00EA4B31" w:rsidRDefault="003B3CFF" w:rsidP="00F5397D">
            <w:pPr>
              <w:jc w:val="center"/>
              <w:rPr>
                <w:rFonts w:ascii="Candara" w:hAnsi="Candara"/>
                <w:sz w:val="15"/>
                <w:szCs w:val="15"/>
              </w:rPr>
            </w:pPr>
            <w:r w:rsidRPr="00EA4B31">
              <w:rPr>
                <w:rFonts w:ascii="Candara" w:hAnsi="Candara"/>
                <w:sz w:val="15"/>
                <w:szCs w:val="15"/>
              </w:rPr>
              <w:t>- double-tier pyramidal roof (</w:t>
            </w:r>
            <w:proofErr w:type="spellStart"/>
            <w:r w:rsidRPr="00EA4B31">
              <w:rPr>
                <w:rFonts w:ascii="Candara" w:hAnsi="Candara"/>
                <w:sz w:val="15"/>
                <w:szCs w:val="15"/>
              </w:rPr>
              <w:t>taju</w:t>
            </w:r>
            <w:r>
              <w:rPr>
                <w:rFonts w:ascii="Candara" w:hAnsi="Candara"/>
                <w:sz w:val="15"/>
                <w:szCs w:val="15"/>
              </w:rPr>
              <w:t>k</w:t>
            </w:r>
            <w:proofErr w:type="spellEnd"/>
            <w:r w:rsidRPr="00EA4B31">
              <w:rPr>
                <w:rFonts w:ascii="Candara" w:hAnsi="Candara"/>
                <w:sz w:val="15"/>
                <w:szCs w:val="15"/>
              </w:rPr>
              <w:t>)</w:t>
            </w:r>
          </w:p>
          <w:p w14:paraId="18BD84DD" w14:textId="77777777" w:rsidR="003B3CFF" w:rsidRDefault="003B3CFF" w:rsidP="00F5397D">
            <w:pPr>
              <w:jc w:val="center"/>
              <w:rPr>
                <w:rFonts w:ascii="Candara" w:hAnsi="Candara"/>
                <w:sz w:val="18"/>
                <w:szCs w:val="18"/>
              </w:rPr>
            </w:pPr>
            <w:r w:rsidRPr="00EA4B31">
              <w:rPr>
                <w:rFonts w:ascii="Candara" w:hAnsi="Candara"/>
                <w:sz w:val="15"/>
                <w:szCs w:val="15"/>
              </w:rPr>
              <w:t>- brick and stone construction</w:t>
            </w:r>
          </w:p>
        </w:tc>
        <w:tc>
          <w:tcPr>
            <w:tcW w:w="3021" w:type="dxa"/>
          </w:tcPr>
          <w:p w14:paraId="399ED127" w14:textId="7F92DE6E" w:rsidR="003B3CFF" w:rsidRPr="00EA4B31" w:rsidRDefault="001D4DAB" w:rsidP="00F5397D">
            <w:pPr>
              <w:jc w:val="center"/>
              <w:rPr>
                <w:rFonts w:ascii="Candara" w:hAnsi="Candara"/>
                <w:b/>
                <w:sz w:val="15"/>
                <w:szCs w:val="15"/>
              </w:rPr>
            </w:pPr>
            <w:r w:rsidRPr="001D4DAB">
              <w:rPr>
                <w:rFonts w:ascii="Candara" w:hAnsi="Candara"/>
                <w:b/>
                <w:i/>
                <w:iCs/>
                <w:sz w:val="15"/>
                <w:szCs w:val="15"/>
              </w:rPr>
              <w:t>Langgar</w:t>
            </w:r>
            <w:r w:rsidR="003B3CFF" w:rsidRPr="00EA4B31">
              <w:rPr>
                <w:rFonts w:ascii="Candara" w:hAnsi="Candara"/>
                <w:b/>
                <w:sz w:val="15"/>
                <w:szCs w:val="15"/>
              </w:rPr>
              <w:t xml:space="preserve"> Lor/Al </w:t>
            </w:r>
            <w:proofErr w:type="spellStart"/>
            <w:r w:rsidR="003B3CFF" w:rsidRPr="00EA4B31">
              <w:rPr>
                <w:rFonts w:ascii="Candara" w:hAnsi="Candara"/>
                <w:b/>
                <w:sz w:val="15"/>
                <w:szCs w:val="15"/>
              </w:rPr>
              <w:t>Rosyad</w:t>
            </w:r>
            <w:proofErr w:type="spellEnd"/>
          </w:p>
          <w:p w14:paraId="1CCA87DB" w14:textId="77777777" w:rsidR="003B3CFF" w:rsidRPr="00EA4B31" w:rsidRDefault="003B3CFF" w:rsidP="00F5397D">
            <w:pPr>
              <w:jc w:val="center"/>
              <w:rPr>
                <w:rFonts w:ascii="Candara" w:hAnsi="Candara"/>
                <w:sz w:val="15"/>
                <w:szCs w:val="15"/>
              </w:rPr>
            </w:pPr>
            <w:r w:rsidRPr="00EA4B31">
              <w:rPr>
                <w:rFonts w:ascii="Candara" w:hAnsi="Candara"/>
                <w:sz w:val="15"/>
                <w:szCs w:val="15"/>
              </w:rPr>
              <w:t>- rectangular plan</w:t>
            </w:r>
          </w:p>
          <w:p w14:paraId="20CAA95D" w14:textId="77777777" w:rsidR="003B3CFF" w:rsidRPr="00EA4B31" w:rsidRDefault="003B3CFF" w:rsidP="00F5397D">
            <w:pPr>
              <w:jc w:val="center"/>
              <w:rPr>
                <w:rFonts w:ascii="Candara" w:hAnsi="Candara"/>
                <w:sz w:val="15"/>
                <w:szCs w:val="15"/>
              </w:rPr>
            </w:pPr>
            <w:r w:rsidRPr="00EA4B31">
              <w:rPr>
                <w:rFonts w:ascii="Candara" w:hAnsi="Candara"/>
                <w:sz w:val="15"/>
                <w:szCs w:val="15"/>
              </w:rPr>
              <w:t>- double-tier and dome roof</w:t>
            </w:r>
          </w:p>
          <w:p w14:paraId="19D00F3B" w14:textId="77777777" w:rsidR="003B3CFF" w:rsidRPr="00EA4B31" w:rsidRDefault="003B3CFF" w:rsidP="00F5397D">
            <w:pPr>
              <w:jc w:val="center"/>
              <w:rPr>
                <w:rFonts w:ascii="Candara" w:hAnsi="Candara"/>
                <w:sz w:val="15"/>
                <w:szCs w:val="15"/>
              </w:rPr>
            </w:pPr>
            <w:r w:rsidRPr="00EA4B31">
              <w:rPr>
                <w:rFonts w:ascii="Candara" w:hAnsi="Candara"/>
                <w:sz w:val="15"/>
                <w:szCs w:val="15"/>
              </w:rPr>
              <w:t>- concrete structure</w:t>
            </w:r>
          </w:p>
          <w:p w14:paraId="5DE517FC" w14:textId="77777777" w:rsidR="003B3CFF" w:rsidRDefault="003B3CFF" w:rsidP="00F5397D">
            <w:pPr>
              <w:jc w:val="center"/>
              <w:rPr>
                <w:rFonts w:ascii="Candara" w:hAnsi="Candara"/>
                <w:sz w:val="18"/>
                <w:szCs w:val="18"/>
              </w:rPr>
            </w:pPr>
            <w:r w:rsidRPr="00EA4B31">
              <w:rPr>
                <w:rFonts w:ascii="Candara" w:hAnsi="Candara"/>
                <w:sz w:val="15"/>
                <w:szCs w:val="15"/>
              </w:rPr>
              <w:t>- floral ornamentation on the colum</w:t>
            </w:r>
            <w:r>
              <w:rPr>
                <w:rFonts w:ascii="Candara" w:hAnsi="Candara"/>
                <w:sz w:val="15"/>
                <w:szCs w:val="15"/>
              </w:rPr>
              <w:t>n</w:t>
            </w:r>
          </w:p>
        </w:tc>
      </w:tr>
      <w:tr w:rsidR="003B3CFF" w14:paraId="76B51D54" w14:textId="77777777" w:rsidTr="00F5397D">
        <w:trPr>
          <w:jc w:val="center"/>
        </w:trPr>
        <w:tc>
          <w:tcPr>
            <w:tcW w:w="3020" w:type="dxa"/>
          </w:tcPr>
          <w:p w14:paraId="03A3DFC5" w14:textId="77777777" w:rsidR="003B3CFF" w:rsidRDefault="003B3CFF" w:rsidP="00F5397D">
            <w:pPr>
              <w:jc w:val="center"/>
              <w:rPr>
                <w:rFonts w:ascii="Candara" w:hAnsi="Candara"/>
                <w:sz w:val="18"/>
                <w:szCs w:val="18"/>
              </w:rPr>
            </w:pPr>
            <w:r>
              <w:rPr>
                <w:rFonts w:ascii="Candara" w:hAnsi="Candara"/>
                <w:noProof/>
                <w:sz w:val="18"/>
                <w:szCs w:val="18"/>
              </w:rPr>
              <w:drawing>
                <wp:inline distT="0" distB="0" distL="0" distR="0" wp14:anchorId="4FC5A883" wp14:editId="6CDE9051">
                  <wp:extent cx="1066800" cy="646430"/>
                  <wp:effectExtent l="0" t="0" r="0" b="1270"/>
                  <wp:docPr id="1582098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6800" cy="646430"/>
                          </a:xfrm>
                          <a:prstGeom prst="rect">
                            <a:avLst/>
                          </a:prstGeom>
                          <a:noFill/>
                        </pic:spPr>
                      </pic:pic>
                    </a:graphicData>
                  </a:graphic>
                </wp:inline>
              </w:drawing>
            </w:r>
          </w:p>
        </w:tc>
        <w:tc>
          <w:tcPr>
            <w:tcW w:w="6041" w:type="dxa"/>
            <w:gridSpan w:val="2"/>
          </w:tcPr>
          <w:p w14:paraId="40CC3FB7" w14:textId="77777777" w:rsidR="003B3CFF" w:rsidRDefault="003B3CFF" w:rsidP="00F5397D">
            <w:pPr>
              <w:jc w:val="center"/>
              <w:rPr>
                <w:rFonts w:ascii="Candara" w:hAnsi="Candara"/>
                <w:sz w:val="18"/>
                <w:szCs w:val="18"/>
              </w:rPr>
            </w:pPr>
            <w:r>
              <w:rPr>
                <w:rFonts w:ascii="Candara" w:hAnsi="Candara"/>
                <w:noProof/>
                <w:sz w:val="18"/>
                <w:szCs w:val="18"/>
              </w:rPr>
              <w:drawing>
                <wp:inline distT="0" distB="0" distL="0" distR="0" wp14:anchorId="315359DB" wp14:editId="65AAE5B9">
                  <wp:extent cx="1024255" cy="737870"/>
                  <wp:effectExtent l="0" t="0" r="4445" b="5080"/>
                  <wp:docPr id="9775956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4255" cy="737870"/>
                          </a:xfrm>
                          <a:prstGeom prst="rect">
                            <a:avLst/>
                          </a:prstGeom>
                          <a:noFill/>
                        </pic:spPr>
                      </pic:pic>
                    </a:graphicData>
                  </a:graphic>
                </wp:inline>
              </w:drawing>
            </w:r>
          </w:p>
        </w:tc>
      </w:tr>
      <w:tr w:rsidR="003B3CFF" w14:paraId="5DCE4E1A" w14:textId="77777777" w:rsidTr="00F5397D">
        <w:trPr>
          <w:jc w:val="center"/>
        </w:trPr>
        <w:tc>
          <w:tcPr>
            <w:tcW w:w="3020" w:type="dxa"/>
          </w:tcPr>
          <w:p w14:paraId="1D331528" w14:textId="0CF4D333" w:rsidR="003B3CFF" w:rsidRPr="00EA4B31" w:rsidRDefault="001D4DAB" w:rsidP="00F5397D">
            <w:pPr>
              <w:jc w:val="center"/>
              <w:rPr>
                <w:rFonts w:ascii="Candara" w:hAnsi="Candara"/>
                <w:b/>
                <w:sz w:val="15"/>
                <w:szCs w:val="15"/>
              </w:rPr>
            </w:pPr>
            <w:r w:rsidRPr="001D4DAB">
              <w:rPr>
                <w:rFonts w:ascii="Candara" w:hAnsi="Candara"/>
                <w:b/>
                <w:i/>
                <w:iCs/>
                <w:sz w:val="15"/>
                <w:szCs w:val="15"/>
              </w:rPr>
              <w:t>Langgar</w:t>
            </w:r>
            <w:r w:rsidR="003B3CFF" w:rsidRPr="00EA4B31">
              <w:rPr>
                <w:rFonts w:ascii="Candara" w:hAnsi="Candara"/>
                <w:b/>
                <w:sz w:val="15"/>
                <w:szCs w:val="15"/>
              </w:rPr>
              <w:t xml:space="preserve"> </w:t>
            </w:r>
            <w:proofErr w:type="spellStart"/>
            <w:r w:rsidR="003B3CFF" w:rsidRPr="00EA4B31">
              <w:rPr>
                <w:rFonts w:ascii="Candara" w:hAnsi="Candara"/>
                <w:b/>
                <w:sz w:val="15"/>
                <w:szCs w:val="15"/>
              </w:rPr>
              <w:t>Aisyiyah</w:t>
            </w:r>
            <w:proofErr w:type="spellEnd"/>
          </w:p>
          <w:p w14:paraId="4BBF59E6" w14:textId="77777777" w:rsidR="003B3CFF" w:rsidRPr="00EA4B31" w:rsidRDefault="003B3CFF" w:rsidP="00F5397D">
            <w:pPr>
              <w:jc w:val="center"/>
              <w:rPr>
                <w:rFonts w:ascii="Candara" w:hAnsi="Candara"/>
                <w:sz w:val="15"/>
                <w:szCs w:val="15"/>
              </w:rPr>
            </w:pPr>
            <w:r w:rsidRPr="00EA4B31">
              <w:rPr>
                <w:rFonts w:ascii="Candara" w:hAnsi="Candara"/>
                <w:sz w:val="15"/>
                <w:szCs w:val="15"/>
              </w:rPr>
              <w:t>- rectangular plan</w:t>
            </w:r>
          </w:p>
          <w:p w14:paraId="06E8B981" w14:textId="77777777" w:rsidR="003B3CFF" w:rsidRPr="00EA4B31" w:rsidRDefault="003B3CFF" w:rsidP="00F5397D">
            <w:pPr>
              <w:jc w:val="center"/>
              <w:rPr>
                <w:rFonts w:ascii="Candara" w:hAnsi="Candara"/>
                <w:sz w:val="15"/>
                <w:szCs w:val="15"/>
              </w:rPr>
            </w:pPr>
            <w:r w:rsidRPr="00EA4B31">
              <w:rPr>
                <w:rFonts w:ascii="Candara" w:hAnsi="Candara"/>
                <w:sz w:val="15"/>
                <w:szCs w:val="15"/>
              </w:rPr>
              <w:t>- hip roof (</w:t>
            </w:r>
            <w:proofErr w:type="spellStart"/>
            <w:r w:rsidRPr="00EA4B31">
              <w:rPr>
                <w:rFonts w:ascii="Candara" w:hAnsi="Candara"/>
                <w:sz w:val="15"/>
                <w:szCs w:val="15"/>
              </w:rPr>
              <w:t>limasan</w:t>
            </w:r>
            <w:proofErr w:type="spellEnd"/>
            <w:r w:rsidRPr="00EA4B31">
              <w:rPr>
                <w:rFonts w:ascii="Candara" w:hAnsi="Candara"/>
                <w:sz w:val="15"/>
                <w:szCs w:val="15"/>
              </w:rPr>
              <w:t>)</w:t>
            </w:r>
          </w:p>
          <w:p w14:paraId="29214163" w14:textId="77777777" w:rsidR="003B3CFF" w:rsidRDefault="003B3CFF" w:rsidP="00F5397D">
            <w:pPr>
              <w:jc w:val="center"/>
              <w:rPr>
                <w:rFonts w:ascii="Candara" w:hAnsi="Candara"/>
                <w:sz w:val="18"/>
                <w:szCs w:val="18"/>
              </w:rPr>
            </w:pPr>
            <w:r w:rsidRPr="00EA4B31">
              <w:rPr>
                <w:rFonts w:ascii="Candara" w:hAnsi="Candara"/>
                <w:sz w:val="15"/>
                <w:szCs w:val="15"/>
              </w:rPr>
              <w:t>- brick and pilaster construction</w:t>
            </w:r>
          </w:p>
        </w:tc>
        <w:tc>
          <w:tcPr>
            <w:tcW w:w="6041" w:type="dxa"/>
            <w:gridSpan w:val="2"/>
          </w:tcPr>
          <w:p w14:paraId="7BD63D4A" w14:textId="4702D773" w:rsidR="003B3CFF" w:rsidRPr="00EA4B31" w:rsidRDefault="001D4DAB" w:rsidP="00F5397D">
            <w:pPr>
              <w:jc w:val="center"/>
              <w:rPr>
                <w:rFonts w:ascii="Candara" w:hAnsi="Candara"/>
                <w:b/>
                <w:sz w:val="15"/>
                <w:szCs w:val="15"/>
              </w:rPr>
            </w:pPr>
            <w:r w:rsidRPr="001D4DAB">
              <w:rPr>
                <w:rFonts w:ascii="Candara" w:hAnsi="Candara"/>
                <w:b/>
                <w:i/>
                <w:iCs/>
                <w:sz w:val="15"/>
                <w:szCs w:val="15"/>
              </w:rPr>
              <w:t xml:space="preserve">Langgar </w:t>
            </w:r>
            <w:proofErr w:type="spellStart"/>
            <w:r w:rsidRPr="001D4DAB">
              <w:rPr>
                <w:rFonts w:ascii="Candara" w:hAnsi="Candara"/>
                <w:b/>
                <w:i/>
                <w:iCs/>
                <w:sz w:val="15"/>
                <w:szCs w:val="15"/>
              </w:rPr>
              <w:t>Dhuwur</w:t>
            </w:r>
            <w:proofErr w:type="spellEnd"/>
            <w:r w:rsidR="003B3CFF" w:rsidRPr="00EA4B31">
              <w:rPr>
                <w:rFonts w:ascii="Candara" w:hAnsi="Candara"/>
                <w:b/>
                <w:sz w:val="15"/>
                <w:szCs w:val="15"/>
              </w:rPr>
              <w:t xml:space="preserve"> KH Muhsen</w:t>
            </w:r>
          </w:p>
          <w:p w14:paraId="64FA4747" w14:textId="77777777" w:rsidR="003B3CFF" w:rsidRPr="00EA4B31" w:rsidRDefault="003B3CFF" w:rsidP="00F5397D">
            <w:pPr>
              <w:jc w:val="center"/>
              <w:rPr>
                <w:rFonts w:ascii="Candara" w:hAnsi="Candara"/>
                <w:sz w:val="15"/>
                <w:szCs w:val="15"/>
              </w:rPr>
            </w:pPr>
            <w:r w:rsidRPr="00EA4B31">
              <w:rPr>
                <w:rFonts w:ascii="Candara" w:hAnsi="Candara"/>
                <w:sz w:val="15"/>
                <w:szCs w:val="15"/>
              </w:rPr>
              <w:t>- rectangular plan, attached to the landlord</w:t>
            </w:r>
            <w:r>
              <w:rPr>
                <w:rFonts w:ascii="Candara" w:hAnsi="Candara"/>
                <w:sz w:val="15"/>
                <w:szCs w:val="15"/>
              </w:rPr>
              <w:t>'s</w:t>
            </w:r>
            <w:r w:rsidRPr="00EA4B31">
              <w:rPr>
                <w:rFonts w:ascii="Candara" w:hAnsi="Candara"/>
                <w:sz w:val="15"/>
                <w:szCs w:val="15"/>
              </w:rPr>
              <w:t xml:space="preserve"> dwelling</w:t>
            </w:r>
          </w:p>
          <w:p w14:paraId="708D5152" w14:textId="77777777" w:rsidR="003B3CFF" w:rsidRPr="00EA4B31" w:rsidRDefault="003B3CFF" w:rsidP="00F5397D">
            <w:pPr>
              <w:jc w:val="center"/>
              <w:rPr>
                <w:rFonts w:ascii="Candara" w:hAnsi="Candara"/>
                <w:sz w:val="15"/>
                <w:szCs w:val="15"/>
              </w:rPr>
            </w:pPr>
            <w:r w:rsidRPr="00EA4B31">
              <w:rPr>
                <w:rFonts w:ascii="Candara" w:hAnsi="Candara"/>
                <w:sz w:val="15"/>
                <w:szCs w:val="15"/>
              </w:rPr>
              <w:t>- saddleback roof (</w:t>
            </w:r>
            <w:proofErr w:type="spellStart"/>
            <w:r w:rsidRPr="00EA4B31">
              <w:rPr>
                <w:rFonts w:ascii="Candara" w:hAnsi="Candara"/>
                <w:sz w:val="15"/>
                <w:szCs w:val="15"/>
              </w:rPr>
              <w:t>pelana</w:t>
            </w:r>
            <w:proofErr w:type="spellEnd"/>
            <w:r w:rsidRPr="00EA4B31">
              <w:rPr>
                <w:rFonts w:ascii="Candara" w:hAnsi="Candara"/>
                <w:sz w:val="15"/>
                <w:szCs w:val="15"/>
              </w:rPr>
              <w:t>)</w:t>
            </w:r>
          </w:p>
          <w:p w14:paraId="7875B185" w14:textId="77777777" w:rsidR="003B3CFF" w:rsidRPr="00EA4B31" w:rsidRDefault="003B3CFF" w:rsidP="00F5397D">
            <w:pPr>
              <w:jc w:val="center"/>
              <w:rPr>
                <w:rFonts w:ascii="Candara" w:hAnsi="Candara"/>
                <w:sz w:val="15"/>
                <w:szCs w:val="15"/>
              </w:rPr>
            </w:pPr>
            <w:r w:rsidRPr="00EA4B31">
              <w:rPr>
                <w:rFonts w:ascii="Candara" w:hAnsi="Candara"/>
                <w:sz w:val="15"/>
                <w:szCs w:val="15"/>
              </w:rPr>
              <w:t>- timber construction (2</w:t>
            </w:r>
            <w:r w:rsidRPr="00EA4B31">
              <w:rPr>
                <w:rFonts w:ascii="Candara" w:hAnsi="Candara"/>
                <w:sz w:val="15"/>
                <w:szCs w:val="15"/>
                <w:vertAlign w:val="superscript"/>
              </w:rPr>
              <w:t>nd</w:t>
            </w:r>
            <w:r w:rsidRPr="00EA4B31">
              <w:rPr>
                <w:rFonts w:ascii="Candara" w:hAnsi="Candara"/>
                <w:sz w:val="15"/>
                <w:szCs w:val="15"/>
              </w:rPr>
              <w:t xml:space="preserve"> floor), brick and pilaster construction (1</w:t>
            </w:r>
            <w:r w:rsidRPr="00EA4B31">
              <w:rPr>
                <w:rFonts w:ascii="Candara" w:hAnsi="Candara"/>
                <w:sz w:val="15"/>
                <w:szCs w:val="15"/>
                <w:vertAlign w:val="superscript"/>
              </w:rPr>
              <w:t>st</w:t>
            </w:r>
            <w:r w:rsidRPr="00EA4B31">
              <w:rPr>
                <w:rFonts w:ascii="Candara" w:hAnsi="Candara"/>
                <w:sz w:val="15"/>
                <w:szCs w:val="15"/>
              </w:rPr>
              <w:t xml:space="preserve"> floor)</w:t>
            </w:r>
          </w:p>
          <w:p w14:paraId="56282989" w14:textId="77777777" w:rsidR="003B3CFF" w:rsidRDefault="003B3CFF" w:rsidP="00F5397D">
            <w:pPr>
              <w:jc w:val="center"/>
              <w:rPr>
                <w:rFonts w:ascii="Candara" w:hAnsi="Candara"/>
                <w:sz w:val="18"/>
                <w:szCs w:val="18"/>
              </w:rPr>
            </w:pPr>
            <w:r w:rsidRPr="00EA4B31">
              <w:rPr>
                <w:rFonts w:ascii="Candara" w:hAnsi="Candara"/>
                <w:sz w:val="15"/>
                <w:szCs w:val="15"/>
              </w:rPr>
              <w:t>- Javanese architecture (especially on the layout) and Indies style (especially on the ornaments)</w:t>
            </w:r>
          </w:p>
        </w:tc>
      </w:tr>
    </w:tbl>
    <w:p w14:paraId="16431326" w14:textId="77777777" w:rsidR="003B3CFF" w:rsidRPr="003B3CFF" w:rsidRDefault="003B3CFF" w:rsidP="003B3CFF">
      <w:pPr>
        <w:ind w:left="283" w:firstLine="284"/>
        <w:jc w:val="both"/>
        <w:rPr>
          <w:rFonts w:asciiTheme="majorHAnsi" w:hAnsiTheme="majorHAnsi" w:cstheme="majorHAnsi"/>
          <w:bCs/>
          <w:sz w:val="16"/>
          <w:szCs w:val="16"/>
        </w:rPr>
      </w:pPr>
      <w:r w:rsidRPr="003B3CFF">
        <w:rPr>
          <w:rFonts w:asciiTheme="majorHAnsi" w:hAnsiTheme="majorHAnsi" w:cstheme="majorHAnsi"/>
          <w:bCs/>
          <w:sz w:val="16"/>
          <w:szCs w:val="16"/>
        </w:rPr>
        <w:t>*</w:t>
      </w:r>
      <w:proofErr w:type="gramStart"/>
      <w:r w:rsidRPr="003B3CFF">
        <w:rPr>
          <w:rFonts w:asciiTheme="majorHAnsi" w:hAnsiTheme="majorHAnsi" w:cstheme="majorHAnsi"/>
          <w:bCs/>
          <w:sz w:val="16"/>
          <w:szCs w:val="16"/>
        </w:rPr>
        <w:t>not</w:t>
      </w:r>
      <w:proofErr w:type="gramEnd"/>
      <w:r w:rsidRPr="003B3CFF">
        <w:rPr>
          <w:rFonts w:asciiTheme="majorHAnsi" w:hAnsiTheme="majorHAnsi" w:cstheme="majorHAnsi"/>
          <w:bCs/>
          <w:sz w:val="16"/>
          <w:szCs w:val="16"/>
        </w:rPr>
        <w:t xml:space="preserve"> to scale</w:t>
      </w:r>
    </w:p>
    <w:p w14:paraId="2642690E" w14:textId="77777777" w:rsidR="003B3CFF" w:rsidRPr="003B3CFF" w:rsidRDefault="003B3CFF" w:rsidP="003B3CFF">
      <w:pPr>
        <w:ind w:left="283" w:firstLine="284"/>
        <w:jc w:val="center"/>
        <w:rPr>
          <w:rFonts w:asciiTheme="majorHAnsi" w:hAnsiTheme="majorHAnsi" w:cstheme="majorHAnsi"/>
          <w:bCs/>
          <w:sz w:val="16"/>
          <w:szCs w:val="16"/>
        </w:rPr>
      </w:pPr>
    </w:p>
    <w:p w14:paraId="7EAA8919" w14:textId="23A64380" w:rsidR="003B3CFF" w:rsidRDefault="003B3CFF" w:rsidP="003B3CFF">
      <w:pPr>
        <w:ind w:left="283" w:firstLine="284"/>
        <w:jc w:val="center"/>
        <w:rPr>
          <w:rFonts w:asciiTheme="majorHAnsi" w:hAnsiTheme="majorHAnsi" w:cstheme="majorHAnsi"/>
          <w:bCs/>
          <w:sz w:val="16"/>
          <w:szCs w:val="16"/>
        </w:rPr>
      </w:pPr>
      <w:r w:rsidRPr="003B3CFF">
        <w:rPr>
          <w:rFonts w:asciiTheme="majorHAnsi" w:hAnsiTheme="majorHAnsi" w:cstheme="majorHAnsi"/>
          <w:bCs/>
          <w:sz w:val="16"/>
          <w:szCs w:val="16"/>
        </w:rPr>
        <w:t>Figure 5. Morphology and spatial arrangement of religious structures in Kauman</w:t>
      </w:r>
    </w:p>
    <w:p w14:paraId="48F9BF19" w14:textId="77777777" w:rsidR="003B3CFF" w:rsidRDefault="003B3CFF" w:rsidP="003B3CFF">
      <w:pPr>
        <w:ind w:left="283" w:firstLine="284"/>
        <w:jc w:val="center"/>
        <w:rPr>
          <w:rFonts w:asciiTheme="majorHAnsi" w:hAnsiTheme="majorHAnsi" w:cstheme="majorHAnsi"/>
          <w:bCs/>
          <w:sz w:val="16"/>
          <w:szCs w:val="16"/>
        </w:rPr>
      </w:pPr>
    </w:p>
    <w:p w14:paraId="09916BDD" w14:textId="141736CC" w:rsidR="003B3CFF" w:rsidRDefault="003B3CFF" w:rsidP="003B3CFF">
      <w:pPr>
        <w:ind w:left="284" w:firstLine="283"/>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 xml:space="preserve">Figure 5 depicts the variety of religious architectural styles in Kauman. The largest entity is the Great Mosque of Kauman. The great mosque retains the three-tiered pyramidal roof typology (Tajuk), which is an acculturation of the previously developed Hindu-Buddhist culture in Java [7], [21]. In the era following Islamization in Java, the pyramidal roof, or Tajuk roof, developed into a building typology "exclusively" intended for religious structures, particularly mosques, even though the pyramidal roof was a typology of Hindu-Buddhist temples that represented Meru as the eternal peak where the gods lived in a previous cultural era.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Makmur, on the other hand, has a two-tiered pyramidal roof, indicating a lower hierarchy than the Great Mosque. Meanwhile,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Lor and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Al Rosyad combine a pyramidal roof with an additional dome in an imported style (Arabic) atop the roof. This is significant because, in addition to preserving the typology of the archipelago's mosque roofs,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adheres to the growingly popular dome-shaped mosque style in Indonesia.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Aisyiyah and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KH Ahmad Dahlan are both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with a Hip roof (Limasan). There are three additional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s in Kauman. In contrast,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KH Muhsen has a saddleback roof. Hip and saddleback roof styles are utilized more frequently in residential construction than religious structures</w:t>
      </w:r>
      <w:r>
        <w:rPr>
          <w:rFonts w:asciiTheme="majorHAnsi" w:eastAsia="Times New Roman" w:hAnsiTheme="majorHAnsi" w:cstheme="majorHAnsi"/>
          <w:sz w:val="20"/>
          <w:szCs w:val="20"/>
          <w:lang w:val="id-ID" w:eastAsia="ko-KR"/>
        </w:rPr>
        <w:t>.</w:t>
      </w:r>
    </w:p>
    <w:p w14:paraId="5C7E7EA0" w14:textId="77777777" w:rsidR="003B3CFF" w:rsidRPr="00554438" w:rsidRDefault="003B3CFF" w:rsidP="003B3CFF">
      <w:pPr>
        <w:ind w:left="284" w:firstLine="283"/>
        <w:jc w:val="both"/>
        <w:rPr>
          <w:rFonts w:asciiTheme="minorHAnsi" w:hAnsiTheme="minorHAnsi" w:cstheme="minorHAnsi"/>
          <w:b/>
          <w:bCs/>
          <w:color w:val="FF0000"/>
        </w:rPr>
      </w:pPr>
    </w:p>
    <w:p w14:paraId="0DB2908B" w14:textId="17B2745E" w:rsidR="003B3CFF" w:rsidRDefault="001D4DAB" w:rsidP="003B3CFF">
      <w:pPr>
        <w:pStyle w:val="ListParagraph"/>
        <w:numPr>
          <w:ilvl w:val="0"/>
          <w:numId w:val="3"/>
        </w:numPr>
        <w:ind w:left="567" w:hanging="283"/>
        <w:jc w:val="both"/>
        <w:rPr>
          <w:rFonts w:asciiTheme="minorHAnsi" w:hAnsiTheme="minorHAnsi" w:cstheme="minorHAnsi"/>
          <w:b/>
          <w:bCs/>
          <w:sz w:val="18"/>
          <w:szCs w:val="18"/>
        </w:rPr>
      </w:pPr>
      <w:r w:rsidRPr="001D4DAB">
        <w:rPr>
          <w:rFonts w:asciiTheme="minorHAnsi" w:hAnsiTheme="minorHAnsi" w:cstheme="minorHAnsi"/>
          <w:b/>
          <w:bCs/>
          <w:i/>
          <w:iCs/>
          <w:sz w:val="18"/>
          <w:szCs w:val="18"/>
        </w:rPr>
        <w:t>LANGGAR DHUWUR</w:t>
      </w:r>
      <w:r w:rsidR="003B3CFF" w:rsidRPr="003B3CFF">
        <w:rPr>
          <w:rFonts w:asciiTheme="minorHAnsi" w:hAnsiTheme="minorHAnsi" w:cstheme="minorHAnsi"/>
          <w:b/>
          <w:bCs/>
          <w:sz w:val="18"/>
          <w:szCs w:val="18"/>
        </w:rPr>
        <w:t xml:space="preserve"> AND RELIGIOUS ARCHITECTURE IN KAUMAN</w:t>
      </w:r>
    </w:p>
    <w:p w14:paraId="5FBE14AF" w14:textId="707D0C50" w:rsidR="002A645E" w:rsidRPr="003B3CFF" w:rsidRDefault="002A645E" w:rsidP="002A645E">
      <w:pPr>
        <w:ind w:left="284" w:firstLine="284"/>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 xml:space="preserve">Figure 6 depicts the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Kyai Haji Muhsen, and Ahmad Dahlan employs the Indies architecture typology, which refers to Indonesian colonial architecture based on Dutch architecture that has been adapted to the tropical climate.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Kyai Haji Muhsen has a rectangular floor plan that blends with the owner's house. The ground floor is a passageway to the outside Kauman area and an ablution area under the stairs leading to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On the first floor, the prayer room with a wooden mihrab wall jutting from its rectangular plan. The style is an indie building with classic Doric columns, while the first floor is equipped with a Javanese wooden ornamentation style. </w:t>
      </w:r>
    </w:p>
    <w:p w14:paraId="4F57DA83" w14:textId="3EFA4BF0" w:rsidR="002A645E" w:rsidRDefault="001D4DAB" w:rsidP="002A645E">
      <w:pPr>
        <w:ind w:left="284" w:firstLine="283"/>
        <w:jc w:val="both"/>
        <w:rPr>
          <w:rFonts w:asciiTheme="majorHAnsi" w:eastAsia="Times New Roman" w:hAnsiTheme="majorHAnsi" w:cstheme="majorHAnsi"/>
          <w:sz w:val="20"/>
          <w:szCs w:val="20"/>
          <w:lang w:val="id-ID" w:eastAsia="ko-KR"/>
        </w:rPr>
      </w:pPr>
      <w:r w:rsidRPr="001D4DAB">
        <w:rPr>
          <w:rFonts w:asciiTheme="majorHAnsi" w:eastAsia="Times New Roman" w:hAnsiTheme="majorHAnsi" w:cstheme="majorHAnsi"/>
          <w:i/>
          <w:iCs/>
          <w:sz w:val="20"/>
          <w:szCs w:val="20"/>
          <w:lang w:val="id-ID" w:eastAsia="ko-KR"/>
        </w:rPr>
        <w:t>Langgar Dhuwur</w:t>
      </w:r>
      <w:r w:rsidR="002A645E" w:rsidRPr="003B3CFF">
        <w:rPr>
          <w:rFonts w:asciiTheme="majorHAnsi" w:eastAsia="Times New Roman" w:hAnsiTheme="majorHAnsi" w:cstheme="majorHAnsi"/>
          <w:sz w:val="20"/>
          <w:szCs w:val="20"/>
          <w:lang w:val="id-ID" w:eastAsia="ko-KR"/>
        </w:rPr>
        <w:t xml:space="preserve"> KH Muhsen's architecture is influenced by the Kalang architectural style, a synthesis of traditional Javanese and classical colonial architecture that developed in the early twentieth century in several bourgeois areas of Yogyakarta, including Kauman and Kotagede [22]. The Kalang architecture is designed to reflect the social status of merchants, such as batik merchants and silver artisans.</w:t>
      </w:r>
    </w:p>
    <w:p w14:paraId="3658963E" w14:textId="6C1849B0" w:rsidR="002A645E" w:rsidRDefault="002A645E" w:rsidP="002A645E">
      <w:pPr>
        <w:ind w:left="284" w:firstLine="283"/>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 xml:space="preserve">The plan of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Kyai Haji Ahmad Dahlan is rectangular, with the addition of a rectangular mihrab protrusion in the direction of the Qibla. This building is attached to the owner's U-shaped residential building. The ground floor is used to receive guests of the homeowner, and the first floor is a prayer room area. A gable roof with brick construction and pilasters is used with eaves to protect the building from tropical heat and rain. The ornamentation on this building is minimal or non-existent, so it gives the impression of an Indies building in the modern architectural era of the early 20th century</w:t>
      </w:r>
      <w:r>
        <w:rPr>
          <w:rFonts w:asciiTheme="majorHAnsi" w:eastAsia="Times New Roman" w:hAnsiTheme="majorHAnsi" w:cstheme="majorHAnsi"/>
          <w:sz w:val="20"/>
          <w:szCs w:val="20"/>
          <w:lang w:val="id-ID" w:eastAsia="ko-KR"/>
        </w:rPr>
        <w:t>.</w:t>
      </w:r>
    </w:p>
    <w:p w14:paraId="77B3F3CD" w14:textId="77777777" w:rsidR="002A645E" w:rsidRDefault="002A645E" w:rsidP="002A645E">
      <w:pPr>
        <w:ind w:left="284" w:firstLine="283"/>
        <w:jc w:val="both"/>
        <w:rPr>
          <w:rFonts w:asciiTheme="majorHAnsi" w:eastAsia="Times New Roman" w:hAnsiTheme="majorHAnsi" w:cstheme="majorHAnsi"/>
          <w:sz w:val="20"/>
          <w:szCs w:val="20"/>
          <w:lang w:val="id-ID" w:eastAsia="ko-KR"/>
        </w:rPr>
      </w:pPr>
    </w:p>
    <w:p w14:paraId="6171DD03" w14:textId="77777777" w:rsidR="002A645E" w:rsidRDefault="002A645E" w:rsidP="002A645E">
      <w:pPr>
        <w:ind w:left="284"/>
        <w:jc w:val="both"/>
        <w:rPr>
          <w:rFonts w:asciiTheme="minorHAnsi" w:hAnsiTheme="minorHAnsi" w:cstheme="minorHAnsi"/>
          <w:b/>
          <w:bCs/>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8"/>
        <w:gridCol w:w="4214"/>
      </w:tblGrid>
      <w:tr w:rsidR="003B3CFF" w:rsidRPr="002A645E" w14:paraId="581D8C63" w14:textId="77777777" w:rsidTr="00F5397D">
        <w:tc>
          <w:tcPr>
            <w:tcW w:w="4858" w:type="dxa"/>
            <w:tcBorders>
              <w:top w:val="dotted" w:sz="4" w:space="0" w:color="000000"/>
              <w:left w:val="nil"/>
              <w:bottom w:val="dotted" w:sz="4" w:space="0" w:color="000000"/>
              <w:right w:val="nil"/>
            </w:tcBorders>
          </w:tcPr>
          <w:p w14:paraId="39F3F0D8" w14:textId="1026FAD6" w:rsidR="003B3CFF" w:rsidRPr="002A645E" w:rsidRDefault="001D4DAB" w:rsidP="00F5397D">
            <w:pPr>
              <w:rPr>
                <w:rFonts w:asciiTheme="majorHAnsi" w:hAnsiTheme="majorHAnsi" w:cstheme="majorHAnsi"/>
                <w:b/>
                <w:sz w:val="16"/>
                <w:szCs w:val="16"/>
              </w:rPr>
            </w:pPr>
            <w:bookmarkStart w:id="0" w:name="_Hlk134607657"/>
            <w:r w:rsidRPr="001D4DAB">
              <w:rPr>
                <w:rFonts w:asciiTheme="majorHAnsi" w:hAnsiTheme="majorHAnsi" w:cstheme="majorHAnsi"/>
                <w:b/>
                <w:i/>
                <w:iCs/>
                <w:sz w:val="16"/>
                <w:szCs w:val="16"/>
              </w:rPr>
              <w:lastRenderedPageBreak/>
              <w:t xml:space="preserve">Langgar </w:t>
            </w:r>
            <w:proofErr w:type="spellStart"/>
            <w:r w:rsidRPr="001D4DAB">
              <w:rPr>
                <w:rFonts w:asciiTheme="majorHAnsi" w:hAnsiTheme="majorHAnsi" w:cstheme="majorHAnsi"/>
                <w:b/>
                <w:i/>
                <w:iCs/>
                <w:sz w:val="16"/>
                <w:szCs w:val="16"/>
              </w:rPr>
              <w:t>Dhuwur</w:t>
            </w:r>
            <w:proofErr w:type="spellEnd"/>
            <w:r w:rsidR="003B3CFF" w:rsidRPr="002A645E">
              <w:rPr>
                <w:rFonts w:asciiTheme="majorHAnsi" w:hAnsiTheme="majorHAnsi" w:cstheme="majorHAnsi"/>
                <w:b/>
                <w:sz w:val="16"/>
                <w:szCs w:val="16"/>
              </w:rPr>
              <w:t xml:space="preserve"> KH Muhsen</w:t>
            </w:r>
          </w:p>
        </w:tc>
        <w:tc>
          <w:tcPr>
            <w:tcW w:w="4214" w:type="dxa"/>
            <w:tcBorders>
              <w:top w:val="dotted" w:sz="4" w:space="0" w:color="000000"/>
              <w:left w:val="nil"/>
              <w:bottom w:val="dotted" w:sz="4" w:space="0" w:color="000000"/>
              <w:right w:val="nil"/>
            </w:tcBorders>
          </w:tcPr>
          <w:p w14:paraId="5E6B5EB7" w14:textId="1D2FF515" w:rsidR="003B3CFF" w:rsidRPr="002A645E" w:rsidRDefault="001D4DAB" w:rsidP="00F5397D">
            <w:pPr>
              <w:rPr>
                <w:rFonts w:asciiTheme="majorHAnsi" w:hAnsiTheme="majorHAnsi" w:cstheme="majorHAnsi"/>
                <w:b/>
                <w:sz w:val="16"/>
                <w:szCs w:val="16"/>
              </w:rPr>
            </w:pPr>
            <w:r w:rsidRPr="001D4DAB">
              <w:rPr>
                <w:rFonts w:asciiTheme="majorHAnsi" w:hAnsiTheme="majorHAnsi" w:cstheme="majorHAnsi"/>
                <w:b/>
                <w:i/>
                <w:iCs/>
                <w:sz w:val="16"/>
                <w:szCs w:val="16"/>
              </w:rPr>
              <w:t xml:space="preserve">Langgar </w:t>
            </w:r>
            <w:proofErr w:type="spellStart"/>
            <w:r w:rsidRPr="001D4DAB">
              <w:rPr>
                <w:rFonts w:asciiTheme="majorHAnsi" w:hAnsiTheme="majorHAnsi" w:cstheme="majorHAnsi"/>
                <w:b/>
                <w:i/>
                <w:iCs/>
                <w:sz w:val="16"/>
                <w:szCs w:val="16"/>
              </w:rPr>
              <w:t>Dhuwur</w:t>
            </w:r>
            <w:proofErr w:type="spellEnd"/>
            <w:r w:rsidR="003B3CFF" w:rsidRPr="002A645E">
              <w:rPr>
                <w:rFonts w:asciiTheme="majorHAnsi" w:hAnsiTheme="majorHAnsi" w:cstheme="majorHAnsi"/>
                <w:b/>
                <w:sz w:val="16"/>
                <w:szCs w:val="16"/>
              </w:rPr>
              <w:t xml:space="preserve"> KH Ahmad Dahlan</w:t>
            </w:r>
          </w:p>
        </w:tc>
      </w:tr>
      <w:tr w:rsidR="003B3CFF" w:rsidRPr="002A645E" w14:paraId="2E8C7FFD" w14:textId="77777777" w:rsidTr="00F5397D">
        <w:tc>
          <w:tcPr>
            <w:tcW w:w="4858" w:type="dxa"/>
            <w:tcBorders>
              <w:top w:val="dotted" w:sz="4" w:space="0" w:color="000000"/>
              <w:left w:val="nil"/>
              <w:bottom w:val="dotted" w:sz="4" w:space="0" w:color="000000"/>
              <w:right w:val="nil"/>
            </w:tcBorders>
          </w:tcPr>
          <w:p w14:paraId="009FA01D" w14:textId="77777777" w:rsidR="003B3CFF" w:rsidRPr="002A645E" w:rsidRDefault="003B3CFF" w:rsidP="00F5397D">
            <w:pPr>
              <w:rPr>
                <w:rFonts w:asciiTheme="majorHAnsi" w:hAnsiTheme="majorHAnsi" w:cstheme="majorHAnsi"/>
                <w:b/>
                <w:sz w:val="16"/>
                <w:szCs w:val="16"/>
              </w:rPr>
            </w:pPr>
            <w:r w:rsidRPr="002A645E">
              <w:rPr>
                <w:rFonts w:asciiTheme="majorHAnsi" w:hAnsiTheme="majorHAnsi" w:cstheme="majorHAnsi"/>
                <w:b/>
                <w:sz w:val="16"/>
                <w:szCs w:val="16"/>
              </w:rPr>
              <w:t>Architectural Features</w:t>
            </w:r>
          </w:p>
        </w:tc>
        <w:tc>
          <w:tcPr>
            <w:tcW w:w="4214" w:type="dxa"/>
            <w:tcBorders>
              <w:top w:val="dotted" w:sz="4" w:space="0" w:color="000000"/>
              <w:left w:val="nil"/>
              <w:bottom w:val="dotted" w:sz="4" w:space="0" w:color="000000"/>
              <w:right w:val="nil"/>
            </w:tcBorders>
          </w:tcPr>
          <w:p w14:paraId="06CE2C77" w14:textId="77777777" w:rsidR="003B3CFF" w:rsidRPr="002A645E" w:rsidRDefault="003B3CFF" w:rsidP="00F5397D">
            <w:pPr>
              <w:rPr>
                <w:rFonts w:asciiTheme="majorHAnsi" w:hAnsiTheme="majorHAnsi" w:cstheme="majorHAnsi"/>
                <w:b/>
                <w:sz w:val="16"/>
                <w:szCs w:val="16"/>
              </w:rPr>
            </w:pPr>
          </w:p>
        </w:tc>
      </w:tr>
      <w:tr w:rsidR="003B3CFF" w:rsidRPr="002A645E" w14:paraId="30B02920" w14:textId="77777777" w:rsidTr="00F5397D">
        <w:tc>
          <w:tcPr>
            <w:tcW w:w="4858" w:type="dxa"/>
            <w:tcBorders>
              <w:top w:val="dotted" w:sz="4" w:space="0" w:color="000000"/>
              <w:left w:val="nil"/>
              <w:bottom w:val="dotted" w:sz="4" w:space="0" w:color="000000"/>
              <w:right w:val="nil"/>
            </w:tcBorders>
          </w:tcPr>
          <w:p w14:paraId="5F16D913" w14:textId="77777777" w:rsidR="003B3CFF" w:rsidRPr="002A645E" w:rsidRDefault="003B3CFF" w:rsidP="00F5397D">
            <w:pPr>
              <w:rPr>
                <w:rFonts w:asciiTheme="majorHAnsi" w:hAnsiTheme="majorHAnsi" w:cstheme="majorHAnsi"/>
                <w:bCs/>
                <w:sz w:val="16"/>
                <w:szCs w:val="16"/>
              </w:rPr>
            </w:pPr>
            <w:r w:rsidRPr="002A645E">
              <w:rPr>
                <w:rFonts w:asciiTheme="majorHAnsi" w:hAnsiTheme="majorHAnsi" w:cstheme="majorHAnsi"/>
                <w:bCs/>
                <w:noProof/>
                <w:sz w:val="16"/>
                <w:szCs w:val="16"/>
              </w:rPr>
              <w:drawing>
                <wp:inline distT="0" distB="0" distL="0" distR="0" wp14:anchorId="52FB9DA5" wp14:editId="19DBAE64">
                  <wp:extent cx="1562100" cy="876300"/>
                  <wp:effectExtent l="0" t="0" r="0" b="0"/>
                  <wp:docPr id="3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rotWithShape="1">
                          <a:blip r:embed="rId18" cstate="print">
                            <a:extLst>
                              <a:ext uri="{28A0092B-C50C-407E-A947-70E740481C1C}">
                                <a14:useLocalDpi xmlns:a14="http://schemas.microsoft.com/office/drawing/2010/main" val="0"/>
                              </a:ext>
                            </a:extLst>
                          </a:blip>
                          <a:srcRect l="13794" t="9417" r="18920" b="7592"/>
                          <a:stretch/>
                        </pic:blipFill>
                        <pic:spPr bwMode="auto">
                          <a:xfrm>
                            <a:off x="0" y="0"/>
                            <a:ext cx="1562100" cy="876300"/>
                          </a:xfrm>
                          <a:prstGeom prst="rect">
                            <a:avLst/>
                          </a:prstGeom>
                          <a:ln>
                            <a:noFill/>
                          </a:ln>
                          <a:extLst>
                            <a:ext uri="{53640926-AAD7-44D8-BBD7-CCE9431645EC}">
                              <a14:shadowObscured xmlns:a14="http://schemas.microsoft.com/office/drawing/2010/main"/>
                            </a:ext>
                          </a:extLst>
                        </pic:spPr>
                      </pic:pic>
                    </a:graphicData>
                  </a:graphic>
                </wp:inline>
              </w:drawing>
            </w:r>
            <w:r w:rsidRPr="002A645E">
              <w:rPr>
                <w:rFonts w:asciiTheme="majorHAnsi" w:hAnsiTheme="majorHAnsi" w:cstheme="majorHAnsi"/>
                <w:bCs/>
                <w:noProof/>
                <w:sz w:val="16"/>
                <w:szCs w:val="16"/>
              </w:rPr>
              <w:drawing>
                <wp:inline distT="0" distB="0" distL="0" distR="0" wp14:anchorId="1BBDF7F0" wp14:editId="61DD8236">
                  <wp:extent cx="1314450" cy="901700"/>
                  <wp:effectExtent l="0" t="0" r="0" b="0"/>
                  <wp:docPr id="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9" cstate="print">
                            <a:extLst>
                              <a:ext uri="{28A0092B-C50C-407E-A947-70E740481C1C}">
                                <a14:useLocalDpi xmlns:a14="http://schemas.microsoft.com/office/drawing/2010/main" val="0"/>
                              </a:ext>
                            </a:extLst>
                          </a:blip>
                          <a:srcRect l="17818" t="9535" r="22724" b="7445"/>
                          <a:stretch/>
                        </pic:blipFill>
                        <pic:spPr bwMode="auto">
                          <a:xfrm>
                            <a:off x="0" y="0"/>
                            <a:ext cx="1314450" cy="901700"/>
                          </a:xfrm>
                          <a:prstGeom prst="rect">
                            <a:avLst/>
                          </a:prstGeom>
                          <a:ln>
                            <a:noFill/>
                          </a:ln>
                          <a:extLst>
                            <a:ext uri="{53640926-AAD7-44D8-BBD7-CCE9431645EC}">
                              <a14:shadowObscured xmlns:a14="http://schemas.microsoft.com/office/drawing/2010/main"/>
                            </a:ext>
                          </a:extLst>
                        </pic:spPr>
                      </pic:pic>
                    </a:graphicData>
                  </a:graphic>
                </wp:inline>
              </w:drawing>
            </w:r>
          </w:p>
          <w:p w14:paraId="0A928D07" w14:textId="77777777" w:rsidR="003B3CFF" w:rsidRPr="002A645E" w:rsidRDefault="003B3CFF" w:rsidP="00F5397D">
            <w:pPr>
              <w:rPr>
                <w:rFonts w:asciiTheme="majorHAnsi" w:hAnsiTheme="majorHAnsi" w:cstheme="majorHAnsi"/>
                <w:bCs/>
                <w:sz w:val="16"/>
                <w:szCs w:val="16"/>
              </w:rPr>
            </w:pPr>
            <w:r w:rsidRPr="002A645E">
              <w:rPr>
                <w:rFonts w:asciiTheme="majorHAnsi" w:hAnsiTheme="majorHAnsi" w:cstheme="majorHAnsi"/>
                <w:bCs/>
                <w:sz w:val="16"/>
                <w:szCs w:val="16"/>
              </w:rPr>
              <w:t xml:space="preserve">                            Ground Floor                                   First Floor</w:t>
            </w:r>
          </w:p>
        </w:tc>
        <w:tc>
          <w:tcPr>
            <w:tcW w:w="4214" w:type="dxa"/>
            <w:tcBorders>
              <w:top w:val="dotted" w:sz="4" w:space="0" w:color="000000"/>
              <w:left w:val="nil"/>
              <w:bottom w:val="dotted" w:sz="4" w:space="0" w:color="000000"/>
              <w:right w:val="nil"/>
            </w:tcBorders>
          </w:tcPr>
          <w:p w14:paraId="3338FC8B" w14:textId="77777777" w:rsidR="003B3CFF" w:rsidRPr="002A645E" w:rsidRDefault="003B3CFF" w:rsidP="00F5397D">
            <w:pPr>
              <w:rPr>
                <w:rFonts w:asciiTheme="majorHAnsi" w:hAnsiTheme="majorHAnsi" w:cstheme="majorHAnsi"/>
                <w:bCs/>
                <w:sz w:val="16"/>
                <w:szCs w:val="16"/>
              </w:rPr>
            </w:pPr>
          </w:p>
          <w:p w14:paraId="2C3D2069" w14:textId="77777777" w:rsidR="003B3CFF" w:rsidRPr="002A645E" w:rsidRDefault="003B3CFF" w:rsidP="00F5397D">
            <w:pPr>
              <w:rPr>
                <w:rFonts w:asciiTheme="majorHAnsi" w:hAnsiTheme="majorHAnsi" w:cstheme="majorHAnsi"/>
                <w:bCs/>
                <w:sz w:val="16"/>
                <w:szCs w:val="16"/>
              </w:rPr>
            </w:pPr>
            <w:r w:rsidRPr="002A645E">
              <w:rPr>
                <w:rFonts w:asciiTheme="majorHAnsi" w:hAnsiTheme="majorHAnsi" w:cstheme="majorHAnsi"/>
                <w:bCs/>
                <w:noProof/>
                <w:sz w:val="16"/>
                <w:szCs w:val="16"/>
              </w:rPr>
              <w:drawing>
                <wp:inline distT="0" distB="0" distL="0" distR="0" wp14:anchorId="09D92B29" wp14:editId="6B5979B1">
                  <wp:extent cx="1250950" cy="768350"/>
                  <wp:effectExtent l="0" t="0" r="6350" b="0"/>
                  <wp:docPr id="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rotWithShape="1">
                          <a:blip r:embed="rId20">
                            <a:extLst>
                              <a:ext uri="{28A0092B-C50C-407E-A947-70E740481C1C}">
                                <a14:useLocalDpi xmlns:a14="http://schemas.microsoft.com/office/drawing/2010/main" val="0"/>
                              </a:ext>
                            </a:extLst>
                          </a:blip>
                          <a:srcRect l="13423" t="14160" r="45945" b="31925"/>
                          <a:stretch/>
                        </pic:blipFill>
                        <pic:spPr bwMode="auto">
                          <a:xfrm>
                            <a:off x="0" y="0"/>
                            <a:ext cx="1250950" cy="768350"/>
                          </a:xfrm>
                          <a:prstGeom prst="rect">
                            <a:avLst/>
                          </a:prstGeom>
                          <a:ln>
                            <a:noFill/>
                          </a:ln>
                          <a:extLst>
                            <a:ext uri="{53640926-AAD7-44D8-BBD7-CCE9431645EC}">
                              <a14:shadowObscured xmlns:a14="http://schemas.microsoft.com/office/drawing/2010/main"/>
                            </a:ext>
                          </a:extLst>
                        </pic:spPr>
                      </pic:pic>
                    </a:graphicData>
                  </a:graphic>
                </wp:inline>
              </w:drawing>
            </w:r>
            <w:r w:rsidRPr="002A645E">
              <w:rPr>
                <w:rFonts w:asciiTheme="majorHAnsi" w:hAnsiTheme="majorHAnsi" w:cstheme="majorHAnsi"/>
                <w:bCs/>
                <w:noProof/>
                <w:sz w:val="16"/>
                <w:szCs w:val="16"/>
              </w:rPr>
              <w:drawing>
                <wp:inline distT="0" distB="0" distL="0" distR="0" wp14:anchorId="629E652C" wp14:editId="719C3C25">
                  <wp:extent cx="1276350" cy="758190"/>
                  <wp:effectExtent l="0" t="0" r="0" b="381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rotWithShape="1">
                          <a:blip r:embed="rId20">
                            <a:extLst>
                              <a:ext uri="{28A0092B-C50C-407E-A947-70E740481C1C}">
                                <a14:useLocalDpi xmlns:a14="http://schemas.microsoft.com/office/drawing/2010/main" val="0"/>
                              </a:ext>
                            </a:extLst>
                          </a:blip>
                          <a:srcRect l="53349" t="14160" r="6011" b="31925"/>
                          <a:stretch/>
                        </pic:blipFill>
                        <pic:spPr bwMode="auto">
                          <a:xfrm>
                            <a:off x="0" y="0"/>
                            <a:ext cx="1276350" cy="758190"/>
                          </a:xfrm>
                          <a:prstGeom prst="rect">
                            <a:avLst/>
                          </a:prstGeom>
                          <a:ln>
                            <a:noFill/>
                          </a:ln>
                          <a:extLst>
                            <a:ext uri="{53640926-AAD7-44D8-BBD7-CCE9431645EC}">
                              <a14:shadowObscured xmlns:a14="http://schemas.microsoft.com/office/drawing/2010/main"/>
                            </a:ext>
                          </a:extLst>
                        </pic:spPr>
                      </pic:pic>
                    </a:graphicData>
                  </a:graphic>
                </wp:inline>
              </w:drawing>
            </w:r>
          </w:p>
          <w:p w14:paraId="401133A9" w14:textId="77777777" w:rsidR="003B3CFF" w:rsidRPr="002A645E" w:rsidRDefault="003B3CFF" w:rsidP="00F5397D">
            <w:pPr>
              <w:rPr>
                <w:rFonts w:asciiTheme="majorHAnsi" w:hAnsiTheme="majorHAnsi" w:cstheme="majorHAnsi"/>
                <w:bCs/>
                <w:sz w:val="16"/>
                <w:szCs w:val="16"/>
              </w:rPr>
            </w:pPr>
          </w:p>
          <w:p w14:paraId="6EF7BA3A" w14:textId="77777777" w:rsidR="003B3CFF" w:rsidRPr="002A645E" w:rsidRDefault="003B3CFF" w:rsidP="00F5397D">
            <w:pPr>
              <w:rPr>
                <w:rFonts w:asciiTheme="majorHAnsi" w:hAnsiTheme="majorHAnsi" w:cstheme="majorHAnsi"/>
                <w:bCs/>
                <w:sz w:val="16"/>
                <w:szCs w:val="16"/>
              </w:rPr>
            </w:pPr>
            <w:r w:rsidRPr="002A645E">
              <w:rPr>
                <w:rFonts w:asciiTheme="majorHAnsi" w:hAnsiTheme="majorHAnsi" w:cstheme="majorHAnsi"/>
                <w:bCs/>
                <w:sz w:val="16"/>
                <w:szCs w:val="16"/>
              </w:rPr>
              <w:t xml:space="preserve">                 Ground Floor                                                     First Floor</w:t>
            </w:r>
          </w:p>
        </w:tc>
      </w:tr>
      <w:tr w:rsidR="003B3CFF" w14:paraId="1662B923" w14:textId="77777777" w:rsidTr="00F5397D">
        <w:tc>
          <w:tcPr>
            <w:tcW w:w="4858" w:type="dxa"/>
            <w:tcBorders>
              <w:top w:val="dotted" w:sz="4" w:space="0" w:color="000000"/>
              <w:left w:val="nil"/>
              <w:bottom w:val="dotted" w:sz="4" w:space="0" w:color="000000"/>
              <w:right w:val="nil"/>
            </w:tcBorders>
          </w:tcPr>
          <w:p w14:paraId="71267362" w14:textId="77777777" w:rsidR="003B3CFF" w:rsidRPr="002A645E" w:rsidRDefault="003B3CFF" w:rsidP="00F5397D">
            <w:pPr>
              <w:rPr>
                <w:rFonts w:asciiTheme="majorHAnsi" w:hAnsiTheme="majorHAnsi" w:cstheme="majorHAnsi"/>
                <w:b/>
                <w:bCs/>
                <w:noProof/>
                <w:sz w:val="16"/>
                <w:szCs w:val="16"/>
              </w:rPr>
            </w:pPr>
            <w:r w:rsidRPr="002A645E">
              <w:rPr>
                <w:rFonts w:asciiTheme="majorHAnsi" w:hAnsiTheme="majorHAnsi" w:cstheme="majorHAnsi"/>
                <w:b/>
                <w:bCs/>
                <w:noProof/>
                <w:sz w:val="16"/>
                <w:szCs w:val="16"/>
              </w:rPr>
              <w:t>Elevation</w:t>
            </w:r>
          </w:p>
        </w:tc>
        <w:tc>
          <w:tcPr>
            <w:tcW w:w="4214" w:type="dxa"/>
            <w:tcBorders>
              <w:top w:val="dotted" w:sz="4" w:space="0" w:color="000000"/>
              <w:left w:val="nil"/>
              <w:bottom w:val="dotted" w:sz="4" w:space="0" w:color="000000"/>
              <w:right w:val="nil"/>
            </w:tcBorders>
          </w:tcPr>
          <w:p w14:paraId="6B2570BB" w14:textId="77777777" w:rsidR="003B3CFF" w:rsidRPr="002A645E" w:rsidRDefault="003B3CFF" w:rsidP="00F5397D">
            <w:pPr>
              <w:rPr>
                <w:rFonts w:asciiTheme="majorHAnsi" w:hAnsiTheme="majorHAnsi" w:cstheme="majorHAnsi"/>
                <w:sz w:val="16"/>
                <w:szCs w:val="16"/>
              </w:rPr>
            </w:pPr>
          </w:p>
        </w:tc>
      </w:tr>
      <w:tr w:rsidR="003B3CFF" w14:paraId="7470F9F1" w14:textId="77777777" w:rsidTr="00F5397D">
        <w:tc>
          <w:tcPr>
            <w:tcW w:w="4858" w:type="dxa"/>
            <w:tcBorders>
              <w:top w:val="dotted" w:sz="4" w:space="0" w:color="000000"/>
              <w:left w:val="nil"/>
              <w:bottom w:val="dotted" w:sz="4" w:space="0" w:color="000000"/>
              <w:right w:val="nil"/>
            </w:tcBorders>
          </w:tcPr>
          <w:p w14:paraId="64652949"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noProof/>
                <w:sz w:val="16"/>
                <w:szCs w:val="16"/>
              </w:rPr>
              <w:drawing>
                <wp:anchor distT="0" distB="0" distL="114300" distR="114300" simplePos="0" relativeHeight="251659264" behindDoc="0" locked="0" layoutInCell="1" hidden="0" allowOverlap="1" wp14:anchorId="11BC5E9D" wp14:editId="02867A97">
                  <wp:simplePos x="0" y="0"/>
                  <wp:positionH relativeFrom="column">
                    <wp:posOffset>13335</wp:posOffset>
                  </wp:positionH>
                  <wp:positionV relativeFrom="paragraph">
                    <wp:posOffset>57785</wp:posOffset>
                  </wp:positionV>
                  <wp:extent cx="1339850" cy="1720850"/>
                  <wp:effectExtent l="0" t="0" r="0" b="0"/>
                  <wp:wrapNone/>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l="43852" t="9362" r="19056" b="5192"/>
                          <a:stretch>
                            <a:fillRect/>
                          </a:stretch>
                        </pic:blipFill>
                        <pic:spPr>
                          <a:xfrm>
                            <a:off x="0" y="0"/>
                            <a:ext cx="1339850" cy="1720850"/>
                          </a:xfrm>
                          <a:prstGeom prst="rect">
                            <a:avLst/>
                          </a:prstGeom>
                          <a:ln/>
                        </pic:spPr>
                      </pic:pic>
                    </a:graphicData>
                  </a:graphic>
                  <wp14:sizeRelH relativeFrom="margin">
                    <wp14:pctWidth>0</wp14:pctWidth>
                  </wp14:sizeRelH>
                  <wp14:sizeRelV relativeFrom="margin">
                    <wp14:pctHeight>0</wp14:pctHeight>
                  </wp14:sizeRelV>
                </wp:anchor>
              </w:drawing>
            </w:r>
          </w:p>
          <w:p w14:paraId="17EDD0DB" w14:textId="77777777" w:rsidR="003B3CFF" w:rsidRPr="002A645E" w:rsidRDefault="003B3CFF" w:rsidP="00F5397D">
            <w:pPr>
              <w:rPr>
                <w:rFonts w:asciiTheme="majorHAnsi" w:hAnsiTheme="majorHAnsi" w:cstheme="majorHAnsi"/>
                <w:sz w:val="16"/>
                <w:szCs w:val="16"/>
              </w:rPr>
            </w:pPr>
          </w:p>
          <w:p w14:paraId="1972144A" w14:textId="77777777" w:rsidR="003B3CFF" w:rsidRPr="002A645E" w:rsidRDefault="003B3CFF" w:rsidP="00F5397D">
            <w:pPr>
              <w:rPr>
                <w:rFonts w:asciiTheme="majorHAnsi" w:hAnsiTheme="majorHAnsi" w:cstheme="majorHAnsi"/>
                <w:sz w:val="16"/>
                <w:szCs w:val="16"/>
              </w:rPr>
            </w:pPr>
          </w:p>
          <w:p w14:paraId="48810D3C" w14:textId="77777777" w:rsidR="003B3CFF" w:rsidRPr="002A645E" w:rsidRDefault="003B3CFF" w:rsidP="00F5397D">
            <w:pPr>
              <w:rPr>
                <w:rFonts w:asciiTheme="majorHAnsi" w:hAnsiTheme="majorHAnsi" w:cstheme="majorHAnsi"/>
                <w:sz w:val="16"/>
                <w:szCs w:val="16"/>
              </w:rPr>
            </w:pPr>
          </w:p>
          <w:p w14:paraId="19E59309" w14:textId="77777777" w:rsidR="003B3CFF" w:rsidRPr="002A645E" w:rsidRDefault="003B3CFF" w:rsidP="00F5397D">
            <w:pPr>
              <w:rPr>
                <w:rFonts w:asciiTheme="majorHAnsi" w:hAnsiTheme="majorHAnsi" w:cstheme="majorHAnsi"/>
                <w:sz w:val="16"/>
                <w:szCs w:val="16"/>
              </w:rPr>
            </w:pPr>
          </w:p>
          <w:p w14:paraId="17468AC0" w14:textId="77777777" w:rsidR="003B3CFF" w:rsidRPr="002A645E" w:rsidRDefault="003B3CFF" w:rsidP="00F5397D">
            <w:pPr>
              <w:rPr>
                <w:rFonts w:asciiTheme="majorHAnsi" w:hAnsiTheme="majorHAnsi" w:cstheme="majorHAnsi"/>
                <w:sz w:val="16"/>
                <w:szCs w:val="16"/>
              </w:rPr>
            </w:pPr>
          </w:p>
          <w:p w14:paraId="0845B05C" w14:textId="77777777" w:rsidR="003B3CFF" w:rsidRPr="002A645E" w:rsidRDefault="003B3CFF" w:rsidP="00F5397D">
            <w:pPr>
              <w:rPr>
                <w:rFonts w:asciiTheme="majorHAnsi" w:hAnsiTheme="majorHAnsi" w:cstheme="majorHAnsi"/>
                <w:sz w:val="16"/>
                <w:szCs w:val="16"/>
              </w:rPr>
            </w:pPr>
          </w:p>
          <w:p w14:paraId="748B6D45" w14:textId="77777777" w:rsidR="003B3CFF" w:rsidRPr="002A645E" w:rsidRDefault="003B3CFF" w:rsidP="00F5397D">
            <w:pPr>
              <w:rPr>
                <w:rFonts w:asciiTheme="majorHAnsi" w:hAnsiTheme="majorHAnsi" w:cstheme="majorHAnsi"/>
                <w:sz w:val="16"/>
                <w:szCs w:val="16"/>
              </w:rPr>
            </w:pPr>
          </w:p>
          <w:p w14:paraId="23EBE495" w14:textId="77777777" w:rsidR="003B3CFF" w:rsidRPr="002A645E" w:rsidRDefault="003B3CFF" w:rsidP="00F5397D">
            <w:pPr>
              <w:rPr>
                <w:rFonts w:asciiTheme="majorHAnsi" w:hAnsiTheme="majorHAnsi" w:cstheme="majorHAnsi"/>
                <w:sz w:val="16"/>
                <w:szCs w:val="16"/>
              </w:rPr>
            </w:pPr>
          </w:p>
          <w:p w14:paraId="2BACECFD" w14:textId="77777777" w:rsidR="003B3CFF" w:rsidRPr="002A645E" w:rsidRDefault="003B3CFF" w:rsidP="00F5397D">
            <w:pPr>
              <w:rPr>
                <w:rFonts w:asciiTheme="majorHAnsi" w:hAnsiTheme="majorHAnsi" w:cstheme="majorHAnsi"/>
                <w:sz w:val="16"/>
                <w:szCs w:val="16"/>
              </w:rPr>
            </w:pPr>
          </w:p>
          <w:p w14:paraId="240C7CFB" w14:textId="77777777" w:rsidR="003B3CFF" w:rsidRPr="002A645E" w:rsidRDefault="003B3CFF" w:rsidP="00F5397D">
            <w:pPr>
              <w:rPr>
                <w:rFonts w:asciiTheme="majorHAnsi" w:hAnsiTheme="majorHAnsi" w:cstheme="majorHAnsi"/>
                <w:sz w:val="16"/>
                <w:szCs w:val="16"/>
              </w:rPr>
            </w:pPr>
          </w:p>
          <w:p w14:paraId="0E235F36" w14:textId="77777777" w:rsidR="003B3CFF" w:rsidRPr="002A645E" w:rsidRDefault="003B3CFF" w:rsidP="00F5397D">
            <w:pPr>
              <w:rPr>
                <w:rFonts w:asciiTheme="majorHAnsi" w:hAnsiTheme="majorHAnsi" w:cstheme="majorHAnsi"/>
                <w:sz w:val="16"/>
                <w:szCs w:val="16"/>
              </w:rPr>
            </w:pPr>
          </w:p>
          <w:p w14:paraId="7E084CAA" w14:textId="77777777" w:rsidR="003B3CFF" w:rsidRPr="002A645E" w:rsidRDefault="003B3CFF" w:rsidP="00F5397D">
            <w:pPr>
              <w:rPr>
                <w:rFonts w:asciiTheme="majorHAnsi" w:hAnsiTheme="majorHAnsi" w:cstheme="majorHAnsi"/>
                <w:sz w:val="16"/>
                <w:szCs w:val="16"/>
              </w:rPr>
            </w:pPr>
          </w:p>
          <w:p w14:paraId="1F7222DA" w14:textId="77777777" w:rsidR="003B3CFF" w:rsidRPr="002A645E" w:rsidRDefault="003B3CFF" w:rsidP="00F5397D">
            <w:pPr>
              <w:rPr>
                <w:rFonts w:asciiTheme="majorHAnsi" w:hAnsiTheme="majorHAnsi" w:cstheme="majorHAnsi"/>
                <w:sz w:val="16"/>
                <w:szCs w:val="16"/>
              </w:rPr>
            </w:pPr>
          </w:p>
          <w:p w14:paraId="78AFB9DE" w14:textId="77777777" w:rsidR="003B3CFF" w:rsidRPr="002A645E" w:rsidRDefault="003B3CFF" w:rsidP="00F5397D">
            <w:pPr>
              <w:rPr>
                <w:rFonts w:asciiTheme="majorHAnsi" w:hAnsiTheme="majorHAnsi" w:cstheme="majorHAnsi"/>
                <w:sz w:val="16"/>
                <w:szCs w:val="16"/>
              </w:rPr>
            </w:pPr>
          </w:p>
          <w:p w14:paraId="087A6E17" w14:textId="77777777" w:rsidR="003B3CFF" w:rsidRPr="002A645E" w:rsidRDefault="003B3CFF" w:rsidP="00F5397D">
            <w:pPr>
              <w:rPr>
                <w:rFonts w:asciiTheme="majorHAnsi" w:hAnsiTheme="majorHAnsi" w:cstheme="majorHAnsi"/>
                <w:sz w:val="16"/>
                <w:szCs w:val="16"/>
              </w:rPr>
            </w:pPr>
          </w:p>
        </w:tc>
        <w:tc>
          <w:tcPr>
            <w:tcW w:w="4214" w:type="dxa"/>
            <w:tcBorders>
              <w:top w:val="dotted" w:sz="4" w:space="0" w:color="000000"/>
              <w:left w:val="nil"/>
              <w:bottom w:val="dotted" w:sz="4" w:space="0" w:color="000000"/>
              <w:right w:val="nil"/>
            </w:tcBorders>
          </w:tcPr>
          <w:p w14:paraId="5BDE2652"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noProof/>
                <w:sz w:val="16"/>
                <w:szCs w:val="16"/>
              </w:rPr>
              <w:drawing>
                <wp:anchor distT="0" distB="0" distL="114300" distR="114300" simplePos="0" relativeHeight="251660288" behindDoc="0" locked="0" layoutInCell="1" hidden="0" allowOverlap="1" wp14:anchorId="7C19A641" wp14:editId="7F0BFCAE">
                  <wp:simplePos x="0" y="0"/>
                  <wp:positionH relativeFrom="column">
                    <wp:posOffset>15240</wp:posOffset>
                  </wp:positionH>
                  <wp:positionV relativeFrom="paragraph">
                    <wp:posOffset>191770</wp:posOffset>
                  </wp:positionV>
                  <wp:extent cx="1276350" cy="1371600"/>
                  <wp:effectExtent l="0" t="0" r="0" b="0"/>
                  <wp:wrapNone/>
                  <wp:docPr id="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l="37041" t="12435" r="19541" b="11535"/>
                          <a:stretch>
                            <a:fillRect/>
                          </a:stretch>
                        </pic:blipFill>
                        <pic:spPr>
                          <a:xfrm>
                            <a:off x="0" y="0"/>
                            <a:ext cx="1276350" cy="1371600"/>
                          </a:xfrm>
                          <a:prstGeom prst="rect">
                            <a:avLst/>
                          </a:prstGeom>
                          <a:ln/>
                        </pic:spPr>
                      </pic:pic>
                    </a:graphicData>
                  </a:graphic>
                  <wp14:sizeRelH relativeFrom="margin">
                    <wp14:pctWidth>0</wp14:pctWidth>
                  </wp14:sizeRelH>
                  <wp14:sizeRelV relativeFrom="margin">
                    <wp14:pctHeight>0</wp14:pctHeight>
                  </wp14:sizeRelV>
                </wp:anchor>
              </w:drawing>
            </w:r>
          </w:p>
        </w:tc>
      </w:tr>
      <w:tr w:rsidR="003B3CFF" w14:paraId="7AF4621F" w14:textId="77777777" w:rsidTr="00F5397D">
        <w:tc>
          <w:tcPr>
            <w:tcW w:w="4858" w:type="dxa"/>
            <w:tcBorders>
              <w:top w:val="dotted" w:sz="4" w:space="0" w:color="000000"/>
              <w:left w:val="nil"/>
              <w:bottom w:val="dotted" w:sz="4" w:space="0" w:color="000000"/>
              <w:right w:val="nil"/>
            </w:tcBorders>
          </w:tcPr>
          <w:p w14:paraId="2D3190CE" w14:textId="77777777" w:rsidR="003B3CFF" w:rsidRPr="002A645E" w:rsidRDefault="003B3CFF" w:rsidP="00F5397D">
            <w:pPr>
              <w:rPr>
                <w:rFonts w:asciiTheme="majorHAnsi" w:hAnsiTheme="majorHAnsi" w:cstheme="majorHAnsi"/>
                <w:b/>
                <w:sz w:val="16"/>
                <w:szCs w:val="16"/>
              </w:rPr>
            </w:pPr>
            <w:r w:rsidRPr="002A645E">
              <w:rPr>
                <w:rFonts w:asciiTheme="majorHAnsi" w:hAnsiTheme="majorHAnsi" w:cstheme="majorHAnsi"/>
                <w:b/>
                <w:sz w:val="16"/>
                <w:szCs w:val="16"/>
              </w:rPr>
              <w:t>Details</w:t>
            </w:r>
          </w:p>
        </w:tc>
        <w:tc>
          <w:tcPr>
            <w:tcW w:w="4214" w:type="dxa"/>
            <w:tcBorders>
              <w:top w:val="dotted" w:sz="4" w:space="0" w:color="000000"/>
              <w:left w:val="nil"/>
              <w:bottom w:val="dotted" w:sz="4" w:space="0" w:color="000000"/>
              <w:right w:val="nil"/>
            </w:tcBorders>
          </w:tcPr>
          <w:p w14:paraId="618D0B39" w14:textId="77777777" w:rsidR="003B3CFF" w:rsidRPr="002A645E" w:rsidRDefault="003B3CFF" w:rsidP="00F5397D">
            <w:pPr>
              <w:rPr>
                <w:rFonts w:asciiTheme="majorHAnsi" w:hAnsiTheme="majorHAnsi" w:cstheme="majorHAnsi"/>
                <w:noProof/>
                <w:sz w:val="16"/>
                <w:szCs w:val="16"/>
              </w:rPr>
            </w:pPr>
          </w:p>
        </w:tc>
      </w:tr>
      <w:tr w:rsidR="003B3CFF" w14:paraId="1DBD55E0" w14:textId="77777777" w:rsidTr="00F5397D">
        <w:trPr>
          <w:trHeight w:val="1940"/>
        </w:trPr>
        <w:tc>
          <w:tcPr>
            <w:tcW w:w="4858" w:type="dxa"/>
            <w:tcBorders>
              <w:top w:val="dotted" w:sz="4" w:space="0" w:color="000000"/>
              <w:left w:val="nil"/>
              <w:bottom w:val="dotted" w:sz="4" w:space="0" w:color="000000"/>
              <w:right w:val="nil"/>
            </w:tcBorders>
          </w:tcPr>
          <w:p w14:paraId="0C6525FE" w14:textId="77777777" w:rsidR="003B3CFF" w:rsidRPr="002A645E" w:rsidRDefault="003B3CFF" w:rsidP="00F5397D">
            <w:pPr>
              <w:rPr>
                <w:rFonts w:asciiTheme="majorHAnsi" w:hAnsiTheme="majorHAnsi" w:cstheme="majorHAnsi"/>
                <w:sz w:val="16"/>
                <w:szCs w:val="16"/>
              </w:rPr>
            </w:pPr>
          </w:p>
          <w:p w14:paraId="1F6F35F3"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noProof/>
                <w:sz w:val="16"/>
                <w:szCs w:val="16"/>
              </w:rPr>
              <w:drawing>
                <wp:inline distT="0" distB="0" distL="0" distR="0" wp14:anchorId="09E993BA" wp14:editId="31BE995D">
                  <wp:extent cx="1562100" cy="1066800"/>
                  <wp:effectExtent l="0" t="0" r="0" b="0"/>
                  <wp:docPr id="3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3">
                            <a:extLst>
                              <a:ext uri="{28A0092B-C50C-407E-A947-70E740481C1C}">
                                <a14:useLocalDpi xmlns:a14="http://schemas.microsoft.com/office/drawing/2010/main" val="0"/>
                              </a:ext>
                            </a:extLst>
                          </a:blip>
                          <a:srcRect l="31915" t="22339" r="6303" b="16223"/>
                          <a:stretch>
                            <a:fillRect/>
                          </a:stretch>
                        </pic:blipFill>
                        <pic:spPr>
                          <a:xfrm>
                            <a:off x="0" y="0"/>
                            <a:ext cx="1562100" cy="1066800"/>
                          </a:xfrm>
                          <a:prstGeom prst="rect">
                            <a:avLst/>
                          </a:prstGeom>
                          <a:ln/>
                        </pic:spPr>
                      </pic:pic>
                    </a:graphicData>
                  </a:graphic>
                </wp:inline>
              </w:drawing>
            </w:r>
            <w:r w:rsidRPr="002A645E">
              <w:rPr>
                <w:rFonts w:asciiTheme="majorHAnsi" w:hAnsiTheme="majorHAnsi" w:cstheme="majorHAnsi"/>
                <w:noProof/>
                <w:sz w:val="16"/>
                <w:szCs w:val="16"/>
              </w:rPr>
              <w:drawing>
                <wp:inline distT="0" distB="0" distL="0" distR="0" wp14:anchorId="68245207" wp14:editId="4F9E7F3E">
                  <wp:extent cx="1609725" cy="1267385"/>
                  <wp:effectExtent l="0" t="0" r="0" b="9525"/>
                  <wp:docPr id="2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rotWithShape="1">
                          <a:blip r:embed="rId24">
                            <a:extLst>
                              <a:ext uri="{28A0092B-C50C-407E-A947-70E740481C1C}">
                                <a14:useLocalDpi xmlns:a14="http://schemas.microsoft.com/office/drawing/2010/main" val="0"/>
                              </a:ext>
                            </a:extLst>
                          </a:blip>
                          <a:srcRect l="1113" t="14125" r="39364" b="18858"/>
                          <a:stretch/>
                        </pic:blipFill>
                        <pic:spPr bwMode="auto">
                          <a:xfrm>
                            <a:off x="0" y="0"/>
                            <a:ext cx="1611850" cy="1269058"/>
                          </a:xfrm>
                          <a:prstGeom prst="rect">
                            <a:avLst/>
                          </a:prstGeom>
                          <a:ln>
                            <a:noFill/>
                          </a:ln>
                          <a:extLst>
                            <a:ext uri="{53640926-AAD7-44D8-BBD7-CCE9431645EC}">
                              <a14:shadowObscured xmlns:a14="http://schemas.microsoft.com/office/drawing/2010/main"/>
                            </a:ext>
                          </a:extLst>
                        </pic:spPr>
                      </pic:pic>
                    </a:graphicData>
                  </a:graphic>
                </wp:inline>
              </w:drawing>
            </w:r>
          </w:p>
        </w:tc>
        <w:tc>
          <w:tcPr>
            <w:tcW w:w="4214" w:type="dxa"/>
            <w:tcBorders>
              <w:top w:val="dotted" w:sz="4" w:space="0" w:color="000000"/>
              <w:left w:val="nil"/>
              <w:bottom w:val="dotted" w:sz="4" w:space="0" w:color="000000"/>
              <w:right w:val="nil"/>
            </w:tcBorders>
          </w:tcPr>
          <w:p w14:paraId="0875795B"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noProof/>
                <w:sz w:val="16"/>
                <w:szCs w:val="16"/>
              </w:rPr>
              <w:drawing>
                <wp:anchor distT="0" distB="0" distL="114300" distR="114300" simplePos="0" relativeHeight="251661312" behindDoc="0" locked="0" layoutInCell="1" hidden="0" allowOverlap="1" wp14:anchorId="42BC2CE0" wp14:editId="4812741A">
                  <wp:simplePos x="0" y="0"/>
                  <wp:positionH relativeFrom="column">
                    <wp:posOffset>38735</wp:posOffset>
                  </wp:positionH>
                  <wp:positionV relativeFrom="paragraph">
                    <wp:posOffset>61595</wp:posOffset>
                  </wp:positionV>
                  <wp:extent cx="1327150" cy="1130300"/>
                  <wp:effectExtent l="0" t="0" r="6350" b="0"/>
                  <wp:wrapNone/>
                  <wp:docPr id="2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5"/>
                          <a:srcRect l="6091" t="10266" r="42873" b="9140"/>
                          <a:stretch>
                            <a:fillRect/>
                          </a:stretch>
                        </pic:blipFill>
                        <pic:spPr>
                          <a:xfrm>
                            <a:off x="0" y="0"/>
                            <a:ext cx="1327150" cy="1130300"/>
                          </a:xfrm>
                          <a:prstGeom prst="rect">
                            <a:avLst/>
                          </a:prstGeom>
                          <a:ln/>
                        </pic:spPr>
                      </pic:pic>
                    </a:graphicData>
                  </a:graphic>
                  <wp14:sizeRelH relativeFrom="margin">
                    <wp14:pctWidth>0</wp14:pctWidth>
                  </wp14:sizeRelH>
                  <wp14:sizeRelV relativeFrom="margin">
                    <wp14:pctHeight>0</wp14:pctHeight>
                  </wp14:sizeRelV>
                </wp:anchor>
              </w:drawing>
            </w:r>
          </w:p>
        </w:tc>
      </w:tr>
      <w:tr w:rsidR="003B3CFF" w14:paraId="42F0F942" w14:textId="77777777" w:rsidTr="00F5397D">
        <w:trPr>
          <w:trHeight w:val="219"/>
        </w:trPr>
        <w:tc>
          <w:tcPr>
            <w:tcW w:w="4858" w:type="dxa"/>
            <w:tcBorders>
              <w:top w:val="dotted" w:sz="4" w:space="0" w:color="000000"/>
              <w:left w:val="nil"/>
              <w:bottom w:val="dotted" w:sz="4" w:space="0" w:color="000000"/>
              <w:right w:val="nil"/>
            </w:tcBorders>
          </w:tcPr>
          <w:p w14:paraId="03944699" w14:textId="77777777" w:rsidR="003B3CFF" w:rsidRPr="002A645E" w:rsidRDefault="003B3CFF" w:rsidP="00F5397D">
            <w:pPr>
              <w:rPr>
                <w:rFonts w:asciiTheme="majorHAnsi" w:hAnsiTheme="majorHAnsi" w:cstheme="majorHAnsi"/>
                <w:b/>
                <w:bCs/>
                <w:noProof/>
                <w:sz w:val="16"/>
                <w:szCs w:val="16"/>
              </w:rPr>
            </w:pPr>
            <w:r w:rsidRPr="002A645E">
              <w:rPr>
                <w:rFonts w:asciiTheme="majorHAnsi" w:hAnsiTheme="majorHAnsi" w:cstheme="majorHAnsi"/>
                <w:b/>
                <w:bCs/>
                <w:noProof/>
                <w:sz w:val="16"/>
                <w:szCs w:val="16"/>
              </w:rPr>
              <w:t>Architectural Style</w:t>
            </w:r>
          </w:p>
        </w:tc>
        <w:tc>
          <w:tcPr>
            <w:tcW w:w="4214" w:type="dxa"/>
            <w:tcBorders>
              <w:top w:val="dotted" w:sz="4" w:space="0" w:color="000000"/>
              <w:left w:val="nil"/>
              <w:bottom w:val="dotted" w:sz="4" w:space="0" w:color="000000"/>
              <w:right w:val="nil"/>
            </w:tcBorders>
          </w:tcPr>
          <w:p w14:paraId="6A651559" w14:textId="77777777" w:rsidR="003B3CFF" w:rsidRPr="002A645E" w:rsidRDefault="003B3CFF" w:rsidP="00F5397D">
            <w:pPr>
              <w:rPr>
                <w:rFonts w:asciiTheme="majorHAnsi" w:hAnsiTheme="majorHAnsi" w:cstheme="majorHAnsi"/>
                <w:noProof/>
                <w:sz w:val="16"/>
                <w:szCs w:val="16"/>
              </w:rPr>
            </w:pPr>
          </w:p>
        </w:tc>
      </w:tr>
      <w:tr w:rsidR="003B3CFF" w14:paraId="5384C82D" w14:textId="77777777" w:rsidTr="00F5397D">
        <w:tc>
          <w:tcPr>
            <w:tcW w:w="4858" w:type="dxa"/>
            <w:tcBorders>
              <w:top w:val="dotted" w:sz="4" w:space="0" w:color="000000"/>
              <w:left w:val="nil"/>
              <w:bottom w:val="dotted" w:sz="4" w:space="0" w:color="000000"/>
              <w:right w:val="nil"/>
            </w:tcBorders>
          </w:tcPr>
          <w:p w14:paraId="31973178" w14:textId="77777777" w:rsidR="003B3CFF" w:rsidRPr="002A645E" w:rsidRDefault="003B3CFF" w:rsidP="00F5397D">
            <w:pPr>
              <w:rPr>
                <w:rFonts w:asciiTheme="majorHAnsi" w:hAnsiTheme="majorHAnsi" w:cstheme="majorHAnsi"/>
                <w:sz w:val="16"/>
                <w:szCs w:val="16"/>
              </w:rPr>
            </w:pPr>
            <w:proofErr w:type="spellStart"/>
            <w:r w:rsidRPr="002A645E">
              <w:rPr>
                <w:rFonts w:asciiTheme="majorHAnsi" w:hAnsiTheme="majorHAnsi" w:cstheme="majorHAnsi"/>
                <w:sz w:val="16"/>
                <w:szCs w:val="16"/>
              </w:rPr>
              <w:t>Kalang</w:t>
            </w:r>
            <w:proofErr w:type="spellEnd"/>
            <w:r w:rsidRPr="002A645E">
              <w:rPr>
                <w:rFonts w:asciiTheme="majorHAnsi" w:hAnsiTheme="majorHAnsi" w:cstheme="majorHAnsi"/>
                <w:sz w:val="16"/>
                <w:szCs w:val="16"/>
              </w:rPr>
              <w:t xml:space="preserve"> Architecture</w:t>
            </w:r>
          </w:p>
          <w:p w14:paraId="10518FEE"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sz w:val="16"/>
                <w:szCs w:val="16"/>
              </w:rPr>
              <w:t>Javanese architecture (especially on the layout) and Indies style (especially on the ornaments)</w:t>
            </w:r>
          </w:p>
          <w:p w14:paraId="240B4DF1" w14:textId="77777777" w:rsidR="003B3CFF" w:rsidRPr="002A645E" w:rsidRDefault="003B3CFF" w:rsidP="00F5397D">
            <w:pPr>
              <w:rPr>
                <w:rFonts w:asciiTheme="majorHAnsi" w:hAnsiTheme="majorHAnsi" w:cstheme="majorHAnsi"/>
                <w:sz w:val="16"/>
                <w:szCs w:val="16"/>
              </w:rPr>
            </w:pPr>
          </w:p>
        </w:tc>
        <w:tc>
          <w:tcPr>
            <w:tcW w:w="4214" w:type="dxa"/>
            <w:tcBorders>
              <w:top w:val="dotted" w:sz="4" w:space="0" w:color="000000"/>
              <w:left w:val="nil"/>
              <w:bottom w:val="dotted" w:sz="4" w:space="0" w:color="000000"/>
              <w:right w:val="nil"/>
            </w:tcBorders>
          </w:tcPr>
          <w:p w14:paraId="60B9DE08"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sz w:val="16"/>
                <w:szCs w:val="16"/>
              </w:rPr>
              <w:t>Indies Architecture</w:t>
            </w:r>
          </w:p>
          <w:p w14:paraId="5587BDAF" w14:textId="6C149B7D" w:rsidR="003B3CFF" w:rsidRPr="002A645E" w:rsidRDefault="003B3CFF" w:rsidP="00F5397D">
            <w:pPr>
              <w:jc w:val="both"/>
              <w:rPr>
                <w:rFonts w:asciiTheme="majorHAnsi" w:hAnsiTheme="majorHAnsi" w:cstheme="majorHAnsi"/>
                <w:sz w:val="16"/>
                <w:szCs w:val="16"/>
              </w:rPr>
            </w:pPr>
            <w:r w:rsidRPr="002A645E">
              <w:rPr>
                <w:rFonts w:asciiTheme="majorHAnsi" w:hAnsiTheme="majorHAnsi" w:cstheme="majorHAnsi"/>
                <w:sz w:val="16"/>
                <w:szCs w:val="16"/>
              </w:rPr>
              <w:t xml:space="preserve">Originally </w:t>
            </w:r>
            <w:r w:rsidR="001D4DAB" w:rsidRPr="001D4DAB">
              <w:rPr>
                <w:rFonts w:asciiTheme="majorHAnsi" w:hAnsiTheme="majorHAnsi" w:cstheme="majorHAnsi"/>
                <w:i/>
                <w:iCs/>
                <w:sz w:val="16"/>
                <w:szCs w:val="16"/>
              </w:rPr>
              <w:t xml:space="preserve">Langgar </w:t>
            </w:r>
            <w:proofErr w:type="spellStart"/>
            <w:r w:rsidR="001D4DAB" w:rsidRPr="001D4DAB">
              <w:rPr>
                <w:rFonts w:asciiTheme="majorHAnsi" w:hAnsiTheme="majorHAnsi" w:cstheme="majorHAnsi"/>
                <w:i/>
                <w:iCs/>
                <w:sz w:val="16"/>
                <w:szCs w:val="16"/>
              </w:rPr>
              <w:t>Dhuwur</w:t>
            </w:r>
            <w:proofErr w:type="spellEnd"/>
            <w:r w:rsidRPr="002A645E">
              <w:rPr>
                <w:rFonts w:asciiTheme="majorHAnsi" w:hAnsiTheme="majorHAnsi" w:cstheme="majorHAnsi"/>
                <w:sz w:val="16"/>
                <w:szCs w:val="16"/>
              </w:rPr>
              <w:t xml:space="preserve"> Kyai Haji Ahmad Dahlan was built with a timber structure. Still, it was burned during the early establishment of Muhammadiyah and rebuilt in the Indies architectural style, a combination of Colonial (Dutch) and tropical architecture.</w:t>
            </w:r>
          </w:p>
        </w:tc>
      </w:tr>
      <w:tr w:rsidR="003B3CFF" w14:paraId="7422E980" w14:textId="77777777" w:rsidTr="00F5397D">
        <w:tc>
          <w:tcPr>
            <w:tcW w:w="4858" w:type="dxa"/>
            <w:tcBorders>
              <w:top w:val="dotted" w:sz="4" w:space="0" w:color="000000"/>
              <w:left w:val="nil"/>
              <w:bottom w:val="dotted" w:sz="4" w:space="0" w:color="000000"/>
              <w:right w:val="nil"/>
            </w:tcBorders>
          </w:tcPr>
          <w:p w14:paraId="28004BE1"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sz w:val="16"/>
                <w:szCs w:val="16"/>
              </w:rPr>
              <w:t>Year of Built</w:t>
            </w:r>
          </w:p>
        </w:tc>
        <w:tc>
          <w:tcPr>
            <w:tcW w:w="4214" w:type="dxa"/>
            <w:tcBorders>
              <w:top w:val="dotted" w:sz="4" w:space="0" w:color="000000"/>
              <w:left w:val="nil"/>
              <w:bottom w:val="dotted" w:sz="4" w:space="0" w:color="000000"/>
              <w:right w:val="nil"/>
            </w:tcBorders>
          </w:tcPr>
          <w:p w14:paraId="2E6BAEF0" w14:textId="77777777" w:rsidR="003B3CFF" w:rsidRPr="002A645E" w:rsidRDefault="003B3CFF" w:rsidP="00F5397D">
            <w:pPr>
              <w:rPr>
                <w:rFonts w:asciiTheme="majorHAnsi" w:hAnsiTheme="majorHAnsi" w:cstheme="majorHAnsi"/>
                <w:sz w:val="16"/>
                <w:szCs w:val="16"/>
              </w:rPr>
            </w:pPr>
          </w:p>
        </w:tc>
      </w:tr>
      <w:tr w:rsidR="003B3CFF" w14:paraId="03AB66ED" w14:textId="77777777" w:rsidTr="00F5397D">
        <w:tc>
          <w:tcPr>
            <w:tcW w:w="4858" w:type="dxa"/>
            <w:tcBorders>
              <w:top w:val="dotted" w:sz="4" w:space="0" w:color="000000"/>
              <w:left w:val="nil"/>
              <w:bottom w:val="nil"/>
              <w:right w:val="nil"/>
            </w:tcBorders>
          </w:tcPr>
          <w:p w14:paraId="7A64DC2A"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sz w:val="16"/>
                <w:szCs w:val="16"/>
              </w:rPr>
              <w:t>Early 20</w:t>
            </w:r>
            <w:r w:rsidRPr="002A645E">
              <w:rPr>
                <w:rFonts w:asciiTheme="majorHAnsi" w:hAnsiTheme="majorHAnsi" w:cstheme="majorHAnsi"/>
                <w:sz w:val="16"/>
                <w:szCs w:val="16"/>
                <w:vertAlign w:val="superscript"/>
              </w:rPr>
              <w:t>th</w:t>
            </w:r>
            <w:r w:rsidRPr="002A645E">
              <w:rPr>
                <w:rFonts w:asciiTheme="majorHAnsi" w:hAnsiTheme="majorHAnsi" w:cstheme="majorHAnsi"/>
                <w:sz w:val="16"/>
                <w:szCs w:val="16"/>
              </w:rPr>
              <w:t xml:space="preserve"> century</w:t>
            </w:r>
          </w:p>
        </w:tc>
        <w:tc>
          <w:tcPr>
            <w:tcW w:w="4214" w:type="dxa"/>
            <w:tcBorders>
              <w:top w:val="dotted" w:sz="4" w:space="0" w:color="000000"/>
              <w:left w:val="nil"/>
              <w:bottom w:val="nil"/>
              <w:right w:val="nil"/>
            </w:tcBorders>
          </w:tcPr>
          <w:p w14:paraId="0A5F4374" w14:textId="77777777" w:rsidR="003B3CFF" w:rsidRPr="002A645E" w:rsidRDefault="003B3CFF" w:rsidP="00F5397D">
            <w:pPr>
              <w:rPr>
                <w:rFonts w:asciiTheme="majorHAnsi" w:hAnsiTheme="majorHAnsi" w:cstheme="majorHAnsi"/>
                <w:sz w:val="16"/>
                <w:szCs w:val="16"/>
              </w:rPr>
            </w:pPr>
            <w:r w:rsidRPr="002A645E">
              <w:rPr>
                <w:rFonts w:asciiTheme="majorHAnsi" w:hAnsiTheme="majorHAnsi" w:cstheme="majorHAnsi"/>
                <w:sz w:val="16"/>
                <w:szCs w:val="16"/>
              </w:rPr>
              <w:t>Early 20</w:t>
            </w:r>
            <w:r w:rsidRPr="002A645E">
              <w:rPr>
                <w:rFonts w:asciiTheme="majorHAnsi" w:hAnsiTheme="majorHAnsi" w:cstheme="majorHAnsi"/>
                <w:sz w:val="16"/>
                <w:szCs w:val="16"/>
                <w:vertAlign w:val="superscript"/>
              </w:rPr>
              <w:t>th</w:t>
            </w:r>
            <w:r w:rsidRPr="002A645E">
              <w:rPr>
                <w:rFonts w:asciiTheme="majorHAnsi" w:hAnsiTheme="majorHAnsi" w:cstheme="majorHAnsi"/>
                <w:sz w:val="16"/>
                <w:szCs w:val="16"/>
              </w:rPr>
              <w:t xml:space="preserve"> century</w:t>
            </w:r>
          </w:p>
        </w:tc>
      </w:tr>
      <w:tr w:rsidR="003B3CFF" w14:paraId="48F3FB47" w14:textId="77777777" w:rsidTr="00F5397D">
        <w:tc>
          <w:tcPr>
            <w:tcW w:w="4858" w:type="dxa"/>
            <w:tcBorders>
              <w:top w:val="nil"/>
              <w:left w:val="nil"/>
              <w:bottom w:val="dotted" w:sz="4" w:space="0" w:color="000000"/>
              <w:right w:val="nil"/>
            </w:tcBorders>
          </w:tcPr>
          <w:p w14:paraId="619844E6" w14:textId="77777777" w:rsidR="003B3CFF" w:rsidRPr="002A645E" w:rsidRDefault="003B3CFF" w:rsidP="00F5397D">
            <w:pPr>
              <w:rPr>
                <w:rFonts w:asciiTheme="majorHAnsi" w:hAnsiTheme="majorHAnsi" w:cstheme="majorHAnsi"/>
                <w:sz w:val="16"/>
                <w:szCs w:val="16"/>
              </w:rPr>
            </w:pPr>
          </w:p>
        </w:tc>
        <w:tc>
          <w:tcPr>
            <w:tcW w:w="4214" w:type="dxa"/>
            <w:tcBorders>
              <w:top w:val="nil"/>
              <w:left w:val="nil"/>
              <w:bottom w:val="dotted" w:sz="4" w:space="0" w:color="000000"/>
              <w:right w:val="nil"/>
            </w:tcBorders>
          </w:tcPr>
          <w:p w14:paraId="29980B3D" w14:textId="77777777" w:rsidR="003B3CFF" w:rsidRPr="002A645E" w:rsidRDefault="003B3CFF" w:rsidP="00F5397D">
            <w:pPr>
              <w:rPr>
                <w:rFonts w:asciiTheme="majorHAnsi" w:hAnsiTheme="majorHAnsi" w:cstheme="majorHAnsi"/>
                <w:sz w:val="16"/>
                <w:szCs w:val="16"/>
              </w:rPr>
            </w:pPr>
          </w:p>
        </w:tc>
      </w:tr>
      <w:bookmarkEnd w:id="0"/>
    </w:tbl>
    <w:p w14:paraId="2B4EBA6A" w14:textId="77777777" w:rsidR="005E66A5" w:rsidRPr="005E66A5" w:rsidRDefault="005E66A5" w:rsidP="005E66A5">
      <w:pPr>
        <w:jc w:val="center"/>
        <w:rPr>
          <w:rFonts w:asciiTheme="minorHAnsi" w:hAnsiTheme="minorHAnsi" w:cstheme="minorHAnsi"/>
          <w:b/>
          <w:bCs/>
          <w:sz w:val="20"/>
          <w:szCs w:val="20"/>
        </w:rPr>
      </w:pPr>
    </w:p>
    <w:p w14:paraId="2E36B378" w14:textId="697EBD37"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003B3CFF" w:rsidRPr="003B3CFF">
        <w:rPr>
          <w:rFonts w:asciiTheme="majorHAnsi" w:hAnsiTheme="majorHAnsi" w:cstheme="majorHAnsi"/>
          <w:bCs/>
          <w:sz w:val="16"/>
          <w:szCs w:val="16"/>
        </w:rPr>
        <w:t>6</w:t>
      </w:r>
      <w:r w:rsidR="003B3CFF">
        <w:rPr>
          <w:rFonts w:asciiTheme="majorHAnsi" w:hAnsiTheme="majorHAnsi" w:cstheme="majorHAnsi"/>
          <w:bCs/>
          <w:sz w:val="16"/>
          <w:szCs w:val="16"/>
        </w:rPr>
        <w:t>.</w:t>
      </w:r>
      <w:r w:rsidR="003B3CFF" w:rsidRPr="003B3CFF">
        <w:rPr>
          <w:rFonts w:asciiTheme="majorHAnsi" w:hAnsiTheme="majorHAnsi" w:cstheme="majorHAnsi"/>
          <w:bCs/>
          <w:sz w:val="16"/>
          <w:szCs w:val="16"/>
        </w:rPr>
        <w:t xml:space="preserve"> Architectural Characteristics of </w:t>
      </w:r>
      <w:r w:rsidR="001D4DAB" w:rsidRPr="001D4DAB">
        <w:rPr>
          <w:rFonts w:asciiTheme="majorHAnsi" w:hAnsiTheme="majorHAnsi" w:cstheme="majorHAnsi"/>
          <w:bCs/>
          <w:i/>
          <w:iCs/>
          <w:sz w:val="16"/>
          <w:szCs w:val="16"/>
        </w:rPr>
        <w:t xml:space="preserve">Langgar </w:t>
      </w:r>
      <w:proofErr w:type="spellStart"/>
      <w:r w:rsidR="001D4DAB" w:rsidRPr="001D4DAB">
        <w:rPr>
          <w:rFonts w:asciiTheme="majorHAnsi" w:hAnsiTheme="majorHAnsi" w:cstheme="majorHAnsi"/>
          <w:bCs/>
          <w:i/>
          <w:iCs/>
          <w:sz w:val="16"/>
          <w:szCs w:val="16"/>
        </w:rPr>
        <w:t>Dhuwur</w:t>
      </w:r>
      <w:proofErr w:type="spellEnd"/>
      <w:r w:rsidR="003B3CFF" w:rsidRPr="003B3CFF">
        <w:rPr>
          <w:rFonts w:asciiTheme="majorHAnsi" w:hAnsiTheme="majorHAnsi" w:cstheme="majorHAnsi"/>
          <w:bCs/>
          <w:sz w:val="16"/>
          <w:szCs w:val="16"/>
        </w:rPr>
        <w:t xml:space="preserve"> in Kauman [22]</w:t>
      </w:r>
    </w:p>
    <w:p w14:paraId="40B040AC" w14:textId="377C3BD3" w:rsidR="005E66A5" w:rsidRDefault="005E66A5" w:rsidP="005E66A5">
      <w:pPr>
        <w:jc w:val="center"/>
        <w:rPr>
          <w:rFonts w:asciiTheme="minorHAnsi" w:hAnsiTheme="minorHAnsi" w:cstheme="minorHAnsi"/>
          <w:b/>
          <w:bCs/>
          <w:sz w:val="20"/>
          <w:szCs w:val="20"/>
        </w:rPr>
      </w:pPr>
    </w:p>
    <w:p w14:paraId="340FD1EA" w14:textId="7FEB802F" w:rsidR="005E66A5" w:rsidRDefault="001D4DAB" w:rsidP="0025194F">
      <w:pPr>
        <w:ind w:left="284" w:firstLine="284"/>
        <w:jc w:val="both"/>
        <w:rPr>
          <w:rFonts w:asciiTheme="majorHAnsi" w:eastAsia="Times New Roman" w:hAnsiTheme="majorHAnsi" w:cstheme="majorHAnsi"/>
          <w:sz w:val="20"/>
          <w:szCs w:val="20"/>
          <w:lang w:val="id-ID" w:eastAsia="ko-KR"/>
        </w:rPr>
      </w:pPr>
      <w:r w:rsidRPr="001D4DAB">
        <w:rPr>
          <w:rFonts w:asciiTheme="majorHAnsi" w:eastAsia="Times New Roman" w:hAnsiTheme="majorHAnsi" w:cstheme="majorHAnsi"/>
          <w:i/>
          <w:iCs/>
          <w:sz w:val="20"/>
          <w:szCs w:val="20"/>
          <w:lang w:val="id-ID" w:eastAsia="ko-KR"/>
        </w:rPr>
        <w:t>Langgar Dhuwur</w:t>
      </w:r>
      <w:r w:rsidR="003B3CFF" w:rsidRPr="003B3CFF">
        <w:rPr>
          <w:rFonts w:asciiTheme="majorHAnsi" w:eastAsia="Times New Roman" w:hAnsiTheme="majorHAnsi" w:cstheme="majorHAnsi"/>
          <w:sz w:val="20"/>
          <w:szCs w:val="20"/>
          <w:lang w:val="id-ID" w:eastAsia="ko-KR"/>
        </w:rPr>
        <w:t xml:space="preserve"> Kyai Haji Ahmad Dahlan's architectural representation is relevant to his view of progressive Islam, which he represents in his daily life by wearing western-style clothing (suits) combined with Javanese Sarong and Sorban. The minimalist Indies architectural style with no ornamentation appears to have been chosen with this perspective in mind.</w:t>
      </w:r>
    </w:p>
    <w:p w14:paraId="6EF2EDAD" w14:textId="77777777" w:rsidR="003B3CFF" w:rsidRDefault="003B3CFF" w:rsidP="003B3CFF">
      <w:pPr>
        <w:ind w:firstLine="284"/>
        <w:jc w:val="both"/>
        <w:rPr>
          <w:rFonts w:asciiTheme="minorHAnsi" w:eastAsia="Times New Roman" w:hAnsiTheme="minorHAnsi" w:cstheme="minorHAnsi"/>
          <w:b/>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3B3CFF" w14:paraId="119894A2" w14:textId="77777777" w:rsidTr="00F5397D">
        <w:tc>
          <w:tcPr>
            <w:tcW w:w="8787" w:type="dxa"/>
          </w:tcPr>
          <w:p w14:paraId="1CCA2275" w14:textId="25C355F9" w:rsidR="003B3CFF" w:rsidRDefault="003B3CFF" w:rsidP="00F5397D">
            <w:pPr>
              <w:jc w:val="center"/>
              <w:rPr>
                <w:rFonts w:asciiTheme="majorHAnsi" w:hAnsiTheme="majorHAnsi" w:cstheme="majorHAnsi"/>
                <w:sz w:val="20"/>
                <w:szCs w:val="20"/>
                <w:lang w:val="id-ID"/>
              </w:rPr>
            </w:pPr>
            <w:r>
              <w:rPr>
                <w:noProof/>
              </w:rPr>
              <w:lastRenderedPageBreak/>
              <w:drawing>
                <wp:inline distT="0" distB="0" distL="0" distR="0" wp14:anchorId="51C60B25" wp14:editId="0EABB4B1">
                  <wp:extent cx="2393950" cy="1616710"/>
                  <wp:effectExtent l="0" t="0" r="635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KH Ahmad Dahlan 1.jpg"/>
                          <pic:cNvPicPr/>
                        </pic:nvPicPr>
                        <pic:blipFill rotWithShape="1">
                          <a:blip r:embed="rId26" cstate="print">
                            <a:extLst>
                              <a:ext uri="{28A0092B-C50C-407E-A947-70E740481C1C}">
                                <a14:useLocalDpi xmlns:a14="http://schemas.microsoft.com/office/drawing/2010/main" val="0"/>
                              </a:ext>
                            </a:extLst>
                          </a:blip>
                          <a:srcRect l="24385" t="30139" r="6980" b="4234"/>
                          <a:stretch/>
                        </pic:blipFill>
                        <pic:spPr bwMode="auto">
                          <a:xfrm rot="10800000">
                            <a:off x="0" y="0"/>
                            <a:ext cx="2393950" cy="1616710"/>
                          </a:xfrm>
                          <a:prstGeom prst="rect">
                            <a:avLst/>
                          </a:prstGeom>
                          <a:ln>
                            <a:noFill/>
                          </a:ln>
                          <a:extLst>
                            <a:ext uri="{53640926-AAD7-44D8-BBD7-CCE9431645EC}">
                              <a14:shadowObscured xmlns:a14="http://schemas.microsoft.com/office/drawing/2010/main"/>
                            </a:ext>
                          </a:extLst>
                        </pic:spPr>
                      </pic:pic>
                    </a:graphicData>
                  </a:graphic>
                </wp:inline>
              </w:drawing>
            </w:r>
          </w:p>
        </w:tc>
      </w:tr>
      <w:tr w:rsidR="003B3CFF" w14:paraId="2FCF98FA" w14:textId="77777777" w:rsidTr="00F5397D">
        <w:tc>
          <w:tcPr>
            <w:tcW w:w="8787" w:type="dxa"/>
          </w:tcPr>
          <w:p w14:paraId="258AD22F" w14:textId="77777777" w:rsidR="003B3CFF" w:rsidRDefault="003B3CFF" w:rsidP="00F5397D">
            <w:pPr>
              <w:spacing w:line="264" w:lineRule="auto"/>
              <w:jc w:val="center"/>
              <w:rPr>
                <w:rFonts w:asciiTheme="majorHAnsi" w:hAnsiTheme="majorHAnsi" w:cstheme="majorHAnsi"/>
                <w:bCs/>
                <w:sz w:val="16"/>
                <w:szCs w:val="16"/>
              </w:rPr>
            </w:pPr>
          </w:p>
          <w:p w14:paraId="09D79DDB" w14:textId="6285E12A" w:rsidR="003B3CFF" w:rsidRPr="003B3CFF" w:rsidRDefault="003B3CFF" w:rsidP="003B3CFF">
            <w:pPr>
              <w:spacing w:line="264" w:lineRule="auto"/>
              <w:jc w:val="center"/>
              <w:rPr>
                <w:rFonts w:asciiTheme="majorHAnsi" w:hAnsiTheme="majorHAnsi" w:cstheme="majorHAnsi"/>
                <w:bCs/>
                <w:sz w:val="16"/>
                <w:szCs w:val="16"/>
                <w:lang w:val="id-ID"/>
              </w:rPr>
            </w:pPr>
            <w:r w:rsidRPr="003B3CFF">
              <w:rPr>
                <w:rFonts w:asciiTheme="majorHAnsi" w:hAnsiTheme="majorHAnsi" w:cstheme="majorHAnsi"/>
                <w:bCs/>
                <w:sz w:val="16"/>
                <w:szCs w:val="16"/>
              </w:rPr>
              <w:t>Figure 7</w:t>
            </w:r>
            <w:r>
              <w:rPr>
                <w:rFonts w:asciiTheme="majorHAnsi" w:hAnsiTheme="majorHAnsi" w:cstheme="majorHAnsi"/>
                <w:bCs/>
                <w:sz w:val="16"/>
                <w:szCs w:val="16"/>
              </w:rPr>
              <w:t>.</w:t>
            </w:r>
            <w:r w:rsidRPr="003B3CFF">
              <w:rPr>
                <w:rFonts w:asciiTheme="majorHAnsi" w:hAnsiTheme="majorHAnsi" w:cstheme="majorHAnsi"/>
                <w:bCs/>
                <w:sz w:val="16"/>
                <w:szCs w:val="16"/>
              </w:rPr>
              <w:t xml:space="preserve"> KH Ahmad Dahlan (middle row, fourth from the right) receiving his fellow </w:t>
            </w:r>
            <w:proofErr w:type="spellStart"/>
            <w:r w:rsidRPr="003B3CFF">
              <w:rPr>
                <w:rFonts w:asciiTheme="majorHAnsi" w:hAnsiTheme="majorHAnsi" w:cstheme="majorHAnsi"/>
                <w:bCs/>
                <w:sz w:val="16"/>
                <w:szCs w:val="16"/>
              </w:rPr>
              <w:t>Alhasimi</w:t>
            </w:r>
            <w:proofErr w:type="spellEnd"/>
            <w:r w:rsidRPr="003B3CFF">
              <w:rPr>
                <w:rFonts w:asciiTheme="majorHAnsi" w:hAnsiTheme="majorHAnsi" w:cstheme="majorHAnsi"/>
                <w:bCs/>
                <w:sz w:val="16"/>
                <w:szCs w:val="16"/>
              </w:rPr>
              <w:t xml:space="preserve"> and students in 1919 [23]</w:t>
            </w:r>
          </w:p>
        </w:tc>
      </w:tr>
    </w:tbl>
    <w:p w14:paraId="0502DD54" w14:textId="77777777" w:rsidR="002A645E" w:rsidRDefault="002A645E" w:rsidP="0025194F">
      <w:pPr>
        <w:ind w:left="284" w:firstLine="284"/>
        <w:jc w:val="both"/>
        <w:rPr>
          <w:rFonts w:asciiTheme="majorHAnsi" w:eastAsia="Times New Roman" w:hAnsiTheme="majorHAnsi" w:cstheme="majorHAnsi"/>
          <w:sz w:val="20"/>
          <w:szCs w:val="20"/>
          <w:lang w:val="id-ID" w:eastAsia="ko-KR"/>
        </w:rPr>
      </w:pPr>
    </w:p>
    <w:p w14:paraId="4ABBAC34" w14:textId="41141A33" w:rsidR="003B3CFF" w:rsidRDefault="003B3CFF" w:rsidP="0025194F">
      <w:pPr>
        <w:ind w:left="284" w:firstLine="284"/>
        <w:jc w:val="both"/>
        <w:rPr>
          <w:rFonts w:asciiTheme="majorHAnsi" w:eastAsia="Times New Roman" w:hAnsiTheme="majorHAnsi" w:cstheme="majorHAnsi"/>
          <w:sz w:val="20"/>
          <w:szCs w:val="20"/>
          <w:lang w:val="id-ID" w:eastAsia="ko-KR"/>
        </w:rPr>
      </w:pPr>
      <w:r w:rsidRPr="003B3CFF">
        <w:rPr>
          <w:rFonts w:asciiTheme="majorHAnsi" w:eastAsia="Times New Roman" w:hAnsiTheme="majorHAnsi" w:cstheme="majorHAnsi"/>
          <w:sz w:val="20"/>
          <w:szCs w:val="20"/>
          <w:lang w:val="id-ID" w:eastAsia="ko-KR"/>
        </w:rPr>
        <w:t xml:space="preserve">The architecture of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adheres to the platform house architectural tradition of the Indonesian archipelago, with the ground floor serving as domestic and service areas and the upper floor as a prayer room. This typology of space is reminiscent of the Triloka concept found in Hindu-Buddhist temples in Indonesia [24], which developed during the classical era (8-12 centuries AD), as well as the Indonesian archipelago's architecture, which features a vertically divided building figure. Symbolically, the building is divided into three sections, reflecting the archipelago community's understanding of the universe, which divides nature vertically into three parts [25], with the upper universe serving as the most sacred area due to its use by worshipers. The upper universe (Svarloka) is home to ancestors or gods, the middle universe (Bhuvarloka) is home to purified humans, and the lower universe is home to humans, lower forces, and animals (Bhurloka). This demonstrates the adoption and adaptation of </w:t>
      </w:r>
      <w:r w:rsidR="001D4DAB" w:rsidRPr="001D4DAB">
        <w:rPr>
          <w:rFonts w:asciiTheme="majorHAnsi" w:eastAsia="Times New Roman" w:hAnsiTheme="majorHAnsi" w:cstheme="majorHAnsi"/>
          <w:i/>
          <w:iCs/>
          <w:sz w:val="20"/>
          <w:szCs w:val="20"/>
          <w:lang w:val="id-ID" w:eastAsia="ko-KR"/>
        </w:rPr>
        <w:t>Langgar</w:t>
      </w:r>
      <w:r w:rsidRPr="003B3CFF">
        <w:rPr>
          <w:rFonts w:asciiTheme="majorHAnsi" w:eastAsia="Times New Roman" w:hAnsiTheme="majorHAnsi" w:cstheme="majorHAnsi"/>
          <w:sz w:val="20"/>
          <w:szCs w:val="20"/>
          <w:lang w:val="id-ID" w:eastAsia="ko-KR"/>
        </w:rPr>
        <w:t xml:space="preserve"> architecture during the previous period of Indonesian vernacular architecture. This finding is consistent with previous research indicating that Javanese architecture, specifically Joglo architecture, appears to have been developed in Java during the previous Hindu Buddha [26]. However, Javanese domestic architecture has evolved from a platform house with a space below the first floor to a house with no such space. Indeed, the architecture of </w:t>
      </w:r>
      <w:r w:rsidR="001D4DAB" w:rsidRPr="001D4DAB">
        <w:rPr>
          <w:rFonts w:asciiTheme="majorHAnsi" w:eastAsia="Times New Roman" w:hAnsiTheme="majorHAnsi" w:cstheme="majorHAnsi"/>
          <w:i/>
          <w:iCs/>
          <w:sz w:val="20"/>
          <w:szCs w:val="20"/>
          <w:lang w:val="id-ID" w:eastAsia="ko-KR"/>
        </w:rPr>
        <w:t>Langgar Dhuwur</w:t>
      </w:r>
      <w:r w:rsidRPr="003B3CFF">
        <w:rPr>
          <w:rFonts w:asciiTheme="majorHAnsi" w:eastAsia="Times New Roman" w:hAnsiTheme="majorHAnsi" w:cstheme="majorHAnsi"/>
          <w:sz w:val="20"/>
          <w:szCs w:val="20"/>
          <w:lang w:val="id-ID" w:eastAsia="ko-KR"/>
        </w:rPr>
        <w:t xml:space="preserve"> is based on the archipelagic type of platform architecture, with service rooms on the ground level and prayer rooms on the upper level. Figure 8 depicts panel no. 65 in the Karmawibhangga relief section of the ninth-century Borobudur Temple reveals that Javanese houses are constructed on the platform, with the ground floor serving as a service room and pet cages</w:t>
      </w:r>
      <w:r>
        <w:rPr>
          <w:rFonts w:asciiTheme="majorHAnsi" w:eastAsia="Times New Roman" w:hAnsiTheme="majorHAnsi" w:cstheme="majorHAnsi"/>
          <w:sz w:val="20"/>
          <w:szCs w:val="20"/>
          <w:lang w:val="id-ID" w:eastAsia="ko-KR"/>
        </w:rPr>
        <w:t>.</w:t>
      </w:r>
    </w:p>
    <w:p w14:paraId="279A6A0D" w14:textId="77777777" w:rsidR="003B3CFF" w:rsidRDefault="003B3CFF" w:rsidP="003B3CFF">
      <w:pPr>
        <w:ind w:firstLine="284"/>
        <w:jc w:val="both"/>
        <w:rPr>
          <w:rFonts w:asciiTheme="minorHAnsi" w:eastAsia="Times New Roman" w:hAnsiTheme="minorHAnsi" w:cstheme="minorHAnsi"/>
          <w:b/>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3117"/>
        <w:gridCol w:w="3010"/>
        <w:gridCol w:w="1530"/>
      </w:tblGrid>
      <w:tr w:rsidR="003B3CFF" w14:paraId="3F1F4DA0" w14:textId="77777777" w:rsidTr="003B3CFF">
        <w:tc>
          <w:tcPr>
            <w:tcW w:w="8787" w:type="dxa"/>
            <w:gridSpan w:val="4"/>
          </w:tcPr>
          <w:p w14:paraId="58548FD9" w14:textId="382F6D3A" w:rsidR="003B3CFF" w:rsidRDefault="003B3CFF" w:rsidP="00F5397D">
            <w:pPr>
              <w:jc w:val="center"/>
              <w:rPr>
                <w:rFonts w:asciiTheme="majorHAnsi" w:hAnsiTheme="majorHAnsi" w:cstheme="majorHAnsi"/>
                <w:sz w:val="20"/>
                <w:szCs w:val="20"/>
                <w:lang w:val="id-ID"/>
              </w:rPr>
            </w:pPr>
            <w:r>
              <w:rPr>
                <w:noProof/>
              </w:rPr>
              <w:drawing>
                <wp:inline distT="0" distB="0" distL="0" distR="0" wp14:anchorId="0E7E264F" wp14:editId="16328DC0">
                  <wp:extent cx="2668905" cy="1228725"/>
                  <wp:effectExtent l="0" t="0" r="0" b="9525"/>
                  <wp:docPr id="2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a:xfrm>
                            <a:off x="0" y="0"/>
                            <a:ext cx="2668905" cy="1228725"/>
                          </a:xfrm>
                          <a:prstGeom prst="rect">
                            <a:avLst/>
                          </a:prstGeom>
                          <a:ln/>
                        </pic:spPr>
                      </pic:pic>
                    </a:graphicData>
                  </a:graphic>
                </wp:inline>
              </w:drawing>
            </w:r>
          </w:p>
        </w:tc>
      </w:tr>
      <w:tr w:rsidR="003B3CFF" w14:paraId="38434903" w14:textId="77777777" w:rsidTr="003B3CFF">
        <w:tc>
          <w:tcPr>
            <w:tcW w:w="8787" w:type="dxa"/>
            <w:gridSpan w:val="4"/>
          </w:tcPr>
          <w:p w14:paraId="2EF1CC24" w14:textId="77777777" w:rsidR="003B3CFF" w:rsidRDefault="003B3CFF" w:rsidP="00F5397D">
            <w:pPr>
              <w:spacing w:line="264" w:lineRule="auto"/>
              <w:jc w:val="center"/>
              <w:rPr>
                <w:rFonts w:asciiTheme="majorHAnsi" w:hAnsiTheme="majorHAnsi" w:cstheme="majorHAnsi"/>
                <w:bCs/>
                <w:sz w:val="16"/>
                <w:szCs w:val="16"/>
              </w:rPr>
            </w:pPr>
          </w:p>
          <w:p w14:paraId="0D3152D4" w14:textId="33746B86" w:rsidR="003B3CFF" w:rsidRPr="003B3CFF" w:rsidRDefault="003B3CFF" w:rsidP="00F5397D">
            <w:pPr>
              <w:spacing w:line="264" w:lineRule="auto"/>
              <w:jc w:val="center"/>
              <w:rPr>
                <w:rFonts w:asciiTheme="majorHAnsi" w:hAnsiTheme="majorHAnsi" w:cstheme="majorHAnsi"/>
                <w:bCs/>
                <w:sz w:val="16"/>
                <w:szCs w:val="16"/>
                <w:lang w:val="id-ID"/>
              </w:rPr>
            </w:pPr>
            <w:r w:rsidRPr="003B3CFF">
              <w:rPr>
                <w:rFonts w:asciiTheme="majorHAnsi" w:hAnsiTheme="majorHAnsi" w:cstheme="majorHAnsi"/>
                <w:bCs/>
                <w:sz w:val="16"/>
                <w:szCs w:val="16"/>
              </w:rPr>
              <w:t>Figure 8</w:t>
            </w:r>
            <w:r>
              <w:rPr>
                <w:rFonts w:asciiTheme="majorHAnsi" w:hAnsiTheme="majorHAnsi" w:cstheme="majorHAnsi"/>
                <w:bCs/>
                <w:sz w:val="16"/>
                <w:szCs w:val="16"/>
              </w:rPr>
              <w:t>.</w:t>
            </w:r>
            <w:r w:rsidRPr="003B3CFF">
              <w:rPr>
                <w:rFonts w:asciiTheme="majorHAnsi" w:hAnsiTheme="majorHAnsi" w:cstheme="majorHAnsi"/>
                <w:bCs/>
                <w:sz w:val="16"/>
                <w:szCs w:val="16"/>
              </w:rPr>
              <w:t xml:space="preserve"> Hindu Buddhist Temple and Traditional Indonesian House</w:t>
            </w:r>
            <w:r>
              <w:rPr>
                <w:rFonts w:asciiTheme="majorHAnsi" w:hAnsiTheme="majorHAnsi" w:cstheme="majorHAnsi"/>
                <w:bCs/>
                <w:sz w:val="16"/>
                <w:szCs w:val="16"/>
              </w:rPr>
              <w:t xml:space="preserve"> [</w:t>
            </w:r>
            <w:r w:rsidR="002A645E">
              <w:rPr>
                <w:rFonts w:asciiTheme="majorHAnsi" w:hAnsiTheme="majorHAnsi" w:cstheme="majorHAnsi"/>
                <w:bCs/>
                <w:sz w:val="16"/>
                <w:szCs w:val="16"/>
              </w:rPr>
              <w:t>3</w:t>
            </w:r>
            <w:r>
              <w:rPr>
                <w:rFonts w:asciiTheme="majorHAnsi" w:hAnsiTheme="majorHAnsi" w:cstheme="majorHAnsi"/>
                <w:bCs/>
                <w:sz w:val="16"/>
                <w:szCs w:val="16"/>
              </w:rPr>
              <w:t>5]</w:t>
            </w:r>
          </w:p>
        </w:tc>
      </w:tr>
      <w:tr w:rsidR="005E66A5" w14:paraId="4F9A1720" w14:textId="77777777" w:rsidTr="003B3CFF">
        <w:trPr>
          <w:gridBefore w:val="1"/>
          <w:gridAfter w:val="1"/>
          <w:wBefore w:w="1130" w:type="dxa"/>
          <w:wAfter w:w="1530" w:type="dxa"/>
        </w:trPr>
        <w:tc>
          <w:tcPr>
            <w:tcW w:w="3117" w:type="dxa"/>
          </w:tcPr>
          <w:p w14:paraId="59B3742D" w14:textId="7F95B248" w:rsidR="005E66A5" w:rsidRPr="005E66A5" w:rsidRDefault="005E66A5" w:rsidP="0025194F">
            <w:pPr>
              <w:rPr>
                <w:rFonts w:asciiTheme="minorHAnsi" w:hAnsiTheme="minorHAnsi" w:cstheme="minorHAnsi"/>
                <w:sz w:val="20"/>
                <w:szCs w:val="20"/>
              </w:rPr>
            </w:pPr>
          </w:p>
        </w:tc>
        <w:tc>
          <w:tcPr>
            <w:tcW w:w="3010" w:type="dxa"/>
          </w:tcPr>
          <w:p w14:paraId="547CB78A" w14:textId="1CEB07C4" w:rsidR="005E66A5" w:rsidRPr="005E66A5" w:rsidRDefault="005E66A5" w:rsidP="005E66A5">
            <w:pPr>
              <w:jc w:val="center"/>
              <w:rPr>
                <w:rFonts w:asciiTheme="minorHAnsi" w:hAnsiTheme="minorHAnsi" w:cstheme="minorHAnsi"/>
                <w:sz w:val="20"/>
                <w:szCs w:val="20"/>
              </w:rPr>
            </w:pPr>
          </w:p>
        </w:tc>
      </w:tr>
    </w:tbl>
    <w:p w14:paraId="3F6ADCDA" w14:textId="1BCB28C6" w:rsidR="0025194F"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Generally, the house in Kauman is a single-story building. Meanwhile, a second floor is added for the prayer room in both cases. This strengthens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r w:rsidRPr="0025194F">
        <w:rPr>
          <w:rFonts w:asciiTheme="majorHAnsi" w:hAnsiTheme="majorHAnsi" w:cstheme="majorHAnsi"/>
          <w:sz w:val="20"/>
          <w:szCs w:val="20"/>
        </w:rPr>
        <w:t>'s</w:t>
      </w:r>
      <w:proofErr w:type="spellEnd"/>
      <w:r w:rsidRPr="0025194F">
        <w:rPr>
          <w:rFonts w:asciiTheme="majorHAnsi" w:hAnsiTheme="majorHAnsi" w:cstheme="majorHAnsi"/>
          <w:sz w:val="20"/>
          <w:szCs w:val="20"/>
        </w:rPr>
        <w:t xml:space="preserve"> position as a symbol of the most sacred area in Java's Hindu-Buddhist temple structures, known as </w:t>
      </w:r>
      <w:proofErr w:type="spellStart"/>
      <w:r w:rsidRPr="0025194F">
        <w:rPr>
          <w:rFonts w:asciiTheme="majorHAnsi" w:hAnsiTheme="majorHAnsi" w:cstheme="majorHAnsi"/>
          <w:sz w:val="20"/>
          <w:szCs w:val="20"/>
        </w:rPr>
        <w:t>Svarloka</w:t>
      </w:r>
      <w:proofErr w:type="spellEnd"/>
      <w:r w:rsidRPr="0025194F">
        <w:rPr>
          <w:rFonts w:asciiTheme="majorHAnsi" w:hAnsiTheme="majorHAnsi" w:cstheme="majorHAnsi"/>
          <w:sz w:val="20"/>
          <w:szCs w:val="20"/>
        </w:rPr>
        <w:t xml:space="preserve">. However,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does not use two or three-tiered pyramidal roofs as a typology for mosques in the Indonesian archipelago, but rather Hip Roof (</w:t>
      </w:r>
      <w:proofErr w:type="spellStart"/>
      <w:r w:rsidRPr="0025194F">
        <w:rPr>
          <w:rFonts w:asciiTheme="majorHAnsi" w:hAnsiTheme="majorHAnsi" w:cstheme="majorHAnsi"/>
          <w:sz w:val="20"/>
          <w:szCs w:val="20"/>
        </w:rPr>
        <w:t>Limasan</w:t>
      </w:r>
      <w:proofErr w:type="spellEnd"/>
      <w:r w:rsidRPr="0025194F">
        <w:rPr>
          <w:rFonts w:asciiTheme="majorHAnsi" w:hAnsiTheme="majorHAnsi" w:cstheme="majorHAnsi"/>
          <w:sz w:val="20"/>
          <w:szCs w:val="20"/>
        </w:rPr>
        <w:t>) and Gable Roof (</w:t>
      </w:r>
      <w:proofErr w:type="spellStart"/>
      <w:r w:rsidRPr="0025194F">
        <w:rPr>
          <w:rFonts w:asciiTheme="majorHAnsi" w:hAnsiTheme="majorHAnsi" w:cstheme="majorHAnsi"/>
          <w:sz w:val="20"/>
          <w:szCs w:val="20"/>
        </w:rPr>
        <w:t>Pelana</w:t>
      </w:r>
      <w:proofErr w:type="spellEnd"/>
      <w:r w:rsidRPr="0025194F">
        <w:rPr>
          <w:rFonts w:asciiTheme="majorHAnsi" w:hAnsiTheme="majorHAnsi" w:cstheme="majorHAnsi"/>
          <w:sz w:val="20"/>
          <w:szCs w:val="20"/>
        </w:rPr>
        <w:t>), which are commonly used as traditional roofing for dwellings, not religious buildings</w:t>
      </w:r>
      <w:r>
        <w:rPr>
          <w:rFonts w:asciiTheme="majorHAnsi" w:hAnsiTheme="majorHAnsi" w:cstheme="majorHAnsi"/>
          <w:sz w:val="20"/>
          <w:szCs w:val="20"/>
        </w:rPr>
        <w:t>.</w:t>
      </w:r>
    </w:p>
    <w:p w14:paraId="6A1FD358" w14:textId="77777777" w:rsidR="0025194F" w:rsidRPr="0025194F" w:rsidRDefault="0025194F" w:rsidP="0025194F">
      <w:pPr>
        <w:ind w:left="284" w:firstLine="283"/>
        <w:jc w:val="both"/>
        <w:rPr>
          <w:rFonts w:asciiTheme="minorHAnsi" w:hAnsiTheme="minorHAnsi" w:cstheme="minorHAnsi"/>
          <w:b/>
          <w:bCs/>
          <w:sz w:val="18"/>
          <w:szCs w:val="18"/>
        </w:rPr>
      </w:pPr>
    </w:p>
    <w:p w14:paraId="3E737CD4" w14:textId="6EEC812D" w:rsidR="0025194F" w:rsidRDefault="001D4DAB" w:rsidP="0025194F">
      <w:pPr>
        <w:pStyle w:val="ListParagraph"/>
        <w:numPr>
          <w:ilvl w:val="0"/>
          <w:numId w:val="3"/>
        </w:numPr>
        <w:ind w:left="567" w:hanging="283"/>
        <w:jc w:val="both"/>
        <w:rPr>
          <w:rFonts w:asciiTheme="minorHAnsi" w:hAnsiTheme="minorHAnsi" w:cstheme="minorHAnsi"/>
          <w:b/>
          <w:bCs/>
          <w:sz w:val="18"/>
          <w:szCs w:val="18"/>
        </w:rPr>
      </w:pPr>
      <w:r w:rsidRPr="001D4DAB">
        <w:rPr>
          <w:rFonts w:asciiTheme="minorHAnsi" w:hAnsiTheme="minorHAnsi" w:cstheme="minorHAnsi"/>
          <w:b/>
          <w:bCs/>
          <w:i/>
          <w:iCs/>
          <w:sz w:val="18"/>
          <w:szCs w:val="18"/>
        </w:rPr>
        <w:t>LANGGAR DHUWUR</w:t>
      </w:r>
      <w:r w:rsidR="0025194F" w:rsidRPr="003B3CFF">
        <w:rPr>
          <w:rFonts w:asciiTheme="minorHAnsi" w:hAnsiTheme="minorHAnsi" w:cstheme="minorHAnsi"/>
          <w:b/>
          <w:bCs/>
          <w:sz w:val="18"/>
          <w:szCs w:val="18"/>
        </w:rPr>
        <w:t xml:space="preserve"> AND RELIGIOUS ARCHITECTURE IN KAUMAN</w:t>
      </w:r>
    </w:p>
    <w:p w14:paraId="2260554F" w14:textId="51C95E09" w:rsidR="0025194F" w:rsidRPr="0025194F"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According to the interviews with current homeowners, the existence of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KH Ahmad Dahlan and KH Muhsen is strongly influenced by the two landlords or Kyai Haji. In the early twentieth century, most clerics in Kauman established educational institutions such as the small </w:t>
      </w:r>
      <w:proofErr w:type="spellStart"/>
      <w:r w:rsidRPr="0025194F">
        <w:rPr>
          <w:rFonts w:asciiTheme="majorHAnsi" w:hAnsiTheme="majorHAnsi" w:cstheme="majorHAnsi"/>
          <w:sz w:val="20"/>
          <w:szCs w:val="20"/>
        </w:rPr>
        <w:t>Pesantren</w:t>
      </w:r>
      <w:proofErr w:type="spellEnd"/>
      <w:r w:rsidRPr="0025194F">
        <w:rPr>
          <w:rFonts w:asciiTheme="majorHAnsi" w:hAnsiTheme="majorHAnsi" w:cstheme="majorHAnsi"/>
          <w:sz w:val="20"/>
          <w:szCs w:val="20"/>
        </w:rPr>
        <w:t xml:space="preserve"> (Indonesian term for Islamic Boarding School). The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turns into a classroom led by a Kyai using the </w:t>
      </w:r>
      <w:proofErr w:type="spellStart"/>
      <w:r w:rsidRPr="0025194F">
        <w:rPr>
          <w:rFonts w:asciiTheme="majorHAnsi" w:hAnsiTheme="majorHAnsi" w:cstheme="majorHAnsi"/>
          <w:sz w:val="20"/>
          <w:szCs w:val="20"/>
        </w:rPr>
        <w:t>Sorogan</w:t>
      </w:r>
      <w:proofErr w:type="spellEnd"/>
      <w:r w:rsidRPr="0025194F">
        <w:rPr>
          <w:rFonts w:asciiTheme="majorHAnsi" w:hAnsiTheme="majorHAnsi" w:cstheme="majorHAnsi"/>
          <w:sz w:val="20"/>
          <w:szCs w:val="20"/>
        </w:rPr>
        <w:t xml:space="preserve"> system, a method of learning classical manuscripts (Kitab Kuning) in which students offer the Kyai the lesson they wish to study [27].</w:t>
      </w:r>
    </w:p>
    <w:p w14:paraId="152D44B2" w14:textId="0E6C0E6D" w:rsidR="005E66A5" w:rsidRPr="005E66A5"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After returning from Mecca to study, KH Ahmad Dahlan established an Islamic organization called Muhammadiyah and began teaching Islam in Kauman. In addition to being a preacher, KH Ahmad Dahlan is a </w:t>
      </w:r>
      <w:r w:rsidRPr="0025194F">
        <w:rPr>
          <w:rFonts w:asciiTheme="majorHAnsi" w:hAnsiTheme="majorHAnsi" w:cstheme="majorHAnsi"/>
          <w:sz w:val="20"/>
          <w:szCs w:val="20"/>
        </w:rPr>
        <w:lastRenderedPageBreak/>
        <w:t xml:space="preserve">batik merchant, contributing to his wide acceptance in the community [28].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which he established next to his house, played a significant role, particularly during the early stages of Muhammadiyah's establishment, if not earlier. Meanwhile,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KH Muhsen established </w:t>
      </w:r>
      <w:proofErr w:type="spellStart"/>
      <w:r w:rsidRPr="0025194F">
        <w:rPr>
          <w:rFonts w:asciiTheme="majorHAnsi" w:hAnsiTheme="majorHAnsi" w:cstheme="majorHAnsi"/>
          <w:sz w:val="20"/>
          <w:szCs w:val="20"/>
        </w:rPr>
        <w:t>Jam'iyyah</w:t>
      </w:r>
      <w:proofErr w:type="spellEnd"/>
      <w:r w:rsidRPr="0025194F">
        <w:rPr>
          <w:rFonts w:asciiTheme="majorHAnsi" w:hAnsiTheme="majorHAnsi" w:cstheme="majorHAnsi"/>
          <w:sz w:val="20"/>
          <w:szCs w:val="20"/>
        </w:rPr>
        <w:t xml:space="preserve"> </w:t>
      </w:r>
      <w:proofErr w:type="spellStart"/>
      <w:r w:rsidRPr="0025194F">
        <w:rPr>
          <w:rFonts w:asciiTheme="majorHAnsi" w:hAnsiTheme="majorHAnsi" w:cstheme="majorHAnsi"/>
          <w:sz w:val="20"/>
          <w:szCs w:val="20"/>
        </w:rPr>
        <w:t>Matla'ul</w:t>
      </w:r>
      <w:proofErr w:type="spellEnd"/>
      <w:r w:rsidRPr="0025194F">
        <w:rPr>
          <w:rFonts w:asciiTheme="majorHAnsi" w:hAnsiTheme="majorHAnsi" w:cstheme="majorHAnsi"/>
          <w:sz w:val="20"/>
          <w:szCs w:val="20"/>
        </w:rPr>
        <w:t xml:space="preserve"> Anwar, a boarding school in his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In contrast to KH Ahmad Dahlan, KH Muhsen maintains a traditional Islamic understanding and continues to practice various traditions originating from pre-Islamic Java. This divergence of views frequently results in friction between the two. However, KH Muhsen retained his position to carry out Islam traditionally by developing his </w:t>
      </w:r>
      <w:proofErr w:type="spellStart"/>
      <w:r w:rsidRPr="0025194F">
        <w:rPr>
          <w:rFonts w:asciiTheme="majorHAnsi" w:hAnsiTheme="majorHAnsi" w:cstheme="majorHAnsi"/>
          <w:sz w:val="20"/>
          <w:szCs w:val="20"/>
        </w:rPr>
        <w:t>Pesantren</w:t>
      </w:r>
      <w:proofErr w:type="spellEnd"/>
      <w:r w:rsidRPr="0025194F">
        <w:rPr>
          <w:rFonts w:asciiTheme="majorHAnsi" w:hAnsiTheme="majorHAnsi" w:cstheme="majorHAnsi"/>
          <w:sz w:val="20"/>
          <w:szCs w:val="20"/>
        </w:rPr>
        <w:t xml:space="preserve"> in Kauman until his death.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's close relationship with the house's owner was confirmed in a previous study on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in Pati, which revealed Kyai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's role as a 'patriarch' who guided the people in various aspects of life, both as an imam and a local Islamic community leader [29].</w:t>
      </w:r>
    </w:p>
    <w:p w14:paraId="694B9F5B" w14:textId="77777777" w:rsidR="005E66A5" w:rsidRDefault="005E66A5" w:rsidP="005E66A5">
      <w:pPr>
        <w:rPr>
          <w:rFonts w:asciiTheme="minorHAnsi" w:hAnsiTheme="minorHAnsi" w:cstheme="minorHAnsi"/>
          <w:b/>
          <w:bCs/>
          <w:sz w:val="20"/>
          <w:szCs w:val="20"/>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103"/>
      </w:tblGrid>
      <w:tr w:rsidR="0025194F" w14:paraId="2787E6FF" w14:textId="63EE7AD9" w:rsidTr="0025194F">
        <w:tc>
          <w:tcPr>
            <w:tcW w:w="4674" w:type="dxa"/>
          </w:tcPr>
          <w:p w14:paraId="51EDB6BA" w14:textId="4E62ECF8" w:rsidR="0025194F" w:rsidRDefault="0025194F" w:rsidP="00F5397D">
            <w:pPr>
              <w:jc w:val="center"/>
              <w:rPr>
                <w:rFonts w:asciiTheme="majorHAnsi" w:hAnsiTheme="majorHAnsi" w:cstheme="majorHAnsi"/>
                <w:sz w:val="20"/>
                <w:szCs w:val="20"/>
                <w:lang w:val="id-ID"/>
              </w:rPr>
            </w:pPr>
            <w:r w:rsidRPr="0040608E">
              <w:rPr>
                <w:noProof/>
              </w:rPr>
              <w:drawing>
                <wp:inline distT="0" distB="0" distL="0" distR="0" wp14:anchorId="4429C3AE" wp14:editId="3693E291">
                  <wp:extent cx="1846501" cy="1380227"/>
                  <wp:effectExtent l="0" t="0" r="1905" b="0"/>
                  <wp:docPr id="11" name="Picture 10">
                    <a:extLst xmlns:a="http://schemas.openxmlformats.org/drawingml/2006/main">
                      <a:ext uri="{FF2B5EF4-FFF2-40B4-BE49-F238E27FC236}">
                        <a16:creationId xmlns:a16="http://schemas.microsoft.com/office/drawing/2014/main" id="{BBBD8BAE-D2C8-43B6-873C-CE31EF4474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BBBD8BAE-D2C8-43B6-873C-CE31EF44743A}"/>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48218" cy="1381510"/>
                          </a:xfrm>
                          <a:prstGeom prst="rect">
                            <a:avLst/>
                          </a:prstGeom>
                        </pic:spPr>
                      </pic:pic>
                    </a:graphicData>
                  </a:graphic>
                </wp:inline>
              </w:drawing>
            </w:r>
          </w:p>
        </w:tc>
        <w:tc>
          <w:tcPr>
            <w:tcW w:w="4103" w:type="dxa"/>
          </w:tcPr>
          <w:p w14:paraId="4EEBC114" w14:textId="13280714" w:rsidR="0025194F" w:rsidRDefault="0025194F" w:rsidP="00040783">
            <w:pPr>
              <w:rPr>
                <w:noProof/>
              </w:rPr>
            </w:pPr>
            <w:r w:rsidRPr="0040608E">
              <w:rPr>
                <w:rFonts w:ascii="Candara" w:hAnsi="Candara"/>
                <w:noProof/>
                <w:sz w:val="18"/>
                <w:szCs w:val="18"/>
              </w:rPr>
              <w:drawing>
                <wp:anchor distT="0" distB="0" distL="114300" distR="114300" simplePos="0" relativeHeight="251663360" behindDoc="0" locked="0" layoutInCell="1" allowOverlap="1" wp14:anchorId="5C03A041" wp14:editId="44758E6B">
                  <wp:simplePos x="0" y="0"/>
                  <wp:positionH relativeFrom="column">
                    <wp:posOffset>-1905</wp:posOffset>
                  </wp:positionH>
                  <wp:positionV relativeFrom="paragraph">
                    <wp:posOffset>7764</wp:posOffset>
                  </wp:positionV>
                  <wp:extent cx="1828782" cy="1371228"/>
                  <wp:effectExtent l="0" t="0" r="635"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31207" cy="1373046"/>
                          </a:xfrm>
                          <a:prstGeom prst="rect">
                            <a:avLst/>
                          </a:prstGeom>
                          <a:noFill/>
                        </pic:spPr>
                      </pic:pic>
                    </a:graphicData>
                  </a:graphic>
                  <wp14:sizeRelH relativeFrom="page">
                    <wp14:pctWidth>0</wp14:pctWidth>
                  </wp14:sizeRelH>
                  <wp14:sizeRelV relativeFrom="page">
                    <wp14:pctHeight>0</wp14:pctHeight>
                  </wp14:sizeRelV>
                </wp:anchor>
              </w:drawing>
            </w:r>
          </w:p>
        </w:tc>
      </w:tr>
      <w:tr w:rsidR="0025194F" w14:paraId="61AAA2D3" w14:textId="455B0BD5" w:rsidTr="0025194F">
        <w:tc>
          <w:tcPr>
            <w:tcW w:w="8777" w:type="dxa"/>
            <w:gridSpan w:val="2"/>
          </w:tcPr>
          <w:p w14:paraId="091ABCF5" w14:textId="77777777" w:rsidR="0025194F" w:rsidRDefault="0025194F" w:rsidP="00F5397D">
            <w:pPr>
              <w:spacing w:line="264" w:lineRule="auto"/>
              <w:jc w:val="center"/>
              <w:rPr>
                <w:rFonts w:asciiTheme="majorHAnsi" w:hAnsiTheme="majorHAnsi" w:cstheme="majorHAnsi"/>
                <w:bCs/>
                <w:sz w:val="16"/>
                <w:szCs w:val="16"/>
              </w:rPr>
            </w:pPr>
          </w:p>
          <w:p w14:paraId="50E1D5FA" w14:textId="2E632A2E" w:rsidR="0025194F" w:rsidRDefault="0025194F" w:rsidP="00F5397D">
            <w:pPr>
              <w:spacing w:line="264" w:lineRule="auto"/>
              <w:jc w:val="center"/>
              <w:rPr>
                <w:rFonts w:asciiTheme="majorHAnsi" w:hAnsiTheme="majorHAnsi" w:cstheme="majorHAnsi"/>
                <w:bCs/>
                <w:sz w:val="16"/>
                <w:szCs w:val="16"/>
              </w:rPr>
            </w:pPr>
            <w:r w:rsidRPr="003B3CFF">
              <w:rPr>
                <w:rFonts w:asciiTheme="majorHAnsi" w:hAnsiTheme="majorHAnsi" w:cstheme="majorHAnsi"/>
                <w:bCs/>
                <w:sz w:val="16"/>
                <w:szCs w:val="16"/>
              </w:rPr>
              <w:t xml:space="preserve">Figure </w:t>
            </w:r>
            <w:r w:rsidRPr="0025194F">
              <w:rPr>
                <w:rFonts w:asciiTheme="majorHAnsi" w:hAnsiTheme="majorHAnsi" w:cstheme="majorHAnsi"/>
                <w:bCs/>
                <w:sz w:val="16"/>
                <w:szCs w:val="16"/>
              </w:rPr>
              <w:t>9</w:t>
            </w:r>
            <w:r>
              <w:rPr>
                <w:rFonts w:asciiTheme="majorHAnsi" w:hAnsiTheme="majorHAnsi" w:cstheme="majorHAnsi"/>
                <w:bCs/>
                <w:sz w:val="16"/>
                <w:szCs w:val="16"/>
              </w:rPr>
              <w:t>.</w:t>
            </w:r>
            <w:r w:rsidRPr="0025194F">
              <w:rPr>
                <w:rFonts w:asciiTheme="majorHAnsi" w:hAnsiTheme="majorHAnsi" w:cstheme="majorHAnsi"/>
                <w:bCs/>
                <w:sz w:val="16"/>
                <w:szCs w:val="16"/>
              </w:rPr>
              <w:t xml:space="preserve"> Prayer Room in </w:t>
            </w:r>
            <w:r w:rsidR="001D4DAB" w:rsidRPr="001D4DAB">
              <w:rPr>
                <w:rFonts w:asciiTheme="majorHAnsi" w:hAnsiTheme="majorHAnsi" w:cstheme="majorHAnsi"/>
                <w:bCs/>
                <w:i/>
                <w:iCs/>
                <w:sz w:val="16"/>
                <w:szCs w:val="16"/>
              </w:rPr>
              <w:t xml:space="preserve">Langgar </w:t>
            </w:r>
            <w:proofErr w:type="spellStart"/>
            <w:r w:rsidR="001D4DAB" w:rsidRPr="001D4DAB">
              <w:rPr>
                <w:rFonts w:asciiTheme="majorHAnsi" w:hAnsiTheme="majorHAnsi" w:cstheme="majorHAnsi"/>
                <w:bCs/>
                <w:i/>
                <w:iCs/>
                <w:sz w:val="16"/>
                <w:szCs w:val="16"/>
              </w:rPr>
              <w:t>Dhuwur</w:t>
            </w:r>
            <w:proofErr w:type="spellEnd"/>
            <w:r w:rsidRPr="0025194F">
              <w:rPr>
                <w:rFonts w:asciiTheme="majorHAnsi" w:hAnsiTheme="majorHAnsi" w:cstheme="majorHAnsi"/>
                <w:bCs/>
                <w:sz w:val="16"/>
                <w:szCs w:val="16"/>
              </w:rPr>
              <w:t xml:space="preserve"> KH Muhsen and Family Room on the Ground Floor of </w:t>
            </w:r>
            <w:r w:rsidR="001D4DAB" w:rsidRPr="001D4DAB">
              <w:rPr>
                <w:rFonts w:asciiTheme="majorHAnsi" w:hAnsiTheme="majorHAnsi" w:cstheme="majorHAnsi"/>
                <w:bCs/>
                <w:i/>
                <w:iCs/>
                <w:sz w:val="16"/>
                <w:szCs w:val="16"/>
              </w:rPr>
              <w:t xml:space="preserve">Langgar </w:t>
            </w:r>
            <w:proofErr w:type="spellStart"/>
            <w:r w:rsidR="001D4DAB" w:rsidRPr="001D4DAB">
              <w:rPr>
                <w:rFonts w:asciiTheme="majorHAnsi" w:hAnsiTheme="majorHAnsi" w:cstheme="majorHAnsi"/>
                <w:bCs/>
                <w:i/>
                <w:iCs/>
                <w:sz w:val="16"/>
                <w:szCs w:val="16"/>
              </w:rPr>
              <w:t>Dhuwur</w:t>
            </w:r>
            <w:proofErr w:type="spellEnd"/>
            <w:r w:rsidRPr="0025194F">
              <w:rPr>
                <w:rFonts w:asciiTheme="majorHAnsi" w:hAnsiTheme="majorHAnsi" w:cstheme="majorHAnsi"/>
                <w:bCs/>
                <w:sz w:val="16"/>
                <w:szCs w:val="16"/>
              </w:rPr>
              <w:t xml:space="preserve"> KH Ahmad Dahlan.</w:t>
            </w:r>
          </w:p>
        </w:tc>
      </w:tr>
    </w:tbl>
    <w:p w14:paraId="77F92D7D" w14:textId="77777777" w:rsidR="0025194F" w:rsidRDefault="0025194F" w:rsidP="0025194F">
      <w:pPr>
        <w:ind w:left="284" w:firstLine="283"/>
        <w:jc w:val="both"/>
        <w:rPr>
          <w:rFonts w:asciiTheme="majorHAnsi" w:hAnsiTheme="majorHAnsi" w:cstheme="majorHAnsi"/>
          <w:sz w:val="20"/>
          <w:szCs w:val="20"/>
        </w:rPr>
      </w:pPr>
    </w:p>
    <w:p w14:paraId="2CC54313" w14:textId="5744D482" w:rsidR="0025194F"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In addition, Figure 9 shows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which is attached to the owner's house in his capacity as Kyai or leader of the Islamic community, is a private place of worship, particularly during the month of Ramadan. In Islamic history, it is recorded that Prophet Muhammad PBUH began his spiritual activities in the Cave of Hira', ultimately designated as the site of the first revelation [30]. Though many Sufis continue to worship individually after the prophetic period of the Prophet [31], the tradition of worship in more private mosques has been preserved by many Sufis, including those in Indonesia [4],[32]. This also aligns with findings [34], which stated that public spaces for worship in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then move to homes through </w:t>
      </w:r>
      <w:proofErr w:type="spellStart"/>
      <w:r w:rsidRPr="0025194F">
        <w:rPr>
          <w:rFonts w:asciiTheme="majorHAnsi" w:hAnsiTheme="majorHAnsi" w:cstheme="majorHAnsi"/>
          <w:sz w:val="20"/>
          <w:szCs w:val="20"/>
        </w:rPr>
        <w:t>Tahlilan</w:t>
      </w:r>
      <w:proofErr w:type="spellEnd"/>
      <w:r w:rsidRPr="0025194F">
        <w:rPr>
          <w:rFonts w:asciiTheme="majorHAnsi" w:hAnsiTheme="majorHAnsi" w:cstheme="majorHAnsi"/>
          <w:sz w:val="20"/>
          <w:szCs w:val="20"/>
        </w:rPr>
        <w:t xml:space="preserve"> and </w:t>
      </w:r>
      <w:proofErr w:type="spellStart"/>
      <w:r w:rsidRPr="0025194F">
        <w:rPr>
          <w:rFonts w:asciiTheme="majorHAnsi" w:hAnsiTheme="majorHAnsi" w:cstheme="majorHAnsi"/>
          <w:sz w:val="20"/>
          <w:szCs w:val="20"/>
        </w:rPr>
        <w:t>Yasinan</w:t>
      </w:r>
      <w:proofErr w:type="spellEnd"/>
      <w:r w:rsidRPr="0025194F">
        <w:rPr>
          <w:rFonts w:asciiTheme="majorHAnsi" w:hAnsiTheme="majorHAnsi" w:cstheme="majorHAnsi"/>
          <w:sz w:val="20"/>
          <w:szCs w:val="20"/>
        </w:rPr>
        <w:t xml:space="preserve">, and some recite Qur’an activities. So, it can be stated that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is a place for public and private prayer</w:t>
      </w:r>
      <w:r>
        <w:rPr>
          <w:rFonts w:asciiTheme="majorHAnsi" w:hAnsiTheme="majorHAnsi" w:cstheme="majorHAnsi"/>
          <w:sz w:val="20"/>
          <w:szCs w:val="20"/>
        </w:rPr>
        <w:t>.</w:t>
      </w:r>
    </w:p>
    <w:p w14:paraId="26AB09E5" w14:textId="77777777" w:rsidR="0025194F" w:rsidRPr="0025194F" w:rsidRDefault="0025194F" w:rsidP="0025194F">
      <w:pPr>
        <w:ind w:left="284" w:firstLine="283"/>
        <w:jc w:val="both"/>
        <w:rPr>
          <w:rFonts w:asciiTheme="minorHAnsi" w:hAnsiTheme="minorHAnsi" w:cstheme="minorHAnsi"/>
          <w:b/>
          <w:bCs/>
          <w:sz w:val="18"/>
          <w:szCs w:val="18"/>
        </w:rPr>
      </w:pPr>
    </w:p>
    <w:p w14:paraId="0AA74F71" w14:textId="481103C6" w:rsidR="0025194F" w:rsidRDefault="001D4DAB" w:rsidP="0025194F">
      <w:pPr>
        <w:pStyle w:val="ListParagraph"/>
        <w:numPr>
          <w:ilvl w:val="0"/>
          <w:numId w:val="3"/>
        </w:numPr>
        <w:ind w:left="567" w:hanging="283"/>
        <w:jc w:val="both"/>
        <w:rPr>
          <w:rFonts w:asciiTheme="minorHAnsi" w:hAnsiTheme="minorHAnsi" w:cstheme="minorHAnsi"/>
          <w:b/>
          <w:bCs/>
          <w:sz w:val="18"/>
          <w:szCs w:val="18"/>
        </w:rPr>
      </w:pPr>
      <w:r w:rsidRPr="001D4DAB">
        <w:rPr>
          <w:rFonts w:asciiTheme="minorHAnsi" w:hAnsiTheme="minorHAnsi" w:cstheme="minorHAnsi"/>
          <w:b/>
          <w:bCs/>
          <w:i/>
          <w:iCs/>
          <w:sz w:val="18"/>
          <w:szCs w:val="18"/>
        </w:rPr>
        <w:t>LANGGAR DHUWUR</w:t>
      </w:r>
      <w:r w:rsidR="0025194F" w:rsidRPr="0025194F">
        <w:rPr>
          <w:rFonts w:asciiTheme="minorHAnsi" w:hAnsiTheme="minorHAnsi" w:cstheme="minorHAnsi"/>
          <w:b/>
          <w:bCs/>
          <w:sz w:val="18"/>
          <w:szCs w:val="18"/>
        </w:rPr>
        <w:t xml:space="preserve"> AS A SOCIETY GATHERING SPACE</w:t>
      </w:r>
    </w:p>
    <w:p w14:paraId="3AA8894A" w14:textId="2A464ABE" w:rsidR="0025194F" w:rsidRPr="0025194F"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The two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served as </w:t>
      </w:r>
      <w:proofErr w:type="spellStart"/>
      <w:r w:rsidRPr="0025194F">
        <w:rPr>
          <w:rFonts w:asciiTheme="majorHAnsi" w:hAnsiTheme="majorHAnsi" w:cstheme="majorHAnsi"/>
          <w:sz w:val="20"/>
          <w:szCs w:val="20"/>
        </w:rPr>
        <w:t>centers</w:t>
      </w:r>
      <w:proofErr w:type="spellEnd"/>
      <w:r w:rsidRPr="0025194F">
        <w:rPr>
          <w:rFonts w:asciiTheme="majorHAnsi" w:hAnsiTheme="majorHAnsi" w:cstheme="majorHAnsi"/>
          <w:sz w:val="20"/>
          <w:szCs w:val="20"/>
        </w:rPr>
        <w:t xml:space="preserve"> for the five daily prayers and as small Islamic boarding schools founded by KH Ahmad Dahlan and KH Muhsen. In addition, the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serves as a meeting place for various activities, including celebrating Islamic holidays and other social gatherings. In the evenings, it is typically used as a gathering place for men to discuss various issues concerning residents' problems. During Ramadan, residents, primarily children and women, will concentrate their activities in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beginning with five daily prayers: night prayer (Tarawih), dawn lectures, breaking the fast, reciting the Qur’an (</w:t>
      </w:r>
      <w:proofErr w:type="spellStart"/>
      <w:r w:rsidRPr="0025194F">
        <w:rPr>
          <w:rFonts w:asciiTheme="majorHAnsi" w:hAnsiTheme="majorHAnsi" w:cstheme="majorHAnsi"/>
          <w:sz w:val="20"/>
          <w:szCs w:val="20"/>
        </w:rPr>
        <w:t>Tadarus</w:t>
      </w:r>
      <w:proofErr w:type="spellEnd"/>
      <w:r w:rsidRPr="0025194F">
        <w:rPr>
          <w:rFonts w:asciiTheme="majorHAnsi" w:hAnsiTheme="majorHAnsi" w:cstheme="majorHAnsi"/>
          <w:sz w:val="20"/>
          <w:szCs w:val="20"/>
        </w:rPr>
        <w:t xml:space="preserve">), and so on. If a mosque is in the immediate vicinity, adult men will concentrate their activities there rather than in the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Thus,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can be confirmed as a Muslim institution in Java that serves multiple religious, cultural, and social functions [10].</w:t>
      </w:r>
    </w:p>
    <w:p w14:paraId="6EA7B798" w14:textId="7E8C854A" w:rsidR="0025194F" w:rsidRPr="0025194F"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After the deaths of KH Ahmad Dahlan and KH Muhsen, the roles of the two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changed. With the construction of classrooms for Muhammadiyah schools to the east and south of KH Ahmad Dahlan's residence, the Education function at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KH Ahmad Dahlan continues to grow and develop.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KH Ahmad Dahlan continues to serve as a place for children to study the Qur'an (Taman Pendidikan Al Qur'an), even though it is no longer regularly used for the five daily prayers. This result is consistent with the findings of previous research [34], [35], which contend that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 is the oldest educational institution in the Islamic community in Indonesia, even though its role is shifting with the emergence of the Al-Quran Educational Park (TPA). Interestingly,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KH Ahmad Dahlan changed his education pattern to TPA, consistent with the Progressive Islam Movement slogan of Muhammadiyah [36].</w:t>
      </w:r>
    </w:p>
    <w:p w14:paraId="6B55B42B" w14:textId="60074925" w:rsidR="0025194F"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The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xml:space="preserve">'s ground floor has been repurposed as a Muhammadiyah Photo Gallery, a new function for the historic site and the organization.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KH Muhsen is now fully functional as a family prayer space frequently used for rest. Even though this structure no longer serves a social purpose, the local people refer to it as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5194F">
        <w:rPr>
          <w:rFonts w:asciiTheme="majorHAnsi" w:hAnsiTheme="majorHAnsi" w:cstheme="majorHAnsi"/>
          <w:sz w:val="20"/>
          <w:szCs w:val="20"/>
        </w:rPr>
        <w:t xml:space="preserve"> to reflect its original purpose as a place of worship</w:t>
      </w:r>
      <w:r>
        <w:rPr>
          <w:rFonts w:asciiTheme="majorHAnsi" w:hAnsiTheme="majorHAnsi" w:cstheme="majorHAnsi"/>
          <w:sz w:val="20"/>
          <w:szCs w:val="20"/>
        </w:rPr>
        <w:t>.</w:t>
      </w:r>
    </w:p>
    <w:p w14:paraId="585D4180" w14:textId="77777777" w:rsidR="0025194F" w:rsidRDefault="0025194F" w:rsidP="0025194F">
      <w:pPr>
        <w:ind w:left="284" w:firstLine="283"/>
        <w:jc w:val="both"/>
        <w:rPr>
          <w:rFonts w:asciiTheme="minorHAnsi" w:hAnsiTheme="minorHAnsi" w:cstheme="minorHAnsi"/>
          <w:b/>
          <w:bCs/>
          <w:sz w:val="20"/>
          <w:szCs w:val="20"/>
        </w:rPr>
      </w:pPr>
    </w:p>
    <w:p w14:paraId="650335CF" w14:textId="77777777" w:rsidR="001D4DAB" w:rsidRDefault="001D4DAB" w:rsidP="0025194F">
      <w:pPr>
        <w:ind w:left="284" w:firstLine="283"/>
        <w:jc w:val="both"/>
        <w:rPr>
          <w:rFonts w:asciiTheme="minorHAnsi" w:hAnsiTheme="minorHAnsi" w:cstheme="minorHAnsi"/>
          <w:b/>
          <w:bCs/>
          <w:sz w:val="20"/>
          <w:szCs w:val="20"/>
        </w:rPr>
      </w:pPr>
    </w:p>
    <w:p w14:paraId="3B21B33B" w14:textId="77777777" w:rsidR="001D4DAB" w:rsidRDefault="001D4DAB" w:rsidP="0025194F">
      <w:pPr>
        <w:ind w:left="284" w:firstLine="283"/>
        <w:jc w:val="both"/>
        <w:rPr>
          <w:rFonts w:asciiTheme="minorHAnsi" w:hAnsiTheme="minorHAnsi" w:cstheme="minorHAnsi"/>
          <w:b/>
          <w:bCs/>
          <w:sz w:val="20"/>
          <w:szCs w:val="20"/>
        </w:rPr>
      </w:pPr>
    </w:p>
    <w:p w14:paraId="621C087E" w14:textId="6BA643B4" w:rsidR="0025194F" w:rsidRDefault="001D4DAB" w:rsidP="0025194F">
      <w:pPr>
        <w:pStyle w:val="ListParagraph"/>
        <w:numPr>
          <w:ilvl w:val="0"/>
          <w:numId w:val="3"/>
        </w:numPr>
        <w:ind w:left="567" w:hanging="283"/>
        <w:jc w:val="both"/>
        <w:rPr>
          <w:rFonts w:asciiTheme="minorHAnsi" w:hAnsiTheme="minorHAnsi" w:cstheme="minorHAnsi"/>
          <w:b/>
          <w:bCs/>
          <w:sz w:val="18"/>
          <w:szCs w:val="18"/>
        </w:rPr>
      </w:pPr>
      <w:r w:rsidRPr="001D4DAB">
        <w:rPr>
          <w:rFonts w:asciiTheme="minorHAnsi" w:hAnsiTheme="minorHAnsi" w:cstheme="minorHAnsi"/>
          <w:b/>
          <w:bCs/>
          <w:i/>
          <w:iCs/>
          <w:sz w:val="18"/>
          <w:szCs w:val="18"/>
        </w:rPr>
        <w:t>LANGGAR DHUWUR</w:t>
      </w:r>
      <w:r w:rsidR="002A645E" w:rsidRPr="002A645E">
        <w:rPr>
          <w:rFonts w:asciiTheme="minorHAnsi" w:hAnsiTheme="minorHAnsi" w:cstheme="minorHAnsi"/>
          <w:b/>
          <w:bCs/>
          <w:sz w:val="18"/>
          <w:szCs w:val="18"/>
        </w:rPr>
        <w:t xml:space="preserve"> AS ARCHITECTURAL HERITAGE</w:t>
      </w:r>
    </w:p>
    <w:p w14:paraId="2379CB3D" w14:textId="17DFE727" w:rsidR="0025194F" w:rsidRPr="0025194F" w:rsidRDefault="001D4DAB" w:rsidP="0025194F">
      <w:pPr>
        <w:ind w:left="284" w:firstLine="283"/>
        <w:jc w:val="both"/>
        <w:rPr>
          <w:rFonts w:asciiTheme="majorHAnsi" w:hAnsiTheme="majorHAnsi" w:cstheme="majorHAnsi"/>
          <w:sz w:val="20"/>
          <w:szCs w:val="20"/>
        </w:rPr>
      </w:pPr>
      <w:r w:rsidRPr="001D4DAB">
        <w:rPr>
          <w:rFonts w:asciiTheme="majorHAnsi" w:hAnsiTheme="majorHAnsi" w:cstheme="majorHAnsi"/>
          <w:i/>
          <w:iCs/>
          <w:sz w:val="20"/>
          <w:szCs w:val="20"/>
        </w:rPr>
        <w:t xml:space="preserve">Langgar </w:t>
      </w:r>
      <w:proofErr w:type="spellStart"/>
      <w:r w:rsidRPr="001D4DAB">
        <w:rPr>
          <w:rFonts w:asciiTheme="majorHAnsi" w:hAnsiTheme="majorHAnsi" w:cstheme="majorHAnsi"/>
          <w:i/>
          <w:iCs/>
          <w:sz w:val="20"/>
          <w:szCs w:val="20"/>
        </w:rPr>
        <w:t>Dhuwur</w:t>
      </w:r>
      <w:proofErr w:type="spellEnd"/>
      <w:r w:rsidR="0025194F" w:rsidRPr="0025194F">
        <w:rPr>
          <w:rFonts w:asciiTheme="majorHAnsi" w:hAnsiTheme="majorHAnsi" w:cstheme="majorHAnsi"/>
          <w:sz w:val="20"/>
          <w:szCs w:val="20"/>
        </w:rPr>
        <w:t xml:space="preserve"> and its surroundings have the potential to be architecturally and historically significant cultural heritage sites that must be preserved. The </w:t>
      </w:r>
      <w:r w:rsidRPr="001D4DAB">
        <w:rPr>
          <w:rFonts w:asciiTheme="majorHAnsi" w:hAnsiTheme="majorHAnsi" w:cstheme="majorHAnsi"/>
          <w:i/>
          <w:iCs/>
          <w:sz w:val="20"/>
          <w:szCs w:val="20"/>
        </w:rPr>
        <w:t xml:space="preserve">Langgar </w:t>
      </w:r>
      <w:proofErr w:type="spellStart"/>
      <w:r w:rsidRPr="001D4DAB">
        <w:rPr>
          <w:rFonts w:asciiTheme="majorHAnsi" w:hAnsiTheme="majorHAnsi" w:cstheme="majorHAnsi"/>
          <w:i/>
          <w:iCs/>
          <w:sz w:val="20"/>
          <w:szCs w:val="20"/>
        </w:rPr>
        <w:t>Dhuwur</w:t>
      </w:r>
      <w:proofErr w:type="spellEnd"/>
      <w:r w:rsidR="0025194F" w:rsidRPr="0025194F">
        <w:rPr>
          <w:rFonts w:asciiTheme="majorHAnsi" w:hAnsiTheme="majorHAnsi" w:cstheme="majorHAnsi"/>
          <w:sz w:val="20"/>
          <w:szCs w:val="20"/>
        </w:rPr>
        <w:t xml:space="preserve"> building is unique because it represents a typology of Islamic religious buildings attached to the kyai's residence that cannot be found in mosque buildings outside Java or other parts of the world. This construction carries on the tradition of the Prophet Muhammad PBUH, who built the Nabawi Mosque near his home before expanding it into a larger structure. </w:t>
      </w:r>
      <w:r w:rsidRPr="001D4DAB">
        <w:rPr>
          <w:rFonts w:asciiTheme="majorHAnsi" w:hAnsiTheme="majorHAnsi" w:cstheme="majorHAnsi"/>
          <w:i/>
          <w:iCs/>
          <w:sz w:val="20"/>
          <w:szCs w:val="20"/>
        </w:rPr>
        <w:t xml:space="preserve">Langgar </w:t>
      </w:r>
      <w:proofErr w:type="spellStart"/>
      <w:r w:rsidRPr="001D4DAB">
        <w:rPr>
          <w:rFonts w:asciiTheme="majorHAnsi" w:hAnsiTheme="majorHAnsi" w:cstheme="majorHAnsi"/>
          <w:i/>
          <w:iCs/>
          <w:sz w:val="20"/>
          <w:szCs w:val="20"/>
        </w:rPr>
        <w:t>Dhuwur</w:t>
      </w:r>
      <w:proofErr w:type="spellEnd"/>
      <w:r w:rsidR="0025194F" w:rsidRPr="0025194F">
        <w:rPr>
          <w:rFonts w:asciiTheme="majorHAnsi" w:hAnsiTheme="majorHAnsi" w:cstheme="majorHAnsi"/>
          <w:sz w:val="20"/>
          <w:szCs w:val="20"/>
        </w:rPr>
        <w:t xml:space="preserve"> did not undergo the same transformation as the Prophet's Mosque, particularly after the death of its founding figure, and has remained an integral part of the residence to the present day.</w:t>
      </w:r>
    </w:p>
    <w:p w14:paraId="1276B369" w14:textId="0B6F1415" w:rsidR="0025194F" w:rsidRPr="0025194F" w:rsidRDefault="001D4DAB" w:rsidP="0025194F">
      <w:pPr>
        <w:ind w:left="284" w:firstLine="283"/>
        <w:jc w:val="both"/>
        <w:rPr>
          <w:rFonts w:asciiTheme="majorHAnsi" w:hAnsiTheme="majorHAnsi" w:cstheme="majorHAnsi"/>
          <w:sz w:val="20"/>
          <w:szCs w:val="20"/>
        </w:rPr>
      </w:pPr>
      <w:r w:rsidRPr="001D4DAB">
        <w:rPr>
          <w:rFonts w:asciiTheme="majorHAnsi" w:hAnsiTheme="majorHAnsi" w:cstheme="majorHAnsi"/>
          <w:i/>
          <w:iCs/>
          <w:sz w:val="20"/>
          <w:szCs w:val="20"/>
        </w:rPr>
        <w:t xml:space="preserve">Langgar </w:t>
      </w:r>
      <w:proofErr w:type="spellStart"/>
      <w:r w:rsidRPr="001D4DAB">
        <w:rPr>
          <w:rFonts w:asciiTheme="majorHAnsi" w:hAnsiTheme="majorHAnsi" w:cstheme="majorHAnsi"/>
          <w:i/>
          <w:iCs/>
          <w:sz w:val="20"/>
          <w:szCs w:val="20"/>
        </w:rPr>
        <w:t>Dhuwur</w:t>
      </w:r>
      <w:proofErr w:type="spellEnd"/>
      <w:r w:rsidR="0025194F" w:rsidRPr="0025194F">
        <w:rPr>
          <w:rFonts w:asciiTheme="majorHAnsi" w:hAnsiTheme="majorHAnsi" w:cstheme="majorHAnsi"/>
          <w:sz w:val="20"/>
          <w:szCs w:val="20"/>
        </w:rPr>
        <w:t xml:space="preserve">, according to the second argument, is a house with three vertical figures that characterize </w:t>
      </w:r>
      <w:r w:rsidRPr="001D4DAB">
        <w:rPr>
          <w:rFonts w:asciiTheme="majorHAnsi" w:hAnsiTheme="majorHAnsi" w:cstheme="majorHAnsi"/>
          <w:i/>
          <w:iCs/>
          <w:sz w:val="20"/>
          <w:szCs w:val="20"/>
        </w:rPr>
        <w:t>Langgar</w:t>
      </w:r>
      <w:r w:rsidR="0025194F" w:rsidRPr="0025194F">
        <w:rPr>
          <w:rFonts w:asciiTheme="majorHAnsi" w:hAnsiTheme="majorHAnsi" w:cstheme="majorHAnsi"/>
          <w:sz w:val="20"/>
          <w:szCs w:val="20"/>
        </w:rPr>
        <w:t xml:space="preserve">, who is continuing the tradition of vernacular and Hindu-Buddhist architecture in Indonesia, which is represented by a house with three vertical figures. According to the architecture of the period, both </w:t>
      </w:r>
      <w:r w:rsidRPr="001D4DAB">
        <w:rPr>
          <w:rFonts w:asciiTheme="majorHAnsi" w:hAnsiTheme="majorHAnsi" w:cstheme="majorHAnsi"/>
          <w:i/>
          <w:iCs/>
          <w:sz w:val="20"/>
          <w:szCs w:val="20"/>
        </w:rPr>
        <w:t xml:space="preserve">Langgar </w:t>
      </w:r>
      <w:proofErr w:type="spellStart"/>
      <w:r w:rsidRPr="001D4DAB">
        <w:rPr>
          <w:rFonts w:asciiTheme="majorHAnsi" w:hAnsiTheme="majorHAnsi" w:cstheme="majorHAnsi"/>
          <w:i/>
          <w:iCs/>
          <w:sz w:val="20"/>
          <w:szCs w:val="20"/>
        </w:rPr>
        <w:t>Dhuwur</w:t>
      </w:r>
      <w:proofErr w:type="spellEnd"/>
      <w:r w:rsidR="0025194F" w:rsidRPr="0025194F">
        <w:rPr>
          <w:rFonts w:asciiTheme="majorHAnsi" w:hAnsiTheme="majorHAnsi" w:cstheme="majorHAnsi"/>
          <w:sz w:val="20"/>
          <w:szCs w:val="20"/>
        </w:rPr>
        <w:t xml:space="preserve"> followed the architectural trends of the early twentieth century, specifically Indies architecture and </w:t>
      </w:r>
      <w:proofErr w:type="spellStart"/>
      <w:r w:rsidR="0025194F" w:rsidRPr="0025194F">
        <w:rPr>
          <w:rFonts w:asciiTheme="majorHAnsi" w:hAnsiTheme="majorHAnsi" w:cstheme="majorHAnsi"/>
          <w:sz w:val="20"/>
          <w:szCs w:val="20"/>
        </w:rPr>
        <w:t>Kalang</w:t>
      </w:r>
      <w:proofErr w:type="spellEnd"/>
      <w:r w:rsidR="0025194F" w:rsidRPr="0025194F">
        <w:rPr>
          <w:rFonts w:asciiTheme="majorHAnsi" w:hAnsiTheme="majorHAnsi" w:cstheme="majorHAnsi"/>
          <w:sz w:val="20"/>
          <w:szCs w:val="20"/>
        </w:rPr>
        <w:t xml:space="preserve"> architecture. These two architectural styles have significantly contributed to the history of architecture, particularly in Java.</w:t>
      </w:r>
    </w:p>
    <w:p w14:paraId="16FED2B9" w14:textId="4320F285" w:rsidR="0025194F" w:rsidRDefault="0025194F" w:rsidP="0025194F">
      <w:pPr>
        <w:ind w:left="284" w:firstLine="283"/>
        <w:jc w:val="both"/>
        <w:rPr>
          <w:rFonts w:asciiTheme="majorHAnsi" w:hAnsiTheme="majorHAnsi" w:cstheme="majorHAnsi"/>
          <w:sz w:val="20"/>
          <w:szCs w:val="20"/>
        </w:rPr>
      </w:pPr>
      <w:r w:rsidRPr="0025194F">
        <w:rPr>
          <w:rFonts w:asciiTheme="majorHAnsi" w:hAnsiTheme="majorHAnsi" w:cstheme="majorHAnsi"/>
          <w:sz w:val="20"/>
          <w:szCs w:val="20"/>
        </w:rPr>
        <w:t xml:space="preserve">In addition, these structures have been crucial to the historical evolution of Islam in Indonesia, which is the third point of contention. </w:t>
      </w:r>
      <w:r w:rsidR="001D4DAB" w:rsidRPr="001D4DAB">
        <w:rPr>
          <w:rFonts w:asciiTheme="majorHAnsi" w:hAnsiTheme="majorHAnsi" w:cstheme="majorHAnsi"/>
          <w:i/>
          <w:iCs/>
          <w:sz w:val="20"/>
          <w:szCs w:val="20"/>
        </w:rPr>
        <w:t>Langgar</w:t>
      </w:r>
      <w:r w:rsidRPr="0025194F">
        <w:rPr>
          <w:rFonts w:asciiTheme="majorHAnsi" w:hAnsiTheme="majorHAnsi" w:cstheme="majorHAnsi"/>
          <w:sz w:val="20"/>
          <w:szCs w:val="20"/>
        </w:rPr>
        <w:t>, like Surau in Sumatra and Malaysia, contributed significantly to the spread of Islam in Java and the surrounding area. It serves multiple purposes as a place of worship, a hub for social and cultural activities, and a public gathering space. Langar serves an essential purpose as a social gathering place and informal school "institution" for the surrounding community.</w:t>
      </w:r>
    </w:p>
    <w:p w14:paraId="5939E3DF" w14:textId="77777777" w:rsidR="0025194F" w:rsidRDefault="0025194F" w:rsidP="0025194F">
      <w:pPr>
        <w:ind w:left="284" w:firstLine="283"/>
        <w:jc w:val="both"/>
        <w:rPr>
          <w:rFonts w:asciiTheme="majorHAnsi" w:hAnsiTheme="majorHAnsi" w:cstheme="majorHAnsi"/>
          <w:sz w:val="20"/>
          <w:szCs w:val="20"/>
        </w:rPr>
      </w:pPr>
    </w:p>
    <w:p w14:paraId="4397BC75" w14:textId="3B6177D5"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4EE595FF" w14:textId="2FB900DD" w:rsidR="002A645E" w:rsidRPr="002A645E" w:rsidRDefault="001D4DAB" w:rsidP="002A645E">
      <w:pPr>
        <w:ind w:firstLine="284"/>
        <w:jc w:val="both"/>
        <w:rPr>
          <w:rFonts w:asciiTheme="majorHAnsi" w:hAnsiTheme="majorHAnsi" w:cstheme="majorHAnsi"/>
          <w:sz w:val="20"/>
          <w:szCs w:val="20"/>
        </w:rPr>
      </w:pPr>
      <w:r w:rsidRPr="001D4DAB">
        <w:rPr>
          <w:rFonts w:asciiTheme="majorHAnsi" w:hAnsiTheme="majorHAnsi" w:cstheme="majorHAnsi"/>
          <w:i/>
          <w:iCs/>
          <w:sz w:val="20"/>
          <w:szCs w:val="20"/>
        </w:rPr>
        <w:t xml:space="preserve">Langgar </w:t>
      </w:r>
      <w:proofErr w:type="spellStart"/>
      <w:r w:rsidRPr="001D4DAB">
        <w:rPr>
          <w:rFonts w:asciiTheme="majorHAnsi" w:hAnsiTheme="majorHAnsi" w:cstheme="majorHAnsi"/>
          <w:i/>
          <w:iCs/>
          <w:sz w:val="20"/>
          <w:szCs w:val="20"/>
        </w:rPr>
        <w:t>Dhuwur</w:t>
      </w:r>
      <w:proofErr w:type="spellEnd"/>
      <w:r w:rsidR="002A645E" w:rsidRPr="002A645E">
        <w:rPr>
          <w:rFonts w:asciiTheme="majorHAnsi" w:hAnsiTheme="majorHAnsi" w:cstheme="majorHAnsi"/>
          <w:sz w:val="20"/>
          <w:szCs w:val="20"/>
        </w:rPr>
        <w:t xml:space="preserve"> in Kauman is a distinctive architectural style that preserves Indonesia's vernacular architectural tradition. With the development of </w:t>
      </w:r>
      <w:r w:rsidRPr="001D4DAB">
        <w:rPr>
          <w:rFonts w:asciiTheme="majorHAnsi" w:hAnsiTheme="majorHAnsi" w:cstheme="majorHAnsi"/>
          <w:i/>
          <w:iCs/>
          <w:sz w:val="20"/>
          <w:szCs w:val="20"/>
        </w:rPr>
        <w:t>Langgar</w:t>
      </w:r>
      <w:r w:rsidR="002A645E" w:rsidRPr="002A645E">
        <w:rPr>
          <w:rFonts w:asciiTheme="majorHAnsi" w:hAnsiTheme="majorHAnsi" w:cstheme="majorHAnsi"/>
          <w:sz w:val="20"/>
          <w:szCs w:val="20"/>
        </w:rPr>
        <w:t xml:space="preserve"> architecture in the form of a freestanding structure known as the </w:t>
      </w:r>
      <w:proofErr w:type="spellStart"/>
      <w:r w:rsidR="002A645E" w:rsidRPr="002A645E">
        <w:rPr>
          <w:rFonts w:asciiTheme="majorHAnsi" w:hAnsiTheme="majorHAnsi" w:cstheme="majorHAnsi"/>
          <w:sz w:val="20"/>
          <w:szCs w:val="20"/>
        </w:rPr>
        <w:t>Musholla</w:t>
      </w:r>
      <w:proofErr w:type="spellEnd"/>
      <w:r w:rsidR="002A645E" w:rsidRPr="002A645E">
        <w:rPr>
          <w:rFonts w:asciiTheme="majorHAnsi" w:hAnsiTheme="majorHAnsi" w:cstheme="majorHAnsi"/>
          <w:sz w:val="20"/>
          <w:szCs w:val="20"/>
        </w:rPr>
        <w:t xml:space="preserve"> in Indonesia, the prevalence of this type began to decline. Due to Java's larger Muslim population, numerous </w:t>
      </w:r>
      <w:r w:rsidRPr="001D4DAB">
        <w:rPr>
          <w:rFonts w:asciiTheme="majorHAnsi" w:hAnsiTheme="majorHAnsi" w:cstheme="majorHAnsi"/>
          <w:i/>
          <w:iCs/>
          <w:sz w:val="20"/>
          <w:szCs w:val="20"/>
        </w:rPr>
        <w:t>Langgar</w:t>
      </w:r>
      <w:r w:rsidR="002A645E" w:rsidRPr="002A645E">
        <w:rPr>
          <w:rFonts w:asciiTheme="majorHAnsi" w:hAnsiTheme="majorHAnsi" w:cstheme="majorHAnsi"/>
          <w:sz w:val="20"/>
          <w:szCs w:val="20"/>
        </w:rPr>
        <w:t xml:space="preserve"> have expanded to become mosques that serve the five daily prayers and Friday prayers.</w:t>
      </w:r>
    </w:p>
    <w:p w14:paraId="58B826D6" w14:textId="0A6D6A17" w:rsidR="002A645E" w:rsidRPr="002A645E" w:rsidRDefault="002A645E" w:rsidP="002A645E">
      <w:pPr>
        <w:ind w:firstLine="284"/>
        <w:jc w:val="both"/>
        <w:rPr>
          <w:rFonts w:asciiTheme="majorHAnsi" w:hAnsiTheme="majorHAnsi" w:cstheme="majorHAnsi"/>
          <w:sz w:val="20"/>
          <w:szCs w:val="20"/>
        </w:rPr>
      </w:pPr>
      <w:r w:rsidRPr="002A645E">
        <w:rPr>
          <w:rFonts w:asciiTheme="majorHAnsi" w:hAnsiTheme="majorHAnsi" w:cstheme="majorHAnsi"/>
          <w:sz w:val="20"/>
          <w:szCs w:val="20"/>
        </w:rPr>
        <w:t xml:space="preserve">This study demonstrates that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A645E">
        <w:rPr>
          <w:rFonts w:asciiTheme="majorHAnsi" w:hAnsiTheme="majorHAnsi" w:cstheme="majorHAnsi"/>
          <w:sz w:val="20"/>
          <w:szCs w:val="20"/>
        </w:rPr>
        <w:t xml:space="preserve"> in Kauman placed a prayer space on the second floor, consistent with the pre-Islamic concept of </w:t>
      </w:r>
      <w:proofErr w:type="spellStart"/>
      <w:r w:rsidRPr="002A645E">
        <w:rPr>
          <w:rFonts w:asciiTheme="majorHAnsi" w:hAnsiTheme="majorHAnsi" w:cstheme="majorHAnsi"/>
          <w:sz w:val="20"/>
          <w:szCs w:val="20"/>
        </w:rPr>
        <w:t>Triloka</w:t>
      </w:r>
      <w:proofErr w:type="spellEnd"/>
      <w:r w:rsidRPr="002A645E">
        <w:rPr>
          <w:rFonts w:asciiTheme="majorHAnsi" w:hAnsiTheme="majorHAnsi" w:cstheme="majorHAnsi"/>
          <w:sz w:val="20"/>
          <w:szCs w:val="20"/>
        </w:rPr>
        <w:t xml:space="preserve"> in Java, namely, designating the upper floor as a sacred area (</w:t>
      </w:r>
      <w:proofErr w:type="spellStart"/>
      <w:r w:rsidRPr="002A645E">
        <w:rPr>
          <w:rFonts w:asciiTheme="majorHAnsi" w:hAnsiTheme="majorHAnsi" w:cstheme="majorHAnsi"/>
          <w:sz w:val="20"/>
          <w:szCs w:val="20"/>
        </w:rPr>
        <w:t>Svarloka</w:t>
      </w:r>
      <w:proofErr w:type="spellEnd"/>
      <w:r w:rsidRPr="002A645E">
        <w:rPr>
          <w:rFonts w:asciiTheme="majorHAnsi" w:hAnsiTheme="majorHAnsi" w:cstheme="majorHAnsi"/>
          <w:sz w:val="20"/>
          <w:szCs w:val="20"/>
        </w:rPr>
        <w:t xml:space="preserve">). This is a concept that the Mosque typology does not share, as it places prayer space on the ground floor without leaving any space beneath. However,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r w:rsidRPr="002A645E">
        <w:rPr>
          <w:rFonts w:asciiTheme="majorHAnsi" w:hAnsiTheme="majorHAnsi" w:cstheme="majorHAnsi"/>
          <w:sz w:val="20"/>
          <w:szCs w:val="20"/>
        </w:rPr>
        <w:t>'s</w:t>
      </w:r>
      <w:proofErr w:type="spellEnd"/>
      <w:r w:rsidRPr="002A645E">
        <w:rPr>
          <w:rFonts w:asciiTheme="majorHAnsi" w:hAnsiTheme="majorHAnsi" w:cstheme="majorHAnsi"/>
          <w:sz w:val="20"/>
          <w:szCs w:val="20"/>
        </w:rPr>
        <w:t xml:space="preserve"> typology demonstrates its Gestalt by combining traditional architecture with imported styles (colonial architecture), now used for residential architecture, instead of utilizing a dome as a mosque architectural style, which became a new trend in Java.</w:t>
      </w:r>
    </w:p>
    <w:p w14:paraId="53F66E09" w14:textId="3CAAAE1D" w:rsidR="00554438" w:rsidRDefault="002A645E" w:rsidP="002A645E">
      <w:pPr>
        <w:ind w:firstLine="284"/>
        <w:jc w:val="both"/>
        <w:rPr>
          <w:rFonts w:asciiTheme="majorHAnsi" w:hAnsiTheme="majorHAnsi" w:cstheme="majorHAnsi"/>
          <w:sz w:val="20"/>
          <w:szCs w:val="20"/>
        </w:rPr>
      </w:pPr>
      <w:r w:rsidRPr="002A645E">
        <w:rPr>
          <w:rFonts w:asciiTheme="majorHAnsi" w:hAnsiTheme="majorHAnsi" w:cstheme="majorHAnsi"/>
          <w:sz w:val="20"/>
          <w:szCs w:val="20"/>
        </w:rPr>
        <w:t xml:space="preserve">As a religious structure,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A645E">
        <w:rPr>
          <w:rFonts w:asciiTheme="majorHAnsi" w:hAnsiTheme="majorHAnsi" w:cstheme="majorHAnsi"/>
          <w:sz w:val="20"/>
          <w:szCs w:val="20"/>
        </w:rPr>
        <w:t xml:space="preserve"> serves a dual purpose, both public and private. As a public structure,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A645E">
        <w:rPr>
          <w:rFonts w:asciiTheme="majorHAnsi" w:hAnsiTheme="majorHAnsi" w:cstheme="majorHAnsi"/>
          <w:sz w:val="20"/>
          <w:szCs w:val="20"/>
        </w:rPr>
        <w:t xml:space="preserve"> serves not only as a place of worship but also as a cultural and social </w:t>
      </w:r>
      <w:proofErr w:type="spellStart"/>
      <w:r w:rsidRPr="002A645E">
        <w:rPr>
          <w:rFonts w:asciiTheme="majorHAnsi" w:hAnsiTheme="majorHAnsi" w:cstheme="majorHAnsi"/>
          <w:sz w:val="20"/>
          <w:szCs w:val="20"/>
        </w:rPr>
        <w:t>center</w:t>
      </w:r>
      <w:proofErr w:type="spellEnd"/>
      <w:r w:rsidRPr="002A645E">
        <w:rPr>
          <w:rFonts w:asciiTheme="majorHAnsi" w:hAnsiTheme="majorHAnsi" w:cstheme="majorHAnsi"/>
          <w:sz w:val="20"/>
          <w:szCs w:val="20"/>
        </w:rPr>
        <w:t xml:space="preserve">.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A645E">
        <w:rPr>
          <w:rFonts w:asciiTheme="majorHAnsi" w:hAnsiTheme="majorHAnsi" w:cstheme="majorHAnsi"/>
          <w:sz w:val="20"/>
          <w:szCs w:val="20"/>
        </w:rPr>
        <w:t xml:space="preserve"> can serve as a private prayer space or contemplative space, continuing the Prophet Muhammad PBUH and Javanese Sufi tradition of residing in mosques. Finally, this study demonstrates the significance of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A645E">
        <w:rPr>
          <w:rFonts w:asciiTheme="majorHAnsi" w:hAnsiTheme="majorHAnsi" w:cstheme="majorHAnsi"/>
          <w:sz w:val="20"/>
          <w:szCs w:val="20"/>
        </w:rPr>
        <w:t xml:space="preserve"> as a cultural heritage site that must be preserved. It is one of the architectural treasures of the Indonesian archipelago and one of the architectural treasures of Indonesian architecture due to its distinctive architecture and rich history</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32AB65B" w14:textId="58CAC0E6" w:rsidR="001D4DAB" w:rsidRPr="00554438" w:rsidRDefault="001D4DAB" w:rsidP="002A645E">
      <w:pPr>
        <w:ind w:firstLine="284"/>
        <w:jc w:val="both"/>
        <w:rPr>
          <w:rFonts w:asciiTheme="majorHAnsi" w:hAnsiTheme="majorHAnsi" w:cstheme="majorHAnsi"/>
          <w:bCs/>
          <w:sz w:val="20"/>
          <w:szCs w:val="20"/>
          <w:lang w:val="id-ID"/>
        </w:rPr>
      </w:pPr>
      <w:r w:rsidRPr="001D4DAB">
        <w:rPr>
          <w:rFonts w:asciiTheme="majorHAnsi" w:hAnsiTheme="majorHAnsi" w:cstheme="majorHAnsi"/>
          <w:bCs/>
          <w:i/>
          <w:iCs/>
          <w:sz w:val="20"/>
          <w:szCs w:val="20"/>
          <w:lang w:val="id-ID"/>
        </w:rPr>
        <w:t>Langgar Dhuwur</w:t>
      </w:r>
      <w:r w:rsidRPr="001D4DAB">
        <w:rPr>
          <w:rFonts w:asciiTheme="majorHAnsi" w:hAnsiTheme="majorHAnsi" w:cstheme="majorHAnsi"/>
          <w:bCs/>
          <w:sz w:val="20"/>
          <w:szCs w:val="20"/>
          <w:lang w:val="id-ID"/>
        </w:rPr>
        <w:t xml:space="preserve">, as an architectural entity, needs to continue its role in the development of Islamic society. As an architectural entity close to the community, design recommendations must be considered to maximize its role. However, the typology of </w:t>
      </w:r>
      <w:r w:rsidRPr="001D4DAB">
        <w:rPr>
          <w:rFonts w:asciiTheme="majorHAnsi" w:hAnsiTheme="majorHAnsi" w:cstheme="majorHAnsi"/>
          <w:bCs/>
          <w:i/>
          <w:iCs/>
          <w:sz w:val="20"/>
          <w:szCs w:val="20"/>
          <w:lang w:val="id-ID"/>
        </w:rPr>
        <w:t>Langgar Dhuwur</w:t>
      </w:r>
      <w:r w:rsidRPr="001D4DAB">
        <w:rPr>
          <w:rFonts w:asciiTheme="majorHAnsi" w:hAnsiTheme="majorHAnsi" w:cstheme="majorHAnsi"/>
          <w:bCs/>
          <w:sz w:val="20"/>
          <w:szCs w:val="20"/>
          <w:lang w:val="id-ID"/>
        </w:rPr>
        <w:t xml:space="preserve"> as part of residential architecture should not need to be too symbolic with a three-tiered roof, for example, similar to the Friday mosque. The position of </w:t>
      </w:r>
      <w:r w:rsidRPr="001D4DAB">
        <w:rPr>
          <w:rFonts w:asciiTheme="majorHAnsi" w:hAnsiTheme="majorHAnsi" w:cstheme="majorHAnsi"/>
          <w:bCs/>
          <w:i/>
          <w:iCs/>
          <w:sz w:val="20"/>
          <w:szCs w:val="20"/>
          <w:lang w:val="id-ID"/>
        </w:rPr>
        <w:t>Langgar Dhuwur</w:t>
      </w:r>
      <w:r w:rsidRPr="001D4DAB">
        <w:rPr>
          <w:rFonts w:asciiTheme="majorHAnsi" w:hAnsiTheme="majorHAnsi" w:cstheme="majorHAnsi"/>
          <w:bCs/>
          <w:sz w:val="20"/>
          <w:szCs w:val="20"/>
          <w:lang w:val="id-ID"/>
        </w:rPr>
        <w:t xml:space="preserve"> on the top floor has shown its symbolic significance as a holy place, as in the Triloka. We suggest that </w:t>
      </w:r>
      <w:r w:rsidRPr="001D4DAB">
        <w:rPr>
          <w:rFonts w:asciiTheme="majorHAnsi" w:hAnsiTheme="majorHAnsi" w:cstheme="majorHAnsi"/>
          <w:bCs/>
          <w:i/>
          <w:iCs/>
          <w:sz w:val="20"/>
          <w:szCs w:val="20"/>
          <w:lang w:val="id-ID"/>
        </w:rPr>
        <w:t>Langgar Dhuwur</w:t>
      </w:r>
      <w:r w:rsidRPr="001D4DAB">
        <w:rPr>
          <w:rFonts w:asciiTheme="majorHAnsi" w:hAnsiTheme="majorHAnsi" w:cstheme="majorHAnsi"/>
          <w:bCs/>
          <w:sz w:val="20"/>
          <w:szCs w:val="20"/>
          <w:lang w:val="id-ID"/>
        </w:rPr>
        <w:t>'s design should be flexible, with a simple open-plan layout accommodating various community activities. Regarding dimensions, it also does not require a large gathering space because the number of users is relatively small, usually children and women. After all, adult men generally spend more time at the Friday mosque for community activities</w:t>
      </w:r>
      <w:r>
        <w:rPr>
          <w:rFonts w:asciiTheme="majorHAnsi" w:hAnsiTheme="majorHAnsi" w:cstheme="majorHAnsi"/>
          <w:bCs/>
          <w:sz w:val="20"/>
          <w:szCs w:val="20"/>
          <w:lang w:val="id-ID"/>
        </w:rPr>
        <w:t>.</w:t>
      </w:r>
    </w:p>
    <w:p w14:paraId="75FEB80C" w14:textId="77777777" w:rsidR="00554438" w:rsidRDefault="00554438" w:rsidP="00554438">
      <w:pPr>
        <w:jc w:val="both"/>
        <w:rPr>
          <w:rFonts w:asciiTheme="minorHAnsi" w:hAnsiTheme="minorHAnsi" w:cstheme="minorHAnsi"/>
          <w:b/>
          <w:bCs/>
        </w:rPr>
      </w:pPr>
    </w:p>
    <w:p w14:paraId="5E66DD1C" w14:textId="27E4EAF2"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27BEE750" w:rsidR="00554438" w:rsidRPr="00536D0C" w:rsidRDefault="002A645E" w:rsidP="00536D0C">
      <w:pPr>
        <w:ind w:firstLine="284"/>
        <w:jc w:val="both"/>
        <w:rPr>
          <w:rFonts w:asciiTheme="majorHAnsi" w:hAnsiTheme="majorHAnsi" w:cstheme="majorHAnsi"/>
          <w:sz w:val="20"/>
          <w:szCs w:val="20"/>
        </w:rPr>
      </w:pPr>
      <w:r w:rsidRPr="002A645E">
        <w:rPr>
          <w:rFonts w:asciiTheme="majorHAnsi" w:hAnsiTheme="majorHAnsi" w:cstheme="majorHAnsi"/>
          <w:sz w:val="20"/>
          <w:szCs w:val="20"/>
        </w:rPr>
        <w:t xml:space="preserve">Special thanks to the students of the Heritage Conservation Class, Department of Architecture Universitas Islam Indonesia, for providing raw data on the measured drawing of </w:t>
      </w:r>
      <w:r w:rsidR="001D4DAB" w:rsidRPr="001D4DAB">
        <w:rPr>
          <w:rFonts w:asciiTheme="majorHAnsi" w:hAnsiTheme="majorHAnsi" w:cstheme="majorHAnsi"/>
          <w:i/>
          <w:iCs/>
          <w:sz w:val="20"/>
          <w:szCs w:val="20"/>
        </w:rPr>
        <w:t xml:space="preserve">Langgar </w:t>
      </w:r>
      <w:proofErr w:type="spellStart"/>
      <w:r w:rsidR="001D4DAB" w:rsidRPr="001D4DAB">
        <w:rPr>
          <w:rFonts w:asciiTheme="majorHAnsi" w:hAnsiTheme="majorHAnsi" w:cstheme="majorHAnsi"/>
          <w:i/>
          <w:iCs/>
          <w:sz w:val="20"/>
          <w:szCs w:val="20"/>
        </w:rPr>
        <w:t>Dhuwur</w:t>
      </w:r>
      <w:proofErr w:type="spellEnd"/>
      <w:r w:rsidRPr="002A645E">
        <w:rPr>
          <w:rFonts w:asciiTheme="majorHAnsi" w:hAnsiTheme="majorHAnsi" w:cstheme="majorHAnsi"/>
          <w:sz w:val="20"/>
          <w:szCs w:val="20"/>
        </w:rPr>
        <w:t xml:space="preserve"> architecture in Kauman</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63555114" w14:textId="77777777" w:rsidR="00894F31" w:rsidRDefault="00894F31" w:rsidP="00554438">
      <w:pPr>
        <w:jc w:val="both"/>
        <w:rPr>
          <w:rFonts w:asciiTheme="minorHAnsi" w:hAnsiTheme="minorHAnsi" w:cstheme="minorHAnsi"/>
          <w:b/>
          <w:bCs/>
        </w:rPr>
      </w:pPr>
    </w:p>
    <w:p w14:paraId="3955ABFB" w14:textId="77777777" w:rsidR="00894F31" w:rsidRDefault="00894F31" w:rsidP="00554438">
      <w:pPr>
        <w:jc w:val="both"/>
        <w:rPr>
          <w:rFonts w:asciiTheme="minorHAnsi" w:hAnsiTheme="minorHAnsi" w:cstheme="minorHAnsi"/>
          <w:b/>
          <w:bCs/>
        </w:rPr>
      </w:pPr>
    </w:p>
    <w:p w14:paraId="53F685AF" w14:textId="77777777" w:rsidR="00894F31" w:rsidRDefault="00894F31" w:rsidP="00554438">
      <w:pPr>
        <w:jc w:val="both"/>
        <w:rPr>
          <w:rFonts w:asciiTheme="minorHAnsi" w:hAnsiTheme="minorHAnsi" w:cstheme="minorHAnsi"/>
          <w:b/>
          <w:bCs/>
        </w:rPr>
      </w:pPr>
    </w:p>
    <w:p w14:paraId="4272776B" w14:textId="245FEB7F"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lastRenderedPageBreak/>
        <w:t>REFERENCES</w:t>
      </w:r>
    </w:p>
    <w:p w14:paraId="2A65EBFE"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w:t>
      </w:r>
      <w:r w:rsidRPr="002A645E">
        <w:rPr>
          <w:rFonts w:asciiTheme="majorHAnsi" w:hAnsiTheme="majorHAnsi" w:cstheme="majorHAnsi"/>
          <w:sz w:val="20"/>
          <w:szCs w:val="20"/>
          <w:lang w:val="id-ID"/>
        </w:rPr>
        <w:tab/>
        <w:t>A. Kusno, “Invisible geographies in the study of Islamic architecture,” Int. J. Islam. Archit., vol. 5, no. 1, pp. 29–35, 2016. doi: https://doi.org/10.1386/ijia.5.1.29_1</w:t>
      </w:r>
    </w:p>
    <w:p w14:paraId="231B3363"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w:t>
      </w:r>
      <w:r w:rsidRPr="002A645E">
        <w:rPr>
          <w:rFonts w:asciiTheme="majorHAnsi" w:hAnsiTheme="majorHAnsi" w:cstheme="majorHAnsi"/>
          <w:sz w:val="20"/>
          <w:szCs w:val="20"/>
          <w:lang w:val="id-ID"/>
        </w:rPr>
        <w:tab/>
        <w:t>B. S. Budi, “A Study on the History and Development of the Javanes Mosque_Part1,” Journal of Asian Architecture and Building Engineering, vol. 3, no.1, pp. 189–195, 2004.</w:t>
      </w:r>
    </w:p>
    <w:p w14:paraId="658F14B6"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[3]</w:t>
      </w:r>
      <w:r w:rsidRPr="002A645E">
        <w:rPr>
          <w:rFonts w:asciiTheme="majorHAnsi" w:hAnsiTheme="majorHAnsi" w:cstheme="majorHAnsi"/>
          <w:sz w:val="20"/>
          <w:szCs w:val="20"/>
          <w:lang w:val="id-ID"/>
        </w:rPr>
        <w:tab/>
        <w:t>B. Kempers, Ancient Indonesian Arts. Amsterdam: C.P.J. van der Peet, 1959.</w:t>
      </w:r>
    </w:p>
    <w:p w14:paraId="3D1A695A"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[4]</w:t>
      </w:r>
      <w:r w:rsidRPr="002A645E">
        <w:rPr>
          <w:rFonts w:asciiTheme="majorHAnsi" w:hAnsiTheme="majorHAnsi" w:cstheme="majorHAnsi"/>
          <w:sz w:val="20"/>
          <w:szCs w:val="20"/>
          <w:lang w:val="id-ID"/>
        </w:rPr>
        <w:tab/>
        <w:t>C. Geertz, The religion of Java. Chicago: University of Chicago Press, 1976.</w:t>
      </w:r>
    </w:p>
    <w:p w14:paraId="3948765D" w14:textId="366A211B"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[5]</w:t>
      </w:r>
      <w:r w:rsidRPr="002A645E">
        <w:rPr>
          <w:rFonts w:asciiTheme="majorHAnsi" w:hAnsiTheme="majorHAnsi" w:cstheme="majorHAnsi"/>
          <w:sz w:val="20"/>
          <w:szCs w:val="20"/>
          <w:lang w:val="id-ID"/>
        </w:rPr>
        <w:tab/>
        <w:t xml:space="preserve">A. Annistri, “Sejarah </w:t>
      </w:r>
      <w:r w:rsidR="001D4DAB" w:rsidRPr="001D4DAB">
        <w:rPr>
          <w:rFonts w:asciiTheme="majorHAnsi" w:hAnsiTheme="majorHAnsi" w:cstheme="majorHAnsi"/>
          <w:i/>
          <w:iCs/>
          <w:sz w:val="20"/>
          <w:szCs w:val="20"/>
          <w:lang w:val="id-ID"/>
        </w:rPr>
        <w:t>Langgar</w:t>
      </w:r>
      <w:r w:rsidRPr="002A645E">
        <w:rPr>
          <w:rFonts w:asciiTheme="majorHAnsi" w:hAnsiTheme="majorHAnsi" w:cstheme="majorHAnsi"/>
          <w:sz w:val="20"/>
          <w:szCs w:val="20"/>
          <w:lang w:val="id-ID"/>
        </w:rPr>
        <w:t>, Masjid Kecil untuk Beribadah?,” Cekaja, November, 2022 (online) Accessed: April 10th,2023. Available at  https://www.cekaja.com/info/</w:t>
      </w:r>
      <w:r w:rsidR="001D4DAB" w:rsidRPr="001D4DAB">
        <w:rPr>
          <w:rFonts w:asciiTheme="majorHAnsi" w:hAnsiTheme="majorHAnsi" w:cstheme="majorHAnsi"/>
          <w:i/>
          <w:iCs/>
          <w:sz w:val="20"/>
          <w:szCs w:val="20"/>
          <w:lang w:val="id-ID"/>
        </w:rPr>
        <w:t>Langgar</w:t>
      </w:r>
      <w:r w:rsidRPr="002A645E">
        <w:rPr>
          <w:rFonts w:asciiTheme="majorHAnsi" w:hAnsiTheme="majorHAnsi" w:cstheme="majorHAnsi"/>
          <w:sz w:val="20"/>
          <w:szCs w:val="20"/>
          <w:lang w:val="id-ID"/>
        </w:rPr>
        <w:t>-adalah-masjid-kecil-untuk-beribadah.</w:t>
      </w:r>
    </w:p>
    <w:p w14:paraId="2BF1B15E"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[6]</w:t>
      </w:r>
      <w:r w:rsidRPr="002A645E">
        <w:rPr>
          <w:rFonts w:asciiTheme="majorHAnsi" w:hAnsiTheme="majorHAnsi" w:cstheme="majorHAnsi"/>
          <w:sz w:val="20"/>
          <w:szCs w:val="20"/>
          <w:lang w:val="id-ID"/>
        </w:rPr>
        <w:tab/>
        <w:t>L. Lasmiyati, “Penyebaran Agama Islam Di Jakarta Abad Xvii - Xix,” Patanjala  J. Penelit. Sej. dan Budaya, vol. 1, no. 1, p. 76, 2009. doi: http://dx.doi.org/10.30959/patanjala.v1i1.234</w:t>
      </w:r>
    </w:p>
    <w:p w14:paraId="722E25FB"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[7]</w:t>
      </w:r>
      <w:r w:rsidRPr="002A645E">
        <w:rPr>
          <w:rFonts w:asciiTheme="majorHAnsi" w:hAnsiTheme="majorHAnsi" w:cstheme="majorHAnsi"/>
          <w:sz w:val="20"/>
          <w:szCs w:val="20"/>
          <w:lang w:val="id-ID"/>
        </w:rPr>
        <w:tab/>
        <w:t>B. S. Budi, “A Study on the History and Development of the Javanese Mosque Part 3: Typology of the Plan and Structure of the Javanese Mosque and Its Distribution,” J. Asian Archit. Build. Eng., vol. 5, no. 2, pp. 229–236, 2006. doi: https://doi.org/10.3130/jaabe.5.229</w:t>
      </w:r>
    </w:p>
    <w:p w14:paraId="6F740F48"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[8]</w:t>
      </w:r>
      <w:r w:rsidRPr="002A645E">
        <w:rPr>
          <w:rFonts w:asciiTheme="majorHAnsi" w:hAnsiTheme="majorHAnsi" w:cstheme="majorHAnsi"/>
          <w:sz w:val="20"/>
          <w:szCs w:val="20"/>
          <w:lang w:val="id-ID"/>
        </w:rPr>
        <w:tab/>
        <w:t>N. Istikhari and U. Rahmah, “NGAJHI KA LANGGHÂR: The Educational Nursery of Moderation of Islam in Madura,” Islam. J. Stud. Islam, vol. 7, no. 2, pp. 106–124, 2020. doi: https://doi.org/10.19105/islamuna.v7i2.2278</w:t>
      </w:r>
    </w:p>
    <w:p w14:paraId="527B3C29"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[9]</w:t>
      </w:r>
      <w:r w:rsidRPr="002A645E">
        <w:rPr>
          <w:rFonts w:asciiTheme="majorHAnsi" w:hAnsiTheme="majorHAnsi" w:cstheme="majorHAnsi"/>
          <w:sz w:val="20"/>
          <w:szCs w:val="20"/>
          <w:lang w:val="id-ID"/>
        </w:rPr>
        <w:tab/>
        <w:t>A. Sunyoto, “Eksistensi Islam Nusantara,” Mozaic  Islam Nusant., vol. 2, no. 2, pp. 31–42, 2016. doi: https://doi.org/10.47776/mozaic.v2i2.82</w:t>
      </w:r>
    </w:p>
    <w:p w14:paraId="5CBFC63D" w14:textId="21A7D221"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[10]</w:t>
      </w:r>
      <w:r w:rsidRPr="002A645E">
        <w:rPr>
          <w:rFonts w:asciiTheme="majorHAnsi" w:hAnsiTheme="majorHAnsi" w:cstheme="majorHAnsi"/>
          <w:sz w:val="20"/>
          <w:szCs w:val="20"/>
          <w:lang w:val="id-ID"/>
        </w:rPr>
        <w:tab/>
        <w:t>K. Mawardi, “</w:t>
      </w:r>
      <w:r w:rsidR="001D4DAB" w:rsidRPr="001D4DAB">
        <w:rPr>
          <w:rFonts w:asciiTheme="majorHAnsi" w:hAnsiTheme="majorHAnsi" w:cstheme="majorHAnsi"/>
          <w:i/>
          <w:iCs/>
          <w:sz w:val="20"/>
          <w:szCs w:val="20"/>
          <w:lang w:val="id-ID"/>
        </w:rPr>
        <w:t>Langgar</w:t>
      </w:r>
      <w:r w:rsidRPr="002A645E">
        <w:rPr>
          <w:rFonts w:asciiTheme="majorHAnsi" w:hAnsiTheme="majorHAnsi" w:cstheme="majorHAnsi"/>
          <w:sz w:val="20"/>
          <w:szCs w:val="20"/>
          <w:lang w:val="id-ID"/>
        </w:rPr>
        <w:t>: Institusi Kultural Muslim Pedesaan Jawa,” J. Kebud. Islam, vol. Vol. 12, N, no. 1693–6736, pp. 50–61, 2014. doi: https://doi.org/10.24090/ibda.v12i1.435</w:t>
      </w:r>
    </w:p>
    <w:p w14:paraId="4424E7BA"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[11]</w:t>
      </w:r>
      <w:r w:rsidRPr="002A645E">
        <w:rPr>
          <w:rFonts w:asciiTheme="majorHAnsi" w:hAnsiTheme="majorHAnsi" w:cstheme="majorHAnsi"/>
          <w:sz w:val="20"/>
          <w:szCs w:val="20"/>
          <w:lang w:val="id-ID"/>
        </w:rPr>
        <w:tab/>
        <w:t>T. Saxebøl, “The Madurese ulama as patrons: a case study of power relations in an Indonesian community,” Dissertation, Institute of Political Sciences, University of Oslo, 2002.</w:t>
      </w:r>
    </w:p>
    <w:p w14:paraId="56DAB50B"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[12]</w:t>
      </w:r>
      <w:r w:rsidRPr="002A645E">
        <w:rPr>
          <w:rFonts w:asciiTheme="majorHAnsi" w:hAnsiTheme="majorHAnsi" w:cstheme="majorHAnsi"/>
          <w:sz w:val="20"/>
          <w:szCs w:val="20"/>
          <w:lang w:val="id-ID"/>
        </w:rPr>
        <w:tab/>
        <w:t>I. A. Mansurnoor, Islam in an Indonesian World: Ulama of Madura, Yogyakarta: Gadjah Mada University Press, 1990</w:t>
      </w:r>
    </w:p>
    <w:p w14:paraId="1F60451C"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[13]</w:t>
      </w:r>
      <w:r w:rsidRPr="002A645E">
        <w:rPr>
          <w:rFonts w:asciiTheme="majorHAnsi" w:hAnsiTheme="majorHAnsi" w:cstheme="majorHAnsi"/>
          <w:sz w:val="20"/>
          <w:szCs w:val="20"/>
          <w:lang w:val="id-ID"/>
        </w:rPr>
        <w:tab/>
        <w:t>J. S. Ryeong, K. D. Yeon, S. R. Budi, "Dualism in the Javanese House and Transformation With focus on the houses of Kotagede, Yogyakarta", Journal of Asian Architecture and Building Engineering, vol. 17, no. 1, pp. 71-78. doi: https://doi.org/10.3130/jaabe.17.71</w:t>
      </w:r>
    </w:p>
    <w:p w14:paraId="4B47FC0B" w14:textId="2100113F"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[14]</w:t>
      </w:r>
      <w:r w:rsidRPr="002A645E">
        <w:rPr>
          <w:rFonts w:asciiTheme="majorHAnsi" w:hAnsiTheme="majorHAnsi" w:cstheme="majorHAnsi"/>
          <w:sz w:val="20"/>
          <w:szCs w:val="20"/>
          <w:lang w:val="id-ID"/>
        </w:rPr>
        <w:tab/>
        <w:t xml:space="preserve">H. R. Agustapraja, “Pelestarian Arsitektur </w:t>
      </w:r>
      <w:r w:rsidR="001D4DAB" w:rsidRPr="001D4DAB">
        <w:rPr>
          <w:rFonts w:asciiTheme="majorHAnsi" w:hAnsiTheme="majorHAnsi" w:cstheme="majorHAnsi"/>
          <w:i/>
          <w:iCs/>
          <w:sz w:val="20"/>
          <w:szCs w:val="20"/>
          <w:lang w:val="id-ID"/>
        </w:rPr>
        <w:t>Langgar Dhuwur</w:t>
      </w:r>
      <w:r w:rsidRPr="002A645E">
        <w:rPr>
          <w:rFonts w:asciiTheme="majorHAnsi" w:hAnsiTheme="majorHAnsi" w:cstheme="majorHAnsi"/>
          <w:sz w:val="20"/>
          <w:szCs w:val="20"/>
          <w:lang w:val="id-ID"/>
        </w:rPr>
        <w:t xml:space="preserve"> Mbah Yai Mastur Lamongan,” J. Tek., vol. 10, no. 2, p. 1050, 2018. doi: https://doi.org/10.30736/teknika.v10i2.243</w:t>
      </w:r>
    </w:p>
    <w:p w14:paraId="239D06AB"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[15]</w:t>
      </w:r>
      <w:r w:rsidRPr="002A645E">
        <w:rPr>
          <w:rFonts w:asciiTheme="majorHAnsi" w:hAnsiTheme="majorHAnsi" w:cstheme="majorHAnsi"/>
          <w:sz w:val="20"/>
          <w:szCs w:val="20"/>
          <w:lang w:val="id-ID"/>
        </w:rPr>
        <w:tab/>
        <w:t>M. Khoeroh, “Skripsi Program Studi Sejarah Peradaban Islam,” 2019.</w:t>
      </w:r>
    </w:p>
    <w:p w14:paraId="5A158B56"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[16]</w:t>
      </w:r>
      <w:r w:rsidRPr="002A645E">
        <w:rPr>
          <w:rFonts w:asciiTheme="majorHAnsi" w:hAnsiTheme="majorHAnsi" w:cstheme="majorHAnsi"/>
          <w:sz w:val="20"/>
          <w:szCs w:val="20"/>
          <w:lang w:val="id-ID"/>
        </w:rPr>
        <w:tab/>
        <w:t>M. J. Crosbie, Houses of God: religious architecture for a new millennium. Images Publishing, 2006.</w:t>
      </w:r>
    </w:p>
    <w:p w14:paraId="078F4B72"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[17]</w:t>
      </w:r>
      <w:r w:rsidRPr="002A645E">
        <w:rPr>
          <w:rFonts w:asciiTheme="majorHAnsi" w:hAnsiTheme="majorHAnsi" w:cstheme="majorHAnsi"/>
          <w:sz w:val="20"/>
          <w:szCs w:val="20"/>
          <w:lang w:val="id-ID"/>
        </w:rPr>
        <w:tab/>
        <w:t>O. Verkaaik, Religious Architecture: Anthropological Perspectives, Amsterdam: Amsterdam University Press, 2013.</w:t>
      </w:r>
    </w:p>
    <w:p w14:paraId="1F4E08CB"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[16]</w:t>
      </w:r>
      <w:r w:rsidRPr="002A645E">
        <w:rPr>
          <w:rFonts w:asciiTheme="majorHAnsi" w:hAnsiTheme="majorHAnsi" w:cstheme="majorHAnsi"/>
          <w:sz w:val="20"/>
          <w:szCs w:val="20"/>
          <w:lang w:val="id-ID"/>
        </w:rPr>
        <w:tab/>
        <w:t>A. Mulyati, Pola Spasial Permukiman di Kampung Kauman Yogyakarta, Universitas Gadjah Mada, 1995.</w:t>
      </w:r>
    </w:p>
    <w:p w14:paraId="0FB405F4"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[17]</w:t>
      </w:r>
      <w:r w:rsidRPr="002A645E">
        <w:rPr>
          <w:rFonts w:asciiTheme="majorHAnsi" w:hAnsiTheme="majorHAnsi" w:cstheme="majorHAnsi"/>
          <w:sz w:val="20"/>
          <w:szCs w:val="20"/>
          <w:lang w:val="id-ID"/>
        </w:rPr>
        <w:tab/>
        <w:t>Wijanarka, Teori Desain Kawasan Binaan, Palangkaraya: Universitas Palangkaraya, 2001.</w:t>
      </w:r>
    </w:p>
    <w:p w14:paraId="08550995"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lastRenderedPageBreak/>
        <w:t>[18]</w:t>
      </w:r>
      <w:r w:rsidRPr="002A645E">
        <w:rPr>
          <w:rFonts w:asciiTheme="majorHAnsi" w:hAnsiTheme="majorHAnsi" w:cstheme="majorHAnsi"/>
          <w:sz w:val="20"/>
          <w:szCs w:val="20"/>
          <w:lang w:val="id-ID"/>
        </w:rPr>
        <w:tab/>
        <w:t>A. B. Sholihah, A. M. Ressang, (editors), “Kampung Heritage Kauman: Jejak Sebuah Bangsa,” Conference on Heritage Conservation, 2019.</w:t>
      </w:r>
    </w:p>
    <w:p w14:paraId="415D457D"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[19]</w:t>
      </w:r>
      <w:r w:rsidRPr="002A645E">
        <w:rPr>
          <w:rFonts w:asciiTheme="majorHAnsi" w:hAnsiTheme="majorHAnsi" w:cstheme="majorHAnsi"/>
          <w:sz w:val="20"/>
          <w:szCs w:val="20"/>
          <w:lang w:val="id-ID"/>
        </w:rPr>
        <w:tab/>
        <w:t>B. . Sukada, “Early Muslim Places of Worship,” in Indonesia Heritage: Architecture, G. Tjahjono, Ed. Archipelago Press, 1998, pp. 88–89.</w:t>
      </w:r>
    </w:p>
    <w:p w14:paraId="323F9444"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[20]</w:t>
      </w:r>
      <w:r w:rsidRPr="002A645E">
        <w:rPr>
          <w:rFonts w:asciiTheme="majorHAnsi" w:hAnsiTheme="majorHAnsi" w:cstheme="majorHAnsi"/>
          <w:sz w:val="20"/>
          <w:szCs w:val="20"/>
          <w:lang w:val="id-ID"/>
        </w:rPr>
        <w:tab/>
        <w:t>M. Widianingtias, S. Pramudito, and G. O. I. Cahyani, “Identifikasi unsur-unsur arsitektural rumah kalang di kotagede yogyakarta,” Arteks  J. Tek. Arsit., vol. 5, no. 1, pp. 39–52, 2020. doi: https://doi.org/10.30822/arteks.v5i1.85</w:t>
      </w:r>
    </w:p>
    <w:p w14:paraId="4C27D5F6"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[21]</w:t>
      </w:r>
      <w:r w:rsidRPr="002A645E">
        <w:rPr>
          <w:rFonts w:asciiTheme="majorHAnsi" w:hAnsiTheme="majorHAnsi" w:cstheme="majorHAnsi"/>
          <w:sz w:val="20"/>
          <w:szCs w:val="20"/>
          <w:lang w:val="id-ID"/>
        </w:rPr>
        <w:tab/>
        <w:t>P. S. Muhammadiyah, Muhammadiyah dalam Narasi Foto Tempo Doeloe. Yogyakarta: Suara Muhammadiyah, 2018.</w:t>
      </w:r>
    </w:p>
    <w:p w14:paraId="2F480F5E"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[22]</w:t>
      </w:r>
      <w:r w:rsidRPr="002A645E">
        <w:rPr>
          <w:rFonts w:asciiTheme="majorHAnsi" w:hAnsiTheme="majorHAnsi" w:cstheme="majorHAnsi"/>
          <w:sz w:val="20"/>
          <w:szCs w:val="20"/>
          <w:lang w:val="id-ID"/>
        </w:rPr>
        <w:tab/>
        <w:t>C. Sedyawati, E., Santiko, H., Djafar, H., Maulana, R., Ramelan, W. D. S., &amp; Ashari, Candi Indonesia: Seri Jawa: Indonesian-English (Vol. 1). Direktorat Jenderal Kebudayaan, 2013.</w:t>
      </w:r>
    </w:p>
    <w:p w14:paraId="7A824A2F"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[23]</w:t>
      </w:r>
      <w:r w:rsidRPr="002A645E">
        <w:rPr>
          <w:rFonts w:asciiTheme="majorHAnsi" w:hAnsiTheme="majorHAnsi" w:cstheme="majorHAnsi"/>
          <w:sz w:val="20"/>
          <w:szCs w:val="20"/>
          <w:lang w:val="id-ID"/>
        </w:rPr>
        <w:tab/>
        <w:t>R. Schefold, P. Nas, &amp; G. Domenig, Indonesian Houses: Tradition and transformation in vernacular architecture (Vol. 1). NUS Press, 2004.</w:t>
      </w:r>
    </w:p>
    <w:p w14:paraId="7364E063"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[24]</w:t>
      </w:r>
      <w:r w:rsidRPr="002A645E">
        <w:rPr>
          <w:rFonts w:asciiTheme="majorHAnsi" w:hAnsiTheme="majorHAnsi" w:cstheme="majorHAnsi"/>
          <w:sz w:val="20"/>
          <w:szCs w:val="20"/>
          <w:lang w:val="id-ID"/>
        </w:rPr>
        <w:tab/>
        <w:t>N. C. Idham, “Javanese islamic architecture: Adoption and adaptation of javanese and hindu-buddhist cultures in indonesia,” J. Archit. Urban., vol. 45, no. 1, pp. 9–18, 2021. doi: https://doi.org/10.3846/jau.2021.13709</w:t>
      </w:r>
    </w:p>
    <w:p w14:paraId="000124CA"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[25]</w:t>
      </w:r>
      <w:r w:rsidRPr="002A645E">
        <w:rPr>
          <w:rFonts w:asciiTheme="majorHAnsi" w:hAnsiTheme="majorHAnsi" w:cstheme="majorHAnsi"/>
          <w:sz w:val="20"/>
          <w:szCs w:val="20"/>
          <w:lang w:val="id-ID"/>
        </w:rPr>
        <w:tab/>
        <w:t>K. Junaidi, “Sistem Pendidikan Pondok Pesantren di Indonesia (Suatu Kajian Sistem Kurikulum di Pondok Pesantren Lirboyo),” ISTAWA J. Pendidik. Islam, vol. 2, no. 1, pp. 95–110, 2016. doi: https://doi.org/10.24269/ijpi.v2i1</w:t>
      </w:r>
    </w:p>
    <w:p w14:paraId="46ECFF5F"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[26]</w:t>
      </w:r>
      <w:r w:rsidRPr="002A645E">
        <w:rPr>
          <w:rFonts w:asciiTheme="majorHAnsi" w:hAnsiTheme="majorHAnsi" w:cstheme="majorHAnsi"/>
          <w:sz w:val="20"/>
          <w:szCs w:val="20"/>
          <w:lang w:val="id-ID"/>
        </w:rPr>
        <w:tab/>
        <w:t>A. Mu’thi, K.H. Ahmad Dahlan (1868-1923), Jakarta: Kementerian Pendidikan dan Kebudayaan. 2015.</w:t>
      </w:r>
    </w:p>
    <w:p w14:paraId="0D0DBCE1" w14:textId="53D09749"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[27]</w:t>
      </w:r>
      <w:r w:rsidRPr="002A645E">
        <w:rPr>
          <w:rFonts w:asciiTheme="majorHAnsi" w:hAnsiTheme="majorHAnsi" w:cstheme="majorHAnsi"/>
          <w:sz w:val="20"/>
          <w:szCs w:val="20"/>
          <w:lang w:val="id-ID"/>
        </w:rPr>
        <w:tab/>
        <w:t xml:space="preserve">P. Dirdjosanjoto, Memelihara Umat; Kiai Pesantren-Kiai </w:t>
      </w:r>
      <w:r w:rsidR="001D4DAB" w:rsidRPr="001D4DAB">
        <w:rPr>
          <w:rFonts w:asciiTheme="majorHAnsi" w:hAnsiTheme="majorHAnsi" w:cstheme="majorHAnsi"/>
          <w:i/>
          <w:iCs/>
          <w:sz w:val="20"/>
          <w:szCs w:val="20"/>
          <w:lang w:val="id-ID"/>
        </w:rPr>
        <w:t>Langgar</w:t>
      </w:r>
      <w:r w:rsidRPr="002A645E">
        <w:rPr>
          <w:rFonts w:asciiTheme="majorHAnsi" w:hAnsiTheme="majorHAnsi" w:cstheme="majorHAnsi"/>
          <w:sz w:val="20"/>
          <w:szCs w:val="20"/>
          <w:lang w:val="id-ID"/>
        </w:rPr>
        <w:t xml:space="preserve"> di Jawa. LKIS Pelangi Aksara, 1997.</w:t>
      </w:r>
    </w:p>
    <w:p w14:paraId="6313AB26"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[28]</w:t>
      </w:r>
      <w:r w:rsidRPr="002A645E">
        <w:rPr>
          <w:rFonts w:asciiTheme="majorHAnsi" w:hAnsiTheme="majorHAnsi" w:cstheme="majorHAnsi"/>
          <w:sz w:val="20"/>
          <w:szCs w:val="20"/>
          <w:lang w:val="id-ID"/>
        </w:rPr>
        <w:tab/>
        <w:t>A. Agus Sifa, “JEJAK DAN PERKEMBANGAN TASAWWUF DALAM ISLAM (Sebuah Penelusuran Sejarah dan Metode),” J. Ilm. Mhs. Raushan Fikr, vol. 5, no. 1, 2017. doi: https://doi.org/10.24090/jimrf.v5i1.968</w:t>
      </w:r>
    </w:p>
    <w:p w14:paraId="0499BF7A"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[29]</w:t>
      </w:r>
      <w:r w:rsidRPr="002A645E">
        <w:rPr>
          <w:rFonts w:asciiTheme="majorHAnsi" w:hAnsiTheme="majorHAnsi" w:cstheme="majorHAnsi"/>
          <w:sz w:val="20"/>
          <w:szCs w:val="20"/>
          <w:lang w:val="id-ID"/>
        </w:rPr>
        <w:tab/>
        <w:t>Mundir, “Competency and Innovation: Two Critic Aspects for Developing of Teachers Quality,” Int. J. High Educ. Sci., vol. 1, no. 1, pp. 18–35, 2020. doi: https://doi.org/10.1234/.v1i1.84</w:t>
      </w:r>
    </w:p>
    <w:p w14:paraId="195369AA" w14:textId="77777777"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[30]</w:t>
      </w:r>
      <w:r w:rsidRPr="002A645E">
        <w:rPr>
          <w:rFonts w:asciiTheme="majorHAnsi" w:hAnsiTheme="majorHAnsi" w:cstheme="majorHAnsi"/>
          <w:sz w:val="20"/>
          <w:szCs w:val="20"/>
          <w:lang w:val="id-ID"/>
        </w:rPr>
        <w:tab/>
        <w:t>J. D. Howell, “Indonesia’s Salafist Sufis,” Mod. Asian Stud., vol. 44, no. 5, pp. 1029–1051, 2010. doi: https://doi.org/10.1017/S0026749X09990278</w:t>
      </w:r>
    </w:p>
    <w:p w14:paraId="30095708" w14:textId="70B7BAB4"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[31]</w:t>
      </w:r>
      <w:r w:rsidRPr="002A645E">
        <w:rPr>
          <w:rFonts w:asciiTheme="majorHAnsi" w:hAnsiTheme="majorHAnsi" w:cstheme="majorHAnsi"/>
          <w:sz w:val="20"/>
          <w:szCs w:val="20"/>
          <w:lang w:val="id-ID"/>
        </w:rPr>
        <w:tab/>
        <w:t xml:space="preserve">I. SAFI’I, “MELIHAT ULANG FUNGSI MASJID DAN </w:t>
      </w:r>
      <w:r w:rsidR="001D4DAB" w:rsidRPr="001D4DAB">
        <w:rPr>
          <w:rFonts w:asciiTheme="majorHAnsi" w:hAnsiTheme="majorHAnsi" w:cstheme="majorHAnsi"/>
          <w:i/>
          <w:iCs/>
          <w:sz w:val="20"/>
          <w:szCs w:val="20"/>
          <w:lang w:val="id-ID"/>
        </w:rPr>
        <w:t>LANGGAR</w:t>
      </w:r>
      <w:r w:rsidRPr="002A645E">
        <w:rPr>
          <w:rFonts w:asciiTheme="majorHAnsi" w:hAnsiTheme="majorHAnsi" w:cstheme="majorHAnsi"/>
          <w:sz w:val="20"/>
          <w:szCs w:val="20"/>
          <w:lang w:val="id-ID"/>
        </w:rPr>
        <w:t xml:space="preserve"> SEBAGAI RUANG PUBLIK DI KECAMATAN TANGGUNGGUNUNG, TULUNGAGUNG,” UIN Satu Tulunggagung, Indonesia, 2020.</w:t>
      </w:r>
    </w:p>
    <w:p w14:paraId="715C9130" w14:textId="028E0D21"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[32]</w:t>
      </w:r>
      <w:r w:rsidRPr="002A645E">
        <w:rPr>
          <w:rFonts w:asciiTheme="majorHAnsi" w:hAnsiTheme="majorHAnsi" w:cstheme="majorHAnsi"/>
          <w:sz w:val="20"/>
          <w:szCs w:val="20"/>
          <w:lang w:val="id-ID"/>
        </w:rPr>
        <w:tab/>
        <w:t xml:space="preserve">M. Atika, “Penguatan Peran </w:t>
      </w:r>
      <w:r w:rsidR="001D4DAB" w:rsidRPr="001D4DAB">
        <w:rPr>
          <w:rFonts w:asciiTheme="majorHAnsi" w:hAnsiTheme="majorHAnsi" w:cstheme="majorHAnsi"/>
          <w:i/>
          <w:iCs/>
          <w:sz w:val="20"/>
          <w:szCs w:val="20"/>
          <w:lang w:val="id-ID"/>
        </w:rPr>
        <w:t>Langgar</w:t>
      </w:r>
      <w:r w:rsidRPr="002A645E">
        <w:rPr>
          <w:rFonts w:asciiTheme="majorHAnsi" w:hAnsiTheme="majorHAnsi" w:cstheme="majorHAnsi"/>
          <w:sz w:val="20"/>
          <w:szCs w:val="20"/>
          <w:lang w:val="id-ID"/>
        </w:rPr>
        <w:t xml:space="preserve"> Sebagai Medium Keluarga Dalam Upaya Pembentukan Pendidikan Karakter Anak Di Madura,” Personifikasi: Jurnal Ilmu Psikologi, vol. 10, no. 2, 2019.</w:t>
      </w:r>
    </w:p>
    <w:p w14:paraId="073AE2FD" w14:textId="797112BF" w:rsidR="002A645E" w:rsidRPr="002A645E"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[33]</w:t>
      </w:r>
      <w:r w:rsidRPr="002A645E">
        <w:rPr>
          <w:rFonts w:asciiTheme="majorHAnsi" w:hAnsiTheme="majorHAnsi" w:cstheme="majorHAnsi"/>
          <w:sz w:val="20"/>
          <w:szCs w:val="20"/>
          <w:lang w:val="id-ID"/>
        </w:rPr>
        <w:tab/>
        <w:t xml:space="preserve">M. Wardi, “Pilihan Belajar Al-Qur’an Di Madura; Konversi Dari </w:t>
      </w:r>
      <w:r w:rsidR="001D4DAB" w:rsidRPr="001D4DAB">
        <w:rPr>
          <w:rFonts w:asciiTheme="majorHAnsi" w:hAnsiTheme="majorHAnsi" w:cstheme="majorHAnsi"/>
          <w:i/>
          <w:iCs/>
          <w:sz w:val="20"/>
          <w:szCs w:val="20"/>
          <w:lang w:val="id-ID"/>
        </w:rPr>
        <w:t>Langgar</w:t>
      </w:r>
      <w:r w:rsidRPr="002A645E">
        <w:rPr>
          <w:rFonts w:asciiTheme="majorHAnsi" w:hAnsiTheme="majorHAnsi" w:cstheme="majorHAnsi"/>
          <w:sz w:val="20"/>
          <w:szCs w:val="20"/>
          <w:lang w:val="id-ID"/>
        </w:rPr>
        <w:t xml:space="preserve"> Ke Taman Pendidikan Al-Qur’an,” Kabillah (Journal of Social Community), vol. 1, no. 1, pp. 93–114, 2016.</w:t>
      </w:r>
    </w:p>
    <w:p w14:paraId="34D0241F" w14:textId="0CD731BB" w:rsidR="00605B4D" w:rsidRDefault="002A645E" w:rsidP="002A645E">
      <w:pPr>
        <w:spacing w:after="240"/>
        <w:ind w:left="709" w:hanging="425"/>
        <w:jc w:val="both"/>
        <w:rPr>
          <w:rFonts w:asciiTheme="majorHAnsi" w:hAnsiTheme="majorHAnsi" w:cstheme="majorHAnsi"/>
          <w:sz w:val="20"/>
          <w:szCs w:val="20"/>
          <w:lang w:val="id-ID"/>
        </w:rPr>
      </w:pPr>
      <w:r w:rsidRPr="002A645E">
        <w:rPr>
          <w:rFonts w:asciiTheme="majorHAnsi" w:hAnsiTheme="majorHAnsi" w:cstheme="majorHAnsi"/>
          <w:sz w:val="20"/>
          <w:szCs w:val="20"/>
          <w:lang w:val="id-ID"/>
        </w:rPr>
        <w:t>[34]</w:t>
      </w:r>
      <w:r w:rsidRPr="002A645E">
        <w:rPr>
          <w:rFonts w:asciiTheme="majorHAnsi" w:hAnsiTheme="majorHAnsi" w:cstheme="majorHAnsi"/>
          <w:sz w:val="20"/>
          <w:szCs w:val="20"/>
          <w:lang w:val="id-ID"/>
        </w:rPr>
        <w:tab/>
        <w:t xml:space="preserve">Z. Qodir, H. Jubba, M. Hidayati, I. Abdullah, and A. S. Long, “A progressive Islamic movement and its response to the issues of the ummah,” Indones. J. Islam Muslim Soc., vol. 10, no. 2, pp. 323–352, 2020. doi: </w:t>
      </w:r>
      <w:hyperlink r:id="rId30" w:history="1">
        <w:r w:rsidRPr="000F7EC8">
          <w:rPr>
            <w:rStyle w:val="Hyperlink"/>
            <w:rFonts w:asciiTheme="majorHAnsi" w:hAnsiTheme="majorHAnsi" w:cstheme="majorHAnsi"/>
            <w:sz w:val="20"/>
            <w:szCs w:val="20"/>
            <w:lang w:val="id-ID"/>
          </w:rPr>
          <w:t>https://doi.org/10.18326/ijims.v10i2.323-352</w:t>
        </w:r>
      </w:hyperlink>
    </w:p>
    <w:p w14:paraId="57004A74" w14:textId="372CF92F" w:rsidR="002A645E" w:rsidRPr="00477FC8" w:rsidRDefault="002A645E" w:rsidP="002A645E">
      <w:pPr>
        <w:spacing w:after="240"/>
        <w:ind w:left="709" w:hanging="425"/>
        <w:jc w:val="both"/>
        <w:rPr>
          <w:rFonts w:asciiTheme="majorHAnsi" w:hAnsiTheme="majorHAnsi" w:cstheme="majorHAnsi"/>
          <w:noProof/>
          <w:sz w:val="20"/>
          <w:szCs w:val="20"/>
          <w:lang w:val="id-ID"/>
        </w:rPr>
      </w:pPr>
      <w:r>
        <w:rPr>
          <w:rFonts w:asciiTheme="majorHAnsi" w:hAnsiTheme="majorHAnsi" w:cstheme="majorHAnsi"/>
          <w:sz w:val="20"/>
          <w:szCs w:val="20"/>
          <w:lang w:val="id-ID"/>
        </w:rPr>
        <w:t>[35]</w:t>
      </w:r>
      <w:r>
        <w:rPr>
          <w:rFonts w:asciiTheme="majorHAnsi" w:hAnsiTheme="majorHAnsi" w:cstheme="majorHAnsi"/>
          <w:sz w:val="20"/>
          <w:szCs w:val="20"/>
          <w:lang w:val="id-ID"/>
        </w:rPr>
        <w:tab/>
      </w:r>
      <w:r w:rsidRPr="002A645E">
        <w:rPr>
          <w:rFonts w:asciiTheme="majorHAnsi" w:hAnsiTheme="majorHAnsi" w:cstheme="majorHAnsi"/>
          <w:sz w:val="20"/>
          <w:szCs w:val="20"/>
          <w:lang w:val="id-ID"/>
        </w:rPr>
        <w:t>N.J. KROM, and T. van ERP. Beschrijving van Barabudur. II: Bouwkundige Beschrijving. The Hague:  Mattinus Nijhoff,1931.</w:t>
      </w:r>
    </w:p>
    <w:sectPr w:rsidR="002A645E" w:rsidRPr="00477FC8" w:rsidSect="003B3CFF">
      <w:headerReference w:type="even" r:id="rId31"/>
      <w:headerReference w:type="default" r:id="rId32"/>
      <w:footerReference w:type="even" r:id="rId33"/>
      <w:footerReference w:type="default" r:id="rId34"/>
      <w:footerReference w:type="first" r:id="rId35"/>
      <w:pgSz w:w="11906" w:h="16838" w:code="9"/>
      <w:pgMar w:top="1418" w:right="1418" w:bottom="1418" w:left="1418" w:header="709" w:footer="709" w:gutter="0"/>
      <w:pgNumType w:start="10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68095" w14:textId="77777777" w:rsidR="007C2A50" w:rsidRDefault="007C2A50" w:rsidP="001101DA">
      <w:r>
        <w:separator/>
      </w:r>
    </w:p>
  </w:endnote>
  <w:endnote w:type="continuationSeparator" w:id="0">
    <w:p w14:paraId="4E97B59D" w14:textId="77777777" w:rsidR="007C2A50" w:rsidRDefault="007C2A50"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74CBFC47"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020283">
          <w:rPr>
            <w:sz w:val="16"/>
            <w:szCs w:val="16"/>
          </w:rPr>
          <w:t>8</w:t>
        </w:r>
        <w:r w:rsidRPr="00920627">
          <w:rPr>
            <w:sz w:val="16"/>
            <w:szCs w:val="16"/>
          </w:rPr>
          <w:t>(</w:t>
        </w:r>
        <w:r w:rsidR="00020283">
          <w:rPr>
            <w:sz w:val="16"/>
            <w:szCs w:val="16"/>
          </w:rPr>
          <w:t>1</w:t>
        </w:r>
        <w:r w:rsidRPr="00920627">
          <w:rPr>
            <w:sz w:val="16"/>
            <w:szCs w:val="16"/>
          </w:rPr>
          <w:t xml:space="preserve">), </w:t>
        </w:r>
        <w:r w:rsidR="00020283">
          <w:rPr>
            <w:sz w:val="16"/>
            <w:szCs w:val="16"/>
          </w:rPr>
          <w:t>June</w:t>
        </w:r>
        <w:r w:rsidRPr="00920627">
          <w:rPr>
            <w:sz w:val="16"/>
            <w:szCs w:val="16"/>
          </w:rPr>
          <w:t xml:space="preserve"> 202</w:t>
        </w:r>
        <w:r w:rsidR="00020283">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19C57BB2" w:rsidR="001101DA" w:rsidRPr="00920627" w:rsidRDefault="00920627" w:rsidP="00920627">
        <w:pPr>
          <w:pStyle w:val="Footer"/>
          <w:jc w:val="right"/>
          <w:rPr>
            <w:sz w:val="16"/>
            <w:szCs w:val="16"/>
          </w:rPr>
        </w:pPr>
        <w:r w:rsidRPr="00920627">
          <w:rPr>
            <w:sz w:val="16"/>
            <w:szCs w:val="16"/>
          </w:rPr>
          <w:t xml:space="preserve">Journal of Islamic Architecture </w:t>
        </w:r>
        <w:r w:rsidR="00020283">
          <w:rPr>
            <w:sz w:val="16"/>
            <w:szCs w:val="16"/>
          </w:rPr>
          <w:t>8</w:t>
        </w:r>
        <w:r w:rsidRPr="00920627">
          <w:rPr>
            <w:sz w:val="16"/>
            <w:szCs w:val="16"/>
          </w:rPr>
          <w:t>(</w:t>
        </w:r>
        <w:r w:rsidR="00020283">
          <w:rPr>
            <w:sz w:val="16"/>
            <w:szCs w:val="16"/>
          </w:rPr>
          <w:t>1</w:t>
        </w:r>
        <w:r w:rsidRPr="00920627">
          <w:rPr>
            <w:sz w:val="16"/>
            <w:szCs w:val="16"/>
          </w:rPr>
          <w:t xml:space="preserve">), </w:t>
        </w:r>
        <w:r w:rsidR="00020283">
          <w:rPr>
            <w:sz w:val="16"/>
            <w:szCs w:val="16"/>
          </w:rPr>
          <w:t>June</w:t>
        </w:r>
        <w:r w:rsidRPr="00920627">
          <w:rPr>
            <w:sz w:val="16"/>
            <w:szCs w:val="16"/>
          </w:rPr>
          <w:t xml:space="preserve"> 202</w:t>
        </w:r>
        <w:r w:rsidR="00020283">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4A475B69"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3B3CFF">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71BD2" w14:textId="77777777" w:rsidR="007C2A50" w:rsidRDefault="007C2A50" w:rsidP="001101DA">
      <w:r>
        <w:separator/>
      </w:r>
    </w:p>
  </w:footnote>
  <w:footnote w:type="continuationSeparator" w:id="0">
    <w:p w14:paraId="0C5957D4" w14:textId="77777777" w:rsidR="007C2A50" w:rsidRDefault="007C2A50"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0F441E04" w:rsidR="001101DA" w:rsidRPr="001101DA" w:rsidRDefault="003B3CFF" w:rsidP="001101DA">
    <w:pPr>
      <w:pStyle w:val="Header"/>
      <w:rPr>
        <w:sz w:val="16"/>
        <w:szCs w:val="16"/>
      </w:rPr>
    </w:pPr>
    <w:r w:rsidRPr="003B3CFF">
      <w:rPr>
        <w:sz w:val="16"/>
        <w:szCs w:val="16"/>
      </w:rPr>
      <w:t xml:space="preserve">The Architecture </w:t>
    </w:r>
    <w:proofErr w:type="gramStart"/>
    <w:r>
      <w:rPr>
        <w:sz w:val="16"/>
        <w:szCs w:val="16"/>
      </w:rPr>
      <w:t>O</w:t>
    </w:r>
    <w:r w:rsidRPr="003B3CFF">
      <w:rPr>
        <w:sz w:val="16"/>
        <w:szCs w:val="16"/>
      </w:rPr>
      <w:t>f</w:t>
    </w:r>
    <w:proofErr w:type="gramEnd"/>
    <w:r w:rsidRPr="003B3CFF">
      <w:rPr>
        <w:sz w:val="16"/>
        <w:szCs w:val="16"/>
      </w:rPr>
      <w:t xml:space="preserve"> Langgar </w:t>
    </w:r>
    <w:proofErr w:type="spellStart"/>
    <w:r w:rsidRPr="003B3CFF">
      <w:rPr>
        <w:sz w:val="16"/>
        <w:szCs w:val="16"/>
      </w:rPr>
      <w:t>Dhuwur</w:t>
    </w:r>
    <w:proofErr w:type="spellEnd"/>
    <w:r w:rsidRPr="003B3CFF">
      <w:rPr>
        <w:sz w:val="16"/>
        <w:szCs w:val="16"/>
      </w:rPr>
      <w:t xml:space="preserve"> In Java: Vernacular Forms In Religious Architecture</w:t>
    </w:r>
    <w:r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25C5BCDC" w:rsidR="001101DA" w:rsidRPr="001101DA" w:rsidRDefault="00020283" w:rsidP="001101DA">
    <w:pPr>
      <w:pStyle w:val="Header"/>
      <w:jc w:val="right"/>
      <w:rPr>
        <w:sz w:val="16"/>
        <w:szCs w:val="16"/>
      </w:rPr>
    </w:pPr>
    <w:r w:rsidRPr="00020283">
      <w:rPr>
        <w:sz w:val="16"/>
        <w:szCs w:val="16"/>
      </w:rPr>
      <w:t xml:space="preserve">Arif Budi </w:t>
    </w:r>
    <w:proofErr w:type="spellStart"/>
    <w:r w:rsidRPr="00020283">
      <w:rPr>
        <w:sz w:val="16"/>
        <w:szCs w:val="16"/>
      </w:rPr>
      <w:t>Sholihaha</w:t>
    </w:r>
    <w:proofErr w:type="spellEnd"/>
    <w:r w:rsidRPr="00020283">
      <w:rPr>
        <w:sz w:val="16"/>
        <w:szCs w:val="16"/>
      </w:rPr>
      <w:t xml:space="preserve">, </w:t>
    </w:r>
    <w:proofErr w:type="spellStart"/>
    <w:r w:rsidRPr="00020283">
      <w:rPr>
        <w:sz w:val="16"/>
        <w:szCs w:val="16"/>
      </w:rPr>
      <w:t>Asrul</w:t>
    </w:r>
    <w:proofErr w:type="spellEnd"/>
    <w:r w:rsidRPr="00020283">
      <w:rPr>
        <w:sz w:val="16"/>
        <w:szCs w:val="16"/>
      </w:rPr>
      <w:t xml:space="preserve"> </w:t>
    </w:r>
    <w:proofErr w:type="spellStart"/>
    <w:r w:rsidRPr="00020283">
      <w:rPr>
        <w:sz w:val="16"/>
        <w:szCs w:val="16"/>
      </w:rPr>
      <w:t>Mahjuddin</w:t>
    </w:r>
    <w:proofErr w:type="spellEnd"/>
    <w:r w:rsidRPr="00020283">
      <w:rPr>
        <w:sz w:val="16"/>
        <w:szCs w:val="16"/>
      </w:rPr>
      <w:t xml:space="preserve"> </w:t>
    </w:r>
    <w:proofErr w:type="spellStart"/>
    <w:r w:rsidRPr="00020283">
      <w:rPr>
        <w:sz w:val="16"/>
        <w:szCs w:val="16"/>
      </w:rPr>
      <w:t>Ressang</w:t>
    </w:r>
    <w:proofErr w:type="spellEnd"/>
    <w:r w:rsidRPr="00020283">
      <w:rPr>
        <w:sz w:val="16"/>
        <w:szCs w:val="16"/>
      </w:rPr>
      <w:t>, Wisnu Setiawan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F410B"/>
    <w:multiLevelType w:val="hybridMultilevel"/>
    <w:tmpl w:val="CD04C64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A6B2183"/>
    <w:multiLevelType w:val="hybridMultilevel"/>
    <w:tmpl w:val="32C04D78"/>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996714571">
    <w:abstractNumId w:val="2"/>
  </w:num>
  <w:num w:numId="2" w16cid:durableId="452792856">
    <w:abstractNumId w:val="1"/>
  </w:num>
  <w:num w:numId="3" w16cid:durableId="387067935">
    <w:abstractNumId w:val="3"/>
  </w:num>
  <w:num w:numId="4" w16cid:durableId="2146853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20283"/>
    <w:rsid w:val="00040783"/>
    <w:rsid w:val="000C509F"/>
    <w:rsid w:val="001036A8"/>
    <w:rsid w:val="001101DA"/>
    <w:rsid w:val="001179F0"/>
    <w:rsid w:val="001C48ED"/>
    <w:rsid w:val="001D1905"/>
    <w:rsid w:val="001D4DAB"/>
    <w:rsid w:val="001D517C"/>
    <w:rsid w:val="001E33E6"/>
    <w:rsid w:val="00221499"/>
    <w:rsid w:val="0025194F"/>
    <w:rsid w:val="002676BA"/>
    <w:rsid w:val="00283372"/>
    <w:rsid w:val="002A645E"/>
    <w:rsid w:val="002D1CEA"/>
    <w:rsid w:val="002E0FF5"/>
    <w:rsid w:val="00330A7A"/>
    <w:rsid w:val="003852CC"/>
    <w:rsid w:val="003B3CFF"/>
    <w:rsid w:val="003C0164"/>
    <w:rsid w:val="003C0483"/>
    <w:rsid w:val="003C219D"/>
    <w:rsid w:val="00417EF0"/>
    <w:rsid w:val="0043511C"/>
    <w:rsid w:val="00464461"/>
    <w:rsid w:val="00477FC8"/>
    <w:rsid w:val="004C7CB9"/>
    <w:rsid w:val="00502594"/>
    <w:rsid w:val="00536D0C"/>
    <w:rsid w:val="00554438"/>
    <w:rsid w:val="005E66A5"/>
    <w:rsid w:val="00605B4D"/>
    <w:rsid w:val="006C55A1"/>
    <w:rsid w:val="00727ABB"/>
    <w:rsid w:val="00745A2A"/>
    <w:rsid w:val="007771EC"/>
    <w:rsid w:val="0079305C"/>
    <w:rsid w:val="007B2C0D"/>
    <w:rsid w:val="007C2A50"/>
    <w:rsid w:val="007C62F4"/>
    <w:rsid w:val="008535AE"/>
    <w:rsid w:val="0086155C"/>
    <w:rsid w:val="00883F54"/>
    <w:rsid w:val="00894F31"/>
    <w:rsid w:val="008D73E0"/>
    <w:rsid w:val="00920392"/>
    <w:rsid w:val="00920627"/>
    <w:rsid w:val="00926CF7"/>
    <w:rsid w:val="00944AD0"/>
    <w:rsid w:val="009E6DE8"/>
    <w:rsid w:val="00A055B3"/>
    <w:rsid w:val="00AC1C31"/>
    <w:rsid w:val="00AC4F01"/>
    <w:rsid w:val="00B45E75"/>
    <w:rsid w:val="00BE2239"/>
    <w:rsid w:val="00C26026"/>
    <w:rsid w:val="00CB6F5A"/>
    <w:rsid w:val="00CE135F"/>
    <w:rsid w:val="00D132AE"/>
    <w:rsid w:val="00D57761"/>
    <w:rsid w:val="00D869DB"/>
    <w:rsid w:val="00E4204D"/>
    <w:rsid w:val="00E837BE"/>
    <w:rsid w:val="00EB207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customStyle="1" w:styleId="TableGrid1">
    <w:name w:val="Table Grid1"/>
    <w:basedOn w:val="TableNormal"/>
    <w:next w:val="TableGrid"/>
    <w:uiPriority w:val="59"/>
    <w:rsid w:val="003B3CFF"/>
    <w:rPr>
      <w:rFonts w:asciiTheme="minorHAnsi" w:hAnsi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hyperlink" Target="https://doi.org/10.18326/ijims.v10i2.323-352" TargetMode="External"/><Relationship Id="rId35" Type="http://schemas.openxmlformats.org/officeDocument/2006/relationships/footer" Target="footer3.xml"/><Relationship Id="rId8" Type="http://schemas.openxmlformats.org/officeDocument/2006/relationships/hyperlink" Target="mailto:arif.sholihah@uii.ac.id" TargetMode="External"/><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11</Pages>
  <Words>5924</Words>
  <Characters>33062</Characters>
  <Application>Microsoft Office Word</Application>
  <DocSecurity>0</DocSecurity>
  <Lines>590</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2024-06-11T02:29:00Z</dcterms:created>
  <dcterms:modified xsi:type="dcterms:W3CDTF">2024-06-11T04:39:00Z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