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A9CE5C8" w:rsidR="00C26026" w:rsidRPr="004C7CB9" w:rsidRDefault="002E7E33" w:rsidP="00C26026">
            <w:pPr>
              <w:jc w:val="both"/>
              <w:rPr>
                <w:rFonts w:asciiTheme="minorHAnsi" w:hAnsiTheme="minorHAnsi" w:cstheme="minorHAnsi"/>
                <w:b/>
                <w:sz w:val="26"/>
                <w:szCs w:val="26"/>
              </w:rPr>
            </w:pPr>
            <w:r w:rsidRPr="002E7E33">
              <w:rPr>
                <w:rFonts w:asciiTheme="minorHAnsi" w:hAnsiTheme="minorHAnsi" w:cstheme="minorHAnsi"/>
                <w:b/>
                <w:sz w:val="28"/>
                <w:szCs w:val="28"/>
              </w:rPr>
              <w:t>GENESIS AND EVOLUTION OF MUZAFFARIYYA COMPLEX WITH EMPHASIZING TABRIZ`S GOY-MASJID</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3A0E8401" w:rsidR="00D869DB" w:rsidRPr="004C7CB9" w:rsidRDefault="002E7E33">
            <w:pPr>
              <w:rPr>
                <w:rFonts w:asciiTheme="minorHAnsi" w:hAnsiTheme="minorHAnsi" w:cstheme="minorHAnsi"/>
              </w:rPr>
            </w:pPr>
            <w:r w:rsidRPr="002E7E33">
              <w:rPr>
                <w:rFonts w:asciiTheme="minorHAnsi" w:hAnsiTheme="minorHAnsi" w:cstheme="minorHAnsi"/>
              </w:rPr>
              <w:t xml:space="preserve">Ahad Nejad </w:t>
            </w:r>
            <w:proofErr w:type="spellStart"/>
            <w:r w:rsidRPr="002E7E33">
              <w:rPr>
                <w:rFonts w:asciiTheme="minorHAnsi" w:hAnsiTheme="minorHAnsi" w:cstheme="minorHAnsi"/>
              </w:rPr>
              <w:t>Ebrahimi</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2E7E33">
              <w:rPr>
                <w:rFonts w:asciiTheme="minorHAnsi" w:hAnsiTheme="minorHAnsi" w:cstheme="minorHAnsi"/>
              </w:rPr>
              <w:t xml:space="preserve">Aylar </w:t>
            </w:r>
            <w:proofErr w:type="spellStart"/>
            <w:r w:rsidRPr="002E7E33">
              <w:rPr>
                <w:rFonts w:asciiTheme="minorHAnsi" w:hAnsiTheme="minorHAnsi" w:cstheme="minorHAnsi"/>
              </w:rPr>
              <w:t>Javadpour</w:t>
            </w:r>
            <w:r w:rsidR="00D869DB" w:rsidRPr="004C7CB9">
              <w:rPr>
                <w:rFonts w:asciiTheme="minorHAnsi" w:hAnsiTheme="minorHAnsi" w:cstheme="minorHAnsi"/>
                <w:vertAlign w:val="superscript"/>
              </w:rPr>
              <w:t>b</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7FE1B612" w:rsidR="00D869DB" w:rsidRPr="004C7CB9" w:rsidRDefault="00D869DB" w:rsidP="002E7E33">
            <w:pPr>
              <w:rPr>
                <w:sz w:val="18"/>
                <w:szCs w:val="18"/>
              </w:rPr>
            </w:pPr>
            <w:proofErr w:type="spellStart"/>
            <w:r w:rsidRPr="004C7CB9">
              <w:rPr>
                <w:sz w:val="18"/>
                <w:szCs w:val="18"/>
                <w:vertAlign w:val="superscript"/>
              </w:rPr>
              <w:t>a</w:t>
            </w:r>
            <w:r w:rsidR="002E7E33" w:rsidRPr="002E7E33">
              <w:rPr>
                <w:sz w:val="18"/>
                <w:szCs w:val="18"/>
              </w:rPr>
              <w:t>Tabriz</w:t>
            </w:r>
            <w:proofErr w:type="spellEnd"/>
            <w:r w:rsidR="002E7E33" w:rsidRPr="002E7E33">
              <w:rPr>
                <w:sz w:val="18"/>
                <w:szCs w:val="18"/>
              </w:rPr>
              <w:t xml:space="preserve"> Islamic Art University, Iran</w:t>
            </w:r>
          </w:p>
          <w:p w14:paraId="05237892" w14:textId="1EE6FAB7" w:rsidR="00D869DB" w:rsidRPr="004C7CB9" w:rsidRDefault="00D869DB" w:rsidP="002E7E33">
            <w:pPr>
              <w:rPr>
                <w:sz w:val="18"/>
                <w:szCs w:val="18"/>
              </w:rPr>
            </w:pPr>
            <w:proofErr w:type="spellStart"/>
            <w:r w:rsidRPr="004C7CB9">
              <w:rPr>
                <w:sz w:val="18"/>
                <w:szCs w:val="18"/>
                <w:vertAlign w:val="superscript"/>
              </w:rPr>
              <w:t>b</w:t>
            </w:r>
            <w:r w:rsidR="002E7E33" w:rsidRPr="002E7E33">
              <w:rPr>
                <w:sz w:val="18"/>
                <w:szCs w:val="18"/>
              </w:rPr>
              <w:t>Faculty</w:t>
            </w:r>
            <w:proofErr w:type="spellEnd"/>
            <w:r w:rsidR="002E7E33" w:rsidRPr="002E7E33">
              <w:rPr>
                <w:sz w:val="18"/>
                <w:szCs w:val="18"/>
              </w:rPr>
              <w:t xml:space="preserve"> of Architecture and Urbanism</w:t>
            </w:r>
            <w:r w:rsidR="002E7E33">
              <w:rPr>
                <w:sz w:val="18"/>
                <w:szCs w:val="18"/>
              </w:rPr>
              <w:t xml:space="preserve">, </w:t>
            </w:r>
            <w:r w:rsidR="002E7E33" w:rsidRPr="002E7E33">
              <w:rPr>
                <w:sz w:val="18"/>
                <w:szCs w:val="18"/>
              </w:rPr>
              <w:t>Tabriz Islamic Art University, Iran</w:t>
            </w:r>
          </w:p>
          <w:p w14:paraId="4B54932F" w14:textId="01E2DFED" w:rsidR="00D869DB" w:rsidRPr="004C7CB9" w:rsidRDefault="00D869DB" w:rsidP="00D869DB">
            <w:r w:rsidRPr="004C7CB9">
              <w:rPr>
                <w:sz w:val="18"/>
                <w:szCs w:val="18"/>
              </w:rPr>
              <w:t xml:space="preserve">*Corresponding Author: </w:t>
            </w:r>
            <w:r w:rsidR="002E7E33" w:rsidRPr="002E7E33">
              <w:rPr>
                <w:sz w:val="18"/>
                <w:szCs w:val="18"/>
              </w:rPr>
              <w:t>ahadebrahimi@tabriziau.ac.ir</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C0B484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2E7E33">
              <w:rPr>
                <w:rFonts w:asciiTheme="majorHAnsi" w:hAnsiTheme="majorHAnsi" w:cstheme="majorHAnsi"/>
                <w:sz w:val="18"/>
                <w:szCs w:val="18"/>
              </w:rPr>
              <w:t xml:space="preserve"> 8</w:t>
            </w:r>
          </w:p>
          <w:p w14:paraId="5F8B2097" w14:textId="65E0FA9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2E7E33">
              <w:rPr>
                <w:rFonts w:asciiTheme="majorHAnsi" w:hAnsiTheme="majorHAnsi" w:cstheme="majorHAnsi"/>
                <w:sz w:val="18"/>
                <w:szCs w:val="18"/>
              </w:rPr>
              <w:t xml:space="preserve"> 1</w:t>
            </w:r>
          </w:p>
          <w:p w14:paraId="1727970E" w14:textId="3FE7DD0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2E7E33">
              <w:rPr>
                <w:rFonts w:asciiTheme="majorHAnsi" w:hAnsiTheme="majorHAnsi" w:cstheme="majorHAnsi"/>
                <w:sz w:val="18"/>
                <w:szCs w:val="18"/>
              </w:rPr>
              <w:t xml:space="preserve"> 54</w:t>
            </w:r>
            <w:r w:rsidR="0019158C">
              <w:rPr>
                <w:rFonts w:asciiTheme="majorHAnsi" w:hAnsiTheme="majorHAnsi" w:cstheme="majorHAnsi"/>
                <w:sz w:val="18"/>
                <w:szCs w:val="18"/>
              </w:rPr>
              <w:t>-67</w:t>
            </w:r>
          </w:p>
          <w:p w14:paraId="42AC331B" w14:textId="2AD3498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2E7E33">
              <w:rPr>
                <w:rFonts w:asciiTheme="majorHAnsi" w:hAnsiTheme="majorHAnsi" w:cstheme="majorHAnsi"/>
                <w:sz w:val="18"/>
                <w:szCs w:val="18"/>
              </w:rPr>
              <w:t>May</w:t>
            </w:r>
            <w:r w:rsidRPr="004C7CB9">
              <w:rPr>
                <w:rFonts w:asciiTheme="majorHAnsi" w:hAnsiTheme="majorHAnsi" w:cstheme="majorHAnsi"/>
                <w:sz w:val="18"/>
                <w:szCs w:val="18"/>
              </w:rPr>
              <w:t xml:space="preserve"> </w:t>
            </w:r>
            <w:r w:rsidR="002E7E33">
              <w:rPr>
                <w:rFonts w:asciiTheme="majorHAnsi" w:hAnsiTheme="majorHAnsi" w:cstheme="majorHAnsi"/>
                <w:sz w:val="18"/>
                <w:szCs w:val="18"/>
              </w:rPr>
              <w:t>2</w:t>
            </w:r>
            <w:r w:rsidRPr="004C7CB9">
              <w:rPr>
                <w:rFonts w:asciiTheme="majorHAnsi" w:hAnsiTheme="majorHAnsi" w:cstheme="majorHAnsi"/>
                <w:sz w:val="18"/>
                <w:szCs w:val="18"/>
              </w:rPr>
              <w:t>3</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4934CE3E"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2E7E33">
              <w:rPr>
                <w:rFonts w:asciiTheme="majorHAnsi" w:hAnsiTheme="majorHAnsi" w:cstheme="majorHAnsi"/>
                <w:sz w:val="18"/>
                <w:szCs w:val="18"/>
              </w:rPr>
              <w:t>Octo</w:t>
            </w:r>
            <w:r w:rsidRPr="004C7CB9">
              <w:rPr>
                <w:rFonts w:asciiTheme="majorHAnsi" w:hAnsiTheme="majorHAnsi" w:cstheme="majorHAnsi"/>
                <w:sz w:val="18"/>
                <w:szCs w:val="18"/>
              </w:rPr>
              <w:t xml:space="preserve">ber </w:t>
            </w:r>
            <w:r w:rsidR="002E7E33">
              <w:rPr>
                <w:rFonts w:asciiTheme="majorHAnsi" w:hAnsiTheme="majorHAnsi" w:cstheme="majorHAnsi"/>
                <w:sz w:val="18"/>
                <w:szCs w:val="18"/>
              </w:rPr>
              <w:t>25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068623C" w14:textId="74E1A02D"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2E7E33">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2E7E33">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2E7E33">
              <w:rPr>
                <w:rFonts w:asciiTheme="majorHAnsi" w:hAnsiTheme="majorHAnsi" w:cstheme="majorHAnsi"/>
                <w:sz w:val="18"/>
                <w:szCs w:val="18"/>
              </w:rPr>
              <w:t>4</w:t>
            </w:r>
          </w:p>
          <w:p w14:paraId="4CE22E4C" w14:textId="77777777" w:rsidR="002E7E33"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73D1A635" w:rsidR="001D517C" w:rsidRPr="004C7CB9" w:rsidRDefault="002E7E33" w:rsidP="001D517C">
            <w:pPr>
              <w:rPr>
                <w:rFonts w:asciiTheme="majorHAnsi" w:hAnsiTheme="majorHAnsi" w:cstheme="majorHAnsi"/>
                <w:sz w:val="18"/>
                <w:szCs w:val="18"/>
              </w:rPr>
            </w:pPr>
            <w:r w:rsidRPr="002E7E33">
              <w:rPr>
                <w:rFonts w:asciiTheme="majorHAnsi" w:hAnsiTheme="majorHAnsi" w:cstheme="majorHAnsi"/>
                <w:sz w:val="18"/>
                <w:szCs w:val="18"/>
              </w:rPr>
              <w:t>http://dx.doi.org/10.18860/jia.v8i1.21265</w:t>
            </w:r>
          </w:p>
        </w:tc>
        <w:tc>
          <w:tcPr>
            <w:tcW w:w="5671" w:type="dxa"/>
          </w:tcPr>
          <w:p w14:paraId="68C518DA" w14:textId="1C24FB5B" w:rsidR="001D517C" w:rsidRPr="004C7CB9" w:rsidRDefault="002E7E33" w:rsidP="001D517C">
            <w:pPr>
              <w:jc w:val="both"/>
              <w:rPr>
                <w:rFonts w:asciiTheme="majorHAnsi" w:hAnsiTheme="majorHAnsi" w:cstheme="majorHAnsi"/>
                <w:sz w:val="18"/>
                <w:szCs w:val="18"/>
                <w:lang w:val="id-ID"/>
              </w:rPr>
            </w:pPr>
            <w:r w:rsidRPr="002E7E33">
              <w:rPr>
                <w:rFonts w:asciiTheme="majorHAnsi" w:hAnsiTheme="majorHAnsi" w:cstheme="majorHAnsi"/>
                <w:sz w:val="18"/>
                <w:szCs w:val="18"/>
              </w:rPr>
              <w:t xml:space="preserve">Goy-Masjid of Tabriz is the only remaining architectural trace from the </w:t>
            </w:r>
            <w:proofErr w:type="spellStart"/>
            <w:r w:rsidRPr="002E7E33">
              <w:rPr>
                <w:rFonts w:asciiTheme="majorHAnsi" w:hAnsiTheme="majorHAnsi" w:cstheme="majorHAnsi"/>
                <w:sz w:val="18"/>
                <w:szCs w:val="18"/>
              </w:rPr>
              <w:t>Muzaffariyya</w:t>
            </w:r>
            <w:proofErr w:type="spellEnd"/>
            <w:r w:rsidRPr="002E7E33">
              <w:rPr>
                <w:rFonts w:asciiTheme="majorHAnsi" w:hAnsiTheme="majorHAnsi" w:cstheme="majorHAnsi"/>
                <w:sz w:val="18"/>
                <w:szCs w:val="18"/>
              </w:rPr>
              <w:t xml:space="preserve">-complex of the Turkomans period of </w:t>
            </w:r>
            <w:proofErr w:type="spellStart"/>
            <w:r w:rsidRPr="002E7E33">
              <w:rPr>
                <w:rFonts w:asciiTheme="majorHAnsi" w:hAnsiTheme="majorHAnsi" w:cstheme="majorHAnsi"/>
                <w:sz w:val="18"/>
                <w:szCs w:val="18"/>
              </w:rPr>
              <w:t>Qaraquyunlu</w:t>
            </w:r>
            <w:proofErr w:type="spellEnd"/>
            <w:r w:rsidRPr="002E7E33">
              <w:rPr>
                <w:rFonts w:asciiTheme="majorHAnsi" w:hAnsiTheme="majorHAnsi" w:cstheme="majorHAnsi"/>
                <w:sz w:val="18"/>
                <w:szCs w:val="18"/>
              </w:rPr>
              <w:t xml:space="preserve">, which displays the grandeur of its architecture. To This valuable historical structure, factors such as destructive earthquakes caused severe damage throughout history, and only from the historical documents and the ruins left, the greatness of its primal understood somehow. Even later, repairs and restorations were made for its protection. Some of these operations and other factors have caused changes in the mosque and its surroundings. According to historical documents, the research purpose was to describe the early condition and elements of the </w:t>
            </w:r>
            <w:proofErr w:type="spellStart"/>
            <w:r w:rsidRPr="002E7E33">
              <w:rPr>
                <w:rFonts w:asciiTheme="majorHAnsi" w:hAnsiTheme="majorHAnsi" w:cstheme="majorHAnsi"/>
                <w:sz w:val="18"/>
                <w:szCs w:val="18"/>
              </w:rPr>
              <w:t>Muzaffariyya</w:t>
            </w:r>
            <w:proofErr w:type="spellEnd"/>
            <w:r w:rsidRPr="002E7E33">
              <w:rPr>
                <w:rFonts w:asciiTheme="majorHAnsi" w:hAnsiTheme="majorHAnsi" w:cstheme="majorHAnsi"/>
                <w:sz w:val="18"/>
                <w:szCs w:val="18"/>
              </w:rPr>
              <w:t xml:space="preserve"> complex and changes in the mosque and its environs throughout history. For this purpose, the research question: What factors and conditions throughout history have caused changes in the </w:t>
            </w:r>
            <w:proofErr w:type="spellStart"/>
            <w:r w:rsidRPr="002E7E33">
              <w:rPr>
                <w:rFonts w:asciiTheme="majorHAnsi" w:hAnsiTheme="majorHAnsi" w:cstheme="majorHAnsi"/>
                <w:sz w:val="18"/>
                <w:szCs w:val="18"/>
              </w:rPr>
              <w:t>Muzaffariyya</w:t>
            </w:r>
            <w:proofErr w:type="spellEnd"/>
            <w:r w:rsidRPr="002E7E33">
              <w:rPr>
                <w:rFonts w:asciiTheme="majorHAnsi" w:hAnsiTheme="majorHAnsi" w:cstheme="majorHAnsi"/>
                <w:sz w:val="18"/>
                <w:szCs w:val="18"/>
              </w:rPr>
              <w:t xml:space="preserve">-Complex and Goy-Masjid? The descriptive-analytical method was used for the research. The results showed that the damages caused to the </w:t>
            </w:r>
            <w:proofErr w:type="spellStart"/>
            <w:r w:rsidRPr="002E7E33">
              <w:rPr>
                <w:rFonts w:asciiTheme="majorHAnsi" w:hAnsiTheme="majorHAnsi" w:cstheme="majorHAnsi"/>
                <w:sz w:val="18"/>
                <w:szCs w:val="18"/>
              </w:rPr>
              <w:t>Muzaffariyya</w:t>
            </w:r>
            <w:proofErr w:type="spellEnd"/>
            <w:r w:rsidRPr="002E7E33">
              <w:rPr>
                <w:rFonts w:asciiTheme="majorHAnsi" w:hAnsiTheme="majorHAnsi" w:cstheme="majorHAnsi"/>
                <w:sz w:val="18"/>
                <w:szCs w:val="18"/>
              </w:rPr>
              <w:t xml:space="preserve"> complex and the Goy-Masjid have occurred throughout history due to natural and human factors. It has caused main changes to the architecture of the complex, and the current state of the Goy-Masjid and its surroundings is different from the initial state of the complex</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F401761" w:rsidR="001D517C" w:rsidRPr="004C7CB9" w:rsidRDefault="002E7E33" w:rsidP="001D517C">
            <w:pPr>
              <w:jc w:val="both"/>
              <w:rPr>
                <w:rFonts w:asciiTheme="majorHAnsi" w:hAnsiTheme="majorHAnsi" w:cstheme="majorHAnsi"/>
                <w:sz w:val="18"/>
                <w:szCs w:val="18"/>
                <w:lang w:val="en-US"/>
              </w:rPr>
            </w:pPr>
            <w:r w:rsidRPr="002E7E33">
              <w:rPr>
                <w:rFonts w:asciiTheme="majorHAnsi" w:hAnsiTheme="majorHAnsi" w:cstheme="majorHAnsi"/>
                <w:sz w:val="18"/>
                <w:szCs w:val="18"/>
                <w:lang w:val="en-US"/>
              </w:rPr>
              <w:t xml:space="preserve">Goy-Masjid of Tabriz; </w:t>
            </w:r>
            <w:proofErr w:type="spellStart"/>
            <w:r w:rsidRPr="002E7E33">
              <w:rPr>
                <w:rFonts w:asciiTheme="majorHAnsi" w:hAnsiTheme="majorHAnsi" w:cstheme="majorHAnsi"/>
                <w:sz w:val="18"/>
                <w:szCs w:val="18"/>
                <w:lang w:val="en-US"/>
              </w:rPr>
              <w:t>Muzaffariyya</w:t>
            </w:r>
            <w:proofErr w:type="spellEnd"/>
            <w:r w:rsidRPr="002E7E33">
              <w:rPr>
                <w:rFonts w:asciiTheme="majorHAnsi" w:hAnsiTheme="majorHAnsi" w:cstheme="majorHAnsi"/>
                <w:sz w:val="18"/>
                <w:szCs w:val="18"/>
                <w:lang w:val="en-US"/>
              </w:rPr>
              <w:t xml:space="preserve"> complex; Turkomans of </w:t>
            </w:r>
            <w:proofErr w:type="spellStart"/>
            <w:r w:rsidRPr="002E7E33">
              <w:rPr>
                <w:rFonts w:asciiTheme="majorHAnsi" w:hAnsiTheme="majorHAnsi" w:cstheme="majorHAnsi"/>
                <w:sz w:val="18"/>
                <w:szCs w:val="18"/>
                <w:lang w:val="en-US"/>
              </w:rPr>
              <w:t>Qaraquyunlu</w:t>
            </w:r>
            <w:proofErr w:type="spellEnd"/>
            <w:r w:rsidRPr="002E7E33">
              <w:rPr>
                <w:rFonts w:asciiTheme="majorHAnsi" w:hAnsiTheme="majorHAnsi" w:cstheme="majorHAnsi"/>
                <w:sz w:val="18"/>
                <w:szCs w:val="18"/>
                <w:lang w:val="en-US"/>
              </w:rPr>
              <w:t>; Architectural and environmental changes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33ED9DCC"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12F64F20" w14:textId="77777777" w:rsidR="002E7E33" w:rsidRPr="002E7E33" w:rsidRDefault="002E7E33" w:rsidP="002E7E33">
      <w:pPr>
        <w:ind w:firstLine="284"/>
        <w:jc w:val="both"/>
        <w:rPr>
          <w:rFonts w:asciiTheme="majorHAnsi" w:hAnsiTheme="majorHAnsi" w:cstheme="majorHAnsi"/>
          <w:sz w:val="20"/>
          <w:szCs w:val="20"/>
        </w:rPr>
      </w:pPr>
      <w:r w:rsidRPr="002E7E33">
        <w:rPr>
          <w:rFonts w:asciiTheme="majorHAnsi" w:hAnsiTheme="majorHAnsi" w:cstheme="majorHAnsi"/>
          <w:sz w:val="20"/>
          <w:szCs w:val="20"/>
        </w:rPr>
        <w:t xml:space="preserve">As a religious-educational complex that includes various elements and buildings, the </w:t>
      </w:r>
      <w:proofErr w:type="spellStart"/>
      <w:r w:rsidRPr="002E7E33">
        <w:rPr>
          <w:rFonts w:asciiTheme="majorHAnsi" w:hAnsiTheme="majorHAnsi" w:cstheme="majorHAnsi"/>
          <w:sz w:val="20"/>
          <w:szCs w:val="20"/>
        </w:rPr>
        <w:t>Muzaffariyya</w:t>
      </w:r>
      <w:proofErr w:type="spellEnd"/>
      <w:r w:rsidRPr="002E7E33">
        <w:rPr>
          <w:rFonts w:asciiTheme="majorHAnsi" w:hAnsiTheme="majorHAnsi" w:cstheme="majorHAnsi"/>
          <w:sz w:val="20"/>
          <w:szCs w:val="20"/>
        </w:rPr>
        <w:t xml:space="preserve"> complex has a special place in Iranian architecture with unique architectural features, especially the Goy -</w:t>
      </w:r>
      <w:proofErr w:type="gramStart"/>
      <w:r w:rsidRPr="002E7E33">
        <w:rPr>
          <w:rFonts w:asciiTheme="majorHAnsi" w:hAnsiTheme="majorHAnsi" w:cstheme="majorHAnsi"/>
          <w:sz w:val="20"/>
          <w:szCs w:val="20"/>
        </w:rPr>
        <w:t>Masjid .</w:t>
      </w:r>
      <w:proofErr w:type="gramEnd"/>
      <w:r w:rsidRPr="002E7E33">
        <w:rPr>
          <w:rFonts w:asciiTheme="majorHAnsi" w:hAnsiTheme="majorHAnsi" w:cstheme="majorHAnsi"/>
          <w:sz w:val="20"/>
          <w:szCs w:val="20"/>
        </w:rPr>
        <w:t xml:space="preserve"> The Masjid is the only remaining element of that complex, which has a significant role in understanding the architecture of the Turkoman period of </w:t>
      </w:r>
      <w:proofErr w:type="spellStart"/>
      <w:proofErr w:type="gramStart"/>
      <w:r w:rsidRPr="002E7E33">
        <w:rPr>
          <w:rFonts w:asciiTheme="majorHAnsi" w:hAnsiTheme="majorHAnsi" w:cstheme="majorHAnsi"/>
          <w:sz w:val="20"/>
          <w:szCs w:val="20"/>
        </w:rPr>
        <w:t>Qaraquyunlu</w:t>
      </w:r>
      <w:proofErr w:type="spellEnd"/>
      <w:r w:rsidRPr="002E7E33">
        <w:rPr>
          <w:rFonts w:asciiTheme="majorHAnsi" w:hAnsiTheme="majorHAnsi" w:cstheme="majorHAnsi"/>
          <w:sz w:val="20"/>
          <w:szCs w:val="20"/>
        </w:rPr>
        <w:t xml:space="preserve"> .</w:t>
      </w:r>
      <w:proofErr w:type="gramEnd"/>
      <w:r w:rsidRPr="002E7E33">
        <w:rPr>
          <w:rFonts w:asciiTheme="majorHAnsi" w:hAnsiTheme="majorHAnsi" w:cstheme="majorHAnsi"/>
          <w:sz w:val="20"/>
          <w:szCs w:val="20"/>
        </w:rPr>
        <w:t xml:space="preserve"> Since only the Goy-Masjid remained from that complex until modern times and is not seen in its original form, the damage and repair results differ from the genesis period. Only with historical documents can one understand the overall design of the complex and its elements and identify the factors affecting its structure and the changes that have occurred.</w:t>
      </w:r>
    </w:p>
    <w:p w14:paraId="27EFD5E7" w14:textId="0E4636D3" w:rsidR="0079305C" w:rsidRDefault="002E7E33" w:rsidP="002E7E33">
      <w:pPr>
        <w:ind w:firstLine="284"/>
        <w:jc w:val="both"/>
        <w:rPr>
          <w:rFonts w:asciiTheme="majorHAnsi" w:hAnsiTheme="majorHAnsi" w:cstheme="majorHAnsi"/>
          <w:sz w:val="20"/>
          <w:szCs w:val="20"/>
        </w:rPr>
      </w:pPr>
      <w:r w:rsidRPr="002E7E33">
        <w:rPr>
          <w:rFonts w:asciiTheme="majorHAnsi" w:hAnsiTheme="majorHAnsi" w:cstheme="majorHAnsi"/>
          <w:sz w:val="20"/>
          <w:szCs w:val="20"/>
        </w:rPr>
        <w:t xml:space="preserve">This research is specifically focused on understanding the condition and elements of the </w:t>
      </w:r>
      <w:proofErr w:type="spellStart"/>
      <w:r w:rsidRPr="002E7E33">
        <w:rPr>
          <w:rFonts w:asciiTheme="majorHAnsi" w:hAnsiTheme="majorHAnsi" w:cstheme="majorHAnsi"/>
          <w:sz w:val="20"/>
          <w:szCs w:val="20"/>
        </w:rPr>
        <w:t>Muzaffariyya</w:t>
      </w:r>
      <w:proofErr w:type="spellEnd"/>
      <w:r w:rsidRPr="002E7E33">
        <w:rPr>
          <w:rFonts w:asciiTheme="majorHAnsi" w:hAnsiTheme="majorHAnsi" w:cstheme="majorHAnsi"/>
          <w:sz w:val="20"/>
          <w:szCs w:val="20"/>
        </w:rPr>
        <w:t xml:space="preserve"> complex in its original state, and the changes that have occurred in the mosque and its surroundings over time. By examining characteristics outlined in the historical documents, we aim to pinpoint the factors that have led to these changes. The description of the initial conditions of the complex is crucial in determining significance and unique place in the history of architecture</w:t>
      </w:r>
      <w:r w:rsidR="0079305C" w:rsidRPr="0079305C">
        <w:rPr>
          <w:rFonts w:asciiTheme="majorHAnsi" w:hAnsiTheme="majorHAnsi" w:cstheme="majorHAnsi"/>
          <w:sz w:val="20"/>
          <w:szCs w:val="20"/>
        </w:rPr>
        <w:t xml:space="preserve">. </w:t>
      </w:r>
    </w:p>
    <w:p w14:paraId="43D3B8AA" w14:textId="77777777" w:rsidR="002E7E33" w:rsidRDefault="002E7E33" w:rsidP="002E7E33">
      <w:pPr>
        <w:ind w:firstLine="284"/>
        <w:jc w:val="both"/>
        <w:rPr>
          <w:rFonts w:asciiTheme="majorHAnsi" w:hAnsiTheme="majorHAnsi" w:cstheme="majorHAnsi"/>
          <w:sz w:val="20"/>
          <w:szCs w:val="20"/>
        </w:rPr>
      </w:pPr>
    </w:p>
    <w:p w14:paraId="0A2003F5" w14:textId="78029843" w:rsidR="002E7E33" w:rsidRDefault="002E7E33" w:rsidP="002E7E33">
      <w:pPr>
        <w:pStyle w:val="ListParagraph"/>
        <w:numPr>
          <w:ilvl w:val="1"/>
          <w:numId w:val="2"/>
        </w:numPr>
        <w:ind w:left="567" w:hanging="284"/>
        <w:jc w:val="both"/>
        <w:rPr>
          <w:rFonts w:asciiTheme="minorHAnsi" w:hAnsiTheme="minorHAnsi" w:cstheme="minorHAnsi"/>
          <w:b/>
          <w:bCs/>
          <w:sz w:val="18"/>
          <w:szCs w:val="18"/>
        </w:rPr>
      </w:pPr>
      <w:r w:rsidRPr="002E7E33">
        <w:rPr>
          <w:rFonts w:asciiTheme="minorHAnsi" w:hAnsiTheme="minorHAnsi" w:cstheme="minorHAnsi"/>
          <w:b/>
          <w:bCs/>
          <w:sz w:val="18"/>
          <w:szCs w:val="18"/>
        </w:rPr>
        <w:t>PREVIOUS STUDIES OR RESEARCH</w:t>
      </w:r>
    </w:p>
    <w:p w14:paraId="64A92466" w14:textId="30BC142D" w:rsidR="002E7E33" w:rsidRDefault="002E7E33" w:rsidP="00064475">
      <w:pPr>
        <w:ind w:left="284" w:firstLine="284"/>
        <w:jc w:val="both"/>
        <w:rPr>
          <w:rFonts w:asciiTheme="majorHAnsi" w:eastAsia="Times New Roman" w:hAnsiTheme="majorHAnsi" w:cstheme="majorHAnsi"/>
          <w:sz w:val="20"/>
          <w:szCs w:val="20"/>
          <w:lang w:val="id-ID" w:eastAsia="ko-KR"/>
        </w:rPr>
      </w:pPr>
      <w:r w:rsidRPr="002E7E33">
        <w:rPr>
          <w:rFonts w:asciiTheme="majorHAnsi" w:eastAsia="Times New Roman" w:hAnsiTheme="majorHAnsi" w:cstheme="majorHAnsi"/>
          <w:sz w:val="20"/>
          <w:szCs w:val="20"/>
          <w:lang w:val="id-ID" w:eastAsia="ko-KR"/>
        </w:rPr>
        <w:t xml:space="preserve">Numerous research has been dedicated to understanding of the architectural features of the Muzaffariyya complex and the Goy-Masjid. These studies have played a crucial role in establishing the importance of the </w:t>
      </w:r>
      <w:r w:rsidRPr="002E7E33">
        <w:rPr>
          <w:rFonts w:asciiTheme="majorHAnsi" w:eastAsia="Times New Roman" w:hAnsiTheme="majorHAnsi" w:cstheme="majorHAnsi"/>
          <w:sz w:val="20"/>
          <w:szCs w:val="20"/>
          <w:lang w:val="id-ID" w:eastAsia="ko-KR"/>
        </w:rPr>
        <w:lastRenderedPageBreak/>
        <w:t>Goy-Masjid and other elements of the complex in the history of Iranian architecture. In Table 1, we summarizes of some critical research that has contributed to our understanding of the complex and its Elements</w:t>
      </w:r>
      <w:r w:rsidRPr="00D132AE">
        <w:rPr>
          <w:rFonts w:asciiTheme="majorHAnsi" w:eastAsia="Times New Roman" w:hAnsiTheme="majorHAnsi" w:cstheme="majorHAnsi"/>
          <w:sz w:val="20"/>
          <w:szCs w:val="20"/>
          <w:lang w:val="id-ID" w:eastAsia="ko-KR"/>
        </w:rPr>
        <w:t>.</w:t>
      </w:r>
    </w:p>
    <w:p w14:paraId="64B3494A" w14:textId="77777777" w:rsidR="002E7E33" w:rsidRDefault="002E7E33" w:rsidP="002E7E33">
      <w:pPr>
        <w:ind w:firstLine="284"/>
        <w:jc w:val="both"/>
        <w:rPr>
          <w:rFonts w:asciiTheme="majorHAnsi" w:eastAsia="Times New Roman" w:hAnsiTheme="majorHAnsi" w:cstheme="majorHAnsi"/>
          <w:sz w:val="20"/>
          <w:szCs w:val="20"/>
          <w:lang w:val="id-ID" w:eastAsia="ko-KR"/>
        </w:rPr>
      </w:pPr>
    </w:p>
    <w:tbl>
      <w:tblPr>
        <w:tblW w:w="9075" w:type="dxa"/>
        <w:jc w:val="center"/>
        <w:tblLayout w:type="fixed"/>
        <w:tblLook w:val="0000" w:firstRow="0" w:lastRow="0" w:firstColumn="0" w:lastColumn="0" w:noHBand="0" w:noVBand="0"/>
      </w:tblPr>
      <w:tblGrid>
        <w:gridCol w:w="2410"/>
        <w:gridCol w:w="2690"/>
        <w:gridCol w:w="3975"/>
      </w:tblGrid>
      <w:tr w:rsidR="002E7E33" w:rsidRPr="005E66A5" w14:paraId="3839A0CD" w14:textId="469A0FC9" w:rsidTr="00BA6C62">
        <w:trPr>
          <w:trHeight w:val="284"/>
          <w:jc w:val="center"/>
        </w:trPr>
        <w:tc>
          <w:tcPr>
            <w:tcW w:w="9075" w:type="dxa"/>
            <w:gridSpan w:val="3"/>
            <w:tcBorders>
              <w:bottom w:val="single" w:sz="4" w:space="0" w:color="auto"/>
            </w:tcBorders>
          </w:tcPr>
          <w:p w14:paraId="1F5C6AD0" w14:textId="76CC1524" w:rsidR="002E7E33" w:rsidRPr="005E66A5" w:rsidRDefault="002E7E33" w:rsidP="00F5327D">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1. </w:t>
            </w:r>
            <w:r w:rsidRPr="002E7E33">
              <w:rPr>
                <w:rFonts w:asciiTheme="majorHAnsi" w:hAnsiTheme="majorHAnsi" w:cstheme="majorHAnsi"/>
                <w:bCs/>
                <w:sz w:val="16"/>
                <w:szCs w:val="16"/>
              </w:rPr>
              <w:t>Some of the previous studies or research</w:t>
            </w:r>
          </w:p>
        </w:tc>
      </w:tr>
      <w:tr w:rsidR="002E7E33" w:rsidRPr="005E66A5" w14:paraId="6D956966" w14:textId="77777777" w:rsidTr="00BA6C62">
        <w:trPr>
          <w:trHeight w:val="85"/>
          <w:jc w:val="center"/>
        </w:trPr>
        <w:tc>
          <w:tcPr>
            <w:tcW w:w="9075" w:type="dxa"/>
            <w:gridSpan w:val="3"/>
            <w:tcBorders>
              <w:top w:val="single" w:sz="4" w:space="0" w:color="auto"/>
              <w:left w:val="nil"/>
              <w:right w:val="nil"/>
            </w:tcBorders>
          </w:tcPr>
          <w:p w14:paraId="33415CE4" w14:textId="48126118" w:rsidR="002E7E33" w:rsidRPr="002E7E33" w:rsidRDefault="002E7E33" w:rsidP="002E7E33">
            <w:pPr>
              <w:spacing w:line="264" w:lineRule="auto"/>
              <w:jc w:val="center"/>
              <w:rPr>
                <w:rFonts w:asciiTheme="majorHAnsi" w:hAnsiTheme="majorHAnsi" w:cstheme="majorHAnsi"/>
                <w:bCs/>
                <w:sz w:val="16"/>
                <w:szCs w:val="16"/>
              </w:rPr>
            </w:pPr>
            <w:r w:rsidRPr="002E7E33">
              <w:rPr>
                <w:rFonts w:asciiTheme="majorHAnsi" w:hAnsiTheme="majorHAnsi" w:cstheme="majorHAnsi"/>
                <w:bCs/>
                <w:sz w:val="16"/>
                <w:szCs w:val="16"/>
              </w:rPr>
              <w:t>Research title</w:t>
            </w:r>
          </w:p>
        </w:tc>
      </w:tr>
      <w:tr w:rsidR="002E7E33" w:rsidRPr="005E66A5" w14:paraId="76AF9599" w14:textId="377A8168" w:rsidTr="00BA6C62">
        <w:trPr>
          <w:trHeight w:val="85"/>
          <w:jc w:val="center"/>
        </w:trPr>
        <w:tc>
          <w:tcPr>
            <w:tcW w:w="2410" w:type="dxa"/>
            <w:tcBorders>
              <w:left w:val="nil"/>
              <w:bottom w:val="single" w:sz="4" w:space="0" w:color="auto"/>
              <w:right w:val="nil"/>
            </w:tcBorders>
          </w:tcPr>
          <w:p w14:paraId="15DAA08E" w14:textId="70DFB55B" w:rsidR="002E7E33" w:rsidRPr="005E66A5" w:rsidRDefault="002E7E33" w:rsidP="002E7E33">
            <w:pPr>
              <w:spacing w:line="264" w:lineRule="auto"/>
              <w:rPr>
                <w:rFonts w:asciiTheme="majorHAnsi" w:hAnsiTheme="majorHAnsi" w:cstheme="majorHAnsi"/>
                <w:bCs/>
                <w:sz w:val="16"/>
                <w:szCs w:val="16"/>
              </w:rPr>
            </w:pPr>
            <w:r w:rsidRPr="002E7E33">
              <w:rPr>
                <w:rFonts w:asciiTheme="majorHAnsi" w:hAnsiTheme="majorHAnsi" w:cstheme="majorHAnsi"/>
                <w:bCs/>
                <w:sz w:val="16"/>
                <w:szCs w:val="16"/>
              </w:rPr>
              <w:t xml:space="preserve">Authors and </w:t>
            </w:r>
            <w:r>
              <w:rPr>
                <w:rFonts w:asciiTheme="majorHAnsi" w:hAnsiTheme="majorHAnsi" w:cstheme="majorHAnsi"/>
                <w:bCs/>
                <w:sz w:val="16"/>
                <w:szCs w:val="16"/>
              </w:rPr>
              <w:t>P</w:t>
            </w:r>
            <w:r w:rsidRPr="002E7E33">
              <w:rPr>
                <w:rFonts w:asciiTheme="majorHAnsi" w:hAnsiTheme="majorHAnsi" w:cstheme="majorHAnsi"/>
                <w:bCs/>
                <w:sz w:val="16"/>
                <w:szCs w:val="16"/>
              </w:rPr>
              <w:t xml:space="preserve">ublication </w:t>
            </w:r>
            <w:r>
              <w:rPr>
                <w:rFonts w:asciiTheme="majorHAnsi" w:hAnsiTheme="majorHAnsi" w:cstheme="majorHAnsi"/>
                <w:bCs/>
                <w:sz w:val="16"/>
                <w:szCs w:val="16"/>
              </w:rPr>
              <w:t>Y</w:t>
            </w:r>
            <w:r w:rsidRPr="002E7E33">
              <w:rPr>
                <w:rFonts w:asciiTheme="majorHAnsi" w:hAnsiTheme="majorHAnsi" w:cstheme="majorHAnsi"/>
                <w:bCs/>
                <w:sz w:val="16"/>
                <w:szCs w:val="16"/>
              </w:rPr>
              <w:t>ear</w:t>
            </w:r>
          </w:p>
        </w:tc>
        <w:tc>
          <w:tcPr>
            <w:tcW w:w="2690" w:type="dxa"/>
            <w:tcBorders>
              <w:left w:val="nil"/>
              <w:bottom w:val="single" w:sz="4" w:space="0" w:color="auto"/>
              <w:right w:val="nil"/>
            </w:tcBorders>
          </w:tcPr>
          <w:p w14:paraId="7F4E3762" w14:textId="48465EB4" w:rsidR="002E7E33" w:rsidRPr="005E66A5" w:rsidRDefault="002E7E33" w:rsidP="002E7E33">
            <w:pPr>
              <w:spacing w:line="264" w:lineRule="auto"/>
              <w:rPr>
                <w:rFonts w:asciiTheme="majorHAnsi" w:hAnsiTheme="majorHAnsi" w:cstheme="majorHAnsi"/>
                <w:bCs/>
                <w:sz w:val="16"/>
                <w:szCs w:val="16"/>
              </w:rPr>
            </w:pPr>
            <w:r w:rsidRPr="002E7E33">
              <w:rPr>
                <w:rFonts w:asciiTheme="majorHAnsi" w:hAnsiTheme="majorHAnsi" w:cstheme="majorHAnsi"/>
                <w:bCs/>
                <w:sz w:val="16"/>
                <w:szCs w:val="16"/>
              </w:rPr>
              <w:t>Research question or purpose</w:t>
            </w:r>
          </w:p>
        </w:tc>
        <w:tc>
          <w:tcPr>
            <w:tcW w:w="3972" w:type="dxa"/>
            <w:tcBorders>
              <w:left w:val="nil"/>
              <w:bottom w:val="single" w:sz="4" w:space="0" w:color="auto"/>
              <w:right w:val="nil"/>
            </w:tcBorders>
          </w:tcPr>
          <w:p w14:paraId="71C3566F" w14:textId="1260B746" w:rsidR="002E7E33" w:rsidRPr="002E7E33" w:rsidRDefault="002E7E33" w:rsidP="002E7E33">
            <w:pPr>
              <w:spacing w:line="264" w:lineRule="auto"/>
              <w:rPr>
                <w:rFonts w:asciiTheme="majorHAnsi" w:hAnsiTheme="majorHAnsi" w:cstheme="majorHAnsi"/>
                <w:bCs/>
                <w:sz w:val="16"/>
                <w:szCs w:val="16"/>
              </w:rPr>
            </w:pPr>
            <w:r w:rsidRPr="002E7E33">
              <w:rPr>
                <w:rFonts w:asciiTheme="majorHAnsi" w:hAnsiTheme="majorHAnsi" w:cstheme="majorHAnsi"/>
                <w:bCs/>
                <w:sz w:val="16"/>
                <w:szCs w:val="16"/>
              </w:rPr>
              <w:t>Research content - results</w:t>
            </w:r>
          </w:p>
        </w:tc>
      </w:tr>
      <w:tr w:rsidR="002E7E33" w:rsidRPr="005E66A5" w14:paraId="2F7CB81D" w14:textId="6DD7D07D" w:rsidTr="00064475">
        <w:trPr>
          <w:cantSplit/>
          <w:jc w:val="center"/>
        </w:trPr>
        <w:tc>
          <w:tcPr>
            <w:tcW w:w="9075" w:type="dxa"/>
            <w:gridSpan w:val="3"/>
            <w:tcBorders>
              <w:top w:val="single" w:sz="4" w:space="0" w:color="auto"/>
              <w:left w:val="nil"/>
              <w:right w:val="nil"/>
            </w:tcBorders>
          </w:tcPr>
          <w:p w14:paraId="0B664878" w14:textId="40DB3358" w:rsidR="002E7E33" w:rsidRPr="005E66A5" w:rsidRDefault="002E7E33" w:rsidP="002E7E33">
            <w:pPr>
              <w:spacing w:line="264" w:lineRule="auto"/>
              <w:rPr>
                <w:rFonts w:asciiTheme="majorHAnsi" w:hAnsiTheme="majorHAnsi" w:cstheme="majorHAnsi"/>
                <w:bCs/>
                <w:sz w:val="16"/>
                <w:szCs w:val="16"/>
              </w:rPr>
            </w:pPr>
            <w:r w:rsidRPr="002E7E33">
              <w:rPr>
                <w:rFonts w:asciiTheme="majorHAnsi" w:hAnsiTheme="majorHAnsi" w:cstheme="majorHAnsi"/>
                <w:bCs/>
                <w:sz w:val="16"/>
                <w:szCs w:val="16"/>
              </w:rPr>
              <w:t xml:space="preserve">Imaginary reconstruction of Tabriz's </w:t>
            </w:r>
            <w:proofErr w:type="spellStart"/>
            <w:r w:rsidRPr="002E7E33">
              <w:rPr>
                <w:rFonts w:asciiTheme="majorHAnsi" w:hAnsiTheme="majorHAnsi" w:cstheme="majorHAnsi"/>
                <w:bCs/>
                <w:sz w:val="16"/>
                <w:szCs w:val="16"/>
              </w:rPr>
              <w:t>Muzaffariyya</w:t>
            </w:r>
            <w:proofErr w:type="spellEnd"/>
            <w:r w:rsidRPr="002E7E33">
              <w:rPr>
                <w:rFonts w:asciiTheme="majorHAnsi" w:hAnsiTheme="majorHAnsi" w:cstheme="majorHAnsi"/>
                <w:bCs/>
                <w:sz w:val="16"/>
                <w:szCs w:val="16"/>
              </w:rPr>
              <w:t xml:space="preserve"> mansion complex (Goy-Masjid) based on historical documents and texts - (Journal of </w:t>
            </w:r>
            <w:proofErr w:type="spellStart"/>
            <w:r w:rsidRPr="002E7E33">
              <w:rPr>
                <w:rFonts w:asciiTheme="majorHAnsi" w:hAnsiTheme="majorHAnsi" w:cstheme="majorHAnsi"/>
                <w:bCs/>
                <w:sz w:val="16"/>
                <w:szCs w:val="16"/>
              </w:rPr>
              <w:t>Pazhohesh</w:t>
            </w:r>
            <w:proofErr w:type="spellEnd"/>
            <w:r w:rsidRPr="002E7E33">
              <w:rPr>
                <w:rFonts w:asciiTheme="majorHAnsi" w:hAnsiTheme="majorHAnsi" w:cstheme="majorHAnsi"/>
                <w:bCs/>
                <w:sz w:val="16"/>
                <w:szCs w:val="16"/>
              </w:rPr>
              <w:t xml:space="preserve"> Honar)</w:t>
            </w:r>
          </w:p>
        </w:tc>
      </w:tr>
      <w:tr w:rsidR="002E7E33" w:rsidRPr="005E66A5" w14:paraId="59788205" w14:textId="6DF6DD36" w:rsidTr="00064475">
        <w:trPr>
          <w:jc w:val="center"/>
        </w:trPr>
        <w:tc>
          <w:tcPr>
            <w:tcW w:w="2410" w:type="dxa"/>
          </w:tcPr>
          <w:p w14:paraId="5EAFF757" w14:textId="5FE61DE2" w:rsidR="002E7E33" w:rsidRPr="005E66A5" w:rsidRDefault="002E7E33" w:rsidP="00F5327D">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Ahad Nejad Ebrahimi – Farzin Hag </w:t>
            </w:r>
            <w:proofErr w:type="spellStart"/>
            <w:r w:rsidRPr="002E7E33">
              <w:rPr>
                <w:rFonts w:asciiTheme="majorHAnsi" w:hAnsiTheme="majorHAnsi" w:cstheme="majorHAnsi"/>
                <w:bCs/>
                <w:sz w:val="16"/>
                <w:szCs w:val="16"/>
              </w:rPr>
              <w:t>Parast</w:t>
            </w:r>
            <w:proofErr w:type="spellEnd"/>
            <w:r w:rsidRPr="002E7E33">
              <w:rPr>
                <w:rFonts w:asciiTheme="majorHAnsi" w:hAnsiTheme="majorHAnsi" w:cstheme="majorHAnsi"/>
                <w:bCs/>
                <w:sz w:val="16"/>
                <w:szCs w:val="16"/>
              </w:rPr>
              <w:t xml:space="preserve"> (2014) [1]</w:t>
            </w:r>
          </w:p>
        </w:tc>
        <w:tc>
          <w:tcPr>
            <w:tcW w:w="2690" w:type="dxa"/>
          </w:tcPr>
          <w:p w14:paraId="1FB0B766" w14:textId="604EA9EE"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The purpose of the research is to clarify the relationship between the architectural elements of the </w:t>
            </w:r>
            <w:proofErr w:type="spellStart"/>
            <w:r w:rsidRPr="002E7E33">
              <w:rPr>
                <w:rFonts w:asciiTheme="majorHAnsi" w:hAnsiTheme="majorHAnsi" w:cstheme="majorHAnsi"/>
                <w:bCs/>
                <w:sz w:val="16"/>
                <w:szCs w:val="16"/>
              </w:rPr>
              <w:t>Muzaffariyya</w:t>
            </w:r>
            <w:proofErr w:type="spellEnd"/>
            <w:r w:rsidRPr="002E7E33">
              <w:rPr>
                <w:rFonts w:asciiTheme="majorHAnsi" w:hAnsiTheme="majorHAnsi" w:cstheme="majorHAnsi"/>
                <w:bCs/>
                <w:sz w:val="16"/>
                <w:szCs w:val="16"/>
              </w:rPr>
              <w:t xml:space="preserve"> complex and their urban relations</w:t>
            </w:r>
          </w:p>
        </w:tc>
        <w:tc>
          <w:tcPr>
            <w:tcW w:w="3972" w:type="dxa"/>
          </w:tcPr>
          <w:p w14:paraId="3291549B" w14:textId="071F20F6"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It is stated that the complex belongs to the Turkoman </w:t>
            </w:r>
            <w:proofErr w:type="gramStart"/>
            <w:r w:rsidRPr="002E7E33">
              <w:rPr>
                <w:rFonts w:asciiTheme="majorHAnsi" w:hAnsiTheme="majorHAnsi" w:cstheme="majorHAnsi"/>
                <w:bCs/>
                <w:sz w:val="16"/>
                <w:szCs w:val="16"/>
              </w:rPr>
              <w:t>period  and</w:t>
            </w:r>
            <w:proofErr w:type="gramEnd"/>
            <w:r w:rsidRPr="002E7E33">
              <w:rPr>
                <w:rFonts w:asciiTheme="majorHAnsi" w:hAnsiTheme="majorHAnsi" w:cstheme="majorHAnsi"/>
                <w:bCs/>
                <w:sz w:val="16"/>
                <w:szCs w:val="16"/>
              </w:rPr>
              <w:t xml:space="preserve"> the introduction of this government. Based on historical writings and images, the location, architecture, and related elements of the mosque from before the </w:t>
            </w:r>
            <w:proofErr w:type="gramStart"/>
            <w:r w:rsidRPr="002E7E33">
              <w:rPr>
                <w:rFonts w:asciiTheme="majorHAnsi" w:hAnsiTheme="majorHAnsi" w:cstheme="majorHAnsi"/>
                <w:bCs/>
                <w:sz w:val="16"/>
                <w:szCs w:val="16"/>
              </w:rPr>
              <w:t>Qajar  to</w:t>
            </w:r>
            <w:proofErr w:type="gramEnd"/>
            <w:r w:rsidRPr="002E7E33">
              <w:rPr>
                <w:rFonts w:asciiTheme="majorHAnsi" w:hAnsiTheme="majorHAnsi" w:cstheme="majorHAnsi"/>
                <w:bCs/>
                <w:sz w:val="16"/>
                <w:szCs w:val="16"/>
              </w:rPr>
              <w:t xml:space="preserve"> the Pahlavi period  have been investigated and </w:t>
            </w:r>
            <w:proofErr w:type="spellStart"/>
            <w:r w:rsidRPr="002E7E33">
              <w:rPr>
                <w:rFonts w:asciiTheme="majorHAnsi" w:hAnsiTheme="majorHAnsi" w:cstheme="majorHAnsi"/>
                <w:bCs/>
                <w:sz w:val="16"/>
                <w:szCs w:val="16"/>
              </w:rPr>
              <w:t>analyzed</w:t>
            </w:r>
            <w:proofErr w:type="spellEnd"/>
            <w:r w:rsidRPr="002E7E33">
              <w:rPr>
                <w:rFonts w:asciiTheme="majorHAnsi" w:hAnsiTheme="majorHAnsi" w:cstheme="majorHAnsi"/>
                <w:bCs/>
                <w:sz w:val="16"/>
                <w:szCs w:val="16"/>
              </w:rPr>
              <w:t>. The position of the elements around the mosque is specified. In conclusion, the elements of the complex and its changes have been identified</w:t>
            </w:r>
          </w:p>
        </w:tc>
      </w:tr>
      <w:tr w:rsidR="002E7E33" w:rsidRPr="005E66A5" w14:paraId="65BDADB7" w14:textId="0C679F0B" w:rsidTr="00064475">
        <w:trPr>
          <w:jc w:val="center"/>
        </w:trPr>
        <w:tc>
          <w:tcPr>
            <w:tcW w:w="9075" w:type="dxa"/>
            <w:gridSpan w:val="3"/>
          </w:tcPr>
          <w:p w14:paraId="7E4D2F93" w14:textId="6A952A2E"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The Goy-Masjid or </w:t>
            </w:r>
            <w:proofErr w:type="spellStart"/>
            <w:r w:rsidRPr="002E7E33">
              <w:rPr>
                <w:rFonts w:asciiTheme="majorHAnsi" w:hAnsiTheme="majorHAnsi" w:cstheme="majorHAnsi"/>
                <w:bCs/>
                <w:sz w:val="16"/>
                <w:szCs w:val="16"/>
              </w:rPr>
              <w:t>Muzaffariyya</w:t>
            </w:r>
            <w:proofErr w:type="spellEnd"/>
            <w:r w:rsidRPr="002E7E33">
              <w:rPr>
                <w:rFonts w:asciiTheme="majorHAnsi" w:hAnsiTheme="majorHAnsi" w:cstheme="majorHAnsi"/>
                <w:bCs/>
                <w:sz w:val="16"/>
                <w:szCs w:val="16"/>
              </w:rPr>
              <w:t xml:space="preserve"> Mansion - (Journal of Faculty of Literature and Human Sciences, University of Tabriz)</w:t>
            </w:r>
          </w:p>
        </w:tc>
      </w:tr>
      <w:tr w:rsidR="002E7E33" w:rsidRPr="005E66A5" w14:paraId="16029A5B" w14:textId="72271EA6" w:rsidTr="00064475">
        <w:trPr>
          <w:jc w:val="center"/>
        </w:trPr>
        <w:tc>
          <w:tcPr>
            <w:tcW w:w="2410" w:type="dxa"/>
            <w:tcBorders>
              <w:left w:val="nil"/>
              <w:right w:val="nil"/>
            </w:tcBorders>
          </w:tcPr>
          <w:p w14:paraId="38BE4443" w14:textId="462605AB" w:rsidR="002E7E33" w:rsidRPr="005E66A5" w:rsidRDefault="002E7E33" w:rsidP="00F5327D">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Hossein </w:t>
            </w:r>
            <w:proofErr w:type="spellStart"/>
            <w:r w:rsidRPr="002E7E33">
              <w:rPr>
                <w:rFonts w:asciiTheme="majorHAnsi" w:hAnsiTheme="majorHAnsi" w:cstheme="majorHAnsi"/>
                <w:bCs/>
                <w:sz w:val="16"/>
                <w:szCs w:val="16"/>
              </w:rPr>
              <w:t>Nakhjovani</w:t>
            </w:r>
            <w:proofErr w:type="spellEnd"/>
            <w:r w:rsidRPr="002E7E33">
              <w:rPr>
                <w:rFonts w:asciiTheme="majorHAnsi" w:hAnsiTheme="majorHAnsi" w:cstheme="majorHAnsi"/>
                <w:bCs/>
                <w:sz w:val="16"/>
                <w:szCs w:val="16"/>
              </w:rPr>
              <w:t xml:space="preserve"> (1947) [2]</w:t>
            </w:r>
          </w:p>
        </w:tc>
        <w:tc>
          <w:tcPr>
            <w:tcW w:w="2690" w:type="dxa"/>
            <w:tcBorders>
              <w:left w:val="nil"/>
              <w:right w:val="nil"/>
            </w:tcBorders>
          </w:tcPr>
          <w:p w14:paraId="764D7EB3" w14:textId="10A0BA8A" w:rsidR="002E7E33" w:rsidRPr="005E66A5" w:rsidRDefault="002E7E33" w:rsidP="00F5327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w:t>
            </w:r>
          </w:p>
        </w:tc>
        <w:tc>
          <w:tcPr>
            <w:tcW w:w="3972" w:type="dxa"/>
            <w:tcBorders>
              <w:left w:val="nil"/>
              <w:right w:val="nil"/>
            </w:tcBorders>
          </w:tcPr>
          <w:p w14:paraId="61CFB712" w14:textId="1B21D798"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It describes the current state of the mosque, the </w:t>
            </w:r>
            <w:proofErr w:type="spellStart"/>
            <w:r w:rsidRPr="002E7E33">
              <w:rPr>
                <w:rFonts w:asciiTheme="majorHAnsi" w:hAnsiTheme="majorHAnsi" w:cstheme="majorHAnsi"/>
                <w:bCs/>
                <w:sz w:val="16"/>
                <w:szCs w:val="16"/>
              </w:rPr>
              <w:t>Qaraquyunlu</w:t>
            </w:r>
            <w:proofErr w:type="spellEnd"/>
            <w:r w:rsidRPr="002E7E33">
              <w:rPr>
                <w:rFonts w:asciiTheme="majorHAnsi" w:hAnsiTheme="majorHAnsi" w:cstheme="majorHAnsi"/>
                <w:bCs/>
                <w:sz w:val="16"/>
                <w:szCs w:val="16"/>
              </w:rPr>
              <w:t xml:space="preserve">, praises the embellishments and inscriptions inside and outside the mosque, and the writings of </w:t>
            </w:r>
            <w:proofErr w:type="spellStart"/>
            <w:r w:rsidRPr="002E7E33">
              <w:rPr>
                <w:rFonts w:asciiTheme="majorHAnsi" w:hAnsiTheme="majorHAnsi" w:cstheme="majorHAnsi"/>
                <w:bCs/>
                <w:sz w:val="16"/>
                <w:szCs w:val="16"/>
              </w:rPr>
              <w:t>travelers</w:t>
            </w:r>
            <w:proofErr w:type="spellEnd"/>
          </w:p>
        </w:tc>
      </w:tr>
      <w:tr w:rsidR="002E7E33" w:rsidRPr="005E66A5" w14:paraId="3DFED8C5" w14:textId="77777777" w:rsidTr="00064475">
        <w:trPr>
          <w:jc w:val="center"/>
        </w:trPr>
        <w:tc>
          <w:tcPr>
            <w:tcW w:w="9075" w:type="dxa"/>
            <w:gridSpan w:val="3"/>
            <w:tcBorders>
              <w:left w:val="nil"/>
              <w:right w:val="nil"/>
            </w:tcBorders>
          </w:tcPr>
          <w:p w14:paraId="4507240D" w14:textId="209E9DCC"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The Goy-Masjid yesterday-today - (From the collection of articles of the 3rd Congress of the history of architecture and urbanism of Iran)</w:t>
            </w:r>
          </w:p>
        </w:tc>
      </w:tr>
      <w:tr w:rsidR="002E7E33" w:rsidRPr="005E66A5" w14:paraId="776A8074" w14:textId="77777777" w:rsidTr="00064475">
        <w:trPr>
          <w:jc w:val="center"/>
        </w:trPr>
        <w:tc>
          <w:tcPr>
            <w:tcW w:w="2410" w:type="dxa"/>
            <w:tcBorders>
              <w:left w:val="nil"/>
              <w:right w:val="nil"/>
            </w:tcBorders>
          </w:tcPr>
          <w:p w14:paraId="726EF5C1" w14:textId="402F30E7" w:rsidR="002E7E33" w:rsidRPr="005E66A5" w:rsidRDefault="002E7E33" w:rsidP="00F5327D">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Abdul Rahman </w:t>
            </w:r>
            <w:proofErr w:type="spellStart"/>
            <w:r w:rsidRPr="002E7E33">
              <w:rPr>
                <w:rFonts w:asciiTheme="majorHAnsi" w:hAnsiTheme="majorHAnsi" w:cstheme="majorHAnsi"/>
                <w:bCs/>
                <w:sz w:val="16"/>
                <w:szCs w:val="16"/>
              </w:rPr>
              <w:t>Wahabzadeh</w:t>
            </w:r>
            <w:proofErr w:type="spellEnd"/>
            <w:r w:rsidRPr="002E7E33">
              <w:rPr>
                <w:rFonts w:asciiTheme="majorHAnsi" w:hAnsiTheme="majorHAnsi" w:cstheme="majorHAnsi"/>
                <w:bCs/>
                <w:sz w:val="16"/>
                <w:szCs w:val="16"/>
              </w:rPr>
              <w:t xml:space="preserve"> (2006) [3]</w:t>
            </w:r>
          </w:p>
        </w:tc>
        <w:tc>
          <w:tcPr>
            <w:tcW w:w="2690" w:type="dxa"/>
            <w:tcBorders>
              <w:left w:val="nil"/>
              <w:right w:val="nil"/>
            </w:tcBorders>
          </w:tcPr>
          <w:p w14:paraId="25D6D5F1" w14:textId="6D73EBF3" w:rsidR="002E7E33" w:rsidRPr="005E66A5" w:rsidRDefault="002E7E33" w:rsidP="00F5327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w:t>
            </w:r>
          </w:p>
        </w:tc>
        <w:tc>
          <w:tcPr>
            <w:tcW w:w="3972" w:type="dxa"/>
            <w:tcBorders>
              <w:left w:val="nil"/>
              <w:right w:val="nil"/>
            </w:tcBorders>
          </w:tcPr>
          <w:p w14:paraId="3DDA3686" w14:textId="61A5A8E6"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Described the founder of the complex, history, the mosque's deed of endowment, the writings of historians and </w:t>
            </w:r>
            <w:proofErr w:type="spellStart"/>
            <w:r w:rsidRPr="002E7E33">
              <w:rPr>
                <w:rFonts w:asciiTheme="majorHAnsi" w:hAnsiTheme="majorHAnsi" w:cstheme="majorHAnsi"/>
                <w:bCs/>
                <w:sz w:val="16"/>
                <w:szCs w:val="16"/>
              </w:rPr>
              <w:t>travelers</w:t>
            </w:r>
            <w:proofErr w:type="spellEnd"/>
            <w:r w:rsidRPr="002E7E33">
              <w:rPr>
                <w:rFonts w:asciiTheme="majorHAnsi" w:hAnsiTheme="majorHAnsi" w:cstheme="majorHAnsi"/>
                <w:bCs/>
                <w:sz w:val="16"/>
                <w:szCs w:val="16"/>
              </w:rPr>
              <w:t>, the causes of the damages, repairs, the characteristics of the dome, comparison of the mosque with examples of the Islamic world, the architecture of the mosque, restoration, archaeological research, and exploration around the mosque.</w:t>
            </w:r>
          </w:p>
        </w:tc>
      </w:tr>
      <w:tr w:rsidR="002E7E33" w:rsidRPr="005E66A5" w14:paraId="2A1541AE" w14:textId="77777777" w:rsidTr="00064475">
        <w:trPr>
          <w:jc w:val="center"/>
        </w:trPr>
        <w:tc>
          <w:tcPr>
            <w:tcW w:w="9075" w:type="dxa"/>
            <w:gridSpan w:val="3"/>
            <w:tcBorders>
              <w:left w:val="nil"/>
              <w:right w:val="nil"/>
            </w:tcBorders>
          </w:tcPr>
          <w:p w14:paraId="0313CFBD" w14:textId="574DDDB4"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The relationship between the </w:t>
            </w:r>
            <w:proofErr w:type="spellStart"/>
            <w:r w:rsidRPr="002E7E33">
              <w:rPr>
                <w:rFonts w:asciiTheme="majorHAnsi" w:hAnsiTheme="majorHAnsi" w:cstheme="majorHAnsi"/>
                <w:bCs/>
                <w:sz w:val="16"/>
                <w:szCs w:val="16"/>
              </w:rPr>
              <w:t>Muzaffariyya</w:t>
            </w:r>
            <w:proofErr w:type="spellEnd"/>
            <w:r w:rsidRPr="002E7E33">
              <w:rPr>
                <w:rFonts w:asciiTheme="majorHAnsi" w:hAnsiTheme="majorHAnsi" w:cstheme="majorHAnsi"/>
                <w:bCs/>
                <w:sz w:val="16"/>
                <w:szCs w:val="16"/>
              </w:rPr>
              <w:t xml:space="preserve"> complex and the spatial organization of Tabriz city from the </w:t>
            </w:r>
            <w:proofErr w:type="spellStart"/>
            <w:r w:rsidRPr="002E7E33">
              <w:rPr>
                <w:rFonts w:asciiTheme="majorHAnsi" w:hAnsiTheme="majorHAnsi" w:cstheme="majorHAnsi"/>
                <w:bCs/>
                <w:sz w:val="16"/>
                <w:szCs w:val="16"/>
              </w:rPr>
              <w:t>Qaraquyunlus</w:t>
            </w:r>
            <w:proofErr w:type="spellEnd"/>
            <w:r w:rsidRPr="002E7E33">
              <w:rPr>
                <w:rFonts w:asciiTheme="majorHAnsi" w:hAnsiTheme="majorHAnsi" w:cstheme="majorHAnsi"/>
                <w:bCs/>
                <w:sz w:val="16"/>
                <w:szCs w:val="16"/>
              </w:rPr>
              <w:t xml:space="preserve"> period to the Qajar period - (Bagh Nazar Journal)</w:t>
            </w:r>
          </w:p>
        </w:tc>
      </w:tr>
      <w:tr w:rsidR="002E7E33" w:rsidRPr="005E66A5" w14:paraId="37FFA1E2" w14:textId="77777777" w:rsidTr="00064475">
        <w:trPr>
          <w:jc w:val="center"/>
        </w:trPr>
        <w:tc>
          <w:tcPr>
            <w:tcW w:w="2410" w:type="dxa"/>
            <w:tcBorders>
              <w:left w:val="nil"/>
              <w:right w:val="nil"/>
            </w:tcBorders>
          </w:tcPr>
          <w:p w14:paraId="3595EDD9" w14:textId="4963C75C" w:rsidR="002E7E33" w:rsidRPr="005E66A5" w:rsidRDefault="002E7E33" w:rsidP="00F5327D">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Shabnam </w:t>
            </w:r>
            <w:proofErr w:type="spellStart"/>
            <w:r w:rsidRPr="002E7E33">
              <w:rPr>
                <w:rFonts w:asciiTheme="majorHAnsi" w:hAnsiTheme="majorHAnsi" w:cstheme="majorHAnsi"/>
                <w:bCs/>
                <w:sz w:val="16"/>
                <w:szCs w:val="16"/>
              </w:rPr>
              <w:t>Mohammadzade</w:t>
            </w:r>
            <w:proofErr w:type="spellEnd"/>
            <w:r w:rsidRPr="002E7E33">
              <w:rPr>
                <w:rFonts w:asciiTheme="majorHAnsi" w:hAnsiTheme="majorHAnsi" w:cstheme="majorHAnsi"/>
                <w:bCs/>
                <w:sz w:val="16"/>
                <w:szCs w:val="16"/>
              </w:rPr>
              <w:t xml:space="preserve"> – Seyyed Amir </w:t>
            </w:r>
            <w:proofErr w:type="spellStart"/>
            <w:r w:rsidRPr="002E7E33">
              <w:rPr>
                <w:rFonts w:asciiTheme="majorHAnsi" w:hAnsiTheme="majorHAnsi" w:cstheme="majorHAnsi"/>
                <w:bCs/>
                <w:sz w:val="16"/>
                <w:szCs w:val="16"/>
              </w:rPr>
              <w:t>Mansori</w:t>
            </w:r>
            <w:proofErr w:type="spellEnd"/>
            <w:r w:rsidRPr="002E7E33">
              <w:rPr>
                <w:rFonts w:asciiTheme="majorHAnsi" w:hAnsiTheme="majorHAnsi" w:cstheme="majorHAnsi"/>
                <w:bCs/>
                <w:sz w:val="16"/>
                <w:szCs w:val="16"/>
              </w:rPr>
              <w:t xml:space="preserve"> (2018) [4]</w:t>
            </w:r>
          </w:p>
        </w:tc>
        <w:tc>
          <w:tcPr>
            <w:tcW w:w="2690" w:type="dxa"/>
            <w:tcBorders>
              <w:left w:val="nil"/>
              <w:right w:val="nil"/>
            </w:tcBorders>
          </w:tcPr>
          <w:p w14:paraId="53D267EF" w14:textId="1EB3C7AD"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How was the </w:t>
            </w:r>
            <w:proofErr w:type="spellStart"/>
            <w:r w:rsidRPr="002E7E33">
              <w:rPr>
                <w:rFonts w:asciiTheme="majorHAnsi" w:hAnsiTheme="majorHAnsi" w:cstheme="majorHAnsi"/>
                <w:bCs/>
                <w:sz w:val="16"/>
                <w:szCs w:val="16"/>
              </w:rPr>
              <w:t>Muzaffariyya</w:t>
            </w:r>
            <w:proofErr w:type="spellEnd"/>
            <w:r w:rsidRPr="002E7E33">
              <w:rPr>
                <w:rFonts w:asciiTheme="majorHAnsi" w:hAnsiTheme="majorHAnsi" w:cstheme="majorHAnsi"/>
                <w:bCs/>
                <w:sz w:val="16"/>
                <w:szCs w:val="16"/>
              </w:rPr>
              <w:t xml:space="preserve"> complex related to the spatial organization of Tabriz city from the </w:t>
            </w:r>
            <w:proofErr w:type="spellStart"/>
            <w:r w:rsidRPr="002E7E33">
              <w:rPr>
                <w:rFonts w:asciiTheme="majorHAnsi" w:hAnsiTheme="majorHAnsi" w:cstheme="majorHAnsi"/>
                <w:bCs/>
                <w:sz w:val="16"/>
                <w:szCs w:val="16"/>
              </w:rPr>
              <w:t>Qaraquyunlus</w:t>
            </w:r>
            <w:proofErr w:type="spellEnd"/>
            <w:r w:rsidRPr="002E7E33">
              <w:rPr>
                <w:rFonts w:asciiTheme="majorHAnsi" w:hAnsiTheme="majorHAnsi" w:cstheme="majorHAnsi"/>
                <w:bCs/>
                <w:sz w:val="16"/>
                <w:szCs w:val="16"/>
              </w:rPr>
              <w:t xml:space="preserve"> period to the Qajar period?</w:t>
            </w:r>
          </w:p>
        </w:tc>
        <w:tc>
          <w:tcPr>
            <w:tcW w:w="3972" w:type="dxa"/>
            <w:tcBorders>
              <w:left w:val="nil"/>
              <w:right w:val="nil"/>
            </w:tcBorders>
          </w:tcPr>
          <w:p w14:paraId="49EA2E50" w14:textId="5B0E7828"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The spatial organization of the city, the </w:t>
            </w:r>
            <w:proofErr w:type="spellStart"/>
            <w:r w:rsidRPr="002E7E33">
              <w:rPr>
                <w:rFonts w:asciiTheme="majorHAnsi" w:hAnsiTheme="majorHAnsi" w:cstheme="majorHAnsi"/>
                <w:bCs/>
                <w:sz w:val="16"/>
                <w:szCs w:val="16"/>
              </w:rPr>
              <w:t>Muzaffariyya</w:t>
            </w:r>
            <w:proofErr w:type="spellEnd"/>
            <w:r w:rsidRPr="002E7E33">
              <w:rPr>
                <w:rFonts w:asciiTheme="majorHAnsi" w:hAnsiTheme="majorHAnsi" w:cstheme="majorHAnsi"/>
                <w:bCs/>
                <w:sz w:val="16"/>
                <w:szCs w:val="16"/>
              </w:rPr>
              <w:t xml:space="preserve"> complex, and its relationship with the territory and structure of the city have been discussed. As a result, the effectiveness and reciprocal influence and importance of the </w:t>
            </w:r>
            <w:proofErr w:type="spellStart"/>
            <w:r w:rsidRPr="002E7E33">
              <w:rPr>
                <w:rFonts w:asciiTheme="majorHAnsi" w:hAnsiTheme="majorHAnsi" w:cstheme="majorHAnsi"/>
                <w:bCs/>
                <w:sz w:val="16"/>
                <w:szCs w:val="16"/>
              </w:rPr>
              <w:t>Muzaffariyya</w:t>
            </w:r>
            <w:proofErr w:type="spellEnd"/>
            <w:r w:rsidRPr="002E7E33">
              <w:rPr>
                <w:rFonts w:asciiTheme="majorHAnsi" w:hAnsiTheme="majorHAnsi" w:cstheme="majorHAnsi"/>
                <w:bCs/>
                <w:sz w:val="16"/>
                <w:szCs w:val="16"/>
              </w:rPr>
              <w:t xml:space="preserve"> complex and the spatial organization of Tabriz city on each other and the essential role of this complex in the resident’s perception of the city and the formation of a single identity</w:t>
            </w:r>
          </w:p>
        </w:tc>
      </w:tr>
      <w:tr w:rsidR="002E7E33" w:rsidRPr="005E66A5" w14:paraId="5A0727E6" w14:textId="77777777" w:rsidTr="00064475">
        <w:trPr>
          <w:jc w:val="center"/>
        </w:trPr>
        <w:tc>
          <w:tcPr>
            <w:tcW w:w="9075" w:type="dxa"/>
            <w:gridSpan w:val="3"/>
            <w:tcBorders>
              <w:left w:val="nil"/>
              <w:right w:val="nil"/>
            </w:tcBorders>
          </w:tcPr>
          <w:p w14:paraId="2CF8A60E" w14:textId="3498328D"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The importance of knowing the background of the site in the approach of comprehensive conservation, a case example: the site around the Goy-Masjid of Tabriz - (Arman Shahr Journal)</w:t>
            </w:r>
          </w:p>
        </w:tc>
      </w:tr>
      <w:tr w:rsidR="002E7E33" w:rsidRPr="005E66A5" w14:paraId="769E0787" w14:textId="77777777" w:rsidTr="00064475">
        <w:trPr>
          <w:jc w:val="center"/>
        </w:trPr>
        <w:tc>
          <w:tcPr>
            <w:tcW w:w="2410" w:type="dxa"/>
            <w:tcBorders>
              <w:left w:val="nil"/>
              <w:right w:val="nil"/>
            </w:tcBorders>
          </w:tcPr>
          <w:p w14:paraId="31A6ADF1" w14:textId="42E638A2" w:rsidR="002E7E33" w:rsidRPr="005E66A5" w:rsidRDefault="002E7E33" w:rsidP="00F5327D">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Mahnaz </w:t>
            </w:r>
            <w:proofErr w:type="spellStart"/>
            <w:r w:rsidRPr="002E7E33">
              <w:rPr>
                <w:rFonts w:asciiTheme="majorHAnsi" w:hAnsiTheme="majorHAnsi" w:cstheme="majorHAnsi"/>
                <w:bCs/>
                <w:sz w:val="16"/>
                <w:szCs w:val="16"/>
              </w:rPr>
              <w:t>Peyrovi</w:t>
            </w:r>
            <w:proofErr w:type="spellEnd"/>
            <w:r w:rsidRPr="002E7E33">
              <w:rPr>
                <w:rFonts w:asciiTheme="majorHAnsi" w:hAnsiTheme="majorHAnsi" w:cstheme="majorHAnsi"/>
                <w:bCs/>
                <w:sz w:val="16"/>
                <w:szCs w:val="16"/>
              </w:rPr>
              <w:t xml:space="preserve"> – Mohammad Bager </w:t>
            </w:r>
            <w:proofErr w:type="spellStart"/>
            <w:r w:rsidRPr="002E7E33">
              <w:rPr>
                <w:rFonts w:asciiTheme="majorHAnsi" w:hAnsiTheme="majorHAnsi" w:cstheme="majorHAnsi"/>
                <w:bCs/>
                <w:sz w:val="16"/>
                <w:szCs w:val="16"/>
              </w:rPr>
              <w:t>Kabirsaber</w:t>
            </w:r>
            <w:proofErr w:type="spellEnd"/>
            <w:r w:rsidRPr="002E7E33">
              <w:rPr>
                <w:rFonts w:asciiTheme="majorHAnsi" w:hAnsiTheme="majorHAnsi" w:cstheme="majorHAnsi"/>
                <w:bCs/>
                <w:sz w:val="16"/>
                <w:szCs w:val="16"/>
              </w:rPr>
              <w:t xml:space="preserve"> (2013) [5]</w:t>
            </w:r>
          </w:p>
        </w:tc>
        <w:tc>
          <w:tcPr>
            <w:tcW w:w="2690" w:type="dxa"/>
            <w:tcBorders>
              <w:left w:val="nil"/>
              <w:right w:val="nil"/>
            </w:tcBorders>
          </w:tcPr>
          <w:p w14:paraId="626BD1A9" w14:textId="779BA93A"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Neglecting scientific investigations to obtain a thorough understanding of the history of the place has led to what consequences for the area around the Goy-Masjid?</w:t>
            </w:r>
          </w:p>
        </w:tc>
        <w:tc>
          <w:tcPr>
            <w:tcW w:w="3972" w:type="dxa"/>
            <w:tcBorders>
              <w:left w:val="nil"/>
              <w:right w:val="nil"/>
            </w:tcBorders>
          </w:tcPr>
          <w:p w14:paraId="2395BD21" w14:textId="77777777" w:rsidR="002E7E33" w:rsidRPr="002E7E33"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Overview of the historical process of the formation of Tabriz, the recognition of the historical periods of the site around the Mosque.</w:t>
            </w:r>
          </w:p>
          <w:p w14:paraId="5D573BCD" w14:textId="42855E46"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As a result, it has been stated that in the decisions, it was necessary to deal scientifically and architecturally with this context, and with a design strategy appropriate to the area, future problems were prevented. The twenty-year crisis in the construction situation of this area is another manifestation of the confrontation of development and conflict following hasty decisions</w:t>
            </w:r>
          </w:p>
        </w:tc>
      </w:tr>
      <w:tr w:rsidR="002E7E33" w:rsidRPr="005E66A5" w14:paraId="5C129641" w14:textId="77777777" w:rsidTr="00064475">
        <w:trPr>
          <w:jc w:val="center"/>
        </w:trPr>
        <w:tc>
          <w:tcPr>
            <w:tcW w:w="9075" w:type="dxa"/>
            <w:gridSpan w:val="3"/>
            <w:tcBorders>
              <w:left w:val="nil"/>
              <w:right w:val="nil"/>
            </w:tcBorders>
          </w:tcPr>
          <w:p w14:paraId="7F402D30" w14:textId="7DA6AB98"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Recognition of the Dignity of the Goy-Masjid in Tabriz City – (</w:t>
            </w:r>
            <w:proofErr w:type="spellStart"/>
            <w:r w:rsidRPr="002E7E33">
              <w:rPr>
                <w:rFonts w:asciiTheme="majorHAnsi" w:hAnsiTheme="majorHAnsi" w:cstheme="majorHAnsi"/>
                <w:bCs/>
                <w:sz w:val="16"/>
                <w:szCs w:val="16"/>
              </w:rPr>
              <w:t>Honarhaye</w:t>
            </w:r>
            <w:proofErr w:type="spellEnd"/>
            <w:r w:rsidRPr="002E7E33">
              <w:rPr>
                <w:rFonts w:asciiTheme="majorHAnsi" w:hAnsiTheme="majorHAnsi" w:cstheme="majorHAnsi"/>
                <w:bCs/>
                <w:sz w:val="16"/>
                <w:szCs w:val="16"/>
              </w:rPr>
              <w:t xml:space="preserve"> Ziba Journal)</w:t>
            </w:r>
          </w:p>
        </w:tc>
      </w:tr>
      <w:tr w:rsidR="002E7E33" w:rsidRPr="005E66A5" w14:paraId="1EE55C67" w14:textId="77777777" w:rsidTr="00064475">
        <w:trPr>
          <w:jc w:val="center"/>
        </w:trPr>
        <w:tc>
          <w:tcPr>
            <w:tcW w:w="2410" w:type="dxa"/>
            <w:tcBorders>
              <w:left w:val="nil"/>
              <w:bottom w:val="single" w:sz="4" w:space="0" w:color="auto"/>
              <w:right w:val="nil"/>
            </w:tcBorders>
          </w:tcPr>
          <w:p w14:paraId="6F69C10C" w14:textId="77777777" w:rsidR="002E7E33" w:rsidRPr="002E7E33"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Isa </w:t>
            </w:r>
            <w:proofErr w:type="spellStart"/>
            <w:r w:rsidRPr="002E7E33">
              <w:rPr>
                <w:rFonts w:asciiTheme="majorHAnsi" w:hAnsiTheme="majorHAnsi" w:cstheme="majorHAnsi"/>
                <w:bCs/>
                <w:sz w:val="16"/>
                <w:szCs w:val="16"/>
              </w:rPr>
              <w:t>Hojat</w:t>
            </w:r>
            <w:proofErr w:type="spellEnd"/>
            <w:r w:rsidRPr="002E7E33">
              <w:rPr>
                <w:rFonts w:asciiTheme="majorHAnsi" w:hAnsiTheme="majorHAnsi" w:cstheme="majorHAnsi"/>
                <w:bCs/>
                <w:sz w:val="16"/>
                <w:szCs w:val="16"/>
              </w:rPr>
              <w:t xml:space="preserve"> - Peyman </w:t>
            </w:r>
            <w:proofErr w:type="spellStart"/>
            <w:r w:rsidRPr="002E7E33">
              <w:rPr>
                <w:rFonts w:asciiTheme="majorHAnsi" w:hAnsiTheme="majorHAnsi" w:cstheme="majorHAnsi"/>
                <w:bCs/>
                <w:sz w:val="16"/>
                <w:szCs w:val="16"/>
              </w:rPr>
              <w:t>Nasirinia</w:t>
            </w:r>
            <w:proofErr w:type="spellEnd"/>
            <w:r w:rsidRPr="002E7E33">
              <w:rPr>
                <w:rFonts w:asciiTheme="majorHAnsi" w:hAnsiTheme="majorHAnsi" w:cstheme="majorHAnsi"/>
                <w:bCs/>
                <w:sz w:val="16"/>
                <w:szCs w:val="16"/>
              </w:rPr>
              <w:t xml:space="preserve"> </w:t>
            </w:r>
          </w:p>
          <w:p w14:paraId="51BA8130" w14:textId="471FE01F"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(2013) [6]</w:t>
            </w:r>
          </w:p>
        </w:tc>
        <w:tc>
          <w:tcPr>
            <w:tcW w:w="2690" w:type="dxa"/>
            <w:tcBorders>
              <w:left w:val="nil"/>
              <w:bottom w:val="single" w:sz="4" w:space="0" w:color="auto"/>
              <w:right w:val="nil"/>
            </w:tcBorders>
          </w:tcPr>
          <w:p w14:paraId="7AFAF011" w14:textId="5F1A1831"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About: The status and position of the Goy-Masjid in the structure of Tabriz city in different historical periods - Time and reason for a change in position - The actions being taken to restore the dignity of the Goy-Masjid</w:t>
            </w:r>
          </w:p>
        </w:tc>
        <w:tc>
          <w:tcPr>
            <w:tcW w:w="3972" w:type="dxa"/>
            <w:tcBorders>
              <w:left w:val="nil"/>
              <w:bottom w:val="single" w:sz="4" w:space="0" w:color="auto"/>
              <w:right w:val="nil"/>
            </w:tcBorders>
          </w:tcPr>
          <w:p w14:paraId="1F650602" w14:textId="77777777" w:rsidR="002E7E33" w:rsidRPr="002E7E33"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 xml:space="preserve">Discussed the issues of recognizing the position of the Goy-Masjid in the structural evolution of Tabriz city and contemporary Tabriz. </w:t>
            </w:r>
          </w:p>
          <w:p w14:paraId="07D8B005" w14:textId="01A43F24" w:rsidR="002E7E33" w:rsidRPr="005E66A5" w:rsidRDefault="002E7E33" w:rsidP="002E7E33">
            <w:pPr>
              <w:spacing w:line="264" w:lineRule="auto"/>
              <w:jc w:val="both"/>
              <w:rPr>
                <w:rFonts w:asciiTheme="majorHAnsi" w:hAnsiTheme="majorHAnsi" w:cstheme="majorHAnsi"/>
                <w:bCs/>
                <w:sz w:val="16"/>
                <w:szCs w:val="16"/>
              </w:rPr>
            </w:pPr>
            <w:r w:rsidRPr="002E7E33">
              <w:rPr>
                <w:rFonts w:asciiTheme="majorHAnsi" w:hAnsiTheme="majorHAnsi" w:cstheme="majorHAnsi"/>
                <w:bCs/>
                <w:sz w:val="16"/>
                <w:szCs w:val="16"/>
              </w:rPr>
              <w:t>Finally, the optimal way of revitalizing the Goy-Masjid, considering the historical quality of the city and in connection with the historical-cultural axis of Tabriz, by creating a symbolic opening in front of the Goy-Masjid as an urban space, which was the crossing point of the Silk Road, trying to restore the historical identity of the mosque, context, and the Tabriz city.</w:t>
            </w:r>
          </w:p>
        </w:tc>
      </w:tr>
    </w:tbl>
    <w:p w14:paraId="660721A9" w14:textId="77777777" w:rsidR="002E7E33" w:rsidRDefault="002E7E33" w:rsidP="00010ECB">
      <w:pPr>
        <w:jc w:val="both"/>
        <w:rPr>
          <w:rFonts w:asciiTheme="majorHAnsi" w:hAnsiTheme="majorHAnsi" w:cstheme="majorHAnsi"/>
          <w:sz w:val="20"/>
          <w:szCs w:val="20"/>
        </w:rPr>
      </w:pPr>
    </w:p>
    <w:p w14:paraId="2BD98D53" w14:textId="3762749F" w:rsidR="002E7E33" w:rsidRDefault="002E7E33" w:rsidP="002E7E33">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METHODS</w:t>
      </w:r>
    </w:p>
    <w:p w14:paraId="540F6CE3" w14:textId="3DC2F8FB" w:rsidR="002E7E33" w:rsidRPr="005E66A5" w:rsidRDefault="00010ECB" w:rsidP="002E7E33">
      <w:pPr>
        <w:ind w:firstLine="284"/>
        <w:jc w:val="both"/>
        <w:rPr>
          <w:rFonts w:asciiTheme="majorHAnsi" w:hAnsiTheme="majorHAnsi" w:cstheme="majorHAnsi"/>
          <w:b/>
          <w:sz w:val="20"/>
          <w:szCs w:val="20"/>
          <w:lang w:val="id-ID"/>
        </w:rPr>
      </w:pPr>
      <w:r w:rsidRPr="00010ECB">
        <w:rPr>
          <w:rFonts w:asciiTheme="majorHAnsi" w:hAnsiTheme="majorHAnsi" w:cstheme="majorHAnsi"/>
          <w:sz w:val="20"/>
          <w:szCs w:val="20"/>
        </w:rPr>
        <w:t xml:space="preserve">The descriptive-analytical method has been used to answer the questions and achieve the goals. The history and architecture of the </w:t>
      </w:r>
      <w:proofErr w:type="spellStart"/>
      <w:r w:rsidRPr="00010ECB">
        <w:rPr>
          <w:rFonts w:asciiTheme="majorHAnsi" w:hAnsiTheme="majorHAnsi" w:cstheme="majorHAnsi"/>
          <w:sz w:val="20"/>
          <w:szCs w:val="20"/>
        </w:rPr>
        <w:t>Muzaffariyya</w:t>
      </w:r>
      <w:proofErr w:type="spellEnd"/>
      <w:r w:rsidRPr="00010ECB">
        <w:rPr>
          <w:rFonts w:asciiTheme="majorHAnsi" w:hAnsiTheme="majorHAnsi" w:cstheme="majorHAnsi"/>
          <w:sz w:val="20"/>
          <w:szCs w:val="20"/>
        </w:rPr>
        <w:t xml:space="preserve"> complex have been described by examining library documents. The operations and changes that occurred in the following periods are mentioned</w:t>
      </w:r>
      <w:r w:rsidR="002E7E33" w:rsidRPr="005E66A5">
        <w:rPr>
          <w:rFonts w:asciiTheme="majorHAnsi" w:hAnsiTheme="majorHAnsi" w:cstheme="majorHAnsi"/>
          <w:sz w:val="20"/>
          <w:szCs w:val="20"/>
        </w:rPr>
        <w:t>.</w:t>
      </w:r>
    </w:p>
    <w:p w14:paraId="6ED12218" w14:textId="77777777" w:rsidR="002E7E33" w:rsidRPr="005E66A5" w:rsidRDefault="002E7E33" w:rsidP="002E7E33">
      <w:pPr>
        <w:jc w:val="both"/>
        <w:rPr>
          <w:rFonts w:asciiTheme="minorHAnsi" w:hAnsiTheme="minorHAnsi" w:cstheme="minorHAnsi"/>
          <w:b/>
          <w:bCs/>
        </w:rPr>
      </w:pPr>
    </w:p>
    <w:p w14:paraId="034601E9" w14:textId="3D7E9DF1" w:rsidR="00010ECB" w:rsidRDefault="00010ECB" w:rsidP="00010ECB">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0A6C1E20" w14:textId="77777777" w:rsidR="00010ECB" w:rsidRPr="00D132AE" w:rsidRDefault="00010ECB" w:rsidP="00010ECB">
      <w:pPr>
        <w:jc w:val="both"/>
        <w:rPr>
          <w:rFonts w:asciiTheme="minorHAnsi" w:hAnsiTheme="minorHAnsi" w:cstheme="minorHAnsi"/>
          <w:b/>
          <w:bCs/>
        </w:rPr>
      </w:pPr>
    </w:p>
    <w:p w14:paraId="70CC58A9" w14:textId="50B699D0" w:rsidR="00010ECB" w:rsidRDefault="00010ECB" w:rsidP="00EC517E">
      <w:pPr>
        <w:pStyle w:val="ListParagraph"/>
        <w:numPr>
          <w:ilvl w:val="0"/>
          <w:numId w:val="3"/>
        </w:numPr>
        <w:ind w:left="567" w:hanging="283"/>
        <w:jc w:val="both"/>
        <w:rPr>
          <w:rFonts w:asciiTheme="minorHAnsi" w:hAnsiTheme="minorHAnsi" w:cstheme="minorHAnsi"/>
          <w:b/>
          <w:bCs/>
          <w:sz w:val="18"/>
          <w:szCs w:val="18"/>
        </w:rPr>
      </w:pPr>
      <w:r w:rsidRPr="00010ECB">
        <w:rPr>
          <w:rFonts w:asciiTheme="minorHAnsi" w:hAnsiTheme="minorHAnsi" w:cstheme="minorHAnsi"/>
          <w:b/>
          <w:bCs/>
          <w:sz w:val="18"/>
          <w:szCs w:val="18"/>
        </w:rPr>
        <w:t>TURKOMANS AND TURKOMANS ARCHITECTURE</w:t>
      </w:r>
    </w:p>
    <w:p w14:paraId="402FD01A" w14:textId="77777777" w:rsidR="00010ECB" w:rsidRPr="00010ECB" w:rsidRDefault="00010ECB" w:rsidP="00010ECB">
      <w:pPr>
        <w:ind w:left="284" w:firstLine="284"/>
        <w:jc w:val="both"/>
        <w:rPr>
          <w:rFonts w:asciiTheme="majorHAnsi" w:eastAsia="Times New Roman" w:hAnsiTheme="majorHAnsi" w:cstheme="majorHAnsi"/>
          <w:sz w:val="20"/>
          <w:szCs w:val="20"/>
          <w:lang w:val="id-ID" w:eastAsia="ko-KR"/>
        </w:rPr>
      </w:pPr>
      <w:r w:rsidRPr="00010ECB">
        <w:rPr>
          <w:rFonts w:asciiTheme="majorHAnsi" w:eastAsia="Times New Roman" w:hAnsiTheme="majorHAnsi" w:cstheme="majorHAnsi"/>
          <w:sz w:val="20"/>
          <w:szCs w:val="20"/>
          <w:lang w:val="id-ID" w:eastAsia="ko-KR"/>
        </w:rPr>
        <w:t>The complex of the Muzaffariyya mansion, which the Goy-Masjid was a part of, is a monument belonging to the Quyunlu Turkoman period . Turkomans had migrated from Central Asia. In the 15th century AD, this imperial occupied most of Iran and became neighbors with the Timurid s, who had political and cultural relations with each other [1]. Two powerful clans of this imperial originating from Anatolian land were Aqquyunlu  in Diyarbakir and Qaraquyunlu in the north of Lake Van [7].</w:t>
      </w:r>
    </w:p>
    <w:p w14:paraId="054F4F70" w14:textId="77777777" w:rsidR="00010ECB" w:rsidRPr="00010ECB" w:rsidRDefault="00010ECB" w:rsidP="00010ECB">
      <w:pPr>
        <w:ind w:left="284" w:firstLine="284"/>
        <w:jc w:val="both"/>
        <w:rPr>
          <w:rFonts w:asciiTheme="majorHAnsi" w:eastAsia="Times New Roman" w:hAnsiTheme="majorHAnsi" w:cstheme="majorHAnsi"/>
          <w:sz w:val="20"/>
          <w:szCs w:val="20"/>
          <w:lang w:val="id-ID" w:eastAsia="ko-KR"/>
        </w:rPr>
      </w:pPr>
      <w:r w:rsidRPr="00010ECB">
        <w:rPr>
          <w:rFonts w:asciiTheme="majorHAnsi" w:eastAsia="Times New Roman" w:hAnsiTheme="majorHAnsi" w:cstheme="majorHAnsi"/>
          <w:sz w:val="20"/>
          <w:szCs w:val="20"/>
          <w:lang w:val="id-ID" w:eastAsia="ko-KR"/>
        </w:rPr>
        <w:t>Qaraquyunlus (also known as Baranians) ruled Azerbaijan and a large part of Iran in the 15th century AD [8]. The Qaraquyunlus Imperial was formed with the death of the last Ilkhanate  and the removal of Al Jalair  to the center of Tabriz, and it ended in a way with Jahanshah's attack on Diyarbakir (Anatolia) in 1466 AD and his defeat of Uzun Hassan, the king of Aqquyunlu [9]. This branch of Turkoman imperial lasted for 63 years, and Jahanshah bin Qarayousef was its third king. After he was killed in 1467 AD, he was also buried in the Muzaffariyya complex [2]. While during his reign, the Qaraquyunlus were at the peak of their power. Moreover, Azerbaijan (Northwest of Iran) had become one of the centers of culture and civilization [3].</w:t>
      </w:r>
    </w:p>
    <w:p w14:paraId="36EDB5FE" w14:textId="4EA734EF" w:rsidR="0079305C" w:rsidRPr="0079305C" w:rsidRDefault="00010ECB" w:rsidP="00010ECB">
      <w:pPr>
        <w:ind w:left="284" w:firstLine="284"/>
        <w:jc w:val="both"/>
        <w:rPr>
          <w:rFonts w:asciiTheme="majorHAnsi" w:hAnsiTheme="majorHAnsi" w:cstheme="majorHAnsi"/>
          <w:sz w:val="20"/>
          <w:szCs w:val="20"/>
          <w:lang w:val="id-ID"/>
        </w:rPr>
      </w:pPr>
      <w:bookmarkStart w:id="0" w:name="_Hlk168902441"/>
      <w:r w:rsidRPr="00010ECB">
        <w:rPr>
          <w:rFonts w:asciiTheme="majorHAnsi" w:eastAsia="Times New Roman" w:hAnsiTheme="majorHAnsi" w:cstheme="majorHAnsi"/>
          <w:sz w:val="20"/>
          <w:szCs w:val="20"/>
          <w:lang w:val="id-ID" w:eastAsia="ko-KR"/>
        </w:rPr>
        <w:t>After Iskander was killed by his son, Jahanshah was engaged in the construction and settlement of Tabriz, and a complex of beautiful buildings was built in Tabriz during his time [10]. With the decline of the Qaraquyunlu imperial</w:t>
      </w:r>
      <w:bookmarkEnd w:id="0"/>
      <w:r w:rsidRPr="00010ECB">
        <w:rPr>
          <w:rFonts w:asciiTheme="majorHAnsi" w:eastAsia="Times New Roman" w:hAnsiTheme="majorHAnsi" w:cstheme="majorHAnsi"/>
          <w:sz w:val="20"/>
          <w:szCs w:val="20"/>
          <w:lang w:val="id-ID" w:eastAsia="ko-KR"/>
        </w:rPr>
        <w:t>, Uzun Hassan founded the Turkoman government of Aqquyunlu. Knowing the history of Qaraquyunlus is more complicated than that of Aqquyunlus. The reason is probably the imperial lack of stability, and there was no opportunity for the presence of scribes to write history and record events in the court [11]</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7B2498B2" w14:textId="3D515252" w:rsidR="00EC517E" w:rsidRDefault="00EC517E" w:rsidP="00EC517E">
      <w:pPr>
        <w:pStyle w:val="ListParagraph"/>
        <w:numPr>
          <w:ilvl w:val="0"/>
          <w:numId w:val="3"/>
        </w:numPr>
        <w:ind w:left="567" w:hanging="283"/>
        <w:jc w:val="both"/>
        <w:rPr>
          <w:rFonts w:asciiTheme="minorHAnsi" w:hAnsiTheme="minorHAnsi" w:cstheme="minorHAnsi"/>
          <w:b/>
          <w:bCs/>
          <w:sz w:val="18"/>
          <w:szCs w:val="18"/>
        </w:rPr>
      </w:pPr>
      <w:r w:rsidRPr="00EC517E">
        <w:rPr>
          <w:rFonts w:asciiTheme="minorHAnsi" w:hAnsiTheme="minorHAnsi" w:cstheme="minorHAnsi"/>
          <w:b/>
          <w:bCs/>
          <w:sz w:val="18"/>
          <w:szCs w:val="18"/>
        </w:rPr>
        <w:t>MUZAFFARIYYA COMPLEX</w:t>
      </w:r>
    </w:p>
    <w:p w14:paraId="0765F769" w14:textId="77777777" w:rsidR="00EC517E" w:rsidRPr="00EC517E" w:rsidRDefault="00EC517E" w:rsidP="00EC517E">
      <w:pPr>
        <w:ind w:left="284" w:firstLine="283"/>
        <w:jc w:val="both"/>
        <w:rPr>
          <w:rFonts w:asciiTheme="majorHAnsi" w:eastAsia="Times New Roman" w:hAnsiTheme="majorHAnsi" w:cstheme="majorHAnsi"/>
          <w:sz w:val="20"/>
          <w:szCs w:val="20"/>
          <w:lang w:val="id-ID" w:eastAsia="ko-KR"/>
        </w:rPr>
      </w:pPr>
      <w:r w:rsidRPr="00EC517E">
        <w:rPr>
          <w:rFonts w:asciiTheme="majorHAnsi" w:eastAsia="Times New Roman" w:hAnsiTheme="majorHAnsi" w:cstheme="majorHAnsi"/>
          <w:sz w:val="20"/>
          <w:szCs w:val="20"/>
          <w:lang w:val="id-ID" w:eastAsia="ko-KR"/>
        </w:rPr>
        <w:t>Most of the architectural traces of Turkoman imperial are in Tabriz and the center of Iran. The sāheb-Abad collection from the Aqquyunlus Imperial and the Muzaffariyya complex from the Qaraquyunlus Imperial in Tabriz are among the most essential Turkoman traces. During the Turkoman era, the bazaar in the city center was developed towards them (an important spot in the east and north of the city) by building these two complexes [4]. The Muzaffariyya complex was one of the traces of the third king of Qaraquyunlus, Jahanshah, in their capital, Tabriz. The complex was named after his name (Abu-Al-Muzaffar Jahanshah), the Imaret  of Muzaffariyya, because Jahanshah titled himself Abu-Al-Muzaffar and Muzaffar-Addin [3]. According to Lisa Golombek, among the monuments of the lustrous period of the Turkomans in Tabriz, there are no works left except the Goy-Masjid, which should be considered the same as Timur 's Samarkand and Shahrukh 's Herat [12]. It was located outside the city and the khiyābān gate next to the historical road (the Kohne Khiavan) for caravans from the direction of Ray and Isfahan [3][1]. The northwest-southeast axis of the Silk Road was also located in the north of the complex, which connected the Muzaffariyya complex and the Hasan Padeshah  complex to the city center [13]. Peyrovi and Kabirsaber (2016), regarding the location of this road (Silk Road) in the Muzaffariyya complex, have considered it more logical to pass through the Meydan  than inside the Goy-Masjid Sahn  [5].</w:t>
      </w:r>
    </w:p>
    <w:p w14:paraId="6DD12DD7" w14:textId="77777777" w:rsidR="00EC517E" w:rsidRPr="00EC517E" w:rsidRDefault="00EC517E" w:rsidP="00EC517E">
      <w:pPr>
        <w:ind w:left="284" w:firstLine="283"/>
        <w:jc w:val="both"/>
        <w:rPr>
          <w:rFonts w:asciiTheme="majorHAnsi" w:eastAsia="Times New Roman" w:hAnsiTheme="majorHAnsi" w:cstheme="majorHAnsi"/>
          <w:sz w:val="20"/>
          <w:szCs w:val="20"/>
          <w:lang w:val="id-ID" w:eastAsia="ko-KR"/>
        </w:rPr>
      </w:pPr>
      <w:r w:rsidRPr="00EC517E">
        <w:rPr>
          <w:rFonts w:asciiTheme="majorHAnsi" w:eastAsia="Times New Roman" w:hAnsiTheme="majorHAnsi" w:cstheme="majorHAnsi"/>
          <w:sz w:val="20"/>
          <w:szCs w:val="20"/>
          <w:lang w:val="id-ID" w:eastAsia="ko-KR"/>
        </w:rPr>
        <w:t>In the construction of the complex, its location was chosen outside the residential area and within the urban territory, which can be explained by the tradition of building tombs and religious complexes inside the garden, as well as the existence of sacred springs attributed to the goddesses Mehr (sun) and Anahita (goddess of water), which are Its location had given it a high status and the existence of a religious building nearby was mentioned [4]. Notably, the ideologies and thinking of the expansion of the imperials are the main features of distinguishing the capital from the prominent cultural and political cities due to a higher level of cultural and construction activities in the imperial center [14]. The architecture of this complex has been magnificent and has a special place in the architecture of this government from this perspective.</w:t>
      </w:r>
    </w:p>
    <w:p w14:paraId="0CD89041" w14:textId="77777777" w:rsidR="00EC517E" w:rsidRPr="00EC517E" w:rsidRDefault="00EC517E" w:rsidP="00EC517E">
      <w:pPr>
        <w:ind w:left="284" w:firstLine="283"/>
        <w:jc w:val="both"/>
        <w:rPr>
          <w:rFonts w:asciiTheme="majorHAnsi" w:eastAsia="Times New Roman" w:hAnsiTheme="majorHAnsi" w:cstheme="majorHAnsi"/>
          <w:sz w:val="20"/>
          <w:szCs w:val="20"/>
          <w:lang w:val="id-ID" w:eastAsia="ko-KR"/>
        </w:rPr>
      </w:pPr>
      <w:r w:rsidRPr="00EC517E">
        <w:rPr>
          <w:rFonts w:asciiTheme="majorHAnsi" w:eastAsia="Times New Roman" w:hAnsiTheme="majorHAnsi" w:cstheme="majorHAnsi"/>
          <w:sz w:val="20"/>
          <w:szCs w:val="20"/>
          <w:lang w:val="id-ID" w:eastAsia="ko-KR"/>
        </w:rPr>
        <w:t xml:space="preserve">Based on historical documents and analysis, the Muzaffariyya mansion complex was built as a religious-educational complex, and during the Ilkhanate period, such buildings were known as Abvab-al-bar [1]. This complex belonging to Qaraquyunlu included a Masjid, Maqbareh , storage, library, Sufi Khangah , Zāviye , Sahn, Howz-Khaneh , Madrasa , Caravanserai, Qanāt , Imam Juma's house, Zemestani &amp; Tabestani Qorfes , vast Bāqāt , etc. [3][1][15]. During the period of Aqquyunlus, the daughter of Jahanshah Saleheh Khatoon, endeavored to complete and build buildings of the Muzaffariyya complex, and the Hammam   building was </w:t>
      </w:r>
      <w:r w:rsidRPr="00EC517E">
        <w:rPr>
          <w:rFonts w:asciiTheme="majorHAnsi" w:eastAsia="Times New Roman" w:hAnsiTheme="majorHAnsi" w:cstheme="majorHAnsi"/>
          <w:sz w:val="20"/>
          <w:szCs w:val="20"/>
          <w:lang w:val="id-ID" w:eastAsia="ko-KR"/>
        </w:rPr>
        <w:lastRenderedPageBreak/>
        <w:t>added to the complex [16]. Zokā also mentioned the existence of Ziyāfat Khaneh  in the complex [17]. Along the city's main axis, the complex Meydan has been used for service and educational activities and religious ceremonies [4]. With these descriptions, the complex has religious, educational, service, and welfare parts [1]. In the deed of an endowment belonging to the complex, information is also given about allocating the income of hundreds of gardens, shops, and Hammam to the complex. Also, the Khangah of the complex is in a garden full of flowers and basil, and the Bāq-haye  of Fefgaein, Pahlavan Piri, and Tanakru-Mash-Ben-Monkeli around the complex are mentioned in the deed of endowment [18] (Figure 1).</w:t>
      </w:r>
    </w:p>
    <w:p w14:paraId="572DD9ED" w14:textId="2E762B1E" w:rsidR="005E66A5" w:rsidRDefault="00EC517E" w:rsidP="00EC517E">
      <w:pPr>
        <w:ind w:left="284" w:firstLine="283"/>
        <w:jc w:val="both"/>
        <w:rPr>
          <w:rFonts w:asciiTheme="minorHAnsi" w:hAnsiTheme="minorHAnsi" w:cstheme="minorHAnsi"/>
          <w:b/>
          <w:bCs/>
        </w:rPr>
      </w:pPr>
      <w:r w:rsidRPr="00EC517E">
        <w:rPr>
          <w:rFonts w:asciiTheme="majorHAnsi" w:eastAsia="Times New Roman" w:hAnsiTheme="majorHAnsi" w:cstheme="majorHAnsi"/>
          <w:sz w:val="20"/>
          <w:szCs w:val="20"/>
          <w:lang w:val="id-ID" w:eastAsia="ko-KR"/>
        </w:rPr>
        <w:t>Since the accidents and damages happened to this complex, nothing has been left but ruins, Except for the Goy-Masjid, which is also not in good condition. Furthermore, since the complex has yet to reach the contemporary era or there is no such detailed drawing and map of the elements related to the past, its condition can only be described based on the remaining historical information. In research based on the analysis of the deed of endowment of the mosque and the comparison of historical documents and evidence, the status of the Muzaffariyya complex and its elements have been determined as follows</w:t>
      </w:r>
      <w:r>
        <w:rPr>
          <w:rFonts w:asciiTheme="majorHAnsi" w:eastAsia="Times New Roman" w:hAnsiTheme="majorHAnsi" w:cstheme="majorHAnsi"/>
          <w:sz w:val="20"/>
          <w:szCs w:val="20"/>
          <w:lang w:val="id-ID" w:eastAsia="ko-KR"/>
        </w:rPr>
        <w:t>.</w:t>
      </w:r>
    </w:p>
    <w:p w14:paraId="4468C86C" w14:textId="123D2951" w:rsidR="005E66A5" w:rsidRPr="00554438" w:rsidRDefault="005E66A5" w:rsidP="00330A7A">
      <w:pPr>
        <w:rPr>
          <w:rFonts w:asciiTheme="minorHAnsi" w:hAnsiTheme="minorHAnsi" w:cstheme="minorHAnsi"/>
          <w:b/>
          <w:bCs/>
          <w:color w:val="FF0000"/>
        </w:rPr>
      </w:pPr>
    </w:p>
    <w:p w14:paraId="1062DA9C" w14:textId="043FBA02" w:rsidR="005E66A5" w:rsidRDefault="00EC517E" w:rsidP="005E66A5">
      <w:pPr>
        <w:jc w:val="center"/>
        <w:rPr>
          <w:rFonts w:asciiTheme="minorHAnsi" w:hAnsiTheme="minorHAnsi" w:cstheme="minorHAnsi"/>
          <w:b/>
          <w:bCs/>
        </w:rPr>
      </w:pPr>
      <w:r>
        <w:rPr>
          <w:noProof/>
        </w:rPr>
        <w:drawing>
          <wp:inline distT="0" distB="0" distL="0" distR="0" wp14:anchorId="1BCF8850" wp14:editId="03AD37A3">
            <wp:extent cx="2664000" cy="2321841"/>
            <wp:effectExtent l="0" t="0" r="3175" b="2540"/>
            <wp:docPr id="1742815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hqprint">
                      <a:extLst>
                        <a:ext uri="{28A0092B-C50C-407E-A947-70E740481C1C}">
                          <a14:useLocalDpi xmlns:a14="http://schemas.microsoft.com/office/drawing/2010/main"/>
                        </a:ext>
                      </a:extLst>
                    </a:blip>
                    <a:srcRect/>
                    <a:stretch>
                      <a:fillRect/>
                    </a:stretch>
                  </pic:blipFill>
                  <pic:spPr bwMode="auto">
                    <a:xfrm>
                      <a:off x="0" y="0"/>
                      <a:ext cx="2664000" cy="2321841"/>
                    </a:xfrm>
                    <a:prstGeom prst="rect">
                      <a:avLst/>
                    </a:prstGeom>
                    <a:noFill/>
                    <a:ln>
                      <a:noFill/>
                    </a:ln>
                  </pic:spPr>
                </pic:pic>
              </a:graphicData>
            </a:graphic>
          </wp:inline>
        </w:drawing>
      </w:r>
    </w:p>
    <w:p w14:paraId="2B4EBA6A" w14:textId="77777777" w:rsidR="005E66A5" w:rsidRPr="005E66A5" w:rsidRDefault="005E66A5" w:rsidP="005E66A5">
      <w:pPr>
        <w:jc w:val="center"/>
        <w:rPr>
          <w:rFonts w:asciiTheme="minorHAnsi" w:hAnsiTheme="minorHAnsi" w:cstheme="minorHAnsi"/>
          <w:b/>
          <w:bCs/>
          <w:sz w:val="20"/>
          <w:szCs w:val="20"/>
        </w:rPr>
      </w:pPr>
    </w:p>
    <w:p w14:paraId="2E36B378" w14:textId="3BBEEC0A" w:rsidR="005E66A5" w:rsidRPr="005E66A5" w:rsidRDefault="005E66A5" w:rsidP="005E66A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00EC517E" w:rsidRPr="00EC517E">
        <w:rPr>
          <w:rFonts w:asciiTheme="majorHAnsi" w:hAnsiTheme="majorHAnsi" w:cstheme="majorHAnsi"/>
          <w:bCs/>
          <w:sz w:val="16"/>
          <w:szCs w:val="16"/>
        </w:rPr>
        <w:t xml:space="preserve">Forecasting the overall situation of the </w:t>
      </w:r>
      <w:proofErr w:type="spellStart"/>
      <w:r w:rsidR="00EC517E" w:rsidRPr="00EC517E">
        <w:rPr>
          <w:rFonts w:asciiTheme="majorHAnsi" w:hAnsiTheme="majorHAnsi" w:cstheme="majorHAnsi"/>
          <w:bCs/>
          <w:sz w:val="16"/>
          <w:szCs w:val="16"/>
        </w:rPr>
        <w:t>Muzaffariyya</w:t>
      </w:r>
      <w:proofErr w:type="spellEnd"/>
      <w:r w:rsidR="00EC517E" w:rsidRPr="00EC517E">
        <w:rPr>
          <w:rFonts w:asciiTheme="majorHAnsi" w:hAnsiTheme="majorHAnsi" w:cstheme="majorHAnsi"/>
          <w:bCs/>
          <w:sz w:val="16"/>
          <w:szCs w:val="16"/>
        </w:rPr>
        <w:t xml:space="preserve"> complex based on documents </w:t>
      </w:r>
      <w:r w:rsidR="00EC517E">
        <w:rPr>
          <w:rFonts w:asciiTheme="majorHAnsi" w:hAnsiTheme="majorHAnsi" w:cstheme="majorHAnsi"/>
          <w:bCs/>
          <w:sz w:val="16"/>
          <w:szCs w:val="16"/>
        </w:rPr>
        <w:t>[</w:t>
      </w:r>
      <w:r w:rsidR="00EC517E" w:rsidRPr="00EC517E">
        <w:rPr>
          <w:rFonts w:asciiTheme="majorHAnsi" w:hAnsiTheme="majorHAnsi" w:cstheme="majorHAnsi"/>
          <w:bCs/>
          <w:sz w:val="16"/>
          <w:szCs w:val="16"/>
        </w:rPr>
        <w:t>1</w:t>
      </w:r>
      <w:r w:rsidR="00EC517E">
        <w:rPr>
          <w:rFonts w:asciiTheme="majorHAnsi" w:hAnsiTheme="majorHAnsi" w:cstheme="majorHAnsi"/>
          <w:bCs/>
          <w:sz w:val="16"/>
          <w:szCs w:val="16"/>
        </w:rPr>
        <w:t>]</w:t>
      </w:r>
    </w:p>
    <w:p w14:paraId="40B040AC" w14:textId="377C3BD3" w:rsidR="005E66A5" w:rsidRDefault="005E66A5" w:rsidP="005E66A5">
      <w:pPr>
        <w:jc w:val="center"/>
        <w:rPr>
          <w:rFonts w:asciiTheme="minorHAnsi" w:hAnsiTheme="minorHAnsi" w:cstheme="minorHAnsi"/>
          <w:b/>
          <w:bCs/>
          <w:sz w:val="20"/>
          <w:szCs w:val="20"/>
        </w:rPr>
      </w:pPr>
    </w:p>
    <w:p w14:paraId="3791BEA9" w14:textId="26CB2B4D" w:rsidR="00AC45E5" w:rsidRDefault="00BF5CD9" w:rsidP="005E66A5">
      <w:pPr>
        <w:jc w:val="center"/>
        <w:rPr>
          <w:rFonts w:asciiTheme="minorHAnsi" w:hAnsiTheme="minorHAnsi" w:cstheme="minorHAnsi"/>
          <w:b/>
          <w:bCs/>
          <w:sz w:val="20"/>
          <w:szCs w:val="20"/>
        </w:rPr>
      </w:pPr>
      <w:r>
        <w:rPr>
          <w:rFonts w:asciiTheme="majorHAnsi" w:hAnsiTheme="majorHAnsi" w:cstheme="majorHAnsi"/>
          <w:bCs/>
          <w:sz w:val="16"/>
          <w:szCs w:val="16"/>
        </w:rPr>
        <w:t>Table</w:t>
      </w:r>
      <w:r w:rsidR="00AC45E5">
        <w:rPr>
          <w:rFonts w:asciiTheme="majorHAnsi" w:hAnsiTheme="majorHAnsi" w:cstheme="majorHAnsi"/>
          <w:bCs/>
          <w:sz w:val="16"/>
          <w:szCs w:val="16"/>
        </w:rPr>
        <w:t xml:space="preserve"> </w:t>
      </w:r>
      <w:r w:rsidR="00ED4F07">
        <w:rPr>
          <w:rFonts w:asciiTheme="majorHAnsi" w:hAnsiTheme="majorHAnsi" w:cstheme="majorHAnsi"/>
          <w:bCs/>
          <w:sz w:val="16"/>
          <w:szCs w:val="16"/>
        </w:rPr>
        <w:t>2</w:t>
      </w:r>
      <w:r w:rsidR="00AC45E5" w:rsidRPr="005E66A5">
        <w:rPr>
          <w:rFonts w:asciiTheme="majorHAnsi" w:hAnsiTheme="majorHAnsi" w:cstheme="majorHAnsi"/>
          <w:bCs/>
          <w:sz w:val="16"/>
          <w:szCs w:val="16"/>
        </w:rPr>
        <w:t xml:space="preserve">. </w:t>
      </w:r>
      <w:r w:rsidR="00AC45E5" w:rsidRPr="00D87B92">
        <w:rPr>
          <w:rFonts w:asciiTheme="majorHAnsi" w:hAnsiTheme="majorHAnsi" w:cstheme="majorHAnsi"/>
          <w:bCs/>
          <w:sz w:val="16"/>
          <w:szCs w:val="16"/>
        </w:rPr>
        <w:t xml:space="preserve">The elements of the </w:t>
      </w:r>
      <w:proofErr w:type="spellStart"/>
      <w:r w:rsidR="00AC45E5" w:rsidRPr="00D87B92">
        <w:rPr>
          <w:rFonts w:asciiTheme="majorHAnsi" w:hAnsiTheme="majorHAnsi" w:cstheme="majorHAnsi"/>
          <w:bCs/>
          <w:sz w:val="16"/>
          <w:szCs w:val="16"/>
        </w:rPr>
        <w:t>Muzaffariyya</w:t>
      </w:r>
      <w:proofErr w:type="spellEnd"/>
      <w:r w:rsidR="00AC45E5" w:rsidRPr="00D87B92">
        <w:rPr>
          <w:rFonts w:asciiTheme="majorHAnsi" w:hAnsiTheme="majorHAnsi" w:cstheme="majorHAnsi"/>
          <w:bCs/>
          <w:sz w:val="16"/>
          <w:szCs w:val="16"/>
        </w:rPr>
        <w:t xml:space="preserve"> complex are based on historical documents and writings</w:t>
      </w:r>
    </w:p>
    <w:p w14:paraId="340FD1EA" w14:textId="3271DFB5" w:rsidR="005E66A5" w:rsidRDefault="00D87B92" w:rsidP="005E66A5">
      <w:pPr>
        <w:jc w:val="center"/>
        <w:rPr>
          <w:rFonts w:asciiTheme="minorHAnsi" w:hAnsiTheme="minorHAnsi" w:cstheme="minorHAnsi"/>
          <w:b/>
          <w:bCs/>
          <w:sz w:val="20"/>
          <w:szCs w:val="20"/>
        </w:rPr>
      </w:pPr>
      <w:r>
        <w:rPr>
          <w:rFonts w:ascii="Candara" w:hAnsi="Candara" w:hint="cs"/>
          <w:b/>
          <w:bCs/>
          <w:noProof/>
          <w:sz w:val="16"/>
          <w:szCs w:val="16"/>
          <w:rtl/>
        </w:rPr>
        <w:drawing>
          <wp:inline distT="0" distB="0" distL="0" distR="0" wp14:anchorId="559FF3FA" wp14:editId="0325A045">
            <wp:extent cx="2393950" cy="3408680"/>
            <wp:effectExtent l="0" t="19050" r="25400" b="1270"/>
            <wp:docPr id="1389857439"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52C9B31" w14:textId="77777777" w:rsidR="00D87B92" w:rsidRDefault="00D87B92" w:rsidP="005E66A5">
      <w:pPr>
        <w:jc w:val="center"/>
        <w:rPr>
          <w:rFonts w:asciiTheme="majorHAnsi" w:hAnsiTheme="majorHAnsi" w:cstheme="majorHAnsi"/>
          <w:bCs/>
          <w:sz w:val="16"/>
          <w:szCs w:val="16"/>
        </w:rPr>
      </w:pPr>
    </w:p>
    <w:p w14:paraId="4FAC42A0" w14:textId="79D5A3F4" w:rsidR="00D87B92" w:rsidRDefault="00D87B92" w:rsidP="005E66A5">
      <w:pPr>
        <w:jc w:val="center"/>
        <w:rPr>
          <w:rFonts w:asciiTheme="minorHAnsi" w:hAnsiTheme="minorHAnsi" w:cstheme="minorHAnsi"/>
          <w:b/>
          <w:bCs/>
          <w:sz w:val="20"/>
          <w:szCs w:val="20"/>
        </w:rPr>
      </w:pPr>
    </w:p>
    <w:p w14:paraId="7BB3BC90" w14:textId="179DE095" w:rsidR="00AC45E5" w:rsidRDefault="00AC45E5" w:rsidP="005E66A5">
      <w:pPr>
        <w:jc w:val="center"/>
        <w:rPr>
          <w:rFonts w:asciiTheme="minorHAnsi" w:hAnsiTheme="minorHAnsi" w:cstheme="minorHAnsi"/>
          <w:b/>
          <w:bCs/>
          <w:sz w:val="20"/>
          <w:szCs w:val="20"/>
        </w:rPr>
      </w:pPr>
      <w:r>
        <w:rPr>
          <w:noProof/>
        </w:rPr>
        <w:lastRenderedPageBreak/>
        <w:drawing>
          <wp:inline distT="0" distB="0" distL="0" distR="0" wp14:anchorId="1EBD5F97" wp14:editId="6208E4D1">
            <wp:extent cx="2520000" cy="2317484"/>
            <wp:effectExtent l="0" t="0" r="0" b="6985"/>
            <wp:docPr id="361817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hqprint">
                      <a:extLst>
                        <a:ext uri="{28A0092B-C50C-407E-A947-70E740481C1C}">
                          <a14:useLocalDpi xmlns:a14="http://schemas.microsoft.com/office/drawing/2010/main"/>
                        </a:ext>
                      </a:extLst>
                    </a:blip>
                    <a:srcRect/>
                    <a:stretch>
                      <a:fillRect/>
                    </a:stretch>
                  </pic:blipFill>
                  <pic:spPr bwMode="auto">
                    <a:xfrm>
                      <a:off x="0" y="0"/>
                      <a:ext cx="2520000" cy="2317484"/>
                    </a:xfrm>
                    <a:prstGeom prst="rect">
                      <a:avLst/>
                    </a:prstGeom>
                    <a:noFill/>
                    <a:ln>
                      <a:noFill/>
                    </a:ln>
                  </pic:spPr>
                </pic:pic>
              </a:graphicData>
            </a:graphic>
          </wp:inline>
        </w:drawing>
      </w:r>
    </w:p>
    <w:p w14:paraId="40A20A15" w14:textId="77777777" w:rsidR="00AC45E5" w:rsidRDefault="00AC45E5" w:rsidP="00AC45E5">
      <w:pPr>
        <w:spacing w:line="264" w:lineRule="auto"/>
        <w:jc w:val="center"/>
        <w:rPr>
          <w:rFonts w:asciiTheme="majorHAnsi" w:hAnsiTheme="majorHAnsi" w:cstheme="majorHAnsi"/>
          <w:bCs/>
          <w:sz w:val="16"/>
          <w:szCs w:val="16"/>
        </w:rPr>
      </w:pPr>
    </w:p>
    <w:p w14:paraId="18E07B3E" w14:textId="05229CF8" w:rsidR="00AC45E5" w:rsidRPr="005E66A5" w:rsidRDefault="00AC45E5" w:rsidP="00AC45E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AC45E5">
        <w:rPr>
          <w:rFonts w:asciiTheme="majorHAnsi" w:hAnsiTheme="majorHAnsi" w:cstheme="majorHAnsi"/>
          <w:bCs/>
          <w:sz w:val="16"/>
          <w:szCs w:val="16"/>
        </w:rPr>
        <w:t xml:space="preserve">2. Reconstruction and hypothetical design of the </w:t>
      </w:r>
      <w:proofErr w:type="spellStart"/>
      <w:r w:rsidRPr="00AC45E5">
        <w:rPr>
          <w:rFonts w:asciiTheme="majorHAnsi" w:hAnsiTheme="majorHAnsi" w:cstheme="majorHAnsi"/>
          <w:bCs/>
          <w:sz w:val="16"/>
          <w:szCs w:val="16"/>
        </w:rPr>
        <w:t>Muzaffariyya</w:t>
      </w:r>
      <w:proofErr w:type="spellEnd"/>
      <w:r w:rsidRPr="00AC45E5">
        <w:rPr>
          <w:rFonts w:asciiTheme="majorHAnsi" w:hAnsiTheme="majorHAnsi" w:cstheme="majorHAnsi"/>
          <w:bCs/>
          <w:sz w:val="16"/>
          <w:szCs w:val="16"/>
        </w:rPr>
        <w:t xml:space="preserve"> complex in the </w:t>
      </w:r>
      <w:proofErr w:type="spellStart"/>
      <w:r w:rsidRPr="00AC45E5">
        <w:rPr>
          <w:rFonts w:asciiTheme="majorHAnsi" w:hAnsiTheme="majorHAnsi" w:cstheme="majorHAnsi"/>
          <w:bCs/>
          <w:sz w:val="16"/>
          <w:szCs w:val="16"/>
        </w:rPr>
        <w:t>Qaraquyunlus</w:t>
      </w:r>
      <w:proofErr w:type="spellEnd"/>
      <w:r w:rsidRPr="00AC45E5">
        <w:rPr>
          <w:rFonts w:asciiTheme="majorHAnsi" w:hAnsiTheme="majorHAnsi" w:cstheme="majorHAnsi"/>
          <w:bCs/>
          <w:sz w:val="16"/>
          <w:szCs w:val="16"/>
        </w:rPr>
        <w:t xml:space="preserve"> period in another research [8]</w:t>
      </w:r>
    </w:p>
    <w:p w14:paraId="0C342473" w14:textId="77777777" w:rsidR="00AC45E5" w:rsidRDefault="00AC45E5" w:rsidP="005E66A5">
      <w:pPr>
        <w:jc w:val="center"/>
        <w:rPr>
          <w:rFonts w:asciiTheme="minorHAnsi" w:hAnsiTheme="minorHAnsi" w:cstheme="minorHAnsi"/>
          <w:b/>
          <w:bCs/>
          <w:sz w:val="20"/>
          <w:szCs w:val="20"/>
        </w:rPr>
      </w:pPr>
    </w:p>
    <w:p w14:paraId="5B4EC6FC" w14:textId="01718A39" w:rsidR="00AC45E5" w:rsidRDefault="00AC45E5" w:rsidP="00AC45E5">
      <w:pPr>
        <w:pStyle w:val="ListParagraph"/>
        <w:numPr>
          <w:ilvl w:val="0"/>
          <w:numId w:val="3"/>
        </w:numPr>
        <w:ind w:left="567" w:hanging="283"/>
        <w:jc w:val="both"/>
        <w:rPr>
          <w:rFonts w:asciiTheme="minorHAnsi" w:hAnsiTheme="minorHAnsi" w:cstheme="minorHAnsi"/>
          <w:b/>
          <w:bCs/>
          <w:sz w:val="18"/>
          <w:szCs w:val="18"/>
        </w:rPr>
      </w:pPr>
      <w:r w:rsidRPr="00AC45E5">
        <w:rPr>
          <w:rFonts w:asciiTheme="minorHAnsi" w:hAnsiTheme="minorHAnsi" w:cstheme="minorHAnsi"/>
          <w:b/>
          <w:bCs/>
          <w:sz w:val="18"/>
          <w:szCs w:val="18"/>
        </w:rPr>
        <w:t>GOY-MASJID (BLUE MOSQUE)</w:t>
      </w:r>
    </w:p>
    <w:p w14:paraId="43822535" w14:textId="77777777" w:rsidR="00AC45E5" w:rsidRPr="00AC45E5" w:rsidRDefault="00AC45E5" w:rsidP="00AC45E5">
      <w:pPr>
        <w:ind w:left="284" w:firstLine="283"/>
        <w:jc w:val="both"/>
        <w:rPr>
          <w:rFonts w:asciiTheme="majorHAnsi" w:eastAsia="Times New Roman" w:hAnsiTheme="majorHAnsi" w:cstheme="majorHAnsi"/>
          <w:sz w:val="20"/>
          <w:szCs w:val="20"/>
          <w:lang w:val="id-ID" w:eastAsia="ko-KR"/>
        </w:rPr>
      </w:pPr>
      <w:r w:rsidRPr="00AC45E5">
        <w:rPr>
          <w:rFonts w:asciiTheme="majorHAnsi" w:eastAsia="Times New Roman" w:hAnsiTheme="majorHAnsi" w:cstheme="majorHAnsi"/>
          <w:sz w:val="20"/>
          <w:szCs w:val="20"/>
          <w:lang w:val="id-ID" w:eastAsia="ko-KR"/>
        </w:rPr>
        <w:t>The Goy-Masjid is one of the buildings of the Muzaffariyya complex and it owes its name to its unique Kashi-Kari  in history, based on inscriptions and documents made before 1468 AD, in the area of Tabriz Khiyābān outside the Māhānqalaq gate by Jahan Khatun Jan Begum (Jahanshah wife) with Jahanshah order [1]. The mosque's name is after the color of its Kashi-Kari in Turk. Goy-Masjid (and in Persian, Masjid-Kabud) is also known as the Firuze-ye Islam . The Muzaffariyya complex, built near the Silk Road east of the city, made the Goy-Masjid blazon in the eyes of the caravans on this route [19].</w:t>
      </w:r>
    </w:p>
    <w:p w14:paraId="72DA2C48" w14:textId="77777777" w:rsidR="00AC45E5" w:rsidRPr="00AC45E5" w:rsidRDefault="00AC45E5" w:rsidP="00AC45E5">
      <w:pPr>
        <w:ind w:left="284" w:firstLine="283"/>
        <w:jc w:val="both"/>
        <w:rPr>
          <w:rFonts w:asciiTheme="majorHAnsi" w:eastAsia="Times New Roman" w:hAnsiTheme="majorHAnsi" w:cstheme="majorHAnsi"/>
          <w:sz w:val="20"/>
          <w:szCs w:val="20"/>
          <w:lang w:val="id-ID" w:eastAsia="ko-KR"/>
        </w:rPr>
      </w:pPr>
      <w:r w:rsidRPr="00AC45E5">
        <w:rPr>
          <w:rFonts w:asciiTheme="majorHAnsi" w:eastAsia="Times New Roman" w:hAnsiTheme="majorHAnsi" w:cstheme="majorHAnsi"/>
          <w:sz w:val="20"/>
          <w:szCs w:val="20"/>
          <w:lang w:val="id-ID" w:eastAsia="ko-KR"/>
        </w:rPr>
        <w:t>The building of the Goy-Masjid is a Maqbareh that was built in combination with the mosque. This building was also known as Jahanshah's mosque and tomb. Nevertheless, it also had other elements that in the deed of endowment of the mosque, in addition to the Maqbareh, the existence of a Khangah with summer and winter rooms in the garden for Ulemas, a Ganāt and two Howz  under its dome is mentioned [3].</w:t>
      </w:r>
    </w:p>
    <w:p w14:paraId="36E1B1AE" w14:textId="77777777" w:rsidR="00AC45E5" w:rsidRDefault="00AC45E5" w:rsidP="00AC45E5">
      <w:pPr>
        <w:ind w:left="284" w:firstLine="283"/>
        <w:jc w:val="both"/>
        <w:rPr>
          <w:rFonts w:asciiTheme="majorHAnsi" w:eastAsia="Times New Roman" w:hAnsiTheme="majorHAnsi" w:cstheme="majorHAnsi"/>
          <w:sz w:val="20"/>
          <w:szCs w:val="20"/>
          <w:lang w:val="id-ID" w:eastAsia="ko-KR"/>
        </w:rPr>
      </w:pPr>
      <w:r w:rsidRPr="00AC45E5">
        <w:rPr>
          <w:rFonts w:asciiTheme="majorHAnsi" w:eastAsia="Times New Roman" w:hAnsiTheme="majorHAnsi" w:cstheme="majorHAnsi"/>
          <w:sz w:val="20"/>
          <w:szCs w:val="20"/>
          <w:lang w:val="id-ID" w:eastAsia="ko-KR"/>
        </w:rPr>
        <w:t>The architect of this construction was Mir Shams-Addin Memar from Tabriz or Khāje Ali-Ibn-Osman Kujaji under the management of Ez-Addin Qāpuči [1]. According to Hossein Ibn-Karbalaie, Khatun Jan Begum called the crucial masters of Tabriz to the palace to build the Muzaffariyya complex. Among them, she chose Khāje Ali Ibn-Osman (Ostad Ali - Ali Kujaji) [20]. Its Gonbad  is considered one of the most giant brick constructions of the 15th century AD in Islamic architecture [21]. With its unique features, this mosque has been able to house a large part of Turkoman art [1]. Nuri Seçgin has considered the mosque one of the most important buildings in the history of Turk architecture due to its planning and decorative features, which represent a school that is reflected in many buildings of its time in the context of cultural, social, and economic relations [20].</w:t>
      </w:r>
    </w:p>
    <w:p w14:paraId="705297AC" w14:textId="77777777" w:rsidR="00AC45E5" w:rsidRDefault="00AC45E5" w:rsidP="00AC45E5">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7"/>
      </w:tblGrid>
      <w:tr w:rsidR="00064475" w14:paraId="41BD6B67" w14:textId="763F313F" w:rsidTr="00064475">
        <w:tc>
          <w:tcPr>
            <w:tcW w:w="4389" w:type="dxa"/>
          </w:tcPr>
          <w:p w14:paraId="55052731" w14:textId="792D7096" w:rsidR="00064475" w:rsidRDefault="00064475" w:rsidP="00AC45E5">
            <w:pPr>
              <w:jc w:val="center"/>
              <w:rPr>
                <w:rFonts w:asciiTheme="majorHAnsi" w:eastAsia="Times New Roman" w:hAnsiTheme="majorHAnsi" w:cstheme="majorHAnsi"/>
                <w:sz w:val="20"/>
                <w:szCs w:val="20"/>
                <w:lang w:val="id-ID" w:eastAsia="ko-KR"/>
              </w:rPr>
            </w:pPr>
            <w:r>
              <w:rPr>
                <w:noProof/>
              </w:rPr>
              <w:drawing>
                <wp:inline distT="0" distB="0" distL="0" distR="0" wp14:anchorId="5F452D51" wp14:editId="7BE85BF5">
                  <wp:extent cx="1828919" cy="2394161"/>
                  <wp:effectExtent l="3175" t="0" r="3175" b="3175"/>
                  <wp:docPr id="1372496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hqprint">
                            <a:extLst>
                              <a:ext uri="{28A0092B-C50C-407E-A947-70E740481C1C}">
                                <a14:useLocalDpi xmlns:a14="http://schemas.microsoft.com/office/drawing/2010/main"/>
                              </a:ext>
                            </a:extLst>
                          </a:blip>
                          <a:srcRect/>
                          <a:stretch/>
                        </pic:blipFill>
                        <pic:spPr bwMode="auto">
                          <a:xfrm rot="5400000">
                            <a:off x="0" y="0"/>
                            <a:ext cx="1833264" cy="239984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7" w:type="dxa"/>
          </w:tcPr>
          <w:p w14:paraId="7151277F" w14:textId="158666B0" w:rsidR="00064475" w:rsidRDefault="00064475" w:rsidP="00AC45E5">
            <w:pPr>
              <w:jc w:val="center"/>
              <w:rPr>
                <w:noProof/>
              </w:rPr>
            </w:pPr>
            <w:r>
              <w:rPr>
                <w:noProof/>
              </w:rPr>
              <w:drawing>
                <wp:inline distT="0" distB="0" distL="0" distR="0" wp14:anchorId="601E3B69" wp14:editId="02DA244F">
                  <wp:extent cx="1808136" cy="1481366"/>
                  <wp:effectExtent l="0" t="7937" r="0" b="0"/>
                  <wp:docPr id="9260179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cstate="hqprint">
                            <a:extLst>
                              <a:ext uri="{28A0092B-C50C-407E-A947-70E740481C1C}">
                                <a14:useLocalDpi xmlns:a14="http://schemas.microsoft.com/office/drawing/2010/main"/>
                              </a:ext>
                            </a:extLst>
                          </a:blip>
                          <a:srcRect/>
                          <a:stretch/>
                        </pic:blipFill>
                        <pic:spPr bwMode="auto">
                          <a:xfrm rot="5400000">
                            <a:off x="0" y="0"/>
                            <a:ext cx="1826876" cy="14967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64475" w14:paraId="6F72DA19" w14:textId="5165210E" w:rsidTr="00064475">
        <w:tc>
          <w:tcPr>
            <w:tcW w:w="4389" w:type="dxa"/>
          </w:tcPr>
          <w:p w14:paraId="72366BB9" w14:textId="77777777" w:rsidR="00064475" w:rsidRDefault="00064475" w:rsidP="00AC45E5">
            <w:pPr>
              <w:jc w:val="center"/>
              <w:rPr>
                <w:rFonts w:asciiTheme="majorHAnsi" w:hAnsiTheme="majorHAnsi" w:cstheme="majorHAnsi"/>
                <w:bCs/>
                <w:sz w:val="16"/>
                <w:szCs w:val="16"/>
              </w:rPr>
            </w:pPr>
          </w:p>
          <w:p w14:paraId="1ACE17C6" w14:textId="3B70D209" w:rsidR="00064475" w:rsidRDefault="00064475" w:rsidP="00AC45E5">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AC45E5">
              <w:rPr>
                <w:rFonts w:asciiTheme="majorHAnsi" w:hAnsiTheme="majorHAnsi" w:cstheme="majorHAnsi"/>
                <w:bCs/>
                <w:sz w:val="16"/>
                <w:szCs w:val="16"/>
              </w:rPr>
              <w:t>3. The entrance of the Mosque (North view) (Jan 2023)</w:t>
            </w:r>
          </w:p>
        </w:tc>
        <w:tc>
          <w:tcPr>
            <w:tcW w:w="4387" w:type="dxa"/>
          </w:tcPr>
          <w:p w14:paraId="310E7D60" w14:textId="77777777" w:rsidR="00064475" w:rsidRDefault="00064475" w:rsidP="00AC45E5">
            <w:pPr>
              <w:jc w:val="center"/>
              <w:rPr>
                <w:rFonts w:asciiTheme="majorHAnsi" w:hAnsiTheme="majorHAnsi" w:cstheme="majorHAnsi"/>
                <w:bCs/>
                <w:sz w:val="16"/>
                <w:szCs w:val="16"/>
              </w:rPr>
            </w:pPr>
          </w:p>
          <w:p w14:paraId="2FB201E9" w14:textId="2CCF8AD9" w:rsidR="00064475" w:rsidRPr="005E66A5" w:rsidRDefault="00064475" w:rsidP="00AC45E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64475">
              <w:rPr>
                <w:rFonts w:asciiTheme="majorHAnsi" w:hAnsiTheme="majorHAnsi" w:cstheme="majorHAnsi"/>
                <w:bCs/>
                <w:sz w:val="16"/>
                <w:szCs w:val="16"/>
              </w:rPr>
              <w:t xml:space="preserve">4. View of the </w:t>
            </w:r>
            <w:proofErr w:type="spellStart"/>
            <w:r w:rsidRPr="00064475">
              <w:rPr>
                <w:rFonts w:asciiTheme="majorHAnsi" w:hAnsiTheme="majorHAnsi" w:cstheme="majorHAnsi"/>
                <w:bCs/>
                <w:sz w:val="16"/>
                <w:szCs w:val="16"/>
              </w:rPr>
              <w:t>Gonbad-Khāneh</w:t>
            </w:r>
            <w:proofErr w:type="spellEnd"/>
            <w:r w:rsidRPr="00064475">
              <w:rPr>
                <w:rFonts w:asciiTheme="majorHAnsi" w:hAnsiTheme="majorHAnsi" w:cstheme="majorHAnsi"/>
                <w:bCs/>
                <w:sz w:val="16"/>
                <w:szCs w:val="16"/>
              </w:rPr>
              <w:t xml:space="preserve"> of Mosque (Dec 2022)</w:t>
            </w:r>
          </w:p>
        </w:tc>
      </w:tr>
    </w:tbl>
    <w:p w14:paraId="0A1A8F89" w14:textId="77777777" w:rsidR="00AC45E5" w:rsidRPr="00AC45E5" w:rsidRDefault="00AC45E5" w:rsidP="00AC45E5">
      <w:pPr>
        <w:ind w:left="284" w:firstLine="283"/>
        <w:jc w:val="both"/>
        <w:rPr>
          <w:rFonts w:asciiTheme="majorHAnsi" w:eastAsia="Times New Roman" w:hAnsiTheme="majorHAnsi" w:cstheme="majorHAnsi"/>
          <w:sz w:val="20"/>
          <w:szCs w:val="20"/>
          <w:lang w:val="id-ID" w:eastAsia="ko-KR"/>
        </w:rPr>
      </w:pPr>
    </w:p>
    <w:p w14:paraId="560025C4" w14:textId="0347ED29" w:rsidR="00AC45E5" w:rsidRDefault="00AC45E5" w:rsidP="00AC45E5">
      <w:pPr>
        <w:ind w:left="284" w:firstLine="283"/>
        <w:jc w:val="both"/>
        <w:rPr>
          <w:rFonts w:asciiTheme="majorHAnsi" w:eastAsia="Times New Roman" w:hAnsiTheme="majorHAnsi" w:cstheme="majorHAnsi"/>
          <w:sz w:val="20"/>
          <w:szCs w:val="20"/>
          <w:lang w:val="id-ID" w:eastAsia="ko-KR"/>
        </w:rPr>
      </w:pPr>
      <w:r w:rsidRPr="00AC45E5">
        <w:rPr>
          <w:rFonts w:asciiTheme="majorHAnsi" w:eastAsia="Times New Roman" w:hAnsiTheme="majorHAnsi" w:cstheme="majorHAnsi"/>
          <w:sz w:val="20"/>
          <w:szCs w:val="20"/>
          <w:lang w:val="id-ID" w:eastAsia="ko-KR"/>
        </w:rPr>
        <w:t xml:space="preserve">In addition to the elements that were included in the Muzaffariyya complex, the mosque itself also had a Maqbareh, Caravanserai, Hammam, Bāq , Sahn, Revag , Howz Khaneh, etc., which has been exposed to serious damage and destruction for political, economic, natural and religious reasons throughout history [2][1]. Today, the building of the Goy-Masjid only includes a mosque and a Maqbareh, which means it has two functions. As </w:t>
      </w:r>
      <w:r w:rsidRPr="00AC45E5">
        <w:rPr>
          <w:rFonts w:asciiTheme="majorHAnsi" w:eastAsia="Times New Roman" w:hAnsiTheme="majorHAnsi" w:cstheme="majorHAnsi"/>
          <w:sz w:val="20"/>
          <w:szCs w:val="20"/>
          <w:lang w:val="id-ID" w:eastAsia="ko-KR"/>
        </w:rPr>
        <w:lastRenderedPageBreak/>
        <w:t>the family tomb of Jahanshah, the tomb is in complete connection with the mosque. Jahanshah himself, his wife, and his children are buried in the Maqbareh [3]. The Goy-Masjid is the only remaining building of the Qaraquyunlus rule in Tabriz [8]. The Goy-Masjid was built with two connected Gonbad-Khāneh  , the largest one belonging to the mosque and the other smaller dome belonging to the Maqbareh (in the south of the building), with a minaret on the sides of the portal or entrance porch and without a Miyansara . The entrance to the mosque is from the porch of the entrance portal in the north of the building, and access to the Maqbareh is from inside the mosque, which is after entering the mosque from the sides of the mosque's mihrab</w:t>
      </w:r>
      <w:r>
        <w:rPr>
          <w:rFonts w:asciiTheme="majorHAnsi" w:eastAsia="Times New Roman" w:hAnsiTheme="majorHAnsi" w:cstheme="majorHAnsi"/>
          <w:sz w:val="20"/>
          <w:szCs w:val="20"/>
          <w:lang w:val="id-ID" w:eastAsia="ko-KR"/>
        </w:rPr>
        <w:t>.</w:t>
      </w:r>
    </w:p>
    <w:p w14:paraId="3CDA622C" w14:textId="77777777" w:rsidR="00AC45E5" w:rsidRDefault="00AC45E5" w:rsidP="00AC45E5">
      <w:pPr>
        <w:ind w:left="284" w:firstLine="283"/>
        <w:jc w:val="both"/>
        <w:rPr>
          <w:rFonts w:asciiTheme="minorHAnsi" w:hAnsiTheme="minorHAnsi" w:cstheme="minorHAnsi"/>
          <w:b/>
          <w:b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4"/>
        <w:gridCol w:w="4332"/>
      </w:tblGrid>
      <w:tr w:rsidR="00064475" w14:paraId="1A42C451" w14:textId="5F1E1916" w:rsidTr="002825F1">
        <w:trPr>
          <w:trHeight w:val="2435"/>
        </w:trPr>
        <w:tc>
          <w:tcPr>
            <w:tcW w:w="4444" w:type="dxa"/>
          </w:tcPr>
          <w:p w14:paraId="1EE0344A" w14:textId="04DDCDC5" w:rsidR="00064475" w:rsidRDefault="00064475" w:rsidP="00F5327D">
            <w:pPr>
              <w:jc w:val="center"/>
              <w:rPr>
                <w:rFonts w:asciiTheme="majorHAnsi" w:eastAsia="Times New Roman" w:hAnsiTheme="majorHAnsi" w:cstheme="majorHAnsi"/>
                <w:sz w:val="20"/>
                <w:szCs w:val="20"/>
                <w:lang w:val="id-ID" w:eastAsia="ko-KR"/>
              </w:rPr>
            </w:pPr>
            <w:r>
              <w:rPr>
                <w:noProof/>
              </w:rPr>
              <w:drawing>
                <wp:inline distT="0" distB="0" distL="0" distR="0" wp14:anchorId="4C2BA3A8" wp14:editId="18E75FEB">
                  <wp:extent cx="1845629" cy="2463479"/>
                  <wp:effectExtent l="0" t="4128" r="0" b="0"/>
                  <wp:docPr id="12013216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cstate="hqprint">
                            <a:extLst>
                              <a:ext uri="{28A0092B-C50C-407E-A947-70E740481C1C}">
                                <a14:useLocalDpi xmlns:a14="http://schemas.microsoft.com/office/drawing/2010/main"/>
                              </a:ext>
                            </a:extLst>
                          </a:blip>
                          <a:srcRect/>
                          <a:stretch/>
                        </pic:blipFill>
                        <pic:spPr bwMode="auto">
                          <a:xfrm rot="5400000">
                            <a:off x="0" y="0"/>
                            <a:ext cx="1860334" cy="24831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32" w:type="dxa"/>
          </w:tcPr>
          <w:p w14:paraId="20B54A92" w14:textId="466A44CE" w:rsidR="00064475" w:rsidRDefault="00064475" w:rsidP="00F5327D">
            <w:pPr>
              <w:jc w:val="center"/>
              <w:rPr>
                <w:noProof/>
              </w:rPr>
            </w:pPr>
            <w:r>
              <w:rPr>
                <w:noProof/>
              </w:rPr>
              <w:drawing>
                <wp:inline distT="0" distB="0" distL="0" distR="0" wp14:anchorId="75DE6B9F" wp14:editId="45164F03">
                  <wp:extent cx="2210462" cy="1848307"/>
                  <wp:effectExtent l="0" t="0" r="0" b="0"/>
                  <wp:docPr id="14584029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hqprint">
                            <a:extLst>
                              <a:ext uri="{28A0092B-C50C-407E-A947-70E740481C1C}">
                                <a14:useLocalDpi xmlns:a14="http://schemas.microsoft.com/office/drawing/2010/main"/>
                              </a:ext>
                            </a:extLst>
                          </a:blip>
                          <a:srcRect/>
                          <a:stretch>
                            <a:fillRect/>
                          </a:stretch>
                        </pic:blipFill>
                        <pic:spPr bwMode="auto">
                          <a:xfrm>
                            <a:off x="0" y="0"/>
                            <a:ext cx="2226244" cy="1861503"/>
                          </a:xfrm>
                          <a:prstGeom prst="rect">
                            <a:avLst/>
                          </a:prstGeom>
                          <a:noFill/>
                          <a:ln>
                            <a:noFill/>
                          </a:ln>
                        </pic:spPr>
                      </pic:pic>
                    </a:graphicData>
                  </a:graphic>
                </wp:inline>
              </w:drawing>
            </w:r>
          </w:p>
        </w:tc>
      </w:tr>
      <w:tr w:rsidR="00064475" w14:paraId="48249113" w14:textId="65FA73E4" w:rsidTr="002825F1">
        <w:tc>
          <w:tcPr>
            <w:tcW w:w="4444" w:type="dxa"/>
          </w:tcPr>
          <w:p w14:paraId="3D609DD5" w14:textId="77777777" w:rsidR="00064475" w:rsidRDefault="00064475" w:rsidP="00F5327D">
            <w:pPr>
              <w:jc w:val="center"/>
              <w:rPr>
                <w:rFonts w:asciiTheme="majorHAnsi" w:hAnsiTheme="majorHAnsi" w:cstheme="majorHAnsi"/>
                <w:bCs/>
                <w:sz w:val="16"/>
                <w:szCs w:val="16"/>
              </w:rPr>
            </w:pPr>
          </w:p>
          <w:p w14:paraId="74A4A85A" w14:textId="497F8D68" w:rsidR="00064475" w:rsidRDefault="00064475" w:rsidP="00F5327D">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64475">
              <w:rPr>
                <w:rFonts w:asciiTheme="majorHAnsi" w:hAnsiTheme="majorHAnsi" w:cstheme="majorHAnsi"/>
                <w:bCs/>
                <w:sz w:val="16"/>
                <w:szCs w:val="16"/>
              </w:rPr>
              <w:t xml:space="preserve">5. View of the small </w:t>
            </w:r>
            <w:proofErr w:type="spellStart"/>
            <w:r w:rsidRPr="00064475">
              <w:rPr>
                <w:rFonts w:asciiTheme="majorHAnsi" w:hAnsiTheme="majorHAnsi" w:cstheme="majorHAnsi"/>
                <w:bCs/>
                <w:sz w:val="16"/>
                <w:szCs w:val="16"/>
              </w:rPr>
              <w:t>Gonbad-Khāneh</w:t>
            </w:r>
            <w:proofErr w:type="spellEnd"/>
            <w:r w:rsidRPr="00064475">
              <w:rPr>
                <w:rFonts w:asciiTheme="majorHAnsi" w:hAnsiTheme="majorHAnsi" w:cstheme="majorHAnsi"/>
                <w:bCs/>
                <w:sz w:val="16"/>
                <w:szCs w:val="16"/>
              </w:rPr>
              <w:t xml:space="preserve"> of </w:t>
            </w:r>
            <w:proofErr w:type="spellStart"/>
            <w:r w:rsidRPr="00064475">
              <w:rPr>
                <w:rFonts w:asciiTheme="majorHAnsi" w:hAnsiTheme="majorHAnsi" w:cstheme="majorHAnsi"/>
                <w:bCs/>
                <w:sz w:val="16"/>
                <w:szCs w:val="16"/>
              </w:rPr>
              <w:t>Maqbareh</w:t>
            </w:r>
            <w:proofErr w:type="spellEnd"/>
            <w:r w:rsidRPr="00064475">
              <w:rPr>
                <w:rFonts w:asciiTheme="majorHAnsi" w:hAnsiTheme="majorHAnsi" w:cstheme="majorHAnsi"/>
                <w:bCs/>
                <w:sz w:val="16"/>
                <w:szCs w:val="16"/>
              </w:rPr>
              <w:t xml:space="preserve"> </w:t>
            </w:r>
          </w:p>
          <w:p w14:paraId="0E720B34" w14:textId="32FB7AD9" w:rsidR="00064475" w:rsidRDefault="00064475" w:rsidP="00F5327D">
            <w:pPr>
              <w:jc w:val="center"/>
              <w:rPr>
                <w:rFonts w:asciiTheme="majorHAnsi" w:eastAsia="Times New Roman" w:hAnsiTheme="majorHAnsi" w:cstheme="majorHAnsi"/>
                <w:sz w:val="20"/>
                <w:szCs w:val="20"/>
                <w:lang w:val="id-ID" w:eastAsia="ko-KR"/>
              </w:rPr>
            </w:pPr>
            <w:r w:rsidRPr="00064475">
              <w:rPr>
                <w:rFonts w:asciiTheme="majorHAnsi" w:hAnsiTheme="majorHAnsi" w:cstheme="majorHAnsi"/>
                <w:bCs/>
                <w:sz w:val="16"/>
                <w:szCs w:val="16"/>
              </w:rPr>
              <w:t>(Dec 2022)</w:t>
            </w:r>
          </w:p>
        </w:tc>
        <w:tc>
          <w:tcPr>
            <w:tcW w:w="4332" w:type="dxa"/>
          </w:tcPr>
          <w:p w14:paraId="453BC475" w14:textId="77777777" w:rsidR="00064475" w:rsidRDefault="00064475" w:rsidP="00F5327D">
            <w:pPr>
              <w:jc w:val="center"/>
              <w:rPr>
                <w:rFonts w:asciiTheme="majorHAnsi" w:hAnsiTheme="majorHAnsi" w:cstheme="majorHAnsi"/>
                <w:bCs/>
                <w:sz w:val="16"/>
                <w:szCs w:val="16"/>
              </w:rPr>
            </w:pPr>
          </w:p>
          <w:p w14:paraId="543CDC27" w14:textId="3E93C00F" w:rsidR="00064475" w:rsidRPr="005E66A5" w:rsidRDefault="00064475" w:rsidP="00F5327D">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64475">
              <w:rPr>
                <w:rFonts w:asciiTheme="majorHAnsi" w:hAnsiTheme="majorHAnsi" w:cstheme="majorHAnsi"/>
                <w:bCs/>
                <w:sz w:val="16"/>
                <w:szCs w:val="16"/>
              </w:rPr>
              <w:t>6. Plan, sections, views of the Goy-Masjid [1]</w:t>
            </w:r>
          </w:p>
        </w:tc>
      </w:tr>
    </w:tbl>
    <w:p w14:paraId="772DEA23" w14:textId="77777777" w:rsidR="005E66A5" w:rsidRPr="002825F1" w:rsidRDefault="005E66A5" w:rsidP="005E66A5">
      <w:pPr>
        <w:spacing w:line="264" w:lineRule="auto"/>
        <w:jc w:val="center"/>
        <w:rPr>
          <w:rFonts w:asciiTheme="majorHAnsi" w:hAnsiTheme="majorHAnsi" w:cstheme="majorHAnsi"/>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064475" w14:paraId="05D6CB44" w14:textId="77777777" w:rsidTr="002825F1">
        <w:tc>
          <w:tcPr>
            <w:tcW w:w="9060" w:type="dxa"/>
          </w:tcPr>
          <w:p w14:paraId="0C82828B" w14:textId="64236E0D" w:rsidR="00064475" w:rsidRDefault="00064475" w:rsidP="00064475">
            <w:pPr>
              <w:jc w:val="center"/>
              <w:rPr>
                <w:rFonts w:asciiTheme="minorHAnsi" w:hAnsiTheme="minorHAnsi" w:cstheme="minorHAnsi"/>
                <w:b/>
                <w:bCs/>
                <w:sz w:val="20"/>
                <w:szCs w:val="20"/>
              </w:rPr>
            </w:pPr>
            <w:r>
              <w:rPr>
                <w:noProof/>
              </w:rPr>
              <w:drawing>
                <wp:inline distT="0" distB="0" distL="0" distR="0" wp14:anchorId="3E41C316" wp14:editId="763BED87">
                  <wp:extent cx="1431235" cy="4615145"/>
                  <wp:effectExtent l="0" t="0" r="0" b="0"/>
                  <wp:docPr id="15586868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cstate="hqprint">
                            <a:extLst>
                              <a:ext uri="{28A0092B-C50C-407E-A947-70E740481C1C}">
                                <a14:useLocalDpi xmlns:a14="http://schemas.microsoft.com/office/drawing/2010/main"/>
                              </a:ext>
                            </a:extLst>
                          </a:blip>
                          <a:srcRect/>
                          <a:stretch>
                            <a:fillRect/>
                          </a:stretch>
                        </pic:blipFill>
                        <pic:spPr bwMode="auto">
                          <a:xfrm>
                            <a:off x="0" y="0"/>
                            <a:ext cx="1435386" cy="4628529"/>
                          </a:xfrm>
                          <a:prstGeom prst="rect">
                            <a:avLst/>
                          </a:prstGeom>
                          <a:noFill/>
                          <a:ln>
                            <a:noFill/>
                          </a:ln>
                        </pic:spPr>
                      </pic:pic>
                    </a:graphicData>
                  </a:graphic>
                </wp:inline>
              </w:drawing>
            </w:r>
          </w:p>
        </w:tc>
      </w:tr>
      <w:tr w:rsidR="00064475" w14:paraId="7889F8D1" w14:textId="77777777" w:rsidTr="002825F1">
        <w:tc>
          <w:tcPr>
            <w:tcW w:w="9060" w:type="dxa"/>
          </w:tcPr>
          <w:p w14:paraId="0F6580D5" w14:textId="77777777" w:rsidR="00064475" w:rsidRDefault="00064475" w:rsidP="005E66A5">
            <w:pPr>
              <w:rPr>
                <w:rFonts w:asciiTheme="minorHAnsi" w:hAnsiTheme="minorHAnsi" w:cstheme="minorHAnsi"/>
                <w:b/>
                <w:bCs/>
                <w:sz w:val="20"/>
                <w:szCs w:val="20"/>
              </w:rPr>
            </w:pPr>
          </w:p>
          <w:p w14:paraId="1C40AF18" w14:textId="7211F689" w:rsidR="00064475" w:rsidRDefault="00064475" w:rsidP="00064475">
            <w:pPr>
              <w:jc w:val="center"/>
              <w:rPr>
                <w:rFonts w:asciiTheme="minorHAnsi" w:hAnsiTheme="minorHAnsi" w:cstheme="minorHAnsi"/>
                <w:b/>
                <w:bCs/>
                <w:sz w:val="20"/>
                <w:szCs w:val="20"/>
              </w:rPr>
            </w:pPr>
            <w:r w:rsidRPr="005E66A5">
              <w:rPr>
                <w:rFonts w:asciiTheme="majorHAnsi" w:hAnsiTheme="majorHAnsi" w:cstheme="majorHAnsi"/>
                <w:bCs/>
                <w:sz w:val="16"/>
                <w:szCs w:val="16"/>
              </w:rPr>
              <w:t xml:space="preserve">Figure </w:t>
            </w:r>
            <w:r w:rsidRPr="00064475">
              <w:rPr>
                <w:rFonts w:asciiTheme="majorHAnsi" w:hAnsiTheme="majorHAnsi" w:cstheme="majorHAnsi"/>
                <w:bCs/>
                <w:sz w:val="16"/>
                <w:szCs w:val="16"/>
              </w:rPr>
              <w:t>7. The connection between the spaces of the Goy-Masjid [8]</w:t>
            </w:r>
          </w:p>
        </w:tc>
      </w:tr>
    </w:tbl>
    <w:p w14:paraId="4193FCE3" w14:textId="77777777" w:rsidR="00064475" w:rsidRDefault="00064475" w:rsidP="005E66A5">
      <w:pPr>
        <w:rPr>
          <w:rFonts w:asciiTheme="minorHAnsi" w:hAnsiTheme="minorHAnsi" w:cstheme="minorHAnsi"/>
          <w:b/>
          <w:bCs/>
          <w:sz w:val="20"/>
          <w:szCs w:val="20"/>
        </w:rPr>
      </w:pPr>
    </w:p>
    <w:p w14:paraId="152D44B2" w14:textId="0E5835FC" w:rsidR="005E66A5" w:rsidRDefault="002825F1" w:rsidP="002825F1">
      <w:pPr>
        <w:ind w:left="284" w:firstLine="283"/>
        <w:jc w:val="both"/>
        <w:rPr>
          <w:rFonts w:asciiTheme="majorHAnsi" w:hAnsiTheme="majorHAnsi" w:cstheme="majorHAnsi"/>
          <w:sz w:val="20"/>
          <w:szCs w:val="20"/>
        </w:rPr>
      </w:pPr>
      <w:r w:rsidRPr="002825F1">
        <w:rPr>
          <w:rFonts w:asciiTheme="majorHAnsi" w:hAnsiTheme="majorHAnsi" w:cstheme="majorHAnsi"/>
          <w:sz w:val="20"/>
          <w:szCs w:val="20"/>
        </w:rPr>
        <w:lastRenderedPageBreak/>
        <w:t xml:space="preserve">This mosque's greatness, </w:t>
      </w:r>
      <w:proofErr w:type="spellStart"/>
      <w:r w:rsidRPr="002825F1">
        <w:rPr>
          <w:rFonts w:asciiTheme="majorHAnsi" w:hAnsiTheme="majorHAnsi" w:cstheme="majorHAnsi"/>
          <w:sz w:val="20"/>
          <w:szCs w:val="20"/>
        </w:rPr>
        <w:t>splendor</w:t>
      </w:r>
      <w:proofErr w:type="spellEnd"/>
      <w:r w:rsidRPr="002825F1">
        <w:rPr>
          <w:rFonts w:asciiTheme="majorHAnsi" w:hAnsiTheme="majorHAnsi" w:cstheme="majorHAnsi"/>
          <w:sz w:val="20"/>
          <w:szCs w:val="20"/>
        </w:rPr>
        <w:t xml:space="preserve">, and glory are abundantly mentioned in the writings and travelogues of European and Iranian historians and </w:t>
      </w:r>
      <w:proofErr w:type="spellStart"/>
      <w:r w:rsidRPr="002825F1">
        <w:rPr>
          <w:rFonts w:asciiTheme="majorHAnsi" w:hAnsiTheme="majorHAnsi" w:cstheme="majorHAnsi"/>
          <w:sz w:val="20"/>
          <w:szCs w:val="20"/>
        </w:rPr>
        <w:t>travelers</w:t>
      </w:r>
      <w:proofErr w:type="spellEnd"/>
      <w:r w:rsidRPr="002825F1">
        <w:rPr>
          <w:rFonts w:asciiTheme="majorHAnsi" w:hAnsiTheme="majorHAnsi" w:cstheme="majorHAnsi"/>
          <w:sz w:val="20"/>
          <w:szCs w:val="20"/>
        </w:rPr>
        <w:t xml:space="preserve"> [2]. Among these works, the writings that mentioned the condition of the complex and its surroundings are discussed below. Old pictures of the city show the state of the Goy-Masjid. The miniature of the Ottoman painter </w:t>
      </w:r>
      <w:proofErr w:type="spellStart"/>
      <w:r w:rsidRPr="002825F1">
        <w:rPr>
          <w:rFonts w:asciiTheme="majorHAnsi" w:hAnsiTheme="majorHAnsi" w:cstheme="majorHAnsi"/>
          <w:sz w:val="20"/>
          <w:szCs w:val="20"/>
        </w:rPr>
        <w:t>Matrakçı</w:t>
      </w:r>
      <w:proofErr w:type="spellEnd"/>
      <w:r w:rsidRPr="002825F1">
        <w:rPr>
          <w:rFonts w:asciiTheme="majorHAnsi" w:hAnsiTheme="majorHAnsi" w:cstheme="majorHAnsi"/>
          <w:sz w:val="20"/>
          <w:szCs w:val="20"/>
        </w:rPr>
        <w:t xml:space="preserve"> Nasuh during his trip to Iran in the 16th century AD with the Ottoman army of the Safavid </w:t>
      </w:r>
      <w:proofErr w:type="gramStart"/>
      <w:r w:rsidRPr="002825F1">
        <w:rPr>
          <w:rFonts w:asciiTheme="majorHAnsi" w:hAnsiTheme="majorHAnsi" w:cstheme="majorHAnsi"/>
          <w:sz w:val="20"/>
          <w:szCs w:val="20"/>
        </w:rPr>
        <w:t>period  displays</w:t>
      </w:r>
      <w:proofErr w:type="gramEnd"/>
      <w:r w:rsidRPr="002825F1">
        <w:rPr>
          <w:rFonts w:asciiTheme="majorHAnsi" w:hAnsiTheme="majorHAnsi" w:cstheme="majorHAnsi"/>
          <w:sz w:val="20"/>
          <w:szCs w:val="20"/>
        </w:rPr>
        <w:t xml:space="preserve"> the oldest image of the mosque (figure 8). After that, we can see the mosque in Jean Chardin's drawing from Tabriz in the 17th century AD (Figure 9)</w:t>
      </w:r>
      <w:r w:rsidR="005E66A5">
        <w:rPr>
          <w:rFonts w:asciiTheme="majorHAnsi" w:hAnsiTheme="majorHAnsi" w:cstheme="majorHAnsi"/>
          <w:sz w:val="20"/>
          <w:szCs w:val="20"/>
        </w:rPr>
        <w:t>.</w:t>
      </w:r>
    </w:p>
    <w:p w14:paraId="04D71181" w14:textId="77777777" w:rsidR="002825F1" w:rsidRPr="005E66A5" w:rsidRDefault="002825F1" w:rsidP="002825F1">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4"/>
        <w:gridCol w:w="4762"/>
      </w:tblGrid>
      <w:tr w:rsidR="002825F1" w14:paraId="6D40DAC2" w14:textId="77777777" w:rsidTr="00BC2E55">
        <w:trPr>
          <w:trHeight w:val="2435"/>
        </w:trPr>
        <w:tc>
          <w:tcPr>
            <w:tcW w:w="4444" w:type="dxa"/>
          </w:tcPr>
          <w:p w14:paraId="2E53B13D" w14:textId="7F474E34" w:rsidR="002825F1" w:rsidRDefault="002825F1" w:rsidP="00BC2E55">
            <w:pPr>
              <w:jc w:val="center"/>
              <w:rPr>
                <w:rFonts w:asciiTheme="majorHAnsi" w:eastAsia="Times New Roman" w:hAnsiTheme="majorHAnsi" w:cstheme="majorHAnsi"/>
                <w:sz w:val="20"/>
                <w:szCs w:val="20"/>
                <w:lang w:val="id-ID" w:eastAsia="ko-KR"/>
              </w:rPr>
            </w:pPr>
            <w:r>
              <w:rPr>
                <w:noProof/>
              </w:rPr>
              <w:drawing>
                <wp:inline distT="0" distB="0" distL="0" distR="0" wp14:anchorId="6D902057" wp14:editId="4D35A8C2">
                  <wp:extent cx="2552700" cy="1744939"/>
                  <wp:effectExtent l="0" t="0" r="0" b="8255"/>
                  <wp:docPr id="809341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hqprint">
                            <a:extLst>
                              <a:ext uri="{28A0092B-C50C-407E-A947-70E740481C1C}">
                                <a14:useLocalDpi xmlns:a14="http://schemas.microsoft.com/office/drawing/2010/main"/>
                              </a:ext>
                            </a:extLst>
                          </a:blip>
                          <a:srcRect/>
                          <a:stretch>
                            <a:fillRect/>
                          </a:stretch>
                        </pic:blipFill>
                        <pic:spPr bwMode="auto">
                          <a:xfrm>
                            <a:off x="0" y="0"/>
                            <a:ext cx="2565192" cy="1753478"/>
                          </a:xfrm>
                          <a:prstGeom prst="rect">
                            <a:avLst/>
                          </a:prstGeom>
                          <a:noFill/>
                          <a:ln>
                            <a:noFill/>
                          </a:ln>
                        </pic:spPr>
                      </pic:pic>
                    </a:graphicData>
                  </a:graphic>
                </wp:inline>
              </w:drawing>
            </w:r>
          </w:p>
        </w:tc>
        <w:tc>
          <w:tcPr>
            <w:tcW w:w="4332" w:type="dxa"/>
          </w:tcPr>
          <w:p w14:paraId="5BC34527" w14:textId="52AB8EF5" w:rsidR="002825F1" w:rsidRDefault="002825F1" w:rsidP="00BC2E55">
            <w:pPr>
              <w:jc w:val="center"/>
              <w:rPr>
                <w:noProof/>
              </w:rPr>
            </w:pPr>
            <w:r>
              <w:rPr>
                <w:noProof/>
              </w:rPr>
              <w:drawing>
                <wp:inline distT="0" distB="0" distL="0" distR="0" wp14:anchorId="1A982BA4" wp14:editId="5ACEF5DD">
                  <wp:extent cx="3047429" cy="1701800"/>
                  <wp:effectExtent l="0" t="0" r="635" b="0"/>
                  <wp:docPr id="1793156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hqprint">
                            <a:extLst>
                              <a:ext uri="{28A0092B-C50C-407E-A947-70E740481C1C}">
                                <a14:useLocalDpi xmlns:a14="http://schemas.microsoft.com/office/drawing/2010/main"/>
                              </a:ext>
                            </a:extLst>
                          </a:blip>
                          <a:srcRect/>
                          <a:stretch/>
                        </pic:blipFill>
                        <pic:spPr bwMode="auto">
                          <a:xfrm>
                            <a:off x="0" y="0"/>
                            <a:ext cx="3050499" cy="170351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825F1" w14:paraId="53B62424" w14:textId="77777777" w:rsidTr="00BC2E55">
        <w:tc>
          <w:tcPr>
            <w:tcW w:w="4444" w:type="dxa"/>
          </w:tcPr>
          <w:p w14:paraId="6C152C66" w14:textId="77777777" w:rsidR="002825F1" w:rsidRDefault="002825F1" w:rsidP="00BC2E55">
            <w:pPr>
              <w:jc w:val="center"/>
              <w:rPr>
                <w:rFonts w:asciiTheme="majorHAnsi" w:hAnsiTheme="majorHAnsi" w:cstheme="majorHAnsi"/>
                <w:bCs/>
                <w:sz w:val="16"/>
                <w:szCs w:val="16"/>
              </w:rPr>
            </w:pPr>
          </w:p>
          <w:p w14:paraId="78F2CADC" w14:textId="3AC5B9D7" w:rsidR="002825F1" w:rsidRDefault="002825F1" w:rsidP="00BC2E55">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2825F1">
              <w:rPr>
                <w:rFonts w:asciiTheme="majorHAnsi" w:hAnsiTheme="majorHAnsi" w:cstheme="majorHAnsi"/>
                <w:bCs/>
                <w:sz w:val="16"/>
                <w:szCs w:val="16"/>
              </w:rPr>
              <w:t xml:space="preserve">8. The Goy-Masjid in the miniature of </w:t>
            </w:r>
            <w:proofErr w:type="spellStart"/>
            <w:r w:rsidRPr="002825F1">
              <w:rPr>
                <w:rFonts w:asciiTheme="majorHAnsi" w:hAnsiTheme="majorHAnsi" w:cstheme="majorHAnsi"/>
                <w:bCs/>
                <w:sz w:val="16"/>
                <w:szCs w:val="16"/>
              </w:rPr>
              <w:t>Matrakçı</w:t>
            </w:r>
            <w:proofErr w:type="spellEnd"/>
            <w:r w:rsidRPr="002825F1">
              <w:rPr>
                <w:rFonts w:asciiTheme="majorHAnsi" w:hAnsiTheme="majorHAnsi" w:cstheme="majorHAnsi"/>
                <w:bCs/>
                <w:sz w:val="16"/>
                <w:szCs w:val="16"/>
              </w:rPr>
              <w:t xml:space="preserve"> Nasuh in the 16th century AD [22]</w:t>
            </w:r>
          </w:p>
        </w:tc>
        <w:tc>
          <w:tcPr>
            <w:tcW w:w="4332" w:type="dxa"/>
          </w:tcPr>
          <w:p w14:paraId="155D4B12" w14:textId="77777777" w:rsidR="002825F1" w:rsidRDefault="002825F1" w:rsidP="00BC2E55">
            <w:pPr>
              <w:jc w:val="center"/>
              <w:rPr>
                <w:rFonts w:asciiTheme="majorHAnsi" w:hAnsiTheme="majorHAnsi" w:cstheme="majorHAnsi"/>
                <w:bCs/>
                <w:sz w:val="16"/>
                <w:szCs w:val="16"/>
              </w:rPr>
            </w:pPr>
          </w:p>
          <w:p w14:paraId="3715A05F" w14:textId="3D47C5A5" w:rsidR="002825F1" w:rsidRPr="005E66A5" w:rsidRDefault="002825F1"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825F1">
              <w:rPr>
                <w:rFonts w:asciiTheme="majorHAnsi" w:hAnsiTheme="majorHAnsi" w:cstheme="majorHAnsi"/>
                <w:bCs/>
                <w:sz w:val="16"/>
                <w:szCs w:val="16"/>
              </w:rPr>
              <w:t>9. Chardin's drawing from Tabriz city [1][23]</w:t>
            </w:r>
          </w:p>
        </w:tc>
      </w:tr>
    </w:tbl>
    <w:p w14:paraId="694B9F5B" w14:textId="77777777" w:rsidR="005E66A5" w:rsidRDefault="005E66A5" w:rsidP="005E66A5">
      <w:pPr>
        <w:rPr>
          <w:rFonts w:asciiTheme="minorHAnsi" w:hAnsiTheme="minorHAnsi" w:cstheme="minorHAnsi"/>
          <w:b/>
          <w:bCs/>
          <w:sz w:val="20"/>
          <w:szCs w:val="20"/>
        </w:rPr>
      </w:pPr>
    </w:p>
    <w:p w14:paraId="73C539B9" w14:textId="19D1648C" w:rsidR="002825F1" w:rsidRDefault="00B060A3" w:rsidP="002825F1">
      <w:pPr>
        <w:pStyle w:val="ListParagraph"/>
        <w:numPr>
          <w:ilvl w:val="0"/>
          <w:numId w:val="3"/>
        </w:numPr>
        <w:ind w:left="567" w:hanging="283"/>
        <w:jc w:val="both"/>
        <w:rPr>
          <w:rFonts w:asciiTheme="minorHAnsi" w:hAnsiTheme="minorHAnsi" w:cstheme="minorHAnsi"/>
          <w:b/>
          <w:bCs/>
          <w:sz w:val="18"/>
          <w:szCs w:val="18"/>
        </w:rPr>
      </w:pPr>
      <w:r w:rsidRPr="00B060A3">
        <w:rPr>
          <w:rFonts w:asciiTheme="minorHAnsi" w:hAnsiTheme="minorHAnsi" w:cstheme="minorHAnsi"/>
          <w:b/>
          <w:bCs/>
          <w:sz w:val="18"/>
          <w:szCs w:val="18"/>
        </w:rPr>
        <w:t>CHANGES IN THE SURROUNDING ENVIRONMENT OF GOY-MASJID (IN AQQUYUNLU, SAFAVID, QAJAR, PAHLAVI, CONTEMPORARY PERIOD)</w:t>
      </w:r>
    </w:p>
    <w:p w14:paraId="687DFE6E" w14:textId="77777777" w:rsidR="00B060A3" w:rsidRPr="00B060A3" w:rsidRDefault="00B060A3" w:rsidP="00B060A3">
      <w:pPr>
        <w:ind w:left="284" w:firstLine="283"/>
        <w:jc w:val="both"/>
        <w:rPr>
          <w:rFonts w:asciiTheme="majorHAnsi" w:eastAsia="Times New Roman" w:hAnsiTheme="majorHAnsi" w:cstheme="majorHAnsi"/>
          <w:sz w:val="20"/>
          <w:szCs w:val="20"/>
          <w:lang w:val="id-ID" w:eastAsia="ko-KR"/>
        </w:rPr>
      </w:pPr>
      <w:r w:rsidRPr="00B060A3">
        <w:rPr>
          <w:rFonts w:asciiTheme="majorHAnsi" w:eastAsia="Times New Roman" w:hAnsiTheme="majorHAnsi" w:cstheme="majorHAnsi"/>
          <w:sz w:val="20"/>
          <w:szCs w:val="20"/>
          <w:lang w:val="id-ID" w:eastAsia="ko-KR"/>
        </w:rPr>
        <w:t>Since the construction of the complex, there have always been changes in the environment and surrounding buildings, as well as in the elements and context of the Muzaffariyya complex and the Goy-Masjid, due to political, economic, natural, and religious reasons. In the past, the Goy-Masjid was located in a relatively large Bāq inside the Muzaffariyya complex [1]. The existence and description of the surrounding buildings, which also belong to the Muzaffariyya complex, are mentioned in old documents and historical writings. The existence of three Bāq around the complex was also mentioned in the deed of the dedication of the complex. After the Qaraquyunlu period, parts of the Muzaffariyya complex were repaired and completed in the Aqquyunlu period [2]. After Uzun Hassan, during the reign of Sultan Yaqub (Aqquyunlu), the development of the Muzaffariyya complex was completed by the daughter of Jahanshah Sālehe Khātun, and along with it, it returned to its past prosperity and greatness [3]. Among the reasons for the changes in this complex, the severe damage caused to the complex, which was related to the destruction and damage to the mosque and its surroundings due to frequent earthquakes, can be seen in the writings of that time. Mirza Muhammad Ali Mudarris Tabrizi only mentions the remaining Tāq  of the mosque's entrance through the north [1]. This means that only the mosque's ruins were left out of the elements of the Muzaffariyya complex during that time. After the rule of the Turkomans in the Safavid era, the neglect and lack of maintenance and protection of the complex due to the perception that Jahanshah was Sunni added to the deterioration of the mosque [3]. Later, Monsieur Tavernier mentions only the mosque and Sheikh Imam's house among the remaining elements of the complex. Nevertheless, the statements that the builders of the mosque were Sunni were mentioned by by some of the travelers from the 17th to the 19th century AD, the reason for that has been discussed in the research, "With a superficial knowledge of the realities of Iranian society, they have expressed incorrect opinions about the quality of maintenance and the survival of the mosque, Without searching and understanding the truth of the matter, they have linked the abandonment of the mosque after the destruction to religious beliefs and prejudices and to Shiite and Sunni issues, including the fact that the founder of the mosque was a Sunni." [11]. Moreover. Mashkur's writings state that "Jahanshah was a Shiite king who was proud of having that religion [18].</w:t>
      </w:r>
    </w:p>
    <w:p w14:paraId="79CACA71" w14:textId="4496BF8A" w:rsidR="002825F1" w:rsidRDefault="00B060A3" w:rsidP="00B060A3">
      <w:pPr>
        <w:ind w:left="284" w:firstLine="283"/>
        <w:jc w:val="both"/>
        <w:rPr>
          <w:rFonts w:asciiTheme="minorHAnsi" w:hAnsiTheme="minorHAnsi" w:cstheme="minorHAnsi"/>
          <w:b/>
          <w:bCs/>
          <w:sz w:val="20"/>
          <w:szCs w:val="20"/>
        </w:rPr>
      </w:pPr>
      <w:r w:rsidRPr="00B060A3">
        <w:rPr>
          <w:rFonts w:asciiTheme="majorHAnsi" w:eastAsia="Times New Roman" w:hAnsiTheme="majorHAnsi" w:cstheme="majorHAnsi"/>
          <w:sz w:val="20"/>
          <w:szCs w:val="20"/>
          <w:lang w:val="id-ID" w:eastAsia="ko-KR"/>
        </w:rPr>
        <w:t>In total, many earthquakes have occurred throughout the history of this city, and severe earthquakes, along with their damage and destruction, have also occurred after the construction of the Muzaffariyya complex. In the devastating earthquake of 1779 AD, the main Gonbad and a part of the mosque's hull were destroyed, and then heavy winters caused significant damage to its decorations and Kashi-Kari [21]. In the history of Olād Athār, after the earthquake of 1779, it is described that the city turned into a pile of dust, and nothing was left of the historical monuments except for a part of the Goy-Masjid, Arg-e Alishah, and the Ostād-va-Shāgerd Mosque [3].</w:t>
      </w:r>
    </w:p>
    <w:p w14:paraId="0A65F14A" w14:textId="77777777" w:rsidR="002825F1" w:rsidRDefault="002825F1" w:rsidP="005E66A5">
      <w:pPr>
        <w:rPr>
          <w:rFonts w:asciiTheme="minorHAnsi" w:hAnsiTheme="minorHAnsi" w:cstheme="minorHAnsi"/>
          <w:b/>
          <w:b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3899"/>
      </w:tblGrid>
      <w:tr w:rsidR="00B060A3" w14:paraId="543018D0" w14:textId="77777777" w:rsidTr="00B060A3">
        <w:trPr>
          <w:trHeight w:val="2435"/>
        </w:trPr>
        <w:tc>
          <w:tcPr>
            <w:tcW w:w="4887" w:type="dxa"/>
          </w:tcPr>
          <w:p w14:paraId="01EDF3B3" w14:textId="5CD17B32" w:rsidR="00B060A3" w:rsidRDefault="00B060A3" w:rsidP="00BC2E55">
            <w:pPr>
              <w:jc w:val="center"/>
              <w:rPr>
                <w:rFonts w:asciiTheme="majorHAnsi" w:eastAsia="Times New Roman" w:hAnsiTheme="majorHAnsi" w:cstheme="majorHAnsi"/>
                <w:sz w:val="20"/>
                <w:szCs w:val="20"/>
                <w:lang w:val="id-ID" w:eastAsia="ko-KR"/>
              </w:rPr>
            </w:pPr>
            <w:r>
              <w:rPr>
                <w:noProof/>
              </w:rPr>
              <w:lastRenderedPageBreak/>
              <w:drawing>
                <wp:inline distT="0" distB="0" distL="0" distR="0" wp14:anchorId="6B70086D" wp14:editId="44002094">
                  <wp:extent cx="2971416" cy="1543050"/>
                  <wp:effectExtent l="0" t="0" r="635" b="0"/>
                  <wp:docPr id="12508376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cstate="hqprint">
                            <a:extLst>
                              <a:ext uri="{28A0092B-C50C-407E-A947-70E740481C1C}">
                                <a14:useLocalDpi xmlns:a14="http://schemas.microsoft.com/office/drawing/2010/main"/>
                              </a:ext>
                            </a:extLst>
                          </a:blip>
                          <a:srcRect/>
                          <a:stretch/>
                        </pic:blipFill>
                        <pic:spPr bwMode="auto">
                          <a:xfrm>
                            <a:off x="0" y="0"/>
                            <a:ext cx="2979737" cy="15473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99" w:type="dxa"/>
          </w:tcPr>
          <w:p w14:paraId="20AAD167" w14:textId="5E932692" w:rsidR="00B060A3" w:rsidRDefault="00B060A3" w:rsidP="00BC2E55">
            <w:pPr>
              <w:jc w:val="center"/>
              <w:rPr>
                <w:noProof/>
              </w:rPr>
            </w:pPr>
            <w:r>
              <w:rPr>
                <w:noProof/>
              </w:rPr>
              <w:drawing>
                <wp:inline distT="0" distB="0" distL="0" distR="0" wp14:anchorId="4E3BA62D" wp14:editId="6162DED8">
                  <wp:extent cx="2340000" cy="1534316"/>
                  <wp:effectExtent l="0" t="0" r="3175" b="8890"/>
                  <wp:docPr id="19084974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hqprint">
                            <a:extLst>
                              <a:ext uri="{28A0092B-C50C-407E-A947-70E740481C1C}">
                                <a14:useLocalDpi xmlns:a14="http://schemas.microsoft.com/office/drawing/2010/main"/>
                              </a:ext>
                            </a:extLst>
                          </a:blip>
                          <a:srcRect/>
                          <a:stretch/>
                        </pic:blipFill>
                        <pic:spPr bwMode="auto">
                          <a:xfrm>
                            <a:off x="0" y="0"/>
                            <a:ext cx="2340000" cy="153431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060A3" w14:paraId="26983829" w14:textId="77777777" w:rsidTr="00B060A3">
        <w:tc>
          <w:tcPr>
            <w:tcW w:w="4887" w:type="dxa"/>
          </w:tcPr>
          <w:p w14:paraId="5434BD7A" w14:textId="77777777" w:rsidR="00B060A3" w:rsidRDefault="00B060A3" w:rsidP="00BC2E55">
            <w:pPr>
              <w:jc w:val="center"/>
              <w:rPr>
                <w:rFonts w:asciiTheme="majorHAnsi" w:hAnsiTheme="majorHAnsi" w:cstheme="majorHAnsi"/>
                <w:bCs/>
                <w:sz w:val="16"/>
                <w:szCs w:val="16"/>
              </w:rPr>
            </w:pPr>
          </w:p>
          <w:p w14:paraId="0655C9F7" w14:textId="563AB052" w:rsidR="00B060A3" w:rsidRDefault="00B060A3" w:rsidP="00BC2E55">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10. Goy-Masjid in the period of Fath-Ali Shah (King) Qajar 1872 AD, along with ruins around it (Jules Laurens)</w:t>
            </w:r>
          </w:p>
        </w:tc>
        <w:tc>
          <w:tcPr>
            <w:tcW w:w="3899" w:type="dxa"/>
          </w:tcPr>
          <w:p w14:paraId="2431B7A3" w14:textId="77777777" w:rsidR="00B060A3" w:rsidRDefault="00B060A3" w:rsidP="00BC2E55">
            <w:pPr>
              <w:jc w:val="center"/>
              <w:rPr>
                <w:rFonts w:asciiTheme="majorHAnsi" w:hAnsiTheme="majorHAnsi" w:cstheme="majorHAnsi"/>
                <w:bCs/>
                <w:sz w:val="16"/>
                <w:szCs w:val="16"/>
              </w:rPr>
            </w:pPr>
          </w:p>
          <w:p w14:paraId="225EB6D1" w14:textId="33B28CA1" w:rsidR="00B060A3" w:rsidRPr="005E66A5" w:rsidRDefault="00B060A3"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11. Entrance view of the mosque (Mar 2023)</w:t>
            </w:r>
          </w:p>
        </w:tc>
      </w:tr>
    </w:tbl>
    <w:p w14:paraId="4748D733" w14:textId="77777777" w:rsidR="00B060A3" w:rsidRDefault="00B060A3" w:rsidP="005E66A5">
      <w:pPr>
        <w:rPr>
          <w:rFonts w:asciiTheme="majorHAnsi" w:eastAsia="Times New Roman" w:hAnsiTheme="majorHAnsi" w:cstheme="majorHAnsi"/>
          <w:sz w:val="20"/>
          <w:szCs w:val="20"/>
          <w:lang w:val="id-ID" w:eastAsia="ko-KR"/>
        </w:rPr>
      </w:pPr>
    </w:p>
    <w:p w14:paraId="194187AE" w14:textId="747EF6C5" w:rsidR="00B060A3" w:rsidRDefault="00B060A3" w:rsidP="00B060A3">
      <w:pPr>
        <w:ind w:left="284" w:firstLine="283"/>
        <w:jc w:val="both"/>
        <w:rPr>
          <w:rFonts w:asciiTheme="majorHAnsi" w:eastAsia="Times New Roman" w:hAnsiTheme="majorHAnsi" w:cstheme="majorHAnsi"/>
          <w:sz w:val="20"/>
          <w:szCs w:val="20"/>
          <w:lang w:val="id-ID" w:eastAsia="ko-KR"/>
        </w:rPr>
      </w:pPr>
      <w:r w:rsidRPr="00B060A3">
        <w:rPr>
          <w:rFonts w:asciiTheme="majorHAnsi" w:eastAsia="Times New Roman" w:hAnsiTheme="majorHAnsi" w:cstheme="majorHAnsi"/>
          <w:sz w:val="20"/>
          <w:szCs w:val="20"/>
          <w:lang w:val="id-ID" w:eastAsia="ko-KR"/>
        </w:rPr>
        <w:t>From the Qajar period, in two drawings related to the map of the French mapping group (1828 AD) and the Dār-Ul-Saltane map of Tabriz (1879 AD), the surrounding buildings of the Goy-Masjid have been identified [1]. It can be seen in the drawing of the map of the French group around the mosque, graveyard, Bāq-Shomal, etc. During this period, the area around the mosque was turned into a graveyard</w:t>
      </w:r>
      <w:r>
        <w:rPr>
          <w:rFonts w:asciiTheme="majorHAnsi" w:eastAsia="Times New Roman" w:hAnsiTheme="majorHAnsi" w:cstheme="majorHAnsi"/>
          <w:sz w:val="20"/>
          <w:szCs w:val="20"/>
          <w:lang w:val="id-ID" w:eastAsia="ko-KR"/>
        </w:rPr>
        <w:t>.</w:t>
      </w:r>
    </w:p>
    <w:p w14:paraId="034F34DB" w14:textId="77777777" w:rsidR="00B060A3" w:rsidRDefault="00B060A3" w:rsidP="00B060A3">
      <w:pPr>
        <w:ind w:left="284" w:firstLine="283"/>
        <w:jc w:val="both"/>
        <w:rPr>
          <w:rFonts w:asciiTheme="majorHAnsi" w:eastAsia="Times New Roman" w:hAnsiTheme="majorHAnsi" w:cstheme="majorHAnsi"/>
          <w:sz w:val="20"/>
          <w:szCs w:val="20"/>
          <w:lang w:val="id-ID" w:eastAsia="ko-KR"/>
        </w:rPr>
      </w:pP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2"/>
      </w:tblGrid>
      <w:tr w:rsidR="00B060A3" w14:paraId="622E25B9" w14:textId="77777777" w:rsidTr="00B060A3">
        <w:trPr>
          <w:trHeight w:val="2435"/>
        </w:trPr>
        <w:tc>
          <w:tcPr>
            <w:tcW w:w="4536" w:type="dxa"/>
          </w:tcPr>
          <w:p w14:paraId="3E2E4852" w14:textId="76788C33" w:rsidR="00B060A3" w:rsidRDefault="00B060A3" w:rsidP="00BC2E55">
            <w:pPr>
              <w:jc w:val="center"/>
              <w:rPr>
                <w:rFonts w:asciiTheme="majorHAnsi" w:eastAsia="Times New Roman" w:hAnsiTheme="majorHAnsi" w:cstheme="majorHAnsi"/>
                <w:sz w:val="20"/>
                <w:szCs w:val="20"/>
                <w:lang w:val="id-ID" w:eastAsia="ko-KR"/>
              </w:rPr>
            </w:pPr>
            <w:r>
              <w:rPr>
                <w:noProof/>
              </w:rPr>
              <w:drawing>
                <wp:inline distT="0" distB="0" distL="0" distR="0" wp14:anchorId="09A76AC8" wp14:editId="76B81DA5">
                  <wp:extent cx="1498600" cy="1995124"/>
                  <wp:effectExtent l="0" t="0" r="6350" b="5715"/>
                  <wp:docPr id="10345548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cstate="hqprint">
                            <a:extLst>
                              <a:ext uri="{28A0092B-C50C-407E-A947-70E740481C1C}">
                                <a14:useLocalDpi xmlns:a14="http://schemas.microsoft.com/office/drawing/2010/main"/>
                              </a:ext>
                            </a:extLst>
                          </a:blip>
                          <a:srcRect/>
                          <a:stretch/>
                        </pic:blipFill>
                        <pic:spPr bwMode="auto">
                          <a:xfrm>
                            <a:off x="0" y="0"/>
                            <a:ext cx="1501276" cy="19986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2" w:type="dxa"/>
          </w:tcPr>
          <w:p w14:paraId="10993FB8" w14:textId="02DEB671" w:rsidR="00B060A3" w:rsidRDefault="00B060A3" w:rsidP="00BC2E55">
            <w:pPr>
              <w:jc w:val="center"/>
              <w:rPr>
                <w:noProof/>
              </w:rPr>
            </w:pPr>
            <w:r>
              <w:rPr>
                <w:noProof/>
              </w:rPr>
              <w:drawing>
                <wp:inline distT="0" distB="0" distL="0" distR="0" wp14:anchorId="3509BBCF" wp14:editId="5176B4DD">
                  <wp:extent cx="1800000" cy="1996315"/>
                  <wp:effectExtent l="0" t="0" r="0" b="4445"/>
                  <wp:docPr id="5891020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hqprint">
                            <a:extLst>
                              <a:ext uri="{28A0092B-C50C-407E-A947-70E740481C1C}">
                                <a14:useLocalDpi xmlns:a14="http://schemas.microsoft.com/office/drawing/2010/main"/>
                              </a:ext>
                            </a:extLst>
                          </a:blip>
                          <a:srcRect/>
                          <a:stretch>
                            <a:fillRect/>
                          </a:stretch>
                        </pic:blipFill>
                        <pic:spPr bwMode="auto">
                          <a:xfrm>
                            <a:off x="0" y="0"/>
                            <a:ext cx="1800000" cy="1996315"/>
                          </a:xfrm>
                          <a:prstGeom prst="rect">
                            <a:avLst/>
                          </a:prstGeom>
                          <a:noFill/>
                          <a:ln>
                            <a:noFill/>
                          </a:ln>
                        </pic:spPr>
                      </pic:pic>
                    </a:graphicData>
                  </a:graphic>
                </wp:inline>
              </w:drawing>
            </w:r>
          </w:p>
        </w:tc>
      </w:tr>
      <w:tr w:rsidR="00B060A3" w14:paraId="7CFFE268" w14:textId="77777777" w:rsidTr="00B060A3">
        <w:tc>
          <w:tcPr>
            <w:tcW w:w="4536" w:type="dxa"/>
          </w:tcPr>
          <w:p w14:paraId="1F6A06AC" w14:textId="77777777" w:rsidR="00B060A3" w:rsidRDefault="00B060A3" w:rsidP="00BC2E55">
            <w:pPr>
              <w:jc w:val="center"/>
              <w:rPr>
                <w:rFonts w:asciiTheme="majorHAnsi" w:hAnsiTheme="majorHAnsi" w:cstheme="majorHAnsi"/>
                <w:bCs/>
                <w:sz w:val="16"/>
                <w:szCs w:val="16"/>
              </w:rPr>
            </w:pPr>
          </w:p>
          <w:p w14:paraId="418EAD81" w14:textId="5A10E8C4" w:rsidR="00B060A3" w:rsidRDefault="00B060A3" w:rsidP="00BC2E55">
            <w:pPr>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12. 1828 AD map of French surveyors and the location of the mosque and surrounding buildings [1]</w:t>
            </w:r>
          </w:p>
        </w:tc>
        <w:tc>
          <w:tcPr>
            <w:tcW w:w="4252" w:type="dxa"/>
          </w:tcPr>
          <w:p w14:paraId="19A31079" w14:textId="77777777" w:rsidR="00B060A3" w:rsidRDefault="00B060A3" w:rsidP="00BC2E55">
            <w:pPr>
              <w:jc w:val="center"/>
              <w:rPr>
                <w:rFonts w:asciiTheme="majorHAnsi" w:hAnsiTheme="majorHAnsi" w:cstheme="majorHAnsi"/>
                <w:bCs/>
                <w:sz w:val="16"/>
                <w:szCs w:val="16"/>
              </w:rPr>
            </w:pPr>
          </w:p>
          <w:p w14:paraId="1FBBA6EF" w14:textId="24B457DA" w:rsidR="00B060A3" w:rsidRPr="005E66A5" w:rsidRDefault="00B060A3"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 xml:space="preserve">13. In the 1879 AD </w:t>
            </w:r>
            <w:proofErr w:type="spellStart"/>
            <w:r w:rsidRPr="00B060A3">
              <w:rPr>
                <w:rFonts w:asciiTheme="majorHAnsi" w:hAnsiTheme="majorHAnsi" w:cstheme="majorHAnsi"/>
                <w:bCs/>
                <w:sz w:val="16"/>
                <w:szCs w:val="16"/>
              </w:rPr>
              <w:t>Dār-Ul-Saltane</w:t>
            </w:r>
            <w:proofErr w:type="spellEnd"/>
            <w:r w:rsidRPr="00B060A3">
              <w:rPr>
                <w:rFonts w:asciiTheme="majorHAnsi" w:hAnsiTheme="majorHAnsi" w:cstheme="majorHAnsi"/>
                <w:bCs/>
                <w:sz w:val="16"/>
                <w:szCs w:val="16"/>
              </w:rPr>
              <w:t xml:space="preserve"> map, the location of the mosque and surrounding buildings [1]</w:t>
            </w:r>
          </w:p>
        </w:tc>
      </w:tr>
    </w:tbl>
    <w:p w14:paraId="1848DC0B" w14:textId="77777777" w:rsidR="00B060A3" w:rsidRDefault="00B060A3" w:rsidP="00B060A3">
      <w:pPr>
        <w:ind w:left="284" w:firstLine="283"/>
        <w:jc w:val="both"/>
        <w:rPr>
          <w:rFonts w:asciiTheme="majorHAnsi" w:eastAsia="Times New Roman" w:hAnsiTheme="majorHAnsi" w:cstheme="majorHAnsi"/>
          <w:sz w:val="20"/>
          <w:szCs w:val="20"/>
          <w:lang w:val="id-ID" w:eastAsia="ko-KR"/>
        </w:rPr>
      </w:pP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2"/>
      </w:tblGrid>
      <w:tr w:rsidR="00B060A3" w14:paraId="68B8A62B" w14:textId="77777777" w:rsidTr="00BC2E55">
        <w:trPr>
          <w:trHeight w:val="2435"/>
        </w:trPr>
        <w:tc>
          <w:tcPr>
            <w:tcW w:w="4536" w:type="dxa"/>
          </w:tcPr>
          <w:p w14:paraId="0FDAB6D9" w14:textId="77777777" w:rsidR="00B060A3" w:rsidRDefault="00B060A3" w:rsidP="00BC2E55">
            <w:pPr>
              <w:jc w:val="center"/>
              <w:rPr>
                <w:rFonts w:asciiTheme="majorHAnsi" w:eastAsia="Times New Roman" w:hAnsiTheme="majorHAnsi" w:cstheme="majorHAnsi"/>
                <w:sz w:val="20"/>
                <w:szCs w:val="20"/>
                <w:lang w:val="id-ID" w:eastAsia="ko-KR"/>
              </w:rPr>
            </w:pPr>
            <w:r>
              <w:rPr>
                <w:noProof/>
              </w:rPr>
              <w:drawing>
                <wp:inline distT="0" distB="0" distL="0" distR="0" wp14:anchorId="21E1D4BE" wp14:editId="6FAB37C4">
                  <wp:extent cx="1498600" cy="1995124"/>
                  <wp:effectExtent l="0" t="0" r="6350" b="5715"/>
                  <wp:docPr id="16279185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cstate="hqprint">
                            <a:extLst>
                              <a:ext uri="{28A0092B-C50C-407E-A947-70E740481C1C}">
                                <a14:useLocalDpi xmlns:a14="http://schemas.microsoft.com/office/drawing/2010/main"/>
                              </a:ext>
                            </a:extLst>
                          </a:blip>
                          <a:srcRect/>
                          <a:stretch/>
                        </pic:blipFill>
                        <pic:spPr bwMode="auto">
                          <a:xfrm>
                            <a:off x="0" y="0"/>
                            <a:ext cx="1501276" cy="19986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2" w:type="dxa"/>
          </w:tcPr>
          <w:p w14:paraId="54A568F7" w14:textId="77777777" w:rsidR="00B060A3" w:rsidRDefault="00B060A3" w:rsidP="00BC2E55">
            <w:pPr>
              <w:jc w:val="center"/>
              <w:rPr>
                <w:noProof/>
              </w:rPr>
            </w:pPr>
            <w:r>
              <w:rPr>
                <w:noProof/>
              </w:rPr>
              <w:drawing>
                <wp:inline distT="0" distB="0" distL="0" distR="0" wp14:anchorId="168743A1" wp14:editId="5E3A40D7">
                  <wp:extent cx="1800000" cy="1996315"/>
                  <wp:effectExtent l="0" t="0" r="0" b="4445"/>
                  <wp:docPr id="1427575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hqprint">
                            <a:extLst>
                              <a:ext uri="{28A0092B-C50C-407E-A947-70E740481C1C}">
                                <a14:useLocalDpi xmlns:a14="http://schemas.microsoft.com/office/drawing/2010/main"/>
                              </a:ext>
                            </a:extLst>
                          </a:blip>
                          <a:srcRect/>
                          <a:stretch>
                            <a:fillRect/>
                          </a:stretch>
                        </pic:blipFill>
                        <pic:spPr bwMode="auto">
                          <a:xfrm>
                            <a:off x="0" y="0"/>
                            <a:ext cx="1800000" cy="1996315"/>
                          </a:xfrm>
                          <a:prstGeom prst="rect">
                            <a:avLst/>
                          </a:prstGeom>
                          <a:noFill/>
                          <a:ln>
                            <a:noFill/>
                          </a:ln>
                        </pic:spPr>
                      </pic:pic>
                    </a:graphicData>
                  </a:graphic>
                </wp:inline>
              </w:drawing>
            </w:r>
          </w:p>
        </w:tc>
      </w:tr>
      <w:tr w:rsidR="00B060A3" w14:paraId="48528C6C" w14:textId="77777777" w:rsidTr="00BC2E55">
        <w:tc>
          <w:tcPr>
            <w:tcW w:w="4536" w:type="dxa"/>
          </w:tcPr>
          <w:p w14:paraId="0ECBA2AE" w14:textId="77777777" w:rsidR="00B060A3" w:rsidRDefault="00B060A3" w:rsidP="00BC2E55">
            <w:pPr>
              <w:jc w:val="center"/>
              <w:rPr>
                <w:rFonts w:asciiTheme="majorHAnsi" w:hAnsiTheme="majorHAnsi" w:cstheme="majorHAnsi"/>
                <w:bCs/>
                <w:sz w:val="16"/>
                <w:szCs w:val="16"/>
              </w:rPr>
            </w:pPr>
          </w:p>
          <w:p w14:paraId="352CA5A2" w14:textId="6648417C" w:rsidR="00B060A3" w:rsidRDefault="00B060A3" w:rsidP="00BC2E55">
            <w:pPr>
              <w:jc w:val="center"/>
              <w:rPr>
                <w:rFonts w:asciiTheme="majorHAnsi" w:eastAsia="Times New Roman" w:hAnsiTheme="majorHAnsi" w:cstheme="majorHAnsi"/>
                <w:sz w:val="20"/>
                <w:szCs w:val="20"/>
                <w:lang w:val="id-ID" w:eastAsia="ko-KR"/>
              </w:rPr>
            </w:pPr>
            <w:r w:rsidRPr="00B060A3">
              <w:rPr>
                <w:rFonts w:asciiTheme="majorHAnsi" w:hAnsiTheme="majorHAnsi" w:cstheme="majorHAnsi"/>
                <w:bCs/>
                <w:sz w:val="16"/>
                <w:szCs w:val="16"/>
              </w:rPr>
              <w:t xml:space="preserve">Figure 14. In the 1909 AD Asad-Allah Khan </w:t>
            </w:r>
            <w:proofErr w:type="spellStart"/>
            <w:r w:rsidRPr="00B060A3">
              <w:rPr>
                <w:rFonts w:asciiTheme="majorHAnsi" w:hAnsiTheme="majorHAnsi" w:cstheme="majorHAnsi"/>
                <w:bCs/>
                <w:sz w:val="16"/>
                <w:szCs w:val="16"/>
              </w:rPr>
              <w:t>Maraghei</w:t>
            </w:r>
            <w:proofErr w:type="spellEnd"/>
            <w:r w:rsidRPr="00B060A3">
              <w:rPr>
                <w:rFonts w:asciiTheme="majorHAnsi" w:hAnsiTheme="majorHAnsi" w:cstheme="majorHAnsi"/>
                <w:bCs/>
                <w:sz w:val="16"/>
                <w:szCs w:val="16"/>
              </w:rPr>
              <w:t xml:space="preserve"> map, the location of the mosque and surrounding buildings [1]</w:t>
            </w:r>
          </w:p>
        </w:tc>
        <w:tc>
          <w:tcPr>
            <w:tcW w:w="4252" w:type="dxa"/>
          </w:tcPr>
          <w:p w14:paraId="0CDB0914" w14:textId="77777777" w:rsidR="00B060A3" w:rsidRDefault="00B060A3" w:rsidP="00BC2E55">
            <w:pPr>
              <w:jc w:val="center"/>
              <w:rPr>
                <w:rFonts w:asciiTheme="majorHAnsi" w:hAnsiTheme="majorHAnsi" w:cstheme="majorHAnsi"/>
                <w:bCs/>
                <w:sz w:val="16"/>
                <w:szCs w:val="16"/>
              </w:rPr>
            </w:pPr>
          </w:p>
          <w:p w14:paraId="49F7F3D8" w14:textId="0BD3472D" w:rsidR="00B060A3" w:rsidRPr="005E66A5" w:rsidRDefault="00B060A3"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 xml:space="preserve">15. Eugène </w:t>
            </w:r>
            <w:proofErr w:type="spellStart"/>
            <w:r w:rsidRPr="00B060A3">
              <w:rPr>
                <w:rFonts w:asciiTheme="majorHAnsi" w:hAnsiTheme="majorHAnsi" w:cstheme="majorHAnsi"/>
                <w:bCs/>
                <w:sz w:val="16"/>
                <w:szCs w:val="16"/>
              </w:rPr>
              <w:t>Flandin's</w:t>
            </w:r>
            <w:proofErr w:type="spellEnd"/>
            <w:r w:rsidRPr="00B060A3">
              <w:rPr>
                <w:rFonts w:asciiTheme="majorHAnsi" w:hAnsiTheme="majorHAnsi" w:cstheme="majorHAnsi"/>
                <w:bCs/>
                <w:sz w:val="16"/>
                <w:szCs w:val="16"/>
              </w:rPr>
              <w:t xml:space="preserve"> picture of the ruins of the Goy-Masjid in the 19th AD century during the era of Mohammad Shah Qajar [24]</w:t>
            </w:r>
          </w:p>
        </w:tc>
      </w:tr>
    </w:tbl>
    <w:p w14:paraId="3E564D27" w14:textId="77777777" w:rsidR="00B060A3" w:rsidRDefault="00B060A3" w:rsidP="00B060A3">
      <w:pPr>
        <w:ind w:left="284" w:firstLine="283"/>
        <w:jc w:val="both"/>
        <w:rPr>
          <w:rFonts w:asciiTheme="majorHAnsi" w:eastAsia="Times New Roman" w:hAnsiTheme="majorHAnsi" w:cstheme="majorHAnsi"/>
          <w:sz w:val="20"/>
          <w:szCs w:val="20"/>
          <w:lang w:val="id-ID" w:eastAsia="ko-KR"/>
        </w:rPr>
      </w:pPr>
    </w:p>
    <w:p w14:paraId="1BF4A3EB" w14:textId="2BCC1256" w:rsidR="00B060A3" w:rsidRDefault="00B060A3" w:rsidP="00B060A3">
      <w:pPr>
        <w:ind w:left="284" w:firstLine="283"/>
        <w:jc w:val="both"/>
        <w:rPr>
          <w:rFonts w:asciiTheme="majorHAnsi" w:eastAsia="Times New Roman" w:hAnsiTheme="majorHAnsi" w:cstheme="majorHAnsi"/>
          <w:sz w:val="20"/>
          <w:szCs w:val="20"/>
          <w:lang w:val="id-ID" w:eastAsia="ko-KR"/>
        </w:rPr>
      </w:pPr>
      <w:r w:rsidRPr="00B060A3">
        <w:rPr>
          <w:rFonts w:asciiTheme="majorHAnsi" w:eastAsia="Times New Roman" w:hAnsiTheme="majorHAnsi" w:cstheme="majorHAnsi"/>
          <w:sz w:val="20"/>
          <w:szCs w:val="20"/>
          <w:lang w:val="id-ID" w:eastAsia="ko-KR"/>
        </w:rPr>
        <w:t xml:space="preserve">Travelers and historians have discussed the architectural features of the Goy-Masjid and its surroundings in countless writings. In the pictures of Pascal Coste  and Eugène Flandin  during the Qajar period, 1841 AD, the ruins caused by earthquakes and the lack of protection and repair of the mosque can be seen. Only the portal and a few foundations remain [3]. In 1841 AD, the writings of Jane Dieulafoy  also mention the destruction of the mosque by the nearby residents, the looting of the exquisite materials thrown from the </w:t>
      </w:r>
      <w:r w:rsidRPr="00B060A3">
        <w:rPr>
          <w:rFonts w:asciiTheme="majorHAnsi" w:eastAsia="Times New Roman" w:hAnsiTheme="majorHAnsi" w:cstheme="majorHAnsi"/>
          <w:sz w:val="20"/>
          <w:szCs w:val="20"/>
          <w:lang w:val="id-ID" w:eastAsia="ko-KR"/>
        </w:rPr>
        <w:lastRenderedPageBreak/>
        <w:t>building in the form of a pile, the occupation of the building environs by the residents, and the existence of a large graveyard for Sunnis around the mosque [10][1]. Also stated these things regarding the initial state of the mosque from the large courtyard surrounded by Tāq-Nama and a large Howz for ablution in the center [6]. In the state of destruction of that era (Qajar), the decorative elements and marble stones of the mosque were exposed to looting by profiteers. With the development of the city, bazaars with traditional style covered with Tāq and Gonbad were parallel to the mosque and then continued without covering and around the mosque and bazaar, a warehouse (in a part of the graveyard) and a residential structure have been built [3]. As mentioned, since the Safavid period, these conditions have continued with the occupation of the surrounding buildings and related to the mosque. In 1931 AD, the mosque was registered in the list of national monuments during the first Pahlavi period. Later, the graveyard next to the mosque (a yard of the complex) was turned into a Bāq Delgosha (Delgosha garden) by the then Mayor Mohammad Ali Tarbiat during the organization of the mosque and its surrounding ruins [3]. Schmitt 's 1937 AD aerial image shows the state of the mosque and the garden.</w:t>
      </w:r>
    </w:p>
    <w:p w14:paraId="3BD43227" w14:textId="77777777" w:rsidR="00B060A3" w:rsidRDefault="00B060A3" w:rsidP="00B060A3">
      <w:pPr>
        <w:ind w:left="284" w:firstLine="283"/>
        <w:jc w:val="both"/>
        <w:rPr>
          <w:rFonts w:asciiTheme="majorHAnsi" w:eastAsia="Times New Roman" w:hAnsiTheme="majorHAnsi" w:cstheme="majorHAnsi"/>
          <w:sz w:val="20"/>
          <w:szCs w:val="20"/>
          <w:lang w:val="id-ID" w:eastAsia="ko-KR"/>
        </w:rPr>
      </w:pP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2"/>
        <w:gridCol w:w="4696"/>
      </w:tblGrid>
      <w:tr w:rsidR="00B060A3" w14:paraId="7DBAA3FA" w14:textId="77777777" w:rsidTr="00BC2E55">
        <w:trPr>
          <w:trHeight w:val="2435"/>
        </w:trPr>
        <w:tc>
          <w:tcPr>
            <w:tcW w:w="4536" w:type="dxa"/>
          </w:tcPr>
          <w:p w14:paraId="6FBDEAB7" w14:textId="4A0FBF73" w:rsidR="00B060A3" w:rsidRDefault="00B060A3" w:rsidP="00BC2E55">
            <w:pPr>
              <w:jc w:val="center"/>
              <w:rPr>
                <w:rFonts w:asciiTheme="majorHAnsi" w:eastAsia="Times New Roman" w:hAnsiTheme="majorHAnsi" w:cstheme="majorHAnsi"/>
                <w:sz w:val="20"/>
                <w:szCs w:val="20"/>
                <w:lang w:val="id-ID" w:eastAsia="ko-KR"/>
              </w:rPr>
            </w:pPr>
            <w:r>
              <w:rPr>
                <w:noProof/>
              </w:rPr>
              <w:drawing>
                <wp:inline distT="0" distB="0" distL="0" distR="0" wp14:anchorId="59307325" wp14:editId="32BE4083">
                  <wp:extent cx="1771650" cy="2111910"/>
                  <wp:effectExtent l="0" t="0" r="0" b="3175"/>
                  <wp:docPr id="11403806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1782093" cy="2124359"/>
                          </a:xfrm>
                          <a:prstGeom prst="rect">
                            <a:avLst/>
                          </a:prstGeom>
                          <a:noFill/>
                          <a:ln>
                            <a:noFill/>
                          </a:ln>
                        </pic:spPr>
                      </pic:pic>
                    </a:graphicData>
                  </a:graphic>
                </wp:inline>
              </w:drawing>
            </w:r>
          </w:p>
        </w:tc>
        <w:tc>
          <w:tcPr>
            <w:tcW w:w="4252" w:type="dxa"/>
          </w:tcPr>
          <w:p w14:paraId="63E25A9A" w14:textId="4E5FE610" w:rsidR="00B060A3" w:rsidRDefault="00B060A3" w:rsidP="00BC2E55">
            <w:pPr>
              <w:jc w:val="center"/>
              <w:rPr>
                <w:noProof/>
              </w:rPr>
            </w:pPr>
            <w:r>
              <w:rPr>
                <w:noProof/>
              </w:rPr>
              <w:drawing>
                <wp:inline distT="0" distB="0" distL="0" distR="0" wp14:anchorId="5009E57A" wp14:editId="26B56837">
                  <wp:extent cx="2844800" cy="2113360"/>
                  <wp:effectExtent l="0" t="0" r="0" b="1270"/>
                  <wp:docPr id="7445463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hqprint">
                            <a:extLst>
                              <a:ext uri="{28A0092B-C50C-407E-A947-70E740481C1C}">
                                <a14:useLocalDpi xmlns:a14="http://schemas.microsoft.com/office/drawing/2010/main"/>
                              </a:ext>
                            </a:extLst>
                          </a:blip>
                          <a:srcRect/>
                          <a:stretch>
                            <a:fillRect/>
                          </a:stretch>
                        </pic:blipFill>
                        <pic:spPr bwMode="auto">
                          <a:xfrm>
                            <a:off x="0" y="0"/>
                            <a:ext cx="2851944" cy="2118667"/>
                          </a:xfrm>
                          <a:prstGeom prst="rect">
                            <a:avLst/>
                          </a:prstGeom>
                          <a:noFill/>
                          <a:ln>
                            <a:noFill/>
                          </a:ln>
                        </pic:spPr>
                      </pic:pic>
                    </a:graphicData>
                  </a:graphic>
                </wp:inline>
              </w:drawing>
            </w:r>
          </w:p>
        </w:tc>
      </w:tr>
      <w:tr w:rsidR="00B060A3" w14:paraId="3F552B4B" w14:textId="77777777" w:rsidTr="00BC2E55">
        <w:tc>
          <w:tcPr>
            <w:tcW w:w="4536" w:type="dxa"/>
          </w:tcPr>
          <w:p w14:paraId="7C31AC72" w14:textId="77777777" w:rsidR="00B060A3" w:rsidRDefault="00B060A3" w:rsidP="00BC2E55">
            <w:pPr>
              <w:jc w:val="center"/>
              <w:rPr>
                <w:rFonts w:asciiTheme="majorHAnsi" w:hAnsiTheme="majorHAnsi" w:cstheme="majorHAnsi"/>
                <w:bCs/>
                <w:sz w:val="16"/>
                <w:szCs w:val="16"/>
              </w:rPr>
            </w:pPr>
          </w:p>
          <w:p w14:paraId="18B190B8" w14:textId="68FF53F2" w:rsidR="00B060A3" w:rsidRDefault="00B060A3" w:rsidP="00BC2E55">
            <w:pPr>
              <w:jc w:val="center"/>
              <w:rPr>
                <w:rFonts w:asciiTheme="majorHAnsi" w:eastAsia="Times New Roman" w:hAnsiTheme="majorHAnsi" w:cstheme="majorHAnsi"/>
                <w:sz w:val="20"/>
                <w:szCs w:val="20"/>
                <w:lang w:val="id-ID" w:eastAsia="ko-KR"/>
              </w:rPr>
            </w:pPr>
            <w:r w:rsidRPr="00B060A3">
              <w:rPr>
                <w:rFonts w:asciiTheme="majorHAnsi" w:hAnsiTheme="majorHAnsi" w:cstheme="majorHAnsi"/>
                <w:bCs/>
                <w:sz w:val="16"/>
                <w:szCs w:val="16"/>
              </w:rPr>
              <w:t>Figure 16. Schmitt’s aerial image and the location of the mosque and surrounding buildings [1]</w:t>
            </w:r>
          </w:p>
        </w:tc>
        <w:tc>
          <w:tcPr>
            <w:tcW w:w="4252" w:type="dxa"/>
          </w:tcPr>
          <w:p w14:paraId="6F09ADB2" w14:textId="77777777" w:rsidR="00B060A3" w:rsidRDefault="00B060A3" w:rsidP="00BC2E55">
            <w:pPr>
              <w:jc w:val="center"/>
              <w:rPr>
                <w:rFonts w:asciiTheme="majorHAnsi" w:hAnsiTheme="majorHAnsi" w:cstheme="majorHAnsi"/>
                <w:bCs/>
                <w:sz w:val="16"/>
                <w:szCs w:val="16"/>
              </w:rPr>
            </w:pPr>
          </w:p>
          <w:p w14:paraId="6159711C" w14:textId="75631719" w:rsidR="00B060A3" w:rsidRPr="005E66A5" w:rsidRDefault="00B060A3"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 xml:space="preserve">17. </w:t>
            </w:r>
            <w:proofErr w:type="spellStart"/>
            <w:r w:rsidRPr="00B060A3">
              <w:rPr>
                <w:rFonts w:asciiTheme="majorHAnsi" w:hAnsiTheme="majorHAnsi" w:cstheme="majorHAnsi"/>
                <w:bCs/>
                <w:sz w:val="16"/>
                <w:szCs w:val="16"/>
              </w:rPr>
              <w:t>Delgosha</w:t>
            </w:r>
            <w:proofErr w:type="spellEnd"/>
            <w:r w:rsidRPr="00B060A3">
              <w:rPr>
                <w:rFonts w:asciiTheme="majorHAnsi" w:hAnsiTheme="majorHAnsi" w:cstheme="majorHAnsi"/>
                <w:bCs/>
                <w:sz w:val="16"/>
                <w:szCs w:val="16"/>
              </w:rPr>
              <w:t xml:space="preserve"> garden and mosque ruins in the picture of 1929 AD, [25]</w:t>
            </w:r>
          </w:p>
        </w:tc>
      </w:tr>
    </w:tbl>
    <w:p w14:paraId="26421BFD" w14:textId="77777777" w:rsidR="00B060A3" w:rsidRDefault="00B060A3" w:rsidP="00B060A3">
      <w:pPr>
        <w:ind w:left="284" w:firstLine="283"/>
        <w:jc w:val="both"/>
        <w:rPr>
          <w:rFonts w:asciiTheme="minorHAnsi" w:hAnsiTheme="minorHAnsi" w:cstheme="minorHAnsi"/>
          <w:sz w:val="20"/>
          <w:szCs w:val="20"/>
        </w:rPr>
      </w:pPr>
    </w:p>
    <w:p w14:paraId="65C2B18C" w14:textId="3FDB53AF" w:rsidR="00B060A3" w:rsidRDefault="00B060A3" w:rsidP="00B060A3">
      <w:pPr>
        <w:ind w:left="284" w:firstLine="283"/>
        <w:jc w:val="both"/>
        <w:rPr>
          <w:rFonts w:asciiTheme="majorHAnsi" w:hAnsiTheme="majorHAnsi" w:cstheme="majorHAnsi"/>
          <w:sz w:val="20"/>
          <w:szCs w:val="20"/>
        </w:rPr>
      </w:pPr>
      <w:r w:rsidRPr="00B060A3">
        <w:rPr>
          <w:rFonts w:asciiTheme="majorHAnsi" w:hAnsiTheme="majorHAnsi" w:cstheme="majorHAnsi"/>
          <w:sz w:val="20"/>
          <w:szCs w:val="20"/>
        </w:rPr>
        <w:t xml:space="preserve">During Jalal Homai 's visit to Tabriz in 1931 AD, he expressed his regret with a poem about the state of deterioration of historical monuments. also mentioned the Goy-Masjid. Pahlavi Street (now Imam Khomeini Street) was built south of the Goy-Masjid in the same period. Because of this, important parts of </w:t>
      </w:r>
      <w:proofErr w:type="spellStart"/>
      <w:r w:rsidRPr="00B060A3">
        <w:rPr>
          <w:rFonts w:asciiTheme="majorHAnsi" w:hAnsiTheme="majorHAnsi" w:cstheme="majorHAnsi"/>
          <w:sz w:val="20"/>
          <w:szCs w:val="20"/>
        </w:rPr>
        <w:t>city’s</w:t>
      </w:r>
      <w:proofErr w:type="spellEnd"/>
      <w:r w:rsidRPr="00B060A3">
        <w:rPr>
          <w:rFonts w:asciiTheme="majorHAnsi" w:hAnsiTheme="majorHAnsi" w:cstheme="majorHAnsi"/>
          <w:sz w:val="20"/>
          <w:szCs w:val="20"/>
        </w:rPr>
        <w:t xml:space="preserve"> the historical context were destroyed. With this action, the Kohne </w:t>
      </w:r>
      <w:proofErr w:type="spellStart"/>
      <w:r w:rsidRPr="00B060A3">
        <w:rPr>
          <w:rFonts w:asciiTheme="majorHAnsi" w:hAnsiTheme="majorHAnsi" w:cstheme="majorHAnsi"/>
          <w:sz w:val="20"/>
          <w:szCs w:val="20"/>
        </w:rPr>
        <w:t>Khiyābān</w:t>
      </w:r>
      <w:proofErr w:type="spellEnd"/>
      <w:r w:rsidRPr="00B060A3">
        <w:rPr>
          <w:rFonts w:asciiTheme="majorHAnsi" w:hAnsiTheme="majorHAnsi" w:cstheme="majorHAnsi"/>
          <w:sz w:val="20"/>
          <w:szCs w:val="20"/>
        </w:rPr>
        <w:t xml:space="preserve"> (the historical and cultural axis of the Silk Road in the north of the mosque) has lost its dynamism and growth [6]. At the same time, the entrance to the Goy-Masjid was originally on the north side of the Kohne </w:t>
      </w:r>
      <w:proofErr w:type="spellStart"/>
      <w:r w:rsidRPr="00B060A3">
        <w:rPr>
          <w:rFonts w:asciiTheme="majorHAnsi" w:hAnsiTheme="majorHAnsi" w:cstheme="majorHAnsi"/>
          <w:sz w:val="20"/>
          <w:szCs w:val="20"/>
        </w:rPr>
        <w:t>Khiyābān</w:t>
      </w:r>
      <w:proofErr w:type="spellEnd"/>
      <w:r w:rsidRPr="00B060A3">
        <w:rPr>
          <w:rFonts w:asciiTheme="majorHAnsi" w:hAnsiTheme="majorHAnsi" w:cstheme="majorHAnsi"/>
          <w:sz w:val="20"/>
          <w:szCs w:val="20"/>
        </w:rPr>
        <w:t xml:space="preserve">. With the construction of the new street, the view of the city changed from its entrance facade to its back, and later, the Goy-Masjid, with its surrounding walls, was separated from the city life flow [6]. The 1931-1956 AD development plan destroyed </w:t>
      </w:r>
      <w:proofErr w:type="spellStart"/>
      <w:r w:rsidRPr="00B060A3">
        <w:rPr>
          <w:rFonts w:asciiTheme="majorHAnsi" w:hAnsiTheme="majorHAnsi" w:cstheme="majorHAnsi"/>
          <w:sz w:val="20"/>
          <w:szCs w:val="20"/>
        </w:rPr>
        <w:t>Bāq</w:t>
      </w:r>
      <w:proofErr w:type="spellEnd"/>
      <w:r w:rsidRPr="00B060A3">
        <w:rPr>
          <w:rFonts w:asciiTheme="majorHAnsi" w:hAnsiTheme="majorHAnsi" w:cstheme="majorHAnsi"/>
          <w:sz w:val="20"/>
          <w:szCs w:val="20"/>
        </w:rPr>
        <w:t xml:space="preserve"> </w:t>
      </w:r>
      <w:proofErr w:type="spellStart"/>
      <w:r w:rsidRPr="00B060A3">
        <w:rPr>
          <w:rFonts w:asciiTheme="majorHAnsi" w:hAnsiTheme="majorHAnsi" w:cstheme="majorHAnsi"/>
          <w:sz w:val="20"/>
          <w:szCs w:val="20"/>
        </w:rPr>
        <w:t>Delgosha</w:t>
      </w:r>
      <w:proofErr w:type="spellEnd"/>
      <w:r w:rsidRPr="00B060A3">
        <w:rPr>
          <w:rFonts w:asciiTheme="majorHAnsi" w:hAnsiTheme="majorHAnsi" w:cstheme="majorHAnsi"/>
          <w:sz w:val="20"/>
          <w:szCs w:val="20"/>
        </w:rPr>
        <w:t xml:space="preserve"> and built the </w:t>
      </w:r>
      <w:proofErr w:type="spellStart"/>
      <w:r w:rsidRPr="00B060A3">
        <w:rPr>
          <w:rFonts w:asciiTheme="majorHAnsi" w:hAnsiTheme="majorHAnsi" w:cstheme="majorHAnsi"/>
          <w:sz w:val="20"/>
          <w:szCs w:val="20"/>
        </w:rPr>
        <w:t>Timsar</w:t>
      </w:r>
      <w:proofErr w:type="spellEnd"/>
      <w:r w:rsidRPr="00B060A3">
        <w:rPr>
          <w:rFonts w:asciiTheme="majorHAnsi" w:hAnsiTheme="majorHAnsi" w:cstheme="majorHAnsi"/>
          <w:sz w:val="20"/>
          <w:szCs w:val="20"/>
        </w:rPr>
        <w:t xml:space="preserve"> </w:t>
      </w:r>
      <w:proofErr w:type="spellStart"/>
      <w:r w:rsidRPr="00B060A3">
        <w:rPr>
          <w:rFonts w:asciiTheme="majorHAnsi" w:hAnsiTheme="majorHAnsi" w:cstheme="majorHAnsi"/>
          <w:sz w:val="20"/>
          <w:szCs w:val="20"/>
        </w:rPr>
        <w:t>Fakuri</w:t>
      </w:r>
      <w:proofErr w:type="spellEnd"/>
      <w:r w:rsidRPr="00B060A3">
        <w:rPr>
          <w:rFonts w:asciiTheme="majorHAnsi" w:hAnsiTheme="majorHAnsi" w:cstheme="majorHAnsi"/>
          <w:sz w:val="20"/>
          <w:szCs w:val="20"/>
        </w:rPr>
        <w:t xml:space="preserve"> School. In 1957 AD, under the supervision of Andre Godard, the Azerbaijan Museum was built by Ali Sadegh (architect) next and part of the school [1]</w:t>
      </w:r>
      <w:r>
        <w:rPr>
          <w:rFonts w:asciiTheme="majorHAnsi" w:hAnsiTheme="majorHAnsi" w:cstheme="majorHAnsi"/>
          <w:sz w:val="20"/>
          <w:szCs w:val="20"/>
        </w:rPr>
        <w:t>.</w:t>
      </w:r>
    </w:p>
    <w:p w14:paraId="41F4E22C" w14:textId="77777777" w:rsidR="00B060A3" w:rsidRDefault="00B060A3" w:rsidP="00B060A3">
      <w:pPr>
        <w:ind w:left="284" w:firstLine="283"/>
        <w:jc w:val="both"/>
        <w:rPr>
          <w:rFonts w:asciiTheme="minorHAnsi" w:hAnsiTheme="minorHAnsi" w:cstheme="minorHAnsi"/>
          <w:sz w:val="20"/>
          <w:szCs w:val="20"/>
        </w:rPr>
      </w:pP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2"/>
      </w:tblGrid>
      <w:tr w:rsidR="00B060A3" w14:paraId="486CB024" w14:textId="77777777" w:rsidTr="00BC2E55">
        <w:trPr>
          <w:trHeight w:val="2435"/>
        </w:trPr>
        <w:tc>
          <w:tcPr>
            <w:tcW w:w="4536" w:type="dxa"/>
          </w:tcPr>
          <w:p w14:paraId="0860AF2A" w14:textId="27973A32" w:rsidR="00B060A3" w:rsidRDefault="00B060A3" w:rsidP="00BC2E55">
            <w:pPr>
              <w:jc w:val="center"/>
              <w:rPr>
                <w:rFonts w:asciiTheme="majorHAnsi" w:eastAsia="Times New Roman" w:hAnsiTheme="majorHAnsi" w:cstheme="majorHAnsi"/>
                <w:sz w:val="20"/>
                <w:szCs w:val="20"/>
                <w:lang w:val="id-ID" w:eastAsia="ko-KR"/>
              </w:rPr>
            </w:pPr>
            <w:r>
              <w:rPr>
                <w:noProof/>
              </w:rPr>
              <w:drawing>
                <wp:inline distT="0" distB="0" distL="0" distR="0" wp14:anchorId="6FA06222" wp14:editId="3950850C">
                  <wp:extent cx="1948070" cy="2049643"/>
                  <wp:effectExtent l="0" t="0" r="0" b="8255"/>
                  <wp:docPr id="5167296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hqprint">
                            <a:extLst>
                              <a:ext uri="{28A0092B-C50C-407E-A947-70E740481C1C}">
                                <a14:useLocalDpi xmlns:a14="http://schemas.microsoft.com/office/drawing/2010/main"/>
                              </a:ext>
                            </a:extLst>
                          </a:blip>
                          <a:srcRect/>
                          <a:stretch>
                            <a:fillRect/>
                          </a:stretch>
                        </pic:blipFill>
                        <pic:spPr bwMode="auto">
                          <a:xfrm>
                            <a:off x="0" y="0"/>
                            <a:ext cx="1964859" cy="2067307"/>
                          </a:xfrm>
                          <a:prstGeom prst="rect">
                            <a:avLst/>
                          </a:prstGeom>
                          <a:noFill/>
                          <a:ln>
                            <a:noFill/>
                          </a:ln>
                        </pic:spPr>
                      </pic:pic>
                    </a:graphicData>
                  </a:graphic>
                </wp:inline>
              </w:drawing>
            </w:r>
          </w:p>
        </w:tc>
        <w:tc>
          <w:tcPr>
            <w:tcW w:w="4252" w:type="dxa"/>
          </w:tcPr>
          <w:p w14:paraId="002C8EBE" w14:textId="0F618B9E" w:rsidR="00B060A3" w:rsidRDefault="00B060A3" w:rsidP="00BC2E55">
            <w:pPr>
              <w:jc w:val="center"/>
              <w:rPr>
                <w:noProof/>
              </w:rPr>
            </w:pPr>
            <w:r>
              <w:rPr>
                <w:noProof/>
              </w:rPr>
              <w:drawing>
                <wp:inline distT="0" distB="0" distL="0" distR="0" wp14:anchorId="2C35E126" wp14:editId="64479944">
                  <wp:extent cx="1730453" cy="2049145"/>
                  <wp:effectExtent l="0" t="0" r="3175" b="8255"/>
                  <wp:docPr id="18569178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1740719" cy="2061302"/>
                          </a:xfrm>
                          <a:prstGeom prst="rect">
                            <a:avLst/>
                          </a:prstGeom>
                          <a:noFill/>
                          <a:ln>
                            <a:noFill/>
                          </a:ln>
                        </pic:spPr>
                      </pic:pic>
                    </a:graphicData>
                  </a:graphic>
                </wp:inline>
              </w:drawing>
            </w:r>
          </w:p>
        </w:tc>
      </w:tr>
      <w:tr w:rsidR="00B060A3" w14:paraId="2B40245C" w14:textId="77777777" w:rsidTr="00BC2E55">
        <w:tc>
          <w:tcPr>
            <w:tcW w:w="4536" w:type="dxa"/>
          </w:tcPr>
          <w:p w14:paraId="0CAE39DD" w14:textId="77777777" w:rsidR="00B060A3" w:rsidRDefault="00B060A3" w:rsidP="00BC2E55">
            <w:pPr>
              <w:jc w:val="center"/>
              <w:rPr>
                <w:rFonts w:asciiTheme="majorHAnsi" w:hAnsiTheme="majorHAnsi" w:cstheme="majorHAnsi"/>
                <w:bCs/>
                <w:sz w:val="16"/>
                <w:szCs w:val="16"/>
              </w:rPr>
            </w:pPr>
          </w:p>
          <w:p w14:paraId="12EE7A8D" w14:textId="2F5C2536" w:rsidR="00B060A3" w:rsidRDefault="00B060A3" w:rsidP="00BC2E55">
            <w:pPr>
              <w:jc w:val="center"/>
              <w:rPr>
                <w:rFonts w:asciiTheme="majorHAnsi" w:eastAsia="Times New Roman" w:hAnsiTheme="majorHAnsi" w:cstheme="majorHAnsi"/>
                <w:sz w:val="20"/>
                <w:szCs w:val="20"/>
                <w:lang w:val="id-ID" w:eastAsia="ko-KR"/>
              </w:rPr>
            </w:pPr>
            <w:r w:rsidRPr="00B060A3">
              <w:rPr>
                <w:rFonts w:asciiTheme="majorHAnsi" w:hAnsiTheme="majorHAnsi" w:cstheme="majorHAnsi"/>
                <w:bCs/>
                <w:sz w:val="16"/>
                <w:szCs w:val="16"/>
              </w:rPr>
              <w:t>Figure 18. Aerial image 1956 AD Mapping Organization [1]</w:t>
            </w:r>
          </w:p>
        </w:tc>
        <w:tc>
          <w:tcPr>
            <w:tcW w:w="4252" w:type="dxa"/>
          </w:tcPr>
          <w:p w14:paraId="61E02D97" w14:textId="77777777" w:rsidR="00B060A3" w:rsidRDefault="00B060A3" w:rsidP="00BC2E55">
            <w:pPr>
              <w:jc w:val="center"/>
              <w:rPr>
                <w:rFonts w:asciiTheme="majorHAnsi" w:hAnsiTheme="majorHAnsi" w:cstheme="majorHAnsi"/>
                <w:bCs/>
                <w:sz w:val="16"/>
                <w:szCs w:val="16"/>
              </w:rPr>
            </w:pPr>
          </w:p>
          <w:p w14:paraId="7041E6CC" w14:textId="55DC4886" w:rsidR="00B060A3" w:rsidRPr="005E66A5" w:rsidRDefault="00B060A3"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19. Aerial image 1975 AD Mapping Organization [1]</w:t>
            </w:r>
          </w:p>
        </w:tc>
      </w:tr>
    </w:tbl>
    <w:p w14:paraId="0DC2E1E4" w14:textId="0E5B8639" w:rsidR="00B060A3" w:rsidRDefault="00B060A3" w:rsidP="00B060A3">
      <w:pPr>
        <w:ind w:left="284" w:firstLine="283"/>
        <w:jc w:val="both"/>
        <w:rPr>
          <w:rFonts w:asciiTheme="majorHAnsi" w:hAnsiTheme="majorHAnsi" w:cstheme="majorHAnsi"/>
          <w:sz w:val="20"/>
          <w:szCs w:val="20"/>
        </w:rPr>
      </w:pPr>
      <w:bookmarkStart w:id="1" w:name="_Hlk168944116"/>
      <w:r w:rsidRPr="00B060A3">
        <w:rPr>
          <w:rFonts w:asciiTheme="majorHAnsi" w:hAnsiTheme="majorHAnsi" w:cstheme="majorHAnsi"/>
          <w:sz w:val="20"/>
          <w:szCs w:val="20"/>
        </w:rPr>
        <w:lastRenderedPageBreak/>
        <w:t xml:space="preserve">As mentioned, for some reasons, there are no remains of this </w:t>
      </w:r>
      <w:proofErr w:type="spellStart"/>
      <w:r w:rsidRPr="00B060A3">
        <w:rPr>
          <w:rFonts w:asciiTheme="majorHAnsi" w:hAnsiTheme="majorHAnsi" w:cstheme="majorHAnsi"/>
          <w:sz w:val="20"/>
          <w:szCs w:val="20"/>
        </w:rPr>
        <w:t>Muzaffariyya</w:t>
      </w:r>
      <w:proofErr w:type="spellEnd"/>
      <w:r w:rsidRPr="00B060A3">
        <w:rPr>
          <w:rFonts w:asciiTheme="majorHAnsi" w:hAnsiTheme="majorHAnsi" w:cstheme="majorHAnsi"/>
          <w:sz w:val="20"/>
          <w:szCs w:val="20"/>
        </w:rPr>
        <w:t xml:space="preserve"> complex and around the mosque, except for the Goy-Masjid, which cannot provide detailed information about its architecture. After the Iranian Revolution from 1978 to 1990 AD, due to the conflict and outbreak of war in Iran, no construction and restoration activities were carried out in the mosque. The context around it: with the end of the war, the cultural heritage organization decides to design and organize the context around it. It starts based on a design by </w:t>
      </w:r>
      <w:proofErr w:type="spellStart"/>
      <w:r w:rsidRPr="00B060A3">
        <w:rPr>
          <w:rFonts w:asciiTheme="majorHAnsi" w:hAnsiTheme="majorHAnsi" w:cstheme="majorHAnsi"/>
          <w:sz w:val="20"/>
          <w:szCs w:val="20"/>
        </w:rPr>
        <w:t>Dr.</w:t>
      </w:r>
      <w:proofErr w:type="spellEnd"/>
      <w:r w:rsidRPr="00B060A3">
        <w:rPr>
          <w:rFonts w:asciiTheme="majorHAnsi" w:hAnsiTheme="majorHAnsi" w:cstheme="majorHAnsi"/>
          <w:sz w:val="20"/>
          <w:szCs w:val="20"/>
        </w:rPr>
        <w:t xml:space="preserve"> </w:t>
      </w:r>
      <w:proofErr w:type="gramStart"/>
      <w:r w:rsidRPr="00B060A3">
        <w:rPr>
          <w:rFonts w:asciiTheme="majorHAnsi" w:hAnsiTheme="majorHAnsi" w:cstheme="majorHAnsi"/>
          <w:sz w:val="20"/>
          <w:szCs w:val="20"/>
        </w:rPr>
        <w:t>Shirazi  and</w:t>
      </w:r>
      <w:proofErr w:type="gramEnd"/>
      <w:r w:rsidRPr="00B060A3">
        <w:rPr>
          <w:rFonts w:asciiTheme="majorHAnsi" w:hAnsiTheme="majorHAnsi" w:cstheme="majorHAnsi"/>
          <w:sz w:val="20"/>
          <w:szCs w:val="20"/>
        </w:rPr>
        <w:t xml:space="preserve"> its approval in the Article 5 Commission of the Supreme Council of Architecture and Urban Planning. However</w:t>
      </w:r>
      <w:bookmarkEnd w:id="1"/>
      <w:r w:rsidRPr="00B060A3">
        <w:rPr>
          <w:rFonts w:asciiTheme="majorHAnsi" w:hAnsiTheme="majorHAnsi" w:cstheme="majorHAnsi"/>
          <w:sz w:val="20"/>
          <w:szCs w:val="20"/>
        </w:rPr>
        <w:t xml:space="preserve">, economic and political issues prevented the implementation of this plan, which was a traditional and national approach and included a library, school, </w:t>
      </w:r>
      <w:proofErr w:type="spellStart"/>
      <w:proofErr w:type="gramStart"/>
      <w:r w:rsidRPr="00B060A3">
        <w:rPr>
          <w:rFonts w:asciiTheme="majorHAnsi" w:hAnsiTheme="majorHAnsi" w:cstheme="majorHAnsi"/>
          <w:sz w:val="20"/>
          <w:szCs w:val="20"/>
        </w:rPr>
        <w:t>Rasteh</w:t>
      </w:r>
      <w:proofErr w:type="spellEnd"/>
      <w:r w:rsidRPr="00B060A3">
        <w:rPr>
          <w:rFonts w:asciiTheme="majorHAnsi" w:hAnsiTheme="majorHAnsi" w:cstheme="majorHAnsi"/>
          <w:sz w:val="20"/>
          <w:szCs w:val="20"/>
        </w:rPr>
        <w:t xml:space="preserve"> ,</w:t>
      </w:r>
      <w:proofErr w:type="gramEnd"/>
      <w:r w:rsidRPr="00B060A3">
        <w:rPr>
          <w:rFonts w:asciiTheme="majorHAnsi" w:hAnsiTheme="majorHAnsi" w:cstheme="majorHAnsi"/>
          <w:sz w:val="20"/>
          <w:szCs w:val="20"/>
        </w:rPr>
        <w:t xml:space="preserve"> </w:t>
      </w:r>
      <w:proofErr w:type="spellStart"/>
      <w:r w:rsidRPr="00B060A3">
        <w:rPr>
          <w:rFonts w:asciiTheme="majorHAnsi" w:hAnsiTheme="majorHAnsi" w:cstheme="majorHAnsi"/>
          <w:sz w:val="20"/>
          <w:szCs w:val="20"/>
        </w:rPr>
        <w:t>Timche</w:t>
      </w:r>
      <w:proofErr w:type="spellEnd"/>
      <w:r w:rsidRPr="00B060A3">
        <w:rPr>
          <w:rFonts w:asciiTheme="majorHAnsi" w:hAnsiTheme="majorHAnsi" w:cstheme="majorHAnsi"/>
          <w:sz w:val="20"/>
          <w:szCs w:val="20"/>
        </w:rPr>
        <w:t xml:space="preserve"> , and museum. In the eastern and northern parts of the complex, a plan in 1993 AD, including a "commercial complex," was designed and implemented by Bavand consulting engineers. This plan is implemented by ignoring the technical and landscape privacy of the building and by excavating and digging deep foundations. A part of the historical site, belonging to the first millennium BC, was destroyed in the lower layers of the Goy-Masjid area. With the filing of lawsuits by the Cultural Heritage Organization in Iran's judicial assemblies, the implementers of this plan were condemned in 1999 AD and required to adjust the plan's height and facade following the traditional-Iranian patterns</w:t>
      </w:r>
      <w:r>
        <w:rPr>
          <w:rFonts w:asciiTheme="majorHAnsi" w:hAnsiTheme="majorHAnsi" w:cstheme="majorHAnsi"/>
          <w:sz w:val="20"/>
          <w:szCs w:val="20"/>
        </w:rPr>
        <w:t>.</w:t>
      </w:r>
    </w:p>
    <w:p w14:paraId="6DEB94A9" w14:textId="77777777" w:rsidR="00B060A3" w:rsidRDefault="00B060A3" w:rsidP="00B060A3">
      <w:pPr>
        <w:ind w:left="284" w:firstLine="283"/>
        <w:jc w:val="both"/>
        <w:rPr>
          <w:rFonts w:asciiTheme="majorHAnsi" w:hAnsiTheme="majorHAnsi" w:cstheme="majorHAnsi"/>
          <w:sz w:val="20"/>
          <w:szCs w:val="20"/>
        </w:rPr>
      </w:pP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2"/>
      </w:tblGrid>
      <w:tr w:rsidR="00B060A3" w14:paraId="336E4C66" w14:textId="77777777" w:rsidTr="00A540E9">
        <w:trPr>
          <w:trHeight w:val="2048"/>
        </w:trPr>
        <w:tc>
          <w:tcPr>
            <w:tcW w:w="4536" w:type="dxa"/>
          </w:tcPr>
          <w:p w14:paraId="602CB139" w14:textId="4C6E2627" w:rsidR="00B060A3" w:rsidRDefault="00B060A3" w:rsidP="00BC2E55">
            <w:pPr>
              <w:jc w:val="center"/>
              <w:rPr>
                <w:rFonts w:asciiTheme="majorHAnsi" w:eastAsia="Times New Roman" w:hAnsiTheme="majorHAnsi" w:cstheme="majorHAnsi"/>
                <w:sz w:val="20"/>
                <w:szCs w:val="20"/>
                <w:lang w:val="id-ID" w:eastAsia="ko-KR"/>
              </w:rPr>
            </w:pPr>
            <w:r>
              <w:rPr>
                <w:noProof/>
              </w:rPr>
              <w:drawing>
                <wp:inline distT="0" distB="0" distL="0" distR="0" wp14:anchorId="38BA7957" wp14:editId="7E3B689B">
                  <wp:extent cx="2371725" cy="1280314"/>
                  <wp:effectExtent l="0" t="0" r="0" b="0"/>
                  <wp:docPr id="12091877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0" cstate="hqprint">
                            <a:extLst>
                              <a:ext uri="{28A0092B-C50C-407E-A947-70E740481C1C}">
                                <a14:useLocalDpi xmlns:a14="http://schemas.microsoft.com/office/drawing/2010/main"/>
                              </a:ext>
                            </a:extLst>
                          </a:blip>
                          <a:srcRect/>
                          <a:stretch/>
                        </pic:blipFill>
                        <pic:spPr bwMode="auto">
                          <a:xfrm>
                            <a:off x="0" y="0"/>
                            <a:ext cx="2376290" cy="12827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2" w:type="dxa"/>
          </w:tcPr>
          <w:p w14:paraId="2D97CBB3" w14:textId="25BA58A2" w:rsidR="00B060A3" w:rsidRDefault="00B060A3" w:rsidP="00BC2E55">
            <w:pPr>
              <w:jc w:val="center"/>
              <w:rPr>
                <w:noProof/>
              </w:rPr>
            </w:pPr>
            <w:r>
              <w:rPr>
                <w:noProof/>
              </w:rPr>
              <w:drawing>
                <wp:inline distT="0" distB="0" distL="0" distR="0" wp14:anchorId="78E70E0C" wp14:editId="515B1728">
                  <wp:extent cx="2343150" cy="1286241"/>
                  <wp:effectExtent l="0" t="0" r="0" b="9525"/>
                  <wp:docPr id="4057607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1" cstate="hqprint">
                            <a:extLst>
                              <a:ext uri="{28A0092B-C50C-407E-A947-70E740481C1C}">
                                <a14:useLocalDpi xmlns:a14="http://schemas.microsoft.com/office/drawing/2010/main"/>
                              </a:ext>
                            </a:extLst>
                          </a:blip>
                          <a:srcRect/>
                          <a:stretch/>
                        </pic:blipFill>
                        <pic:spPr bwMode="auto">
                          <a:xfrm>
                            <a:off x="0" y="0"/>
                            <a:ext cx="2349306" cy="12896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060A3" w14:paraId="78EB14D2" w14:textId="77777777" w:rsidTr="00BC2E55">
        <w:tc>
          <w:tcPr>
            <w:tcW w:w="4536" w:type="dxa"/>
          </w:tcPr>
          <w:p w14:paraId="0861B2BF" w14:textId="77777777" w:rsidR="00A540E9" w:rsidRDefault="00A540E9" w:rsidP="00BC2E55">
            <w:pPr>
              <w:jc w:val="center"/>
              <w:rPr>
                <w:rFonts w:asciiTheme="majorHAnsi" w:hAnsiTheme="majorHAnsi" w:cstheme="majorHAnsi"/>
                <w:bCs/>
                <w:sz w:val="16"/>
                <w:szCs w:val="16"/>
              </w:rPr>
            </w:pPr>
          </w:p>
          <w:p w14:paraId="22466A1A" w14:textId="17D95A16" w:rsidR="00B060A3" w:rsidRDefault="00B060A3" w:rsidP="00BC2E55">
            <w:pPr>
              <w:jc w:val="center"/>
              <w:rPr>
                <w:rFonts w:asciiTheme="majorHAnsi" w:eastAsia="Times New Roman" w:hAnsiTheme="majorHAnsi" w:cstheme="majorHAnsi"/>
                <w:sz w:val="20"/>
                <w:szCs w:val="20"/>
                <w:lang w:val="id-ID" w:eastAsia="ko-KR"/>
              </w:rPr>
            </w:pPr>
            <w:r w:rsidRPr="00B060A3">
              <w:rPr>
                <w:rFonts w:asciiTheme="majorHAnsi" w:hAnsiTheme="majorHAnsi" w:cstheme="majorHAnsi"/>
                <w:bCs/>
                <w:sz w:val="16"/>
                <w:szCs w:val="16"/>
              </w:rPr>
              <w:t>Figure 20. View from the north (Jan 2023)</w:t>
            </w:r>
          </w:p>
        </w:tc>
        <w:tc>
          <w:tcPr>
            <w:tcW w:w="4252" w:type="dxa"/>
          </w:tcPr>
          <w:p w14:paraId="1DC3843C" w14:textId="77777777" w:rsidR="00A540E9" w:rsidRPr="00A540E9" w:rsidRDefault="00A540E9" w:rsidP="00BC2E55">
            <w:pPr>
              <w:jc w:val="center"/>
              <w:rPr>
                <w:rFonts w:asciiTheme="majorHAnsi" w:hAnsiTheme="majorHAnsi" w:cstheme="majorHAnsi"/>
                <w:bCs/>
                <w:sz w:val="16"/>
                <w:szCs w:val="16"/>
              </w:rPr>
            </w:pPr>
          </w:p>
          <w:p w14:paraId="65BF59F6" w14:textId="2712F812" w:rsidR="00B060A3" w:rsidRPr="005E66A5" w:rsidRDefault="00B060A3"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21. View from the southeast (Jan 2023)</w:t>
            </w:r>
          </w:p>
        </w:tc>
      </w:tr>
    </w:tbl>
    <w:p w14:paraId="4EB6F917" w14:textId="77777777" w:rsidR="00B060A3" w:rsidRDefault="00B060A3" w:rsidP="00B060A3">
      <w:pPr>
        <w:ind w:left="284" w:firstLine="283"/>
        <w:jc w:val="both"/>
        <w:rPr>
          <w:rFonts w:asciiTheme="minorHAnsi" w:hAnsiTheme="minorHAnsi" w:cstheme="minorHAnsi"/>
          <w:sz w:val="20"/>
          <w:szCs w:val="20"/>
        </w:rPr>
      </w:pPr>
    </w:p>
    <w:tbl>
      <w:tblPr>
        <w:tblW w:w="8789" w:type="dxa"/>
        <w:jc w:val="center"/>
        <w:tblLayout w:type="fixed"/>
        <w:tblLook w:val="0000" w:firstRow="0" w:lastRow="0" w:firstColumn="0" w:lastColumn="0" w:noHBand="0" w:noVBand="0"/>
      </w:tblPr>
      <w:tblGrid>
        <w:gridCol w:w="567"/>
        <w:gridCol w:w="1985"/>
        <w:gridCol w:w="1561"/>
        <w:gridCol w:w="1132"/>
        <w:gridCol w:w="3544"/>
      </w:tblGrid>
      <w:tr w:rsidR="00B060A3" w:rsidRPr="005E66A5" w14:paraId="7B53F58A" w14:textId="01E7BA22" w:rsidTr="00AC779D">
        <w:trPr>
          <w:trHeight w:val="284"/>
          <w:jc w:val="center"/>
        </w:trPr>
        <w:tc>
          <w:tcPr>
            <w:tcW w:w="8789" w:type="dxa"/>
            <w:gridSpan w:val="5"/>
          </w:tcPr>
          <w:p w14:paraId="31DC5EBA" w14:textId="21502310" w:rsidR="00B060A3" w:rsidRPr="005E66A5" w:rsidRDefault="00B060A3" w:rsidP="002465FC">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00ED4F07">
              <w:rPr>
                <w:rFonts w:asciiTheme="majorHAnsi" w:hAnsiTheme="majorHAnsi" w:cstheme="majorHAnsi"/>
                <w:bCs/>
                <w:sz w:val="16"/>
                <w:szCs w:val="16"/>
              </w:rPr>
              <w:t>3</w:t>
            </w:r>
            <w:r w:rsidRPr="00B060A3">
              <w:rPr>
                <w:rFonts w:asciiTheme="majorHAnsi" w:hAnsiTheme="majorHAnsi" w:cstheme="majorHAnsi"/>
                <w:bCs/>
                <w:sz w:val="16"/>
                <w:szCs w:val="16"/>
              </w:rPr>
              <w:t xml:space="preserve">. The Result </w:t>
            </w:r>
            <w:r w:rsidR="0019158C">
              <w:rPr>
                <w:rFonts w:asciiTheme="majorHAnsi" w:hAnsiTheme="majorHAnsi" w:cstheme="majorHAnsi"/>
                <w:bCs/>
                <w:sz w:val="16"/>
                <w:szCs w:val="16"/>
              </w:rPr>
              <w:t>o</w:t>
            </w:r>
            <w:r w:rsidRPr="00B060A3">
              <w:rPr>
                <w:rFonts w:asciiTheme="majorHAnsi" w:hAnsiTheme="majorHAnsi" w:cstheme="majorHAnsi"/>
                <w:bCs/>
                <w:sz w:val="16"/>
                <w:szCs w:val="16"/>
              </w:rPr>
              <w:t xml:space="preserve">f The Implementation Plans Around the Goy-Masjid </w:t>
            </w:r>
            <w:r>
              <w:rPr>
                <w:rFonts w:asciiTheme="majorHAnsi" w:hAnsiTheme="majorHAnsi" w:cstheme="majorHAnsi"/>
                <w:bCs/>
                <w:sz w:val="16"/>
                <w:szCs w:val="16"/>
              </w:rPr>
              <w:t>E</w:t>
            </w:r>
            <w:r w:rsidRPr="00B060A3">
              <w:rPr>
                <w:rFonts w:asciiTheme="majorHAnsi" w:hAnsiTheme="majorHAnsi" w:cstheme="majorHAnsi"/>
                <w:bCs/>
                <w:sz w:val="16"/>
                <w:szCs w:val="16"/>
              </w:rPr>
              <w:t>nvirons</w:t>
            </w:r>
          </w:p>
        </w:tc>
      </w:tr>
      <w:tr w:rsidR="00B060A3" w:rsidRPr="005E66A5" w14:paraId="0953D81E" w14:textId="6E2ADE23" w:rsidTr="00B060A3">
        <w:trPr>
          <w:trHeight w:val="85"/>
          <w:jc w:val="center"/>
        </w:trPr>
        <w:tc>
          <w:tcPr>
            <w:tcW w:w="567" w:type="dxa"/>
            <w:tcBorders>
              <w:top w:val="single" w:sz="4" w:space="0" w:color="auto"/>
              <w:left w:val="nil"/>
              <w:bottom w:val="nil"/>
              <w:right w:val="nil"/>
            </w:tcBorders>
          </w:tcPr>
          <w:p w14:paraId="040694E8" w14:textId="77777777" w:rsidR="00B060A3" w:rsidRPr="00B060A3"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Year</w:t>
            </w:r>
          </w:p>
          <w:p w14:paraId="0F40B9D1" w14:textId="0B8B2A61"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(AD)</w:t>
            </w:r>
          </w:p>
        </w:tc>
        <w:tc>
          <w:tcPr>
            <w:tcW w:w="1985" w:type="dxa"/>
            <w:tcBorders>
              <w:top w:val="single" w:sz="4" w:space="0" w:color="auto"/>
              <w:left w:val="nil"/>
              <w:bottom w:val="nil"/>
              <w:right w:val="nil"/>
            </w:tcBorders>
          </w:tcPr>
          <w:p w14:paraId="5EFF9B7A" w14:textId="4B9D69B3" w:rsidR="00B060A3" w:rsidRPr="005E66A5" w:rsidRDefault="00B060A3" w:rsidP="002465FC">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Implemented plan</w:t>
            </w:r>
          </w:p>
        </w:tc>
        <w:tc>
          <w:tcPr>
            <w:tcW w:w="1561" w:type="dxa"/>
            <w:tcBorders>
              <w:top w:val="single" w:sz="4" w:space="0" w:color="auto"/>
              <w:left w:val="nil"/>
              <w:bottom w:val="nil"/>
              <w:right w:val="nil"/>
            </w:tcBorders>
          </w:tcPr>
          <w:p w14:paraId="0EFC8A57" w14:textId="7C5DDA5A" w:rsidR="00B060A3" w:rsidRPr="005E66A5" w:rsidRDefault="00B060A3" w:rsidP="002465FC">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Designer, Advisor, or Founder</w:t>
            </w:r>
          </w:p>
        </w:tc>
        <w:tc>
          <w:tcPr>
            <w:tcW w:w="1132" w:type="dxa"/>
            <w:tcBorders>
              <w:top w:val="single" w:sz="4" w:space="0" w:color="auto"/>
              <w:left w:val="nil"/>
              <w:bottom w:val="nil"/>
              <w:right w:val="nil"/>
            </w:tcBorders>
          </w:tcPr>
          <w:p w14:paraId="25B79BD9" w14:textId="2CAEDA2D" w:rsidR="00B060A3" w:rsidRPr="005E66A5" w:rsidRDefault="00B060A3" w:rsidP="002465FC">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Executive</w:t>
            </w:r>
          </w:p>
        </w:tc>
        <w:tc>
          <w:tcPr>
            <w:tcW w:w="3544" w:type="dxa"/>
            <w:tcBorders>
              <w:top w:val="single" w:sz="4" w:space="0" w:color="auto"/>
              <w:left w:val="nil"/>
              <w:bottom w:val="nil"/>
              <w:right w:val="nil"/>
            </w:tcBorders>
          </w:tcPr>
          <w:p w14:paraId="7D98CA04" w14:textId="67560834" w:rsidR="00B060A3" w:rsidRPr="005E66A5" w:rsidRDefault="00B060A3" w:rsidP="002465FC">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Results and consequences</w:t>
            </w:r>
          </w:p>
        </w:tc>
      </w:tr>
      <w:tr w:rsidR="00B060A3" w:rsidRPr="005E66A5" w14:paraId="32AEDC27" w14:textId="698AEB78" w:rsidTr="00B060A3">
        <w:trPr>
          <w:cantSplit/>
          <w:jc w:val="center"/>
        </w:trPr>
        <w:tc>
          <w:tcPr>
            <w:tcW w:w="567" w:type="dxa"/>
            <w:tcBorders>
              <w:top w:val="single" w:sz="4" w:space="0" w:color="auto"/>
              <w:left w:val="nil"/>
              <w:bottom w:val="nil"/>
              <w:right w:val="nil"/>
            </w:tcBorders>
          </w:tcPr>
          <w:p w14:paraId="4D6385E6" w14:textId="6435BEAF"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1929</w:t>
            </w:r>
          </w:p>
        </w:tc>
        <w:tc>
          <w:tcPr>
            <w:tcW w:w="1985" w:type="dxa"/>
            <w:tcBorders>
              <w:top w:val="single" w:sz="4" w:space="0" w:color="auto"/>
              <w:left w:val="nil"/>
              <w:bottom w:val="nil"/>
              <w:right w:val="nil"/>
            </w:tcBorders>
          </w:tcPr>
          <w:p w14:paraId="7096A653" w14:textId="5BA747C7"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 xml:space="preserve">Organizing the area and conversion of the graveyard into a </w:t>
            </w:r>
            <w:proofErr w:type="spellStart"/>
            <w:r w:rsidRPr="00B060A3">
              <w:rPr>
                <w:rFonts w:asciiTheme="majorHAnsi" w:hAnsiTheme="majorHAnsi" w:cstheme="majorHAnsi"/>
                <w:bCs/>
                <w:sz w:val="16"/>
                <w:szCs w:val="16"/>
              </w:rPr>
              <w:t>Bāq</w:t>
            </w:r>
            <w:proofErr w:type="spellEnd"/>
            <w:r w:rsidRPr="00B060A3">
              <w:rPr>
                <w:rFonts w:asciiTheme="majorHAnsi" w:hAnsiTheme="majorHAnsi" w:cstheme="majorHAnsi"/>
                <w:bCs/>
                <w:sz w:val="16"/>
                <w:szCs w:val="16"/>
              </w:rPr>
              <w:t xml:space="preserve"> </w:t>
            </w:r>
            <w:proofErr w:type="spellStart"/>
            <w:r w:rsidRPr="00B060A3">
              <w:rPr>
                <w:rFonts w:asciiTheme="majorHAnsi" w:hAnsiTheme="majorHAnsi" w:cstheme="majorHAnsi"/>
                <w:bCs/>
                <w:sz w:val="16"/>
                <w:szCs w:val="16"/>
              </w:rPr>
              <w:t>Delgosha</w:t>
            </w:r>
            <w:proofErr w:type="spellEnd"/>
            <w:r w:rsidRPr="00B060A3">
              <w:rPr>
                <w:rFonts w:asciiTheme="majorHAnsi" w:hAnsiTheme="majorHAnsi" w:cstheme="majorHAnsi"/>
                <w:bCs/>
                <w:sz w:val="16"/>
                <w:szCs w:val="16"/>
              </w:rPr>
              <w:t xml:space="preserve"> (</w:t>
            </w:r>
            <w:proofErr w:type="spellStart"/>
            <w:r w:rsidRPr="00B060A3">
              <w:rPr>
                <w:rFonts w:asciiTheme="majorHAnsi" w:hAnsiTheme="majorHAnsi" w:cstheme="majorHAnsi"/>
                <w:bCs/>
                <w:sz w:val="16"/>
                <w:szCs w:val="16"/>
              </w:rPr>
              <w:t>Delgosha</w:t>
            </w:r>
            <w:proofErr w:type="spellEnd"/>
            <w:r w:rsidRPr="00B060A3">
              <w:rPr>
                <w:rFonts w:asciiTheme="majorHAnsi" w:hAnsiTheme="majorHAnsi" w:cstheme="majorHAnsi"/>
                <w:bCs/>
                <w:sz w:val="16"/>
                <w:szCs w:val="16"/>
              </w:rPr>
              <w:t xml:space="preserve"> garden)</w:t>
            </w:r>
          </w:p>
        </w:tc>
        <w:tc>
          <w:tcPr>
            <w:tcW w:w="1561" w:type="dxa"/>
            <w:tcBorders>
              <w:top w:val="single" w:sz="4" w:space="0" w:color="auto"/>
              <w:left w:val="nil"/>
              <w:bottom w:val="nil"/>
              <w:right w:val="nil"/>
            </w:tcBorders>
          </w:tcPr>
          <w:p w14:paraId="5E77BD87" w14:textId="402BA02A"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 xml:space="preserve">Mohammad Ali </w:t>
            </w:r>
            <w:proofErr w:type="spellStart"/>
            <w:r w:rsidRPr="00B060A3">
              <w:rPr>
                <w:rFonts w:asciiTheme="majorHAnsi" w:hAnsiTheme="majorHAnsi" w:cstheme="majorHAnsi"/>
                <w:bCs/>
                <w:sz w:val="16"/>
                <w:szCs w:val="16"/>
              </w:rPr>
              <w:t>Tarbiat</w:t>
            </w:r>
            <w:proofErr w:type="spellEnd"/>
            <w:r w:rsidRPr="00B060A3">
              <w:rPr>
                <w:rFonts w:asciiTheme="majorHAnsi" w:hAnsiTheme="majorHAnsi" w:cstheme="majorHAnsi"/>
                <w:bCs/>
                <w:sz w:val="16"/>
                <w:szCs w:val="16"/>
              </w:rPr>
              <w:t>, Mayor of Tabriz</w:t>
            </w:r>
          </w:p>
        </w:tc>
        <w:tc>
          <w:tcPr>
            <w:tcW w:w="1132" w:type="dxa"/>
            <w:tcBorders>
              <w:top w:val="single" w:sz="4" w:space="0" w:color="auto"/>
              <w:left w:val="nil"/>
              <w:bottom w:val="nil"/>
              <w:right w:val="nil"/>
            </w:tcBorders>
          </w:tcPr>
          <w:p w14:paraId="034212C9" w14:textId="19867CFD"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Municipality of Tabriz</w:t>
            </w:r>
          </w:p>
        </w:tc>
        <w:tc>
          <w:tcPr>
            <w:tcW w:w="3544" w:type="dxa"/>
            <w:tcBorders>
              <w:top w:val="single" w:sz="4" w:space="0" w:color="auto"/>
              <w:left w:val="nil"/>
              <w:bottom w:val="nil"/>
              <w:right w:val="nil"/>
            </w:tcBorders>
          </w:tcPr>
          <w:p w14:paraId="117849B7" w14:textId="214BA95D"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Although the surrounding context was provided for public use, the remaining parts of the historical traces were destroyed</w:t>
            </w:r>
            <w:r>
              <w:rPr>
                <w:rFonts w:asciiTheme="majorHAnsi" w:hAnsiTheme="majorHAnsi" w:cstheme="majorHAnsi"/>
                <w:bCs/>
                <w:sz w:val="16"/>
                <w:szCs w:val="16"/>
              </w:rPr>
              <w:t>.</w:t>
            </w:r>
          </w:p>
        </w:tc>
      </w:tr>
      <w:tr w:rsidR="00B060A3" w:rsidRPr="005E66A5" w14:paraId="25A41302" w14:textId="4EB0B344" w:rsidTr="00B060A3">
        <w:trPr>
          <w:jc w:val="center"/>
        </w:trPr>
        <w:tc>
          <w:tcPr>
            <w:tcW w:w="567" w:type="dxa"/>
          </w:tcPr>
          <w:p w14:paraId="78D4CC4A" w14:textId="3B17DB63"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1949</w:t>
            </w:r>
          </w:p>
        </w:tc>
        <w:tc>
          <w:tcPr>
            <w:tcW w:w="1985" w:type="dxa"/>
          </w:tcPr>
          <w:p w14:paraId="7940A486" w14:textId="677D681C"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 xml:space="preserve">Converting a part of </w:t>
            </w:r>
            <w:proofErr w:type="spellStart"/>
            <w:r w:rsidRPr="00B060A3">
              <w:rPr>
                <w:rFonts w:asciiTheme="majorHAnsi" w:hAnsiTheme="majorHAnsi" w:cstheme="majorHAnsi"/>
                <w:bCs/>
                <w:sz w:val="16"/>
                <w:szCs w:val="16"/>
              </w:rPr>
              <w:t>Bāq</w:t>
            </w:r>
            <w:proofErr w:type="spellEnd"/>
            <w:r w:rsidRPr="00B060A3">
              <w:rPr>
                <w:rFonts w:asciiTheme="majorHAnsi" w:hAnsiTheme="majorHAnsi" w:cstheme="majorHAnsi"/>
                <w:bCs/>
                <w:sz w:val="16"/>
                <w:szCs w:val="16"/>
              </w:rPr>
              <w:t xml:space="preserve"> </w:t>
            </w:r>
            <w:proofErr w:type="spellStart"/>
            <w:r w:rsidRPr="00B060A3">
              <w:rPr>
                <w:rFonts w:asciiTheme="majorHAnsi" w:hAnsiTheme="majorHAnsi" w:cstheme="majorHAnsi"/>
                <w:bCs/>
                <w:sz w:val="16"/>
                <w:szCs w:val="16"/>
              </w:rPr>
              <w:t>Delgosha</w:t>
            </w:r>
            <w:proofErr w:type="spellEnd"/>
            <w:r w:rsidRPr="00B060A3">
              <w:rPr>
                <w:rFonts w:asciiTheme="majorHAnsi" w:hAnsiTheme="majorHAnsi" w:cstheme="majorHAnsi"/>
                <w:bCs/>
                <w:sz w:val="16"/>
                <w:szCs w:val="16"/>
              </w:rPr>
              <w:t xml:space="preserve"> (</w:t>
            </w:r>
            <w:proofErr w:type="spellStart"/>
            <w:r w:rsidRPr="00B060A3">
              <w:rPr>
                <w:rFonts w:asciiTheme="majorHAnsi" w:hAnsiTheme="majorHAnsi" w:cstheme="majorHAnsi"/>
                <w:bCs/>
                <w:sz w:val="16"/>
                <w:szCs w:val="16"/>
              </w:rPr>
              <w:t>Delgosha</w:t>
            </w:r>
            <w:proofErr w:type="spellEnd"/>
            <w:r w:rsidRPr="00B060A3">
              <w:rPr>
                <w:rFonts w:asciiTheme="majorHAnsi" w:hAnsiTheme="majorHAnsi" w:cstheme="majorHAnsi"/>
                <w:bCs/>
                <w:sz w:val="16"/>
                <w:szCs w:val="16"/>
              </w:rPr>
              <w:t xml:space="preserve"> garden) to </w:t>
            </w:r>
            <w:proofErr w:type="spellStart"/>
            <w:r w:rsidRPr="00B060A3">
              <w:rPr>
                <w:rFonts w:asciiTheme="majorHAnsi" w:hAnsiTheme="majorHAnsi" w:cstheme="majorHAnsi"/>
                <w:bCs/>
                <w:sz w:val="16"/>
                <w:szCs w:val="16"/>
              </w:rPr>
              <w:t>Timsar</w:t>
            </w:r>
            <w:proofErr w:type="spellEnd"/>
            <w:r w:rsidRPr="00B060A3">
              <w:rPr>
                <w:rFonts w:asciiTheme="majorHAnsi" w:hAnsiTheme="majorHAnsi" w:cstheme="majorHAnsi"/>
                <w:bCs/>
                <w:sz w:val="16"/>
                <w:szCs w:val="16"/>
              </w:rPr>
              <w:t xml:space="preserve"> </w:t>
            </w:r>
            <w:proofErr w:type="spellStart"/>
            <w:r w:rsidRPr="00B060A3">
              <w:rPr>
                <w:rFonts w:asciiTheme="majorHAnsi" w:hAnsiTheme="majorHAnsi" w:cstheme="majorHAnsi"/>
                <w:bCs/>
                <w:sz w:val="16"/>
                <w:szCs w:val="16"/>
              </w:rPr>
              <w:t>Fakuri</w:t>
            </w:r>
            <w:proofErr w:type="spellEnd"/>
            <w:r w:rsidRPr="00B060A3">
              <w:rPr>
                <w:rFonts w:asciiTheme="majorHAnsi" w:hAnsiTheme="majorHAnsi" w:cstheme="majorHAnsi"/>
                <w:bCs/>
                <w:sz w:val="16"/>
                <w:szCs w:val="16"/>
              </w:rPr>
              <w:t xml:space="preserve"> Elementary school</w:t>
            </w:r>
          </w:p>
        </w:tc>
        <w:tc>
          <w:tcPr>
            <w:tcW w:w="1561" w:type="dxa"/>
          </w:tcPr>
          <w:p w14:paraId="3FF49926" w14:textId="5957DB32" w:rsidR="00B060A3" w:rsidRPr="005E66A5" w:rsidRDefault="00B060A3" w:rsidP="00B060A3">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w:t>
            </w:r>
          </w:p>
        </w:tc>
        <w:tc>
          <w:tcPr>
            <w:tcW w:w="1132" w:type="dxa"/>
          </w:tcPr>
          <w:p w14:paraId="188B8B3F" w14:textId="210C6AD0"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The Education</w:t>
            </w:r>
          </w:p>
        </w:tc>
        <w:tc>
          <w:tcPr>
            <w:tcW w:w="3544" w:type="dxa"/>
          </w:tcPr>
          <w:p w14:paraId="6BDA23F9" w14:textId="4C38087B"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The open area around the site was destroyed, and the connection between the Goy-Masjid and the Azerbaijan Museum was severely damaged</w:t>
            </w:r>
            <w:r>
              <w:rPr>
                <w:rFonts w:asciiTheme="majorHAnsi" w:hAnsiTheme="majorHAnsi" w:cstheme="majorHAnsi"/>
                <w:bCs/>
                <w:sz w:val="16"/>
                <w:szCs w:val="16"/>
              </w:rPr>
              <w:t>.</w:t>
            </w:r>
          </w:p>
        </w:tc>
      </w:tr>
      <w:tr w:rsidR="00B060A3" w:rsidRPr="005E66A5" w14:paraId="17A0C1EC" w14:textId="2AA2F35B" w:rsidTr="00B060A3">
        <w:trPr>
          <w:jc w:val="center"/>
        </w:trPr>
        <w:tc>
          <w:tcPr>
            <w:tcW w:w="567" w:type="dxa"/>
          </w:tcPr>
          <w:p w14:paraId="357D12A2" w14:textId="5D4E7AA1"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1957</w:t>
            </w:r>
          </w:p>
        </w:tc>
        <w:tc>
          <w:tcPr>
            <w:tcW w:w="1985" w:type="dxa"/>
          </w:tcPr>
          <w:p w14:paraId="227A0327" w14:textId="7D84F0F1"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Construction of the National Museum of Azerbaijan</w:t>
            </w:r>
          </w:p>
        </w:tc>
        <w:tc>
          <w:tcPr>
            <w:tcW w:w="1561" w:type="dxa"/>
          </w:tcPr>
          <w:p w14:paraId="3DD7B753" w14:textId="3B679F3C"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Ali Sadegh, under the supervision of Andre Godard</w:t>
            </w:r>
          </w:p>
        </w:tc>
        <w:tc>
          <w:tcPr>
            <w:tcW w:w="1132" w:type="dxa"/>
          </w:tcPr>
          <w:p w14:paraId="3C3F91DD" w14:textId="0819C044"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The Ministry of Culture and Arts</w:t>
            </w:r>
          </w:p>
        </w:tc>
        <w:tc>
          <w:tcPr>
            <w:tcW w:w="3544" w:type="dxa"/>
          </w:tcPr>
          <w:p w14:paraId="485EB31D" w14:textId="7DCD025C"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 xml:space="preserve">With the construction of this museum and the start of renovations of the Goy-Masjid, </w:t>
            </w:r>
            <w:proofErr w:type="gramStart"/>
            <w:r w:rsidRPr="00B060A3">
              <w:rPr>
                <w:rFonts w:asciiTheme="majorHAnsi" w:hAnsiTheme="majorHAnsi" w:cstheme="majorHAnsi"/>
                <w:bCs/>
                <w:sz w:val="16"/>
                <w:szCs w:val="16"/>
              </w:rPr>
              <w:t>The</w:t>
            </w:r>
            <w:proofErr w:type="gramEnd"/>
            <w:r w:rsidRPr="00B060A3">
              <w:rPr>
                <w:rFonts w:asciiTheme="majorHAnsi" w:hAnsiTheme="majorHAnsi" w:cstheme="majorHAnsi"/>
                <w:bCs/>
                <w:sz w:val="16"/>
                <w:szCs w:val="16"/>
              </w:rPr>
              <w:t xml:space="preserve"> use of this urban complex became educational and cultural usage</w:t>
            </w:r>
            <w:r>
              <w:rPr>
                <w:rFonts w:asciiTheme="majorHAnsi" w:hAnsiTheme="majorHAnsi" w:cstheme="majorHAnsi"/>
                <w:bCs/>
                <w:sz w:val="16"/>
                <w:szCs w:val="16"/>
              </w:rPr>
              <w:t>.</w:t>
            </w:r>
          </w:p>
        </w:tc>
      </w:tr>
      <w:tr w:rsidR="00A540E9" w:rsidRPr="005E66A5" w14:paraId="5E490308" w14:textId="77777777" w:rsidTr="00B060A3">
        <w:trPr>
          <w:jc w:val="center"/>
        </w:trPr>
        <w:tc>
          <w:tcPr>
            <w:tcW w:w="567" w:type="dxa"/>
          </w:tcPr>
          <w:p w14:paraId="50268918" w14:textId="77777777" w:rsidR="00A540E9" w:rsidRPr="00B060A3" w:rsidRDefault="00A540E9" w:rsidP="00B060A3">
            <w:pPr>
              <w:spacing w:line="264" w:lineRule="auto"/>
              <w:jc w:val="both"/>
              <w:rPr>
                <w:rFonts w:asciiTheme="majorHAnsi" w:hAnsiTheme="majorHAnsi" w:cstheme="majorHAnsi"/>
                <w:bCs/>
                <w:sz w:val="16"/>
                <w:szCs w:val="16"/>
              </w:rPr>
            </w:pPr>
          </w:p>
        </w:tc>
        <w:tc>
          <w:tcPr>
            <w:tcW w:w="1985" w:type="dxa"/>
          </w:tcPr>
          <w:p w14:paraId="7166403F" w14:textId="77777777" w:rsidR="00A540E9" w:rsidRPr="00B060A3" w:rsidRDefault="00A540E9" w:rsidP="00B060A3">
            <w:pPr>
              <w:spacing w:line="264" w:lineRule="auto"/>
              <w:jc w:val="both"/>
              <w:rPr>
                <w:rFonts w:asciiTheme="majorHAnsi" w:hAnsiTheme="majorHAnsi" w:cstheme="majorHAnsi"/>
                <w:bCs/>
                <w:sz w:val="16"/>
                <w:szCs w:val="16"/>
              </w:rPr>
            </w:pPr>
          </w:p>
        </w:tc>
        <w:tc>
          <w:tcPr>
            <w:tcW w:w="1561" w:type="dxa"/>
          </w:tcPr>
          <w:p w14:paraId="7ABBB714" w14:textId="77777777" w:rsidR="00A540E9" w:rsidRPr="00B060A3" w:rsidRDefault="00A540E9" w:rsidP="00B060A3">
            <w:pPr>
              <w:spacing w:line="264" w:lineRule="auto"/>
              <w:jc w:val="both"/>
              <w:rPr>
                <w:rFonts w:asciiTheme="majorHAnsi" w:hAnsiTheme="majorHAnsi" w:cstheme="majorHAnsi"/>
                <w:bCs/>
                <w:sz w:val="16"/>
                <w:szCs w:val="16"/>
              </w:rPr>
            </w:pPr>
          </w:p>
        </w:tc>
        <w:tc>
          <w:tcPr>
            <w:tcW w:w="1132" w:type="dxa"/>
          </w:tcPr>
          <w:p w14:paraId="0E6B86C2" w14:textId="77777777" w:rsidR="00A540E9" w:rsidRPr="00B060A3" w:rsidRDefault="00A540E9" w:rsidP="00B060A3">
            <w:pPr>
              <w:spacing w:line="264" w:lineRule="auto"/>
              <w:jc w:val="both"/>
              <w:rPr>
                <w:rFonts w:asciiTheme="majorHAnsi" w:hAnsiTheme="majorHAnsi" w:cstheme="majorHAnsi"/>
                <w:bCs/>
                <w:sz w:val="16"/>
                <w:szCs w:val="16"/>
              </w:rPr>
            </w:pPr>
          </w:p>
        </w:tc>
        <w:tc>
          <w:tcPr>
            <w:tcW w:w="3544" w:type="dxa"/>
          </w:tcPr>
          <w:p w14:paraId="4E1D8A21" w14:textId="77777777" w:rsidR="00A540E9" w:rsidRPr="00B060A3" w:rsidRDefault="00A540E9" w:rsidP="00B060A3">
            <w:pPr>
              <w:spacing w:line="264" w:lineRule="auto"/>
              <w:jc w:val="both"/>
              <w:rPr>
                <w:rFonts w:asciiTheme="majorHAnsi" w:hAnsiTheme="majorHAnsi" w:cstheme="majorHAnsi"/>
                <w:bCs/>
                <w:sz w:val="16"/>
                <w:szCs w:val="16"/>
              </w:rPr>
            </w:pPr>
          </w:p>
        </w:tc>
      </w:tr>
      <w:tr w:rsidR="00B060A3" w:rsidRPr="005E66A5" w14:paraId="2458AC40" w14:textId="740A3D31" w:rsidTr="00B060A3">
        <w:trPr>
          <w:jc w:val="center"/>
        </w:trPr>
        <w:tc>
          <w:tcPr>
            <w:tcW w:w="567" w:type="dxa"/>
            <w:tcBorders>
              <w:top w:val="nil"/>
              <w:left w:val="nil"/>
              <w:bottom w:val="nil"/>
              <w:right w:val="nil"/>
            </w:tcBorders>
          </w:tcPr>
          <w:p w14:paraId="3EA1B14F" w14:textId="3057E029"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1990</w:t>
            </w:r>
          </w:p>
        </w:tc>
        <w:tc>
          <w:tcPr>
            <w:tcW w:w="1985" w:type="dxa"/>
            <w:tcBorders>
              <w:top w:val="nil"/>
              <w:left w:val="nil"/>
              <w:bottom w:val="nil"/>
              <w:right w:val="nil"/>
            </w:tcBorders>
          </w:tcPr>
          <w:p w14:paraId="0D3C3B40" w14:textId="11672E7C"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 xml:space="preserve">The porches around the inner yard and the </w:t>
            </w:r>
            <w:proofErr w:type="spellStart"/>
            <w:r w:rsidRPr="00B060A3">
              <w:rPr>
                <w:rFonts w:asciiTheme="majorHAnsi" w:hAnsiTheme="majorHAnsi" w:cstheme="majorHAnsi"/>
                <w:bCs/>
                <w:sz w:val="16"/>
                <w:szCs w:val="16"/>
              </w:rPr>
              <w:t>Zemestani</w:t>
            </w:r>
            <w:proofErr w:type="spellEnd"/>
            <w:r w:rsidRPr="00B060A3">
              <w:rPr>
                <w:rFonts w:asciiTheme="majorHAnsi" w:hAnsiTheme="majorHAnsi" w:cstheme="majorHAnsi"/>
                <w:bCs/>
                <w:sz w:val="16"/>
                <w:szCs w:val="16"/>
              </w:rPr>
              <w:t xml:space="preserve"> (hibernal) mosque in the southern part of the yard</w:t>
            </w:r>
          </w:p>
        </w:tc>
        <w:tc>
          <w:tcPr>
            <w:tcW w:w="1561" w:type="dxa"/>
            <w:tcBorders>
              <w:top w:val="nil"/>
              <w:left w:val="nil"/>
              <w:bottom w:val="nil"/>
              <w:right w:val="nil"/>
            </w:tcBorders>
          </w:tcPr>
          <w:p w14:paraId="5AB9C8C9" w14:textId="59A95CEB"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Baqer Ayat-</w:t>
            </w:r>
            <w:proofErr w:type="spellStart"/>
            <w:r w:rsidRPr="00B060A3">
              <w:rPr>
                <w:rFonts w:asciiTheme="majorHAnsi" w:hAnsiTheme="majorHAnsi" w:cstheme="majorHAnsi"/>
                <w:bCs/>
                <w:sz w:val="16"/>
                <w:szCs w:val="16"/>
              </w:rPr>
              <w:t>allah</w:t>
            </w:r>
            <w:proofErr w:type="spellEnd"/>
            <w:r w:rsidRPr="00B060A3">
              <w:rPr>
                <w:rFonts w:asciiTheme="majorHAnsi" w:hAnsiTheme="majorHAnsi" w:cstheme="majorHAnsi"/>
                <w:bCs/>
                <w:sz w:val="16"/>
                <w:szCs w:val="16"/>
              </w:rPr>
              <w:t xml:space="preserve"> </w:t>
            </w:r>
            <w:proofErr w:type="spellStart"/>
            <w:r w:rsidRPr="00B060A3">
              <w:rPr>
                <w:rFonts w:asciiTheme="majorHAnsi" w:hAnsiTheme="majorHAnsi" w:cstheme="majorHAnsi"/>
                <w:bCs/>
                <w:sz w:val="16"/>
                <w:szCs w:val="16"/>
              </w:rPr>
              <w:t>zadeh</w:t>
            </w:r>
            <w:proofErr w:type="spellEnd"/>
            <w:r w:rsidRPr="00B060A3">
              <w:rPr>
                <w:rFonts w:asciiTheme="majorHAnsi" w:hAnsiTheme="majorHAnsi" w:cstheme="majorHAnsi"/>
                <w:bCs/>
                <w:sz w:val="16"/>
                <w:szCs w:val="16"/>
              </w:rPr>
              <w:t xml:space="preserve"> Shirazi</w:t>
            </w:r>
          </w:p>
        </w:tc>
        <w:tc>
          <w:tcPr>
            <w:tcW w:w="1132" w:type="dxa"/>
            <w:tcBorders>
              <w:top w:val="nil"/>
              <w:left w:val="nil"/>
              <w:bottom w:val="nil"/>
              <w:right w:val="nil"/>
            </w:tcBorders>
          </w:tcPr>
          <w:p w14:paraId="35B90EC2" w14:textId="198A3A61"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Cultural Heritage Organization</w:t>
            </w:r>
          </w:p>
        </w:tc>
        <w:tc>
          <w:tcPr>
            <w:tcW w:w="3544" w:type="dxa"/>
            <w:tcBorders>
              <w:top w:val="nil"/>
              <w:left w:val="nil"/>
              <w:bottom w:val="nil"/>
              <w:right w:val="nil"/>
            </w:tcBorders>
          </w:tcPr>
          <w:p w14:paraId="47DA82F3" w14:textId="7CE584B6"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With the implementation of this plan, the Sahn (courtyard) was defined for the Mosque, but this plan does not have a reference format or historical document</w:t>
            </w:r>
            <w:r>
              <w:rPr>
                <w:rFonts w:asciiTheme="majorHAnsi" w:hAnsiTheme="majorHAnsi" w:cstheme="majorHAnsi"/>
                <w:bCs/>
                <w:sz w:val="16"/>
                <w:szCs w:val="16"/>
              </w:rPr>
              <w:t>.</w:t>
            </w:r>
          </w:p>
        </w:tc>
      </w:tr>
      <w:tr w:rsidR="00B060A3" w:rsidRPr="005E66A5" w14:paraId="189A85D7" w14:textId="77777777" w:rsidTr="00B060A3">
        <w:trPr>
          <w:jc w:val="center"/>
        </w:trPr>
        <w:tc>
          <w:tcPr>
            <w:tcW w:w="567" w:type="dxa"/>
            <w:tcBorders>
              <w:top w:val="nil"/>
              <w:left w:val="nil"/>
              <w:bottom w:val="nil"/>
              <w:right w:val="nil"/>
            </w:tcBorders>
          </w:tcPr>
          <w:p w14:paraId="2EC0912E" w14:textId="0AC79F17" w:rsidR="00B060A3" w:rsidRPr="00B060A3"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1998</w:t>
            </w:r>
          </w:p>
        </w:tc>
        <w:tc>
          <w:tcPr>
            <w:tcW w:w="1985" w:type="dxa"/>
            <w:tcBorders>
              <w:top w:val="nil"/>
              <w:left w:val="nil"/>
              <w:bottom w:val="nil"/>
              <w:right w:val="nil"/>
            </w:tcBorders>
          </w:tcPr>
          <w:p w14:paraId="2C8E56DF" w14:textId="7965EECC"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Commercial complex on the east side of the complex</w:t>
            </w:r>
          </w:p>
        </w:tc>
        <w:tc>
          <w:tcPr>
            <w:tcW w:w="1561" w:type="dxa"/>
            <w:tcBorders>
              <w:top w:val="nil"/>
              <w:left w:val="nil"/>
              <w:bottom w:val="nil"/>
              <w:right w:val="nil"/>
            </w:tcBorders>
          </w:tcPr>
          <w:p w14:paraId="6BA77596" w14:textId="5226F75E"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Bavand Consulting Engineers</w:t>
            </w:r>
          </w:p>
        </w:tc>
        <w:tc>
          <w:tcPr>
            <w:tcW w:w="1132" w:type="dxa"/>
            <w:tcBorders>
              <w:top w:val="nil"/>
              <w:left w:val="nil"/>
              <w:bottom w:val="nil"/>
              <w:right w:val="nil"/>
            </w:tcBorders>
          </w:tcPr>
          <w:p w14:paraId="1256EDC3" w14:textId="753C947A"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Civil and Improvement Organization of Tabriz</w:t>
            </w:r>
          </w:p>
        </w:tc>
        <w:tc>
          <w:tcPr>
            <w:tcW w:w="3544" w:type="dxa"/>
            <w:tcBorders>
              <w:top w:val="nil"/>
              <w:left w:val="nil"/>
              <w:bottom w:val="nil"/>
              <w:right w:val="nil"/>
            </w:tcBorders>
          </w:tcPr>
          <w:p w14:paraId="2BEC0578" w14:textId="1ACEF8DF"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The project was implemented without considering the complex's historical values and privacy (Harim) and severely destroyed the surrounding context</w:t>
            </w:r>
          </w:p>
        </w:tc>
      </w:tr>
      <w:tr w:rsidR="00B060A3" w:rsidRPr="005E66A5" w14:paraId="35320CFB" w14:textId="77777777" w:rsidTr="00B060A3">
        <w:trPr>
          <w:jc w:val="center"/>
        </w:trPr>
        <w:tc>
          <w:tcPr>
            <w:tcW w:w="567" w:type="dxa"/>
            <w:tcBorders>
              <w:top w:val="nil"/>
              <w:left w:val="nil"/>
              <w:bottom w:val="nil"/>
              <w:right w:val="nil"/>
            </w:tcBorders>
          </w:tcPr>
          <w:p w14:paraId="0828964E" w14:textId="3A2ADB05" w:rsidR="00B060A3" w:rsidRPr="00B060A3"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2003</w:t>
            </w:r>
          </w:p>
        </w:tc>
        <w:tc>
          <w:tcPr>
            <w:tcW w:w="1985" w:type="dxa"/>
            <w:tcBorders>
              <w:top w:val="nil"/>
              <w:left w:val="nil"/>
              <w:bottom w:val="nil"/>
              <w:right w:val="nil"/>
            </w:tcBorders>
          </w:tcPr>
          <w:p w14:paraId="181AEEB4" w14:textId="7860FCB2"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 xml:space="preserve">Construction of </w:t>
            </w:r>
            <w:proofErr w:type="spellStart"/>
            <w:r w:rsidRPr="00B060A3">
              <w:rPr>
                <w:rFonts w:asciiTheme="majorHAnsi" w:hAnsiTheme="majorHAnsi" w:cstheme="majorHAnsi"/>
                <w:bCs/>
                <w:sz w:val="16"/>
                <w:szCs w:val="16"/>
              </w:rPr>
              <w:t>Khaqani</w:t>
            </w:r>
            <w:proofErr w:type="spellEnd"/>
            <w:r w:rsidRPr="00B060A3">
              <w:rPr>
                <w:rFonts w:asciiTheme="majorHAnsi" w:hAnsiTheme="majorHAnsi" w:cstheme="majorHAnsi"/>
                <w:bCs/>
                <w:sz w:val="16"/>
                <w:szCs w:val="16"/>
              </w:rPr>
              <w:t xml:space="preserve"> Park on the west side</w:t>
            </w:r>
          </w:p>
        </w:tc>
        <w:tc>
          <w:tcPr>
            <w:tcW w:w="1561" w:type="dxa"/>
            <w:tcBorders>
              <w:top w:val="nil"/>
              <w:left w:val="nil"/>
              <w:bottom w:val="nil"/>
              <w:right w:val="nil"/>
            </w:tcBorders>
          </w:tcPr>
          <w:p w14:paraId="5C4423FD" w14:textId="02DE5538" w:rsidR="00B060A3" w:rsidRPr="005E66A5" w:rsidRDefault="00B060A3" w:rsidP="00B060A3">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w:t>
            </w:r>
          </w:p>
        </w:tc>
        <w:tc>
          <w:tcPr>
            <w:tcW w:w="1132" w:type="dxa"/>
            <w:tcBorders>
              <w:top w:val="nil"/>
              <w:left w:val="nil"/>
              <w:bottom w:val="nil"/>
              <w:right w:val="nil"/>
            </w:tcBorders>
          </w:tcPr>
          <w:p w14:paraId="3D258E62" w14:textId="61E5B96B"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Municipality of Tabriz</w:t>
            </w:r>
          </w:p>
        </w:tc>
        <w:tc>
          <w:tcPr>
            <w:tcW w:w="3544" w:type="dxa"/>
            <w:tcBorders>
              <w:top w:val="nil"/>
              <w:left w:val="nil"/>
              <w:bottom w:val="nil"/>
              <w:right w:val="nil"/>
            </w:tcBorders>
          </w:tcPr>
          <w:p w14:paraId="64D40789" w14:textId="43C17D40"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It prevented the implementation of the whole design of the mosque courtyard on this side</w:t>
            </w:r>
          </w:p>
        </w:tc>
      </w:tr>
      <w:tr w:rsidR="00B060A3" w:rsidRPr="005E66A5" w14:paraId="27D512F6" w14:textId="77777777" w:rsidTr="00B060A3">
        <w:trPr>
          <w:jc w:val="center"/>
        </w:trPr>
        <w:tc>
          <w:tcPr>
            <w:tcW w:w="567" w:type="dxa"/>
            <w:tcBorders>
              <w:top w:val="nil"/>
              <w:left w:val="nil"/>
              <w:right w:val="nil"/>
            </w:tcBorders>
          </w:tcPr>
          <w:p w14:paraId="5E022634" w14:textId="6EEF6844" w:rsidR="00B060A3" w:rsidRPr="00B060A3"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2007</w:t>
            </w:r>
          </w:p>
        </w:tc>
        <w:tc>
          <w:tcPr>
            <w:tcW w:w="1985" w:type="dxa"/>
            <w:tcBorders>
              <w:top w:val="nil"/>
              <w:left w:val="nil"/>
              <w:right w:val="nil"/>
            </w:tcBorders>
          </w:tcPr>
          <w:p w14:paraId="138088FD" w14:textId="334E0C9B"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Creation of the Tabriz Iron Age and Gray Pottery Archaeological Museum site</w:t>
            </w:r>
          </w:p>
        </w:tc>
        <w:tc>
          <w:tcPr>
            <w:tcW w:w="1561" w:type="dxa"/>
            <w:tcBorders>
              <w:top w:val="nil"/>
              <w:left w:val="nil"/>
              <w:right w:val="nil"/>
            </w:tcBorders>
          </w:tcPr>
          <w:p w14:paraId="4513FB32" w14:textId="7CFBDAE9"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Behrouz Omrani</w:t>
            </w:r>
          </w:p>
        </w:tc>
        <w:tc>
          <w:tcPr>
            <w:tcW w:w="1132" w:type="dxa"/>
            <w:tcBorders>
              <w:top w:val="nil"/>
              <w:left w:val="nil"/>
              <w:right w:val="nil"/>
            </w:tcBorders>
          </w:tcPr>
          <w:p w14:paraId="2A988A3A" w14:textId="45071EC1"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Cultural Heritage Organization</w:t>
            </w:r>
          </w:p>
        </w:tc>
        <w:tc>
          <w:tcPr>
            <w:tcW w:w="3544" w:type="dxa"/>
            <w:tcBorders>
              <w:top w:val="nil"/>
              <w:left w:val="nil"/>
              <w:right w:val="nil"/>
            </w:tcBorders>
          </w:tcPr>
          <w:p w14:paraId="38FB9D7A" w14:textId="690B0437"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A part of the revealed civilization of the 1st millennium BC was displayed at a depth of 8 meters from the floor of the Goy-Masjid</w:t>
            </w:r>
          </w:p>
        </w:tc>
      </w:tr>
      <w:tr w:rsidR="00B060A3" w:rsidRPr="005E66A5" w14:paraId="6DBF31CC" w14:textId="77777777" w:rsidTr="00B060A3">
        <w:trPr>
          <w:jc w:val="center"/>
        </w:trPr>
        <w:tc>
          <w:tcPr>
            <w:tcW w:w="567" w:type="dxa"/>
            <w:tcBorders>
              <w:top w:val="nil"/>
              <w:left w:val="nil"/>
              <w:bottom w:val="single" w:sz="4" w:space="0" w:color="auto"/>
              <w:right w:val="nil"/>
            </w:tcBorders>
          </w:tcPr>
          <w:p w14:paraId="0FD41D5D" w14:textId="266856BC" w:rsidR="00B060A3" w:rsidRPr="00B060A3"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2009</w:t>
            </w:r>
          </w:p>
        </w:tc>
        <w:tc>
          <w:tcPr>
            <w:tcW w:w="1985" w:type="dxa"/>
            <w:tcBorders>
              <w:top w:val="nil"/>
              <w:left w:val="nil"/>
              <w:bottom w:val="single" w:sz="4" w:space="0" w:color="auto"/>
              <w:right w:val="nil"/>
            </w:tcBorders>
          </w:tcPr>
          <w:p w14:paraId="5777309B" w14:textId="7767850F"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Azerbaijan Carpet Museum on the North Front</w:t>
            </w:r>
          </w:p>
        </w:tc>
        <w:tc>
          <w:tcPr>
            <w:tcW w:w="1561" w:type="dxa"/>
            <w:tcBorders>
              <w:top w:val="nil"/>
              <w:left w:val="nil"/>
              <w:bottom w:val="single" w:sz="4" w:space="0" w:color="auto"/>
              <w:right w:val="nil"/>
            </w:tcBorders>
          </w:tcPr>
          <w:p w14:paraId="12909084" w14:textId="04A216F8"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Bavand Consulting Engineers</w:t>
            </w:r>
          </w:p>
        </w:tc>
        <w:tc>
          <w:tcPr>
            <w:tcW w:w="1132" w:type="dxa"/>
            <w:tcBorders>
              <w:top w:val="nil"/>
              <w:left w:val="nil"/>
              <w:bottom w:val="single" w:sz="4" w:space="0" w:color="auto"/>
              <w:right w:val="nil"/>
            </w:tcBorders>
          </w:tcPr>
          <w:p w14:paraId="4F04C223" w14:textId="3D33A6A2"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Cultural Heritage</w:t>
            </w:r>
          </w:p>
        </w:tc>
        <w:tc>
          <w:tcPr>
            <w:tcW w:w="3544" w:type="dxa"/>
            <w:tcBorders>
              <w:top w:val="nil"/>
              <w:left w:val="nil"/>
              <w:bottom w:val="single" w:sz="4" w:space="0" w:color="auto"/>
              <w:right w:val="nil"/>
            </w:tcBorders>
          </w:tcPr>
          <w:p w14:paraId="04989CAC" w14:textId="3B4932E4" w:rsidR="00B060A3" w:rsidRPr="005E66A5" w:rsidRDefault="00B060A3" w:rsidP="00B060A3">
            <w:pPr>
              <w:spacing w:line="264" w:lineRule="auto"/>
              <w:jc w:val="both"/>
              <w:rPr>
                <w:rFonts w:asciiTheme="majorHAnsi" w:hAnsiTheme="majorHAnsi" w:cstheme="majorHAnsi"/>
                <w:bCs/>
                <w:sz w:val="16"/>
                <w:szCs w:val="16"/>
              </w:rPr>
            </w:pPr>
            <w:r w:rsidRPr="00B060A3">
              <w:rPr>
                <w:rFonts w:asciiTheme="majorHAnsi" w:hAnsiTheme="majorHAnsi" w:cstheme="majorHAnsi"/>
                <w:bCs/>
                <w:sz w:val="16"/>
                <w:szCs w:val="16"/>
              </w:rPr>
              <w:t>This year, part of the physical and executive operations started.</w:t>
            </w:r>
          </w:p>
        </w:tc>
      </w:tr>
    </w:tbl>
    <w:p w14:paraId="31AFDB63" w14:textId="77777777" w:rsidR="00A540E9" w:rsidRDefault="00A540E9" w:rsidP="00B060A3">
      <w:pPr>
        <w:ind w:left="284" w:firstLine="283"/>
        <w:jc w:val="both"/>
        <w:rPr>
          <w:rFonts w:asciiTheme="majorHAnsi" w:hAnsiTheme="majorHAnsi" w:cstheme="majorHAnsi"/>
          <w:sz w:val="20"/>
          <w:szCs w:val="20"/>
        </w:rPr>
      </w:pPr>
    </w:p>
    <w:p w14:paraId="68DF3C77" w14:textId="32062B17" w:rsidR="00B060A3" w:rsidRDefault="00B060A3" w:rsidP="00B060A3">
      <w:pPr>
        <w:ind w:left="284" w:firstLine="283"/>
        <w:jc w:val="both"/>
        <w:rPr>
          <w:rFonts w:asciiTheme="majorHAnsi" w:hAnsiTheme="majorHAnsi" w:cstheme="majorHAnsi"/>
          <w:sz w:val="20"/>
          <w:szCs w:val="20"/>
        </w:rPr>
      </w:pPr>
      <w:r w:rsidRPr="00B060A3">
        <w:rPr>
          <w:rFonts w:asciiTheme="majorHAnsi" w:hAnsiTheme="majorHAnsi" w:cstheme="majorHAnsi"/>
          <w:sz w:val="20"/>
          <w:szCs w:val="20"/>
        </w:rPr>
        <w:t xml:space="preserve">After the excavations carried out in 1999 AD in the area of the Goy-Masjid and the discovery of several graves belonging to the Iron Age in 2007 AD, The Cultural Heritage Organization used this site, which is eight meters deep from the floor of the Goy-Masjid, as the site of Tabriz </w:t>
      </w:r>
      <w:proofErr w:type="spellStart"/>
      <w:r w:rsidRPr="00B060A3">
        <w:rPr>
          <w:rFonts w:asciiTheme="majorHAnsi" w:hAnsiTheme="majorHAnsi" w:cstheme="majorHAnsi"/>
          <w:sz w:val="20"/>
          <w:szCs w:val="20"/>
        </w:rPr>
        <w:t>Archeology</w:t>
      </w:r>
      <w:proofErr w:type="spellEnd"/>
      <w:r w:rsidRPr="00B060A3">
        <w:rPr>
          <w:rFonts w:asciiTheme="majorHAnsi" w:hAnsiTheme="majorHAnsi" w:cstheme="majorHAnsi"/>
          <w:sz w:val="20"/>
          <w:szCs w:val="20"/>
        </w:rPr>
        <w:t xml:space="preserve"> Museum. Based on the new actions taken in 2003 AD, on the north side of the mosque and in front of its entrance portal, the Azerbaijan Carpet Museum was designed and is about to be built by Bavand Consulting Engineers. The same year, </w:t>
      </w:r>
      <w:proofErr w:type="spellStart"/>
      <w:r w:rsidRPr="00B060A3">
        <w:rPr>
          <w:rFonts w:asciiTheme="majorHAnsi" w:hAnsiTheme="majorHAnsi" w:cstheme="majorHAnsi"/>
          <w:sz w:val="20"/>
          <w:szCs w:val="20"/>
        </w:rPr>
        <w:t>Timsar</w:t>
      </w:r>
      <w:proofErr w:type="spellEnd"/>
      <w:r w:rsidRPr="00B060A3">
        <w:rPr>
          <w:rFonts w:asciiTheme="majorHAnsi" w:hAnsiTheme="majorHAnsi" w:cstheme="majorHAnsi"/>
          <w:sz w:val="20"/>
          <w:szCs w:val="20"/>
        </w:rPr>
        <w:t xml:space="preserve"> </w:t>
      </w:r>
      <w:proofErr w:type="spellStart"/>
      <w:r w:rsidRPr="00B060A3">
        <w:rPr>
          <w:rFonts w:asciiTheme="majorHAnsi" w:hAnsiTheme="majorHAnsi" w:cstheme="majorHAnsi"/>
          <w:sz w:val="20"/>
          <w:szCs w:val="20"/>
        </w:rPr>
        <w:t>Fakuri</w:t>
      </w:r>
      <w:proofErr w:type="spellEnd"/>
      <w:r w:rsidRPr="00B060A3">
        <w:rPr>
          <w:rFonts w:asciiTheme="majorHAnsi" w:hAnsiTheme="majorHAnsi" w:cstheme="majorHAnsi"/>
          <w:sz w:val="20"/>
          <w:szCs w:val="20"/>
        </w:rPr>
        <w:t xml:space="preserve"> Elementary School, located between the Azerbaijan Museum and the Goy-Masjid, was destroyed and turned into a park named after the famous Iranian poet </w:t>
      </w:r>
      <w:proofErr w:type="spellStart"/>
      <w:r w:rsidRPr="00B060A3">
        <w:rPr>
          <w:rFonts w:asciiTheme="majorHAnsi" w:hAnsiTheme="majorHAnsi" w:cstheme="majorHAnsi"/>
          <w:sz w:val="20"/>
          <w:szCs w:val="20"/>
        </w:rPr>
        <w:t>Khaqani</w:t>
      </w:r>
      <w:proofErr w:type="spellEnd"/>
      <w:r w:rsidRPr="00B060A3">
        <w:rPr>
          <w:rFonts w:asciiTheme="majorHAnsi" w:hAnsiTheme="majorHAnsi" w:cstheme="majorHAnsi"/>
          <w:sz w:val="20"/>
          <w:szCs w:val="20"/>
        </w:rPr>
        <w:t xml:space="preserve"> Park</w:t>
      </w:r>
      <w:r>
        <w:rPr>
          <w:rFonts w:asciiTheme="majorHAnsi" w:hAnsiTheme="majorHAnsi" w:cstheme="majorHAnsi"/>
          <w:sz w:val="20"/>
          <w:szCs w:val="20"/>
        </w:rPr>
        <w:t>.</w:t>
      </w:r>
    </w:p>
    <w:p w14:paraId="571FA0AF" w14:textId="77777777" w:rsidR="00B060A3" w:rsidRDefault="00B060A3" w:rsidP="00B060A3">
      <w:pPr>
        <w:ind w:left="284" w:firstLine="283"/>
        <w:jc w:val="both"/>
        <w:rPr>
          <w:rFonts w:asciiTheme="majorHAnsi" w:hAnsiTheme="majorHAnsi" w:cstheme="majorHAnsi"/>
          <w:sz w:val="20"/>
          <w:szCs w:val="20"/>
        </w:rPr>
      </w:pPr>
      <w:r w:rsidRPr="00B060A3">
        <w:rPr>
          <w:rFonts w:asciiTheme="majorHAnsi" w:hAnsiTheme="majorHAnsi" w:cstheme="majorHAnsi"/>
          <w:sz w:val="20"/>
          <w:szCs w:val="20"/>
        </w:rPr>
        <w:t xml:space="preserve">In the renovation project of the timeworn context, called the Atiq project, which included a large part of the surrounding area of the mosque, the Kohne </w:t>
      </w:r>
      <w:proofErr w:type="spellStart"/>
      <w:r w:rsidRPr="00B060A3">
        <w:rPr>
          <w:rFonts w:asciiTheme="majorHAnsi" w:hAnsiTheme="majorHAnsi" w:cstheme="majorHAnsi"/>
          <w:sz w:val="20"/>
          <w:szCs w:val="20"/>
        </w:rPr>
        <w:t>Khiyābān</w:t>
      </w:r>
      <w:proofErr w:type="spellEnd"/>
      <w:r w:rsidRPr="00B060A3">
        <w:rPr>
          <w:rFonts w:asciiTheme="majorHAnsi" w:hAnsiTheme="majorHAnsi" w:cstheme="majorHAnsi"/>
          <w:sz w:val="20"/>
          <w:szCs w:val="20"/>
        </w:rPr>
        <w:t xml:space="preserve">, in line with it, has been destroyed under renovation and complete reconstruction [6]. With the implementation of this project, the demolition and </w:t>
      </w:r>
      <w:proofErr w:type="spellStart"/>
      <w:r w:rsidRPr="00B060A3">
        <w:rPr>
          <w:rFonts w:asciiTheme="majorHAnsi" w:hAnsiTheme="majorHAnsi" w:cstheme="majorHAnsi"/>
          <w:sz w:val="20"/>
          <w:szCs w:val="20"/>
        </w:rPr>
        <w:t>leveling</w:t>
      </w:r>
      <w:proofErr w:type="spellEnd"/>
      <w:r w:rsidRPr="00B060A3">
        <w:rPr>
          <w:rFonts w:asciiTheme="majorHAnsi" w:hAnsiTheme="majorHAnsi" w:cstheme="majorHAnsi"/>
          <w:sz w:val="20"/>
          <w:szCs w:val="20"/>
        </w:rPr>
        <w:t xml:space="preserve"> of the context, and the construction of the commercial project, the historical appearance of the environment has been transformed [5]. </w:t>
      </w:r>
      <w:proofErr w:type="spellStart"/>
      <w:r w:rsidRPr="00B060A3">
        <w:rPr>
          <w:rFonts w:asciiTheme="majorHAnsi" w:hAnsiTheme="majorHAnsi" w:cstheme="majorHAnsi"/>
          <w:sz w:val="20"/>
          <w:szCs w:val="20"/>
        </w:rPr>
        <w:t>Wahabzadeh</w:t>
      </w:r>
      <w:proofErr w:type="spellEnd"/>
      <w:r w:rsidRPr="00B060A3">
        <w:rPr>
          <w:rFonts w:asciiTheme="majorHAnsi" w:hAnsiTheme="majorHAnsi" w:cstheme="majorHAnsi"/>
          <w:sz w:val="20"/>
          <w:szCs w:val="20"/>
        </w:rPr>
        <w:t xml:space="preserve"> wrote the following about the implementation of this project: “In the implementation of the plan without architectural expression, Samadi's historic house was destroyed and the civilizational layer of the first millennium BC was destroyed at a depth of 6 meters, and by neglecting the privacy of the mosque, the commercial density of the area has increased, and the density of service spaces has decreased [3]. As a result of the plan’s implementation, irreparable damages have been reached. These recent changes and developments have turned the Goy-Masjid into a single element on the city's border, which once had an essential place in the city's structure and the flow of life [6].</w:t>
      </w:r>
    </w:p>
    <w:p w14:paraId="46C38232" w14:textId="77777777" w:rsidR="005E66A5" w:rsidRDefault="005E66A5" w:rsidP="00B060A3">
      <w:pPr>
        <w:jc w:val="both"/>
        <w:rPr>
          <w:rFonts w:asciiTheme="minorHAnsi" w:hAnsiTheme="minorHAnsi" w:cstheme="minorHAnsi"/>
          <w:b/>
          <w:bCs/>
          <w:sz w:val="20"/>
          <w:szCs w:val="20"/>
        </w:rPr>
      </w:pP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416"/>
      </w:tblGrid>
      <w:tr w:rsidR="00B060A3" w14:paraId="08AE2637" w14:textId="77777777" w:rsidTr="00BC2E55">
        <w:trPr>
          <w:trHeight w:val="2435"/>
        </w:trPr>
        <w:tc>
          <w:tcPr>
            <w:tcW w:w="4536" w:type="dxa"/>
          </w:tcPr>
          <w:p w14:paraId="06285E40" w14:textId="227FFC83" w:rsidR="00B060A3" w:rsidRDefault="00B060A3" w:rsidP="00BC2E55">
            <w:pPr>
              <w:jc w:val="center"/>
              <w:rPr>
                <w:rFonts w:asciiTheme="majorHAnsi" w:eastAsia="Times New Roman" w:hAnsiTheme="majorHAnsi" w:cstheme="majorHAnsi"/>
                <w:sz w:val="20"/>
                <w:szCs w:val="20"/>
                <w:lang w:val="id-ID" w:eastAsia="ko-KR"/>
              </w:rPr>
            </w:pPr>
            <w:r>
              <w:rPr>
                <w:noProof/>
              </w:rPr>
              <w:drawing>
                <wp:inline distT="0" distB="0" distL="0" distR="0" wp14:anchorId="2306E723" wp14:editId="5ADDF05F">
                  <wp:extent cx="2664000" cy="1347611"/>
                  <wp:effectExtent l="0" t="0" r="3175" b="5080"/>
                  <wp:docPr id="14980358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2" cstate="hqprint">
                            <a:extLst>
                              <a:ext uri="{28A0092B-C50C-407E-A947-70E740481C1C}">
                                <a14:useLocalDpi xmlns:a14="http://schemas.microsoft.com/office/drawing/2010/main"/>
                              </a:ext>
                            </a:extLst>
                          </a:blip>
                          <a:srcRect/>
                          <a:stretch/>
                        </pic:blipFill>
                        <pic:spPr bwMode="auto">
                          <a:xfrm>
                            <a:off x="0" y="0"/>
                            <a:ext cx="2664000" cy="13476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2" w:type="dxa"/>
          </w:tcPr>
          <w:p w14:paraId="55B48062" w14:textId="3BEBC846" w:rsidR="00B060A3" w:rsidRDefault="00B060A3" w:rsidP="00BC2E55">
            <w:pPr>
              <w:jc w:val="center"/>
              <w:rPr>
                <w:noProof/>
              </w:rPr>
            </w:pPr>
            <w:r>
              <w:rPr>
                <w:noProof/>
              </w:rPr>
              <w:drawing>
                <wp:inline distT="0" distB="0" distL="0" distR="0" wp14:anchorId="5F6F0A5B" wp14:editId="41ED3899">
                  <wp:extent cx="2664000" cy="1328497"/>
                  <wp:effectExtent l="0" t="0" r="3175" b="5080"/>
                  <wp:docPr id="21467770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3" cstate="hqprint">
                            <a:extLst>
                              <a:ext uri="{28A0092B-C50C-407E-A947-70E740481C1C}">
                                <a14:useLocalDpi xmlns:a14="http://schemas.microsoft.com/office/drawing/2010/main"/>
                              </a:ext>
                            </a:extLst>
                          </a:blip>
                          <a:srcRect/>
                          <a:stretch/>
                        </pic:blipFill>
                        <pic:spPr bwMode="auto">
                          <a:xfrm>
                            <a:off x="0" y="0"/>
                            <a:ext cx="2664000" cy="132849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060A3" w14:paraId="7F8F00AA" w14:textId="77777777" w:rsidTr="00BC2E55">
        <w:tc>
          <w:tcPr>
            <w:tcW w:w="4536" w:type="dxa"/>
          </w:tcPr>
          <w:p w14:paraId="1BFCD410" w14:textId="61522A95" w:rsidR="00B060A3" w:rsidRDefault="00B060A3" w:rsidP="00BC2E55">
            <w:pPr>
              <w:jc w:val="center"/>
              <w:rPr>
                <w:rFonts w:asciiTheme="majorHAnsi" w:eastAsia="Times New Roman" w:hAnsiTheme="majorHAnsi" w:cstheme="majorHAnsi"/>
                <w:sz w:val="20"/>
                <w:szCs w:val="20"/>
                <w:lang w:val="id-ID" w:eastAsia="ko-KR"/>
              </w:rPr>
            </w:pPr>
            <w:r w:rsidRPr="00B060A3">
              <w:rPr>
                <w:rFonts w:asciiTheme="majorHAnsi" w:hAnsiTheme="majorHAnsi" w:cstheme="majorHAnsi"/>
                <w:bCs/>
                <w:sz w:val="16"/>
                <w:szCs w:val="16"/>
              </w:rPr>
              <w:t>Figure 2</w:t>
            </w:r>
            <w:r>
              <w:rPr>
                <w:rFonts w:asciiTheme="majorHAnsi" w:hAnsiTheme="majorHAnsi" w:cstheme="majorHAnsi"/>
                <w:bCs/>
                <w:sz w:val="16"/>
                <w:szCs w:val="16"/>
              </w:rPr>
              <w:t>2</w:t>
            </w:r>
            <w:r w:rsidRPr="00B060A3">
              <w:rPr>
                <w:rFonts w:asciiTheme="majorHAnsi" w:hAnsiTheme="majorHAnsi" w:cstheme="majorHAnsi"/>
                <w:bCs/>
                <w:sz w:val="16"/>
                <w:szCs w:val="16"/>
              </w:rPr>
              <w:t>. East view of the mosque from Atiq project (Mar 2016)</w:t>
            </w:r>
          </w:p>
        </w:tc>
        <w:tc>
          <w:tcPr>
            <w:tcW w:w="4252" w:type="dxa"/>
          </w:tcPr>
          <w:p w14:paraId="4D60399C" w14:textId="44672A8D" w:rsidR="00B060A3" w:rsidRPr="005E66A5" w:rsidRDefault="00B060A3"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2</w:t>
            </w:r>
            <w:r>
              <w:rPr>
                <w:rFonts w:asciiTheme="majorHAnsi" w:hAnsiTheme="majorHAnsi" w:cstheme="majorHAnsi"/>
                <w:bCs/>
                <w:sz w:val="16"/>
                <w:szCs w:val="16"/>
              </w:rPr>
              <w:t>3</w:t>
            </w:r>
            <w:r w:rsidRPr="00B060A3">
              <w:rPr>
                <w:rFonts w:asciiTheme="majorHAnsi" w:hAnsiTheme="majorHAnsi" w:cstheme="majorHAnsi"/>
                <w:bCs/>
                <w:sz w:val="16"/>
                <w:szCs w:val="16"/>
              </w:rPr>
              <w:t>. East view of the entrance area of the mosque from Atiq project (Mar 2016)</w:t>
            </w:r>
          </w:p>
        </w:tc>
      </w:tr>
    </w:tbl>
    <w:p w14:paraId="0824C864" w14:textId="77777777" w:rsidR="00B060A3" w:rsidRPr="005E66A5" w:rsidRDefault="00B060A3" w:rsidP="00B060A3">
      <w:pPr>
        <w:jc w:val="both"/>
        <w:rPr>
          <w:rFonts w:asciiTheme="minorHAnsi" w:hAnsiTheme="minorHAnsi" w:cstheme="minorHAnsi"/>
          <w:b/>
          <w:bCs/>
          <w:sz w:val="20"/>
          <w:szCs w:val="20"/>
        </w:rPr>
      </w:pPr>
    </w:p>
    <w:p w14:paraId="3812B052" w14:textId="77777777" w:rsidR="00B060A3" w:rsidRDefault="00B060A3" w:rsidP="00417EF0">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060A3" w14:paraId="765CD43B" w14:textId="77777777" w:rsidTr="00BC2E55">
        <w:tc>
          <w:tcPr>
            <w:tcW w:w="9060" w:type="dxa"/>
          </w:tcPr>
          <w:p w14:paraId="53FEF07D" w14:textId="551A55D8" w:rsidR="00B060A3" w:rsidRDefault="00B060A3" w:rsidP="00BC2E55">
            <w:pPr>
              <w:jc w:val="center"/>
              <w:rPr>
                <w:rFonts w:asciiTheme="minorHAnsi" w:hAnsiTheme="minorHAnsi" w:cstheme="minorHAnsi"/>
                <w:b/>
                <w:bCs/>
                <w:sz w:val="20"/>
                <w:szCs w:val="20"/>
              </w:rPr>
            </w:pPr>
            <w:r>
              <w:rPr>
                <w:noProof/>
              </w:rPr>
              <w:drawing>
                <wp:inline distT="0" distB="0" distL="0" distR="0" wp14:anchorId="6E5C1CFA" wp14:editId="5ED09708">
                  <wp:extent cx="2664000" cy="2488142"/>
                  <wp:effectExtent l="0" t="0" r="3175" b="7620"/>
                  <wp:docPr id="14803856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hqprint">
                            <a:extLst>
                              <a:ext uri="{28A0092B-C50C-407E-A947-70E740481C1C}">
                                <a14:useLocalDpi xmlns:a14="http://schemas.microsoft.com/office/drawing/2010/main"/>
                              </a:ext>
                            </a:extLst>
                          </a:blip>
                          <a:srcRect/>
                          <a:stretch>
                            <a:fillRect/>
                          </a:stretch>
                        </pic:blipFill>
                        <pic:spPr bwMode="auto">
                          <a:xfrm>
                            <a:off x="0" y="0"/>
                            <a:ext cx="2664000" cy="2488142"/>
                          </a:xfrm>
                          <a:prstGeom prst="rect">
                            <a:avLst/>
                          </a:prstGeom>
                          <a:noFill/>
                          <a:ln>
                            <a:noFill/>
                          </a:ln>
                        </pic:spPr>
                      </pic:pic>
                    </a:graphicData>
                  </a:graphic>
                </wp:inline>
              </w:drawing>
            </w:r>
          </w:p>
        </w:tc>
      </w:tr>
      <w:tr w:rsidR="00B060A3" w14:paraId="477B7E25" w14:textId="77777777" w:rsidTr="00BC2E55">
        <w:tc>
          <w:tcPr>
            <w:tcW w:w="9060" w:type="dxa"/>
          </w:tcPr>
          <w:p w14:paraId="6246E00E" w14:textId="77777777" w:rsidR="00B060A3" w:rsidRDefault="00B060A3" w:rsidP="00BC2E55">
            <w:pPr>
              <w:rPr>
                <w:rFonts w:asciiTheme="minorHAnsi" w:hAnsiTheme="minorHAnsi" w:cstheme="minorHAnsi"/>
                <w:b/>
                <w:bCs/>
                <w:sz w:val="20"/>
                <w:szCs w:val="20"/>
              </w:rPr>
            </w:pPr>
          </w:p>
          <w:p w14:paraId="540E6668" w14:textId="50165555" w:rsidR="00B060A3" w:rsidRDefault="00B060A3" w:rsidP="00BC2E55">
            <w:pPr>
              <w:jc w:val="center"/>
              <w:rPr>
                <w:rFonts w:asciiTheme="minorHAnsi" w:hAnsiTheme="minorHAnsi" w:cstheme="minorHAnsi"/>
                <w:b/>
                <w:bCs/>
                <w:sz w:val="20"/>
                <w:szCs w:val="20"/>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24</w:t>
            </w:r>
            <w:r w:rsidRPr="00064475">
              <w:rPr>
                <w:rFonts w:asciiTheme="majorHAnsi" w:hAnsiTheme="majorHAnsi" w:cstheme="majorHAnsi"/>
                <w:bCs/>
                <w:sz w:val="16"/>
                <w:szCs w:val="16"/>
              </w:rPr>
              <w:t xml:space="preserve">. </w:t>
            </w:r>
            <w:r w:rsidRPr="00B060A3">
              <w:rPr>
                <w:rFonts w:asciiTheme="majorHAnsi" w:hAnsiTheme="majorHAnsi" w:cstheme="majorHAnsi"/>
                <w:bCs/>
                <w:sz w:val="16"/>
                <w:szCs w:val="16"/>
              </w:rPr>
              <w:t>Physical changes of the site around the mosque in several historical periods [5]</w:t>
            </w:r>
          </w:p>
        </w:tc>
      </w:tr>
    </w:tbl>
    <w:p w14:paraId="4E8E1642" w14:textId="77777777" w:rsidR="00B060A3" w:rsidRDefault="00B060A3" w:rsidP="00417EF0">
      <w:pPr>
        <w:ind w:firstLine="284"/>
        <w:jc w:val="both"/>
        <w:rPr>
          <w:rFonts w:asciiTheme="majorHAnsi" w:hAnsiTheme="majorHAnsi" w:cstheme="majorHAnsi"/>
          <w:sz w:val="20"/>
          <w:szCs w:val="20"/>
        </w:rPr>
      </w:pPr>
    </w:p>
    <w:p w14:paraId="26FECC66" w14:textId="77777777" w:rsidR="0019158C" w:rsidRDefault="0019158C" w:rsidP="00417EF0">
      <w:pPr>
        <w:ind w:firstLine="284"/>
        <w:jc w:val="both"/>
        <w:rPr>
          <w:rFonts w:asciiTheme="majorHAnsi" w:hAnsiTheme="majorHAnsi" w:cstheme="majorHAnsi"/>
          <w:sz w:val="20"/>
          <w:szCs w:val="20"/>
        </w:rPr>
      </w:pPr>
    </w:p>
    <w:p w14:paraId="0F0F7506" w14:textId="77777777" w:rsidR="0019158C" w:rsidRDefault="0019158C" w:rsidP="00417EF0">
      <w:pPr>
        <w:ind w:firstLine="284"/>
        <w:jc w:val="both"/>
        <w:rPr>
          <w:rFonts w:asciiTheme="majorHAnsi" w:hAnsiTheme="majorHAnsi" w:cstheme="majorHAnsi"/>
          <w:sz w:val="20"/>
          <w:szCs w:val="20"/>
        </w:rPr>
      </w:pPr>
    </w:p>
    <w:p w14:paraId="7BCEEB02" w14:textId="77777777" w:rsidR="0019158C" w:rsidRDefault="0019158C" w:rsidP="00417EF0">
      <w:pPr>
        <w:ind w:firstLine="284"/>
        <w:jc w:val="both"/>
        <w:rPr>
          <w:rFonts w:asciiTheme="majorHAnsi" w:hAnsiTheme="majorHAnsi" w:cstheme="majorHAnsi"/>
          <w:sz w:val="20"/>
          <w:szCs w:val="20"/>
        </w:rPr>
      </w:pPr>
    </w:p>
    <w:p w14:paraId="37C3C9E1" w14:textId="77777777" w:rsidR="0019158C" w:rsidRDefault="0019158C" w:rsidP="00417EF0">
      <w:pPr>
        <w:ind w:firstLine="284"/>
        <w:jc w:val="both"/>
        <w:rPr>
          <w:rFonts w:asciiTheme="majorHAnsi" w:hAnsiTheme="majorHAnsi" w:cstheme="majorHAnsi"/>
          <w:sz w:val="20"/>
          <w:szCs w:val="20"/>
        </w:rPr>
      </w:pPr>
    </w:p>
    <w:p w14:paraId="2E66EC50" w14:textId="77777777" w:rsidR="0019158C" w:rsidRDefault="0019158C" w:rsidP="00417EF0">
      <w:pPr>
        <w:ind w:firstLine="284"/>
        <w:jc w:val="both"/>
        <w:rPr>
          <w:rFonts w:asciiTheme="majorHAnsi" w:hAnsiTheme="majorHAnsi" w:cstheme="majorHAnsi"/>
          <w:sz w:val="20"/>
          <w:szCs w:val="20"/>
        </w:rPr>
      </w:pPr>
    </w:p>
    <w:p w14:paraId="30C44DFC" w14:textId="77777777" w:rsidR="0019158C" w:rsidRDefault="0019158C" w:rsidP="00417EF0">
      <w:pPr>
        <w:ind w:firstLine="284"/>
        <w:jc w:val="both"/>
        <w:rPr>
          <w:rFonts w:asciiTheme="majorHAnsi" w:hAnsiTheme="majorHAnsi" w:cstheme="majorHAnsi"/>
          <w:sz w:val="20"/>
          <w:szCs w:val="20"/>
        </w:rPr>
      </w:pP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606"/>
      </w:tblGrid>
      <w:tr w:rsidR="00B060A3" w14:paraId="0C79C5D8" w14:textId="77777777" w:rsidTr="00BC2E55">
        <w:trPr>
          <w:trHeight w:val="2435"/>
        </w:trPr>
        <w:tc>
          <w:tcPr>
            <w:tcW w:w="4536" w:type="dxa"/>
          </w:tcPr>
          <w:p w14:paraId="3322E209" w14:textId="02892878" w:rsidR="00B060A3" w:rsidRDefault="00B060A3" w:rsidP="00BC2E55">
            <w:pPr>
              <w:jc w:val="center"/>
              <w:rPr>
                <w:rFonts w:asciiTheme="majorHAnsi" w:eastAsia="Times New Roman" w:hAnsiTheme="majorHAnsi" w:cstheme="majorHAnsi"/>
                <w:sz w:val="20"/>
                <w:szCs w:val="20"/>
                <w:lang w:val="id-ID" w:eastAsia="ko-KR"/>
              </w:rPr>
            </w:pPr>
            <w:r>
              <w:rPr>
                <w:noProof/>
              </w:rPr>
              <w:drawing>
                <wp:inline distT="0" distB="0" distL="0" distR="0" wp14:anchorId="62E24561" wp14:editId="54E67400">
                  <wp:extent cx="2444731" cy="1362974"/>
                  <wp:effectExtent l="0" t="0" r="0" b="8890"/>
                  <wp:docPr id="8194686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5" cstate="hqprint">
                            <a:extLst>
                              <a:ext uri="{28A0092B-C50C-407E-A947-70E740481C1C}">
                                <a14:useLocalDpi xmlns:a14="http://schemas.microsoft.com/office/drawing/2010/main"/>
                              </a:ext>
                            </a:extLst>
                          </a:blip>
                          <a:srcRect t="8415"/>
                          <a:stretch/>
                        </pic:blipFill>
                        <pic:spPr bwMode="auto">
                          <a:xfrm>
                            <a:off x="0" y="0"/>
                            <a:ext cx="2468221" cy="137607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2" w:type="dxa"/>
          </w:tcPr>
          <w:p w14:paraId="5C46355B" w14:textId="21470D91" w:rsidR="00B060A3" w:rsidRDefault="00B060A3" w:rsidP="00BC2E55">
            <w:pPr>
              <w:jc w:val="center"/>
              <w:rPr>
                <w:noProof/>
              </w:rPr>
            </w:pPr>
            <w:r>
              <w:rPr>
                <w:noProof/>
              </w:rPr>
              <w:drawing>
                <wp:inline distT="0" distB="0" distL="0" distR="0" wp14:anchorId="3DE04652" wp14:editId="4D082238">
                  <wp:extent cx="2787927" cy="1362710"/>
                  <wp:effectExtent l="0" t="0" r="0" b="8890"/>
                  <wp:docPr id="16604312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6" cstate="hqprint">
                            <a:extLst>
                              <a:ext uri="{28A0092B-C50C-407E-A947-70E740481C1C}">
                                <a14:useLocalDpi xmlns:a14="http://schemas.microsoft.com/office/drawing/2010/main"/>
                              </a:ext>
                            </a:extLst>
                          </a:blip>
                          <a:srcRect/>
                          <a:stretch/>
                        </pic:blipFill>
                        <pic:spPr bwMode="auto">
                          <a:xfrm>
                            <a:off x="0" y="0"/>
                            <a:ext cx="2790307" cy="136387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060A3" w14:paraId="5B14D696" w14:textId="77777777" w:rsidTr="00BC2E55">
        <w:tc>
          <w:tcPr>
            <w:tcW w:w="4536" w:type="dxa"/>
          </w:tcPr>
          <w:p w14:paraId="36A7A485" w14:textId="0C9929BD" w:rsidR="00B060A3" w:rsidRDefault="00B060A3" w:rsidP="00BC2E55">
            <w:pPr>
              <w:jc w:val="center"/>
              <w:rPr>
                <w:rFonts w:asciiTheme="majorHAnsi" w:eastAsia="Times New Roman" w:hAnsiTheme="majorHAnsi" w:cstheme="majorHAnsi"/>
                <w:sz w:val="20"/>
                <w:szCs w:val="20"/>
                <w:lang w:val="id-ID" w:eastAsia="ko-KR"/>
              </w:rPr>
            </w:pPr>
            <w:r w:rsidRPr="00B060A3">
              <w:rPr>
                <w:rFonts w:asciiTheme="majorHAnsi" w:hAnsiTheme="majorHAnsi" w:cstheme="majorHAnsi"/>
                <w:bCs/>
                <w:sz w:val="16"/>
                <w:szCs w:val="16"/>
              </w:rPr>
              <w:t xml:space="preserve">Figure </w:t>
            </w:r>
            <w:r>
              <w:rPr>
                <w:rFonts w:asciiTheme="majorHAnsi" w:hAnsiTheme="majorHAnsi" w:cstheme="majorHAnsi"/>
                <w:bCs/>
                <w:sz w:val="16"/>
                <w:szCs w:val="16"/>
              </w:rPr>
              <w:t>25.</w:t>
            </w:r>
            <w:r w:rsidRPr="00B060A3">
              <w:rPr>
                <w:rFonts w:asciiTheme="majorHAnsi" w:hAnsiTheme="majorHAnsi" w:cstheme="majorHAnsi"/>
                <w:bCs/>
                <w:sz w:val="16"/>
                <w:szCs w:val="16"/>
              </w:rPr>
              <w:t xml:space="preserve"> South view of the mosque from the Emam Khomeini (Pahlavi) street (Mar 2023)</w:t>
            </w:r>
          </w:p>
        </w:tc>
        <w:tc>
          <w:tcPr>
            <w:tcW w:w="4252" w:type="dxa"/>
          </w:tcPr>
          <w:p w14:paraId="585F4CDE" w14:textId="4E84EB2D" w:rsidR="00B060A3" w:rsidRPr="005E66A5" w:rsidRDefault="00B060A3"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2</w:t>
            </w:r>
            <w:r>
              <w:rPr>
                <w:rFonts w:asciiTheme="majorHAnsi" w:hAnsiTheme="majorHAnsi" w:cstheme="majorHAnsi"/>
                <w:bCs/>
                <w:sz w:val="16"/>
                <w:szCs w:val="16"/>
              </w:rPr>
              <w:t>6</w:t>
            </w:r>
            <w:r w:rsidRPr="00B060A3">
              <w:rPr>
                <w:rFonts w:asciiTheme="majorHAnsi" w:hAnsiTheme="majorHAnsi" w:cstheme="majorHAnsi"/>
                <w:bCs/>
                <w:sz w:val="16"/>
                <w:szCs w:val="16"/>
              </w:rPr>
              <w:t xml:space="preserve">. Southwest view of the mosque from the </w:t>
            </w:r>
            <w:proofErr w:type="spellStart"/>
            <w:r w:rsidRPr="00B060A3">
              <w:rPr>
                <w:rFonts w:asciiTheme="majorHAnsi" w:hAnsiTheme="majorHAnsi" w:cstheme="majorHAnsi"/>
                <w:bCs/>
                <w:sz w:val="16"/>
                <w:szCs w:val="16"/>
              </w:rPr>
              <w:t>Khaqani</w:t>
            </w:r>
            <w:proofErr w:type="spellEnd"/>
            <w:r w:rsidRPr="00B060A3">
              <w:rPr>
                <w:rFonts w:asciiTheme="majorHAnsi" w:hAnsiTheme="majorHAnsi" w:cstheme="majorHAnsi"/>
                <w:bCs/>
                <w:sz w:val="16"/>
                <w:szCs w:val="16"/>
              </w:rPr>
              <w:t xml:space="preserve"> Park (Mar 2023)</w:t>
            </w:r>
          </w:p>
        </w:tc>
      </w:tr>
    </w:tbl>
    <w:p w14:paraId="6A073FAE" w14:textId="77777777" w:rsidR="00B060A3" w:rsidRDefault="00B060A3" w:rsidP="00417EF0">
      <w:pPr>
        <w:ind w:firstLine="284"/>
        <w:jc w:val="both"/>
        <w:rPr>
          <w:rFonts w:asciiTheme="majorHAnsi" w:hAnsiTheme="majorHAnsi" w:cstheme="majorHAnsi"/>
          <w:sz w:val="20"/>
          <w:szCs w:val="20"/>
        </w:rPr>
      </w:pP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2"/>
      </w:tblGrid>
      <w:tr w:rsidR="00B060A3" w14:paraId="6373FA01" w14:textId="77777777" w:rsidTr="00BC2E55">
        <w:trPr>
          <w:trHeight w:val="2435"/>
        </w:trPr>
        <w:tc>
          <w:tcPr>
            <w:tcW w:w="4536" w:type="dxa"/>
          </w:tcPr>
          <w:p w14:paraId="3494F543" w14:textId="3B433898" w:rsidR="00B060A3" w:rsidRDefault="00B060A3" w:rsidP="00BC2E55">
            <w:pPr>
              <w:jc w:val="center"/>
              <w:rPr>
                <w:rFonts w:asciiTheme="majorHAnsi" w:eastAsia="Times New Roman" w:hAnsiTheme="majorHAnsi" w:cstheme="majorHAnsi"/>
                <w:sz w:val="20"/>
                <w:szCs w:val="20"/>
                <w:lang w:val="id-ID" w:eastAsia="ko-KR"/>
              </w:rPr>
            </w:pPr>
            <w:r>
              <w:rPr>
                <w:noProof/>
              </w:rPr>
              <w:drawing>
                <wp:inline distT="0" distB="0" distL="0" distR="0" wp14:anchorId="1CDEE37B" wp14:editId="5D3277BA">
                  <wp:extent cx="2667480" cy="1518249"/>
                  <wp:effectExtent l="0" t="0" r="0" b="6350"/>
                  <wp:docPr id="14471356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37" cstate="hqprint">
                            <a:extLst>
                              <a:ext uri="{28A0092B-C50C-407E-A947-70E740481C1C}">
                                <a14:useLocalDpi xmlns:a14="http://schemas.microsoft.com/office/drawing/2010/main"/>
                              </a:ext>
                            </a:extLst>
                          </a:blip>
                          <a:srcRect/>
                          <a:stretch/>
                        </pic:blipFill>
                        <pic:spPr bwMode="auto">
                          <a:xfrm>
                            <a:off x="0" y="0"/>
                            <a:ext cx="2673672" cy="152177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2" w:type="dxa"/>
          </w:tcPr>
          <w:p w14:paraId="5191DA63" w14:textId="2C2B03EC" w:rsidR="00B060A3" w:rsidRDefault="00B060A3" w:rsidP="00BC2E55">
            <w:pPr>
              <w:jc w:val="center"/>
              <w:rPr>
                <w:noProof/>
              </w:rPr>
            </w:pPr>
            <w:r>
              <w:rPr>
                <w:noProof/>
              </w:rPr>
              <w:drawing>
                <wp:inline distT="0" distB="0" distL="0" distR="0" wp14:anchorId="09423A92" wp14:editId="5AD6F1BD">
                  <wp:extent cx="2117923" cy="1517650"/>
                  <wp:effectExtent l="0" t="0" r="0" b="6350"/>
                  <wp:docPr id="207768664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cstate="hqprint">
                            <a:extLst>
                              <a:ext uri="{28A0092B-C50C-407E-A947-70E740481C1C}">
                                <a14:useLocalDpi xmlns:a14="http://schemas.microsoft.com/office/drawing/2010/main"/>
                              </a:ext>
                            </a:extLst>
                          </a:blip>
                          <a:srcRect/>
                          <a:stretch>
                            <a:fillRect/>
                          </a:stretch>
                        </pic:blipFill>
                        <pic:spPr bwMode="auto">
                          <a:xfrm>
                            <a:off x="0" y="0"/>
                            <a:ext cx="2140358" cy="1533726"/>
                          </a:xfrm>
                          <a:prstGeom prst="rect">
                            <a:avLst/>
                          </a:prstGeom>
                          <a:noFill/>
                          <a:ln>
                            <a:noFill/>
                          </a:ln>
                        </pic:spPr>
                      </pic:pic>
                    </a:graphicData>
                  </a:graphic>
                </wp:inline>
              </w:drawing>
            </w:r>
          </w:p>
        </w:tc>
      </w:tr>
      <w:tr w:rsidR="00B060A3" w14:paraId="3DECC61E" w14:textId="77777777" w:rsidTr="00BC2E55">
        <w:tc>
          <w:tcPr>
            <w:tcW w:w="4536" w:type="dxa"/>
          </w:tcPr>
          <w:p w14:paraId="66CBDAFD" w14:textId="77777777" w:rsidR="00B060A3" w:rsidRDefault="00B060A3" w:rsidP="00BC2E55">
            <w:pPr>
              <w:jc w:val="center"/>
              <w:rPr>
                <w:rFonts w:asciiTheme="majorHAnsi" w:hAnsiTheme="majorHAnsi" w:cstheme="majorHAnsi"/>
                <w:bCs/>
                <w:sz w:val="16"/>
                <w:szCs w:val="16"/>
              </w:rPr>
            </w:pPr>
          </w:p>
          <w:p w14:paraId="734AE3BC" w14:textId="0304B622" w:rsidR="00B060A3" w:rsidRDefault="00B060A3" w:rsidP="00BC2E55">
            <w:pPr>
              <w:jc w:val="center"/>
              <w:rPr>
                <w:rFonts w:asciiTheme="majorHAnsi" w:eastAsia="Times New Roman" w:hAnsiTheme="majorHAnsi" w:cstheme="majorHAnsi"/>
                <w:sz w:val="20"/>
                <w:szCs w:val="20"/>
                <w:lang w:val="id-ID" w:eastAsia="ko-KR"/>
              </w:rPr>
            </w:pPr>
            <w:r w:rsidRPr="00B060A3">
              <w:rPr>
                <w:rFonts w:asciiTheme="majorHAnsi" w:hAnsiTheme="majorHAnsi" w:cstheme="majorHAnsi"/>
                <w:bCs/>
                <w:sz w:val="16"/>
                <w:szCs w:val="16"/>
              </w:rPr>
              <w:t xml:space="preserve">Figure </w:t>
            </w:r>
            <w:r>
              <w:rPr>
                <w:rFonts w:asciiTheme="majorHAnsi" w:hAnsiTheme="majorHAnsi" w:cstheme="majorHAnsi"/>
                <w:bCs/>
                <w:sz w:val="16"/>
                <w:szCs w:val="16"/>
              </w:rPr>
              <w:t>27.</w:t>
            </w:r>
            <w:r w:rsidRPr="00B060A3">
              <w:rPr>
                <w:rFonts w:asciiTheme="majorHAnsi" w:hAnsiTheme="majorHAnsi" w:cstheme="majorHAnsi"/>
                <w:bCs/>
                <w:sz w:val="16"/>
                <w:szCs w:val="16"/>
              </w:rPr>
              <w:t xml:space="preserve"> North view of the mosque from </w:t>
            </w:r>
            <w:proofErr w:type="spellStart"/>
            <w:r w:rsidRPr="00B060A3">
              <w:rPr>
                <w:rFonts w:asciiTheme="majorHAnsi" w:hAnsiTheme="majorHAnsi" w:cstheme="majorHAnsi"/>
                <w:bCs/>
                <w:sz w:val="16"/>
                <w:szCs w:val="16"/>
              </w:rPr>
              <w:t>Roshanayi</w:t>
            </w:r>
            <w:proofErr w:type="spellEnd"/>
            <w:r w:rsidRPr="00B060A3">
              <w:rPr>
                <w:rFonts w:asciiTheme="majorHAnsi" w:hAnsiTheme="majorHAnsi" w:cstheme="majorHAnsi"/>
                <w:bCs/>
                <w:sz w:val="16"/>
                <w:szCs w:val="16"/>
              </w:rPr>
              <w:t xml:space="preserve"> Street at North (Mar 2023)</w:t>
            </w:r>
          </w:p>
        </w:tc>
        <w:tc>
          <w:tcPr>
            <w:tcW w:w="4252" w:type="dxa"/>
          </w:tcPr>
          <w:p w14:paraId="6646D8FA" w14:textId="77777777" w:rsidR="00B060A3" w:rsidRDefault="00B060A3" w:rsidP="00BC2E55">
            <w:pPr>
              <w:jc w:val="center"/>
              <w:rPr>
                <w:rFonts w:asciiTheme="majorHAnsi" w:hAnsiTheme="majorHAnsi" w:cstheme="majorHAnsi"/>
                <w:bCs/>
                <w:sz w:val="16"/>
                <w:szCs w:val="16"/>
              </w:rPr>
            </w:pPr>
          </w:p>
          <w:p w14:paraId="1B0F884E" w14:textId="359D154C" w:rsidR="00B060A3" w:rsidRPr="005E66A5" w:rsidRDefault="00B060A3" w:rsidP="00BC2E5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B060A3">
              <w:rPr>
                <w:rFonts w:asciiTheme="majorHAnsi" w:hAnsiTheme="majorHAnsi" w:cstheme="majorHAnsi"/>
                <w:bCs/>
                <w:sz w:val="16"/>
                <w:szCs w:val="16"/>
              </w:rPr>
              <w:t>2</w:t>
            </w:r>
            <w:r>
              <w:rPr>
                <w:rFonts w:asciiTheme="majorHAnsi" w:hAnsiTheme="majorHAnsi" w:cstheme="majorHAnsi"/>
                <w:bCs/>
                <w:sz w:val="16"/>
                <w:szCs w:val="16"/>
              </w:rPr>
              <w:t>8</w:t>
            </w:r>
            <w:r w:rsidRPr="00B060A3">
              <w:rPr>
                <w:rFonts w:asciiTheme="majorHAnsi" w:hAnsiTheme="majorHAnsi" w:cstheme="majorHAnsi"/>
                <w:bCs/>
                <w:sz w:val="16"/>
                <w:szCs w:val="16"/>
              </w:rPr>
              <w:t>. Northeast view of a mosque (Mar 2023)</w:t>
            </w:r>
          </w:p>
        </w:tc>
      </w:tr>
    </w:tbl>
    <w:p w14:paraId="74E5F1E5" w14:textId="77777777" w:rsidR="00B060A3" w:rsidRDefault="00B060A3" w:rsidP="00417EF0">
      <w:pPr>
        <w:ind w:firstLine="284"/>
        <w:jc w:val="both"/>
        <w:rPr>
          <w:rFonts w:asciiTheme="majorHAnsi" w:hAnsiTheme="majorHAnsi" w:cstheme="majorHAnsi"/>
          <w:sz w:val="20"/>
          <w:szCs w:val="20"/>
        </w:rPr>
      </w:pPr>
    </w:p>
    <w:p w14:paraId="4397BC75" w14:textId="2267B4C9"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53F66E09" w14:textId="633CBC6F" w:rsidR="00554438" w:rsidRPr="00554438" w:rsidRDefault="00B060A3" w:rsidP="00554438">
      <w:pPr>
        <w:ind w:firstLine="284"/>
        <w:jc w:val="both"/>
        <w:rPr>
          <w:rFonts w:asciiTheme="majorHAnsi" w:hAnsiTheme="majorHAnsi" w:cstheme="majorHAnsi"/>
          <w:bCs/>
          <w:sz w:val="20"/>
          <w:szCs w:val="20"/>
          <w:lang w:val="id-ID"/>
        </w:rPr>
      </w:pPr>
      <w:r w:rsidRPr="00B060A3">
        <w:rPr>
          <w:rFonts w:asciiTheme="majorHAnsi" w:hAnsiTheme="majorHAnsi" w:cstheme="majorHAnsi"/>
          <w:sz w:val="20"/>
          <w:szCs w:val="20"/>
        </w:rPr>
        <w:t xml:space="preserve">The </w:t>
      </w:r>
      <w:proofErr w:type="spellStart"/>
      <w:r w:rsidRPr="00B060A3">
        <w:rPr>
          <w:rFonts w:asciiTheme="majorHAnsi" w:hAnsiTheme="majorHAnsi" w:cstheme="majorHAnsi"/>
          <w:sz w:val="20"/>
          <w:szCs w:val="20"/>
        </w:rPr>
        <w:t>Muzaffariyya</w:t>
      </w:r>
      <w:proofErr w:type="spellEnd"/>
      <w:r w:rsidRPr="00B060A3">
        <w:rPr>
          <w:rFonts w:asciiTheme="majorHAnsi" w:hAnsiTheme="majorHAnsi" w:cstheme="majorHAnsi"/>
          <w:sz w:val="20"/>
          <w:szCs w:val="20"/>
        </w:rPr>
        <w:t xml:space="preserve"> complex is one of the most important complexes of the Turkoman era of </w:t>
      </w:r>
      <w:proofErr w:type="spellStart"/>
      <w:r w:rsidRPr="00B060A3">
        <w:rPr>
          <w:rFonts w:asciiTheme="majorHAnsi" w:hAnsiTheme="majorHAnsi" w:cstheme="majorHAnsi"/>
          <w:sz w:val="20"/>
          <w:szCs w:val="20"/>
        </w:rPr>
        <w:t>Qaraquyunlu</w:t>
      </w:r>
      <w:proofErr w:type="spellEnd"/>
      <w:r w:rsidRPr="00B060A3">
        <w:rPr>
          <w:rFonts w:asciiTheme="majorHAnsi" w:hAnsiTheme="majorHAnsi" w:cstheme="majorHAnsi"/>
          <w:sz w:val="20"/>
          <w:szCs w:val="20"/>
        </w:rPr>
        <w:t xml:space="preserve">, which is a continuation of the complexes that started with the complex of </w:t>
      </w:r>
      <w:proofErr w:type="spellStart"/>
      <w:r w:rsidRPr="00B060A3">
        <w:rPr>
          <w:rFonts w:asciiTheme="majorHAnsi" w:hAnsiTheme="majorHAnsi" w:cstheme="majorHAnsi"/>
          <w:sz w:val="20"/>
          <w:szCs w:val="20"/>
        </w:rPr>
        <w:t>Abvab</w:t>
      </w:r>
      <w:proofErr w:type="spellEnd"/>
      <w:r w:rsidRPr="00B060A3">
        <w:rPr>
          <w:rFonts w:asciiTheme="majorHAnsi" w:hAnsiTheme="majorHAnsi" w:cstheme="majorHAnsi"/>
          <w:sz w:val="20"/>
          <w:szCs w:val="20"/>
        </w:rPr>
        <w:t xml:space="preserve"> al-</w:t>
      </w:r>
      <w:proofErr w:type="gramStart"/>
      <w:r w:rsidRPr="00B060A3">
        <w:rPr>
          <w:rFonts w:asciiTheme="majorHAnsi" w:hAnsiTheme="majorHAnsi" w:cstheme="majorHAnsi"/>
          <w:sz w:val="20"/>
          <w:szCs w:val="20"/>
        </w:rPr>
        <w:t>Bari ,</w:t>
      </w:r>
      <w:proofErr w:type="gramEnd"/>
      <w:r w:rsidRPr="00B060A3">
        <w:rPr>
          <w:rFonts w:asciiTheme="majorHAnsi" w:hAnsiTheme="majorHAnsi" w:cstheme="majorHAnsi"/>
          <w:sz w:val="20"/>
          <w:szCs w:val="20"/>
        </w:rPr>
        <w:t xml:space="preserve"> such as Rab'-e Rashidi and </w:t>
      </w:r>
      <w:proofErr w:type="spellStart"/>
      <w:r w:rsidRPr="00B060A3">
        <w:rPr>
          <w:rFonts w:asciiTheme="majorHAnsi" w:hAnsiTheme="majorHAnsi" w:cstheme="majorHAnsi"/>
          <w:sz w:val="20"/>
          <w:szCs w:val="20"/>
        </w:rPr>
        <w:t>Ghazaniyya</w:t>
      </w:r>
      <w:proofErr w:type="spellEnd"/>
      <w:r w:rsidRPr="00B060A3">
        <w:rPr>
          <w:rFonts w:asciiTheme="majorHAnsi" w:hAnsiTheme="majorHAnsi" w:cstheme="majorHAnsi"/>
          <w:sz w:val="20"/>
          <w:szCs w:val="20"/>
        </w:rPr>
        <w:t xml:space="preserve"> . This complex, which includes various buildings, has undergone many changes and transformations due to natural and human factors, especially the frequent earthquakes in Tabriz. No traces of that valuable complex have been left after the havoc, demolition, and damage, except for the Goy-Masjid. The mosque was placed within the complex and next to the other elements in the early construction period. Still, during the time and alterations, it became a solitary element in the city. According to the plans and projects implemented to revive this complex, the Goy-Masjid and its surroundings have not successfully changed or improved this situation. Based on the documents, the combination and connection of the elements of this collection with each other and its connection with the surroundings and the city can be seen. There is also an essential and valuable example of the complex's close connection with the Silk Road. Considering the importance and place of the </w:t>
      </w:r>
      <w:proofErr w:type="spellStart"/>
      <w:r w:rsidRPr="00B060A3">
        <w:rPr>
          <w:rFonts w:asciiTheme="majorHAnsi" w:hAnsiTheme="majorHAnsi" w:cstheme="majorHAnsi"/>
          <w:sz w:val="20"/>
          <w:szCs w:val="20"/>
        </w:rPr>
        <w:t>Muzaffariyya</w:t>
      </w:r>
      <w:proofErr w:type="spellEnd"/>
      <w:r w:rsidRPr="00B060A3">
        <w:rPr>
          <w:rFonts w:asciiTheme="majorHAnsi" w:hAnsiTheme="majorHAnsi" w:cstheme="majorHAnsi"/>
          <w:sz w:val="20"/>
          <w:szCs w:val="20"/>
        </w:rPr>
        <w:t xml:space="preserve"> complex and the Goy-Masjid in the history of Iranian architecture, the surrounding area of the mosque should be formed to revive the place of the Goy-Masjid in the modern city structure. A solution can be found according to the purpose and primary use of the complex and its place in the old city</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6363CBE9" w14:textId="77777777" w:rsidR="00B060A3" w:rsidRDefault="00B060A3" w:rsidP="00554438">
      <w:pPr>
        <w:jc w:val="both"/>
        <w:rPr>
          <w:rFonts w:asciiTheme="minorHAnsi" w:hAnsiTheme="minorHAnsi" w:cstheme="minorHAnsi"/>
          <w:b/>
          <w:bCs/>
        </w:rPr>
      </w:pPr>
    </w:p>
    <w:p w14:paraId="414BD55F" w14:textId="77777777" w:rsidR="00B060A3" w:rsidRDefault="00B060A3" w:rsidP="00554438">
      <w:pPr>
        <w:jc w:val="both"/>
        <w:rPr>
          <w:rFonts w:asciiTheme="minorHAnsi" w:hAnsiTheme="minorHAnsi" w:cstheme="minorHAnsi"/>
          <w:b/>
          <w:bCs/>
        </w:rPr>
      </w:pPr>
    </w:p>
    <w:p w14:paraId="21F86C4A" w14:textId="77777777" w:rsidR="00B060A3" w:rsidRDefault="00B060A3" w:rsidP="00554438">
      <w:pPr>
        <w:jc w:val="both"/>
        <w:rPr>
          <w:rFonts w:asciiTheme="minorHAnsi" w:hAnsiTheme="minorHAnsi" w:cstheme="minorHAnsi"/>
          <w:b/>
          <w:bCs/>
        </w:rPr>
      </w:pPr>
    </w:p>
    <w:p w14:paraId="2278499D" w14:textId="77777777" w:rsidR="00B060A3" w:rsidRDefault="00B060A3" w:rsidP="00554438">
      <w:pPr>
        <w:jc w:val="both"/>
        <w:rPr>
          <w:rFonts w:asciiTheme="minorHAnsi" w:hAnsiTheme="minorHAnsi" w:cstheme="minorHAnsi"/>
          <w:b/>
          <w:bCs/>
        </w:rPr>
      </w:pPr>
    </w:p>
    <w:p w14:paraId="2FA2FA96" w14:textId="77777777" w:rsidR="00B060A3" w:rsidRDefault="00B060A3" w:rsidP="00554438">
      <w:pPr>
        <w:jc w:val="both"/>
        <w:rPr>
          <w:rFonts w:asciiTheme="minorHAnsi" w:hAnsiTheme="minorHAnsi" w:cstheme="minorHAnsi"/>
          <w:b/>
          <w:bCs/>
        </w:rPr>
      </w:pPr>
    </w:p>
    <w:p w14:paraId="74EF5C8C" w14:textId="77777777" w:rsidR="00B060A3" w:rsidRDefault="00B060A3" w:rsidP="00554438">
      <w:pPr>
        <w:jc w:val="both"/>
        <w:rPr>
          <w:rFonts w:asciiTheme="minorHAnsi" w:hAnsiTheme="minorHAnsi" w:cstheme="minorHAnsi"/>
          <w:b/>
          <w:bCs/>
        </w:rPr>
      </w:pPr>
    </w:p>
    <w:p w14:paraId="2C736356" w14:textId="77777777" w:rsidR="00B060A3" w:rsidRDefault="00B060A3" w:rsidP="00554438">
      <w:pPr>
        <w:jc w:val="both"/>
        <w:rPr>
          <w:rFonts w:asciiTheme="minorHAnsi" w:hAnsiTheme="minorHAnsi" w:cstheme="minorHAnsi"/>
          <w:b/>
          <w:bCs/>
        </w:rPr>
      </w:pPr>
    </w:p>
    <w:p w14:paraId="38164796" w14:textId="77777777" w:rsidR="00B060A3" w:rsidRDefault="00B060A3" w:rsidP="00554438">
      <w:pPr>
        <w:jc w:val="both"/>
        <w:rPr>
          <w:rFonts w:asciiTheme="minorHAnsi" w:hAnsiTheme="minorHAnsi" w:cstheme="minorHAnsi"/>
          <w:b/>
          <w:bCs/>
        </w:rPr>
      </w:pPr>
    </w:p>
    <w:p w14:paraId="2B6C64C0" w14:textId="77777777" w:rsidR="00B060A3" w:rsidRDefault="00B060A3" w:rsidP="00554438">
      <w:pPr>
        <w:jc w:val="both"/>
        <w:rPr>
          <w:rFonts w:asciiTheme="minorHAnsi" w:hAnsiTheme="minorHAnsi" w:cstheme="minorHAnsi"/>
          <w:b/>
          <w:bCs/>
        </w:rPr>
      </w:pPr>
    </w:p>
    <w:p w14:paraId="5D134455" w14:textId="77777777" w:rsidR="00B060A3" w:rsidRDefault="00B060A3" w:rsidP="00554438">
      <w:pPr>
        <w:jc w:val="both"/>
        <w:rPr>
          <w:rFonts w:asciiTheme="minorHAnsi" w:hAnsiTheme="minorHAnsi" w:cstheme="minorHAnsi"/>
          <w:b/>
          <w:bCs/>
        </w:rPr>
      </w:pPr>
    </w:p>
    <w:p w14:paraId="4C31224E" w14:textId="77777777" w:rsidR="00B060A3" w:rsidRDefault="00B060A3" w:rsidP="00554438">
      <w:pPr>
        <w:jc w:val="both"/>
        <w:rPr>
          <w:rFonts w:asciiTheme="minorHAnsi" w:hAnsiTheme="minorHAnsi" w:cstheme="minorHAnsi"/>
          <w:b/>
          <w:bCs/>
        </w:rPr>
      </w:pPr>
    </w:p>
    <w:p w14:paraId="0DA329F9" w14:textId="77777777" w:rsidR="00B060A3" w:rsidRDefault="00B060A3" w:rsidP="00554438">
      <w:pPr>
        <w:jc w:val="both"/>
        <w:rPr>
          <w:rFonts w:asciiTheme="minorHAnsi" w:hAnsiTheme="minorHAnsi" w:cstheme="minorHAnsi"/>
          <w:b/>
          <w:bCs/>
        </w:rPr>
      </w:pPr>
    </w:p>
    <w:p w14:paraId="4272776B" w14:textId="16BDA8A2" w:rsidR="0079305C"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45000BF6" w14:textId="77777777" w:rsidR="00B060A3" w:rsidRPr="00B060A3" w:rsidRDefault="00477FC8"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B060A3" w:rsidRPr="00B060A3">
        <w:rPr>
          <w:rFonts w:asciiTheme="majorHAnsi" w:hAnsiTheme="majorHAnsi" w:cstheme="majorHAnsi"/>
          <w:noProof/>
          <w:sz w:val="20"/>
          <w:szCs w:val="28"/>
        </w:rPr>
        <w:t>[1]</w:t>
      </w:r>
      <w:r w:rsidR="00B060A3" w:rsidRPr="00B060A3">
        <w:rPr>
          <w:rFonts w:asciiTheme="majorHAnsi" w:hAnsiTheme="majorHAnsi" w:cstheme="majorHAnsi"/>
          <w:noProof/>
          <w:sz w:val="20"/>
          <w:szCs w:val="28"/>
        </w:rPr>
        <w:tab/>
        <w:t>F. Hag parast and A. Nejad Ebrahimi, “Imaginary reconstruction of Tabriz’s Muzaffariyya mansion complex (Goy-Masjid) based on historical documents and texts,” Journal of Pazhohesh Honar, vol. 2, no. 7, pp. 89–94, 2014.</w:t>
      </w:r>
    </w:p>
    <w:p w14:paraId="2DD7C2CC"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[2]</w:t>
      </w:r>
      <w:r w:rsidRPr="00B060A3">
        <w:rPr>
          <w:rFonts w:asciiTheme="majorHAnsi" w:hAnsiTheme="majorHAnsi" w:cstheme="majorHAnsi"/>
          <w:noProof/>
          <w:sz w:val="20"/>
          <w:szCs w:val="28"/>
        </w:rPr>
        <w:tab/>
        <w:t>H. Nakhjovani, “The Goy-Masjid or Muzaffariyya Mansion,” Journal of Faculty of Literature and Human Sciences, no. 3, pp. 11–20, 1947.</w:t>
      </w:r>
    </w:p>
    <w:p w14:paraId="4958CB33"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[3]</w:t>
      </w:r>
      <w:r w:rsidRPr="00B060A3">
        <w:rPr>
          <w:rFonts w:asciiTheme="majorHAnsi" w:hAnsiTheme="majorHAnsi" w:cstheme="majorHAnsi"/>
          <w:noProof/>
          <w:sz w:val="20"/>
          <w:szCs w:val="28"/>
        </w:rPr>
        <w:tab/>
        <w:t>A. R. Wahabzadeh, The Goy-Masjid yesterday-today, vol. 2, Tehran: Cultural Heritage Publications, 2007.</w:t>
      </w:r>
    </w:p>
    <w:p w14:paraId="6E783B1E" w14:textId="77777777" w:rsid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[4]</w:t>
      </w:r>
      <w:r w:rsidRPr="00B060A3">
        <w:rPr>
          <w:rFonts w:asciiTheme="majorHAnsi" w:hAnsiTheme="majorHAnsi" w:cstheme="majorHAnsi"/>
          <w:noProof/>
          <w:sz w:val="20"/>
          <w:szCs w:val="28"/>
        </w:rPr>
        <w:tab/>
        <w:t xml:space="preserve">S. Mohammadzadeh and S. A. Mansori, “The relationship between the Muzaffariyya complex and the spatial organization of Tabriz city from the Qaraquyunlus period to the Qajar period,” Bagh Nazar Journal, vol. 15, no. 68, pp. 15–24, 2018. Doi: https://doi.org/10.22034/BAGH.2019.81651. </w:t>
      </w:r>
    </w:p>
    <w:p w14:paraId="1580D4B4"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[5]</w:t>
      </w:r>
      <w:r w:rsidRPr="00B060A3">
        <w:rPr>
          <w:rFonts w:asciiTheme="majorHAnsi" w:hAnsiTheme="majorHAnsi" w:cstheme="majorHAnsi"/>
          <w:noProof/>
          <w:sz w:val="20"/>
          <w:szCs w:val="28"/>
        </w:rPr>
        <w:tab/>
        <w:t>M. Peyrovi and M. Kabirsaber, “Recognition of Site Precedent from the Perspective of Integrated Conservation, Case Study: Tabriz Blue Mosque Surrounding Site,” Arman Shahr Architecture &amp; Urban Development, vol. 9, no. 17, pp. 11–24, 2017.</w:t>
      </w:r>
    </w:p>
    <w:p w14:paraId="0A6CB8F6"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[6]</w:t>
      </w:r>
      <w:r w:rsidRPr="00B060A3">
        <w:rPr>
          <w:rFonts w:asciiTheme="majorHAnsi" w:hAnsiTheme="majorHAnsi" w:cstheme="majorHAnsi"/>
          <w:noProof/>
          <w:sz w:val="20"/>
          <w:szCs w:val="28"/>
        </w:rPr>
        <w:tab/>
        <w:t>I. Hojat and P. Nasirinia, “Recognition of the Dignity of the Goy-Masjid in Tabriz City,” Honarhaye Ziba Journal, vol. 19, no. 3, pp. 67–74, 2013.</w:t>
      </w:r>
    </w:p>
    <w:p w14:paraId="0800785B"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[7]</w:t>
      </w:r>
      <w:r w:rsidRPr="00B060A3">
        <w:rPr>
          <w:rFonts w:asciiTheme="majorHAnsi" w:hAnsiTheme="majorHAnsi" w:cstheme="majorHAnsi"/>
          <w:noProof/>
          <w:sz w:val="20"/>
          <w:szCs w:val="28"/>
        </w:rPr>
        <w:tab/>
        <w:t>H. Javadi, “Iran from the eyes of the Venetians (from the time of Uzun Hasan to the Shah Tahmaseb period),” Journal of Barresi-haye Tarikhi, no. 49, pp. 87–136, 1973.</w:t>
      </w:r>
    </w:p>
    <w:p w14:paraId="1515FD60"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[8]</w:t>
      </w:r>
      <w:r w:rsidRPr="00B060A3">
        <w:rPr>
          <w:rFonts w:asciiTheme="majorHAnsi" w:hAnsiTheme="majorHAnsi" w:cstheme="majorHAnsi"/>
          <w:noProof/>
          <w:sz w:val="20"/>
          <w:szCs w:val="28"/>
        </w:rPr>
        <w:tab/>
        <w:t>M. B. Kabirsaber, H. Mazaherian, and M. Peyrovi, “Architectural Morphology of Tabriz Goy-Masjid,” Journal of Motaleat Memari Iran, no. 6, pp. 5–23, 2013.</w:t>
      </w:r>
    </w:p>
    <w:p w14:paraId="07A5F5D7"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[9]</w:t>
      </w:r>
      <w:r w:rsidRPr="00B060A3">
        <w:rPr>
          <w:rFonts w:asciiTheme="majorHAnsi" w:hAnsiTheme="majorHAnsi" w:cstheme="majorHAnsi"/>
          <w:noProof/>
          <w:sz w:val="20"/>
          <w:szCs w:val="28"/>
        </w:rPr>
        <w:tab/>
        <w:t>S. H. Hashemi, “The religion of the Qaraquyunlus,” Journal of Roshd – History Education, vol. 13, no. 47, pp. 50–53, 2012.</w:t>
      </w:r>
    </w:p>
    <w:p w14:paraId="04D4E1CC"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[10]</w:t>
      </w:r>
      <w:r w:rsidRPr="00B060A3">
        <w:rPr>
          <w:rFonts w:asciiTheme="majorHAnsi" w:hAnsiTheme="majorHAnsi" w:cstheme="majorHAnsi"/>
          <w:noProof/>
          <w:sz w:val="20"/>
          <w:szCs w:val="28"/>
        </w:rPr>
        <w:tab/>
        <w:t>H. Sultanzadeh,  Tabriz a Solid Cornerstone of Iranian Architecture, Tehran: Cultural Research Office, Second Edition, 2010</w:t>
      </w:r>
    </w:p>
    <w:p w14:paraId="75E6F46C"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[11]</w:t>
      </w:r>
      <w:r w:rsidRPr="00B060A3">
        <w:rPr>
          <w:rFonts w:asciiTheme="majorHAnsi" w:hAnsiTheme="majorHAnsi" w:cstheme="majorHAnsi"/>
          <w:noProof/>
          <w:sz w:val="20"/>
          <w:szCs w:val="28"/>
        </w:rPr>
        <w:tab/>
        <w:t>M. B. Kabirsaber and M. Peyrovi, “Architecture Heritage through the Understanding of Foreign Tourists from 15th to 16th Century AH - Case study: Analyses of anatomic resistance quality in the Goy-Masjid based on rereading the historical documents,” Journal of Research in Islamic Architecture, vol. 3, no. 6, pp. 68–83, 2015.</w:t>
      </w:r>
    </w:p>
    <w:p w14:paraId="383BBE9C"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[12]</w:t>
      </w:r>
      <w:r w:rsidRPr="00B060A3">
        <w:rPr>
          <w:rFonts w:asciiTheme="majorHAnsi" w:hAnsiTheme="majorHAnsi" w:cstheme="majorHAnsi"/>
          <w:noProof/>
          <w:sz w:val="20"/>
          <w:szCs w:val="28"/>
        </w:rPr>
        <w:tab/>
        <w:t>L. Golombek and D. Wilber, Timurid architecture in Iran and Turan. Tehran: Publications of the Cultural Heritage Organization, 1994.</w:t>
      </w:r>
    </w:p>
    <w:p w14:paraId="670C2563"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[13]</w:t>
      </w:r>
      <w:r w:rsidRPr="00B060A3">
        <w:rPr>
          <w:rFonts w:asciiTheme="majorHAnsi" w:hAnsiTheme="majorHAnsi" w:cstheme="majorHAnsi"/>
          <w:noProof/>
          <w:sz w:val="20"/>
          <w:szCs w:val="28"/>
        </w:rPr>
        <w:tab/>
        <w:t>S. A. Mansori, S. Mohammadzadeh, “The Changes of Tabriz Spatial Organization from Early Islamic Era to Gajar Era,” Baq Nazar journal, vol. 14, no. 51, pp. 21–32, 2017.</w:t>
      </w:r>
    </w:p>
    <w:p w14:paraId="58032214"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[14]</w:t>
      </w:r>
      <w:r w:rsidRPr="00B060A3">
        <w:rPr>
          <w:rFonts w:asciiTheme="majorHAnsi" w:hAnsiTheme="majorHAnsi" w:cstheme="majorHAnsi"/>
          <w:noProof/>
          <w:sz w:val="20"/>
          <w:szCs w:val="28"/>
        </w:rPr>
        <w:tab/>
        <w:t xml:space="preserve">E. Ökten, “Imperial Aqquyunlu Construction of Religious Establishments In The Late Fifteenth Century Tabriz,” Politics, Patronage and the Transmission of Knowledge in 13th - 15th Century Tabriz, vol. 8, pp. 371–385, 2014. </w:t>
      </w:r>
    </w:p>
    <w:p w14:paraId="0B3F2E50"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[15]</w:t>
      </w:r>
      <w:r w:rsidRPr="00B060A3">
        <w:rPr>
          <w:rFonts w:asciiTheme="majorHAnsi" w:hAnsiTheme="majorHAnsi" w:cstheme="majorHAnsi"/>
          <w:noProof/>
          <w:sz w:val="20"/>
          <w:szCs w:val="28"/>
        </w:rPr>
        <w:tab/>
        <w:t>S. Blair, Islamic Art and architecture. Tehran: Surush Publications, 2002.</w:t>
      </w:r>
    </w:p>
    <w:p w14:paraId="11E06CC3"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[16]</w:t>
      </w:r>
      <w:r w:rsidRPr="00B060A3">
        <w:rPr>
          <w:rFonts w:asciiTheme="majorHAnsi" w:hAnsiTheme="majorHAnsi" w:cstheme="majorHAnsi"/>
          <w:noProof/>
          <w:sz w:val="20"/>
          <w:szCs w:val="28"/>
        </w:rPr>
        <w:tab/>
        <w:t>M. Dehghani Tafti, Z. al-Sadat Modarreszadeh, and G. H. Memarian, “The Origin of the Architectural Model of the Goy-Masjid in Tabriz,” Journal of Motaleat Memari Iran, vol. 10, no. 19, pp. 5–23, 2021.</w:t>
      </w:r>
    </w:p>
    <w:p w14:paraId="69B92312"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[17]</w:t>
      </w:r>
      <w:r w:rsidRPr="00B060A3">
        <w:rPr>
          <w:rFonts w:asciiTheme="majorHAnsi" w:hAnsiTheme="majorHAnsi" w:cstheme="majorHAnsi"/>
          <w:noProof/>
          <w:sz w:val="20"/>
          <w:szCs w:val="28"/>
        </w:rPr>
        <w:tab/>
        <w:t>Y. Zokā, The formation of Tabriz - Iranian cities, 1st ed. Tehran: Jahad Daneshgahi Publications, 1989.</w:t>
      </w:r>
    </w:p>
    <w:p w14:paraId="7E834626"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[18]</w:t>
      </w:r>
      <w:r w:rsidRPr="00B060A3">
        <w:rPr>
          <w:rFonts w:asciiTheme="majorHAnsi" w:hAnsiTheme="majorHAnsi" w:cstheme="majorHAnsi"/>
          <w:noProof/>
          <w:sz w:val="20"/>
          <w:szCs w:val="28"/>
        </w:rPr>
        <w:tab/>
        <w:t>M. J. Mashkur, The history of Tabriz until the end of the 9th century AH. Tehran: Publications of the National Art Association, 1973.</w:t>
      </w:r>
    </w:p>
    <w:p w14:paraId="0D270D21"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lastRenderedPageBreak/>
        <w:t>[19]</w:t>
      </w:r>
      <w:r w:rsidRPr="00B060A3">
        <w:rPr>
          <w:rFonts w:asciiTheme="majorHAnsi" w:hAnsiTheme="majorHAnsi" w:cstheme="majorHAnsi"/>
          <w:noProof/>
          <w:sz w:val="20"/>
          <w:szCs w:val="28"/>
        </w:rPr>
        <w:tab/>
        <w:t>M. B. Kabirsaber and A. A. Mohammadi, “Nature Politics and Architecture; Reading out the interaction of nature politics and cultural components in the architecture-creating process of Tabriz Goy-Masjid,” Journal of Research in Islamic Architecture, vol. 7, no. 22, pp. 89–107, 2019.</w:t>
      </w:r>
    </w:p>
    <w:p w14:paraId="2E2F5F11"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[20]</w:t>
      </w:r>
      <w:r w:rsidRPr="00B060A3">
        <w:rPr>
          <w:rFonts w:asciiTheme="majorHAnsi" w:hAnsiTheme="majorHAnsi" w:cstheme="majorHAnsi"/>
          <w:noProof/>
          <w:sz w:val="20"/>
          <w:szCs w:val="28"/>
        </w:rPr>
        <w:tab/>
        <w:t>N. Seçgin, “Tebriz Gök Mescid’in Türk Mimarlık Tarihindeki Yeri ve Son Durumuna İlişkin Gözlemler,” 8 Uluslararası Türk Kültürü Kongresi Bildiriler, II, pp. 1025–1045, 2013.</w:t>
      </w:r>
    </w:p>
    <w:p w14:paraId="6A5ECBDE"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[21]</w:t>
      </w:r>
      <w:r w:rsidRPr="00B060A3">
        <w:rPr>
          <w:rFonts w:asciiTheme="majorHAnsi" w:hAnsiTheme="majorHAnsi" w:cstheme="majorHAnsi"/>
          <w:noProof/>
          <w:sz w:val="20"/>
          <w:szCs w:val="28"/>
        </w:rPr>
        <w:tab/>
        <w:t>Golestan Quran, “The main report: The essence of the tune of verses in the melodies form of the Goy-Masjid,” Golestan Quran Journal, no. 20, pp. 21–26, 2000.</w:t>
      </w:r>
    </w:p>
    <w:p w14:paraId="51BFE26F"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[22]</w:t>
      </w:r>
      <w:r w:rsidRPr="00B060A3">
        <w:rPr>
          <w:rFonts w:asciiTheme="majorHAnsi" w:hAnsiTheme="majorHAnsi" w:cstheme="majorHAnsi"/>
          <w:noProof/>
          <w:sz w:val="20"/>
          <w:szCs w:val="28"/>
        </w:rPr>
        <w:tab/>
        <w:t>N. Matrakçı, Bayane Manazel, 1st ed. Tehran: Publications of Iran’s Cultural Heritage Organization, 2000.</w:t>
      </w:r>
    </w:p>
    <w:p w14:paraId="495E8D8C"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[23]</w:t>
      </w:r>
      <w:r w:rsidRPr="00B060A3">
        <w:rPr>
          <w:rFonts w:asciiTheme="majorHAnsi" w:hAnsiTheme="majorHAnsi" w:cstheme="majorHAnsi"/>
          <w:noProof/>
          <w:sz w:val="20"/>
          <w:szCs w:val="28"/>
        </w:rPr>
        <w:tab/>
        <w:t>J. Chardin, Chardin’s travelogue, vol. 2. Tehran: Tos Publications, 1995.</w:t>
      </w:r>
    </w:p>
    <w:p w14:paraId="4B6909CD" w14:textId="77777777" w:rsidR="00B060A3" w:rsidRPr="00B060A3"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rPr>
      </w:pPr>
      <w:r w:rsidRPr="00B060A3">
        <w:rPr>
          <w:rFonts w:asciiTheme="majorHAnsi" w:hAnsiTheme="majorHAnsi" w:cstheme="majorHAnsi"/>
          <w:noProof/>
          <w:sz w:val="20"/>
          <w:szCs w:val="28"/>
        </w:rPr>
        <w:t>[24]</w:t>
      </w:r>
      <w:r w:rsidRPr="00B060A3">
        <w:rPr>
          <w:rFonts w:asciiTheme="majorHAnsi" w:hAnsiTheme="majorHAnsi" w:cstheme="majorHAnsi"/>
          <w:noProof/>
          <w:sz w:val="20"/>
          <w:szCs w:val="28"/>
        </w:rPr>
        <w:tab/>
        <w:t>E. Flandin, Eugene Flandin’s travelogue. Tehran: Eshraghi Publications, 1977.</w:t>
      </w:r>
    </w:p>
    <w:p w14:paraId="6B9FF01F" w14:textId="17A9E46D" w:rsidR="00330A7A" w:rsidRPr="00330A7A" w:rsidRDefault="00B060A3" w:rsidP="00483ECB">
      <w:pPr>
        <w:widowControl w:val="0"/>
        <w:autoSpaceDE w:val="0"/>
        <w:autoSpaceDN w:val="0"/>
        <w:adjustRightInd w:val="0"/>
        <w:spacing w:after="240"/>
        <w:ind w:left="567" w:hanging="566"/>
        <w:jc w:val="both"/>
        <w:rPr>
          <w:rFonts w:asciiTheme="majorHAnsi" w:hAnsiTheme="majorHAnsi" w:cstheme="majorHAnsi"/>
          <w:noProof/>
          <w:sz w:val="20"/>
          <w:szCs w:val="28"/>
          <w:lang w:val="id-ID"/>
        </w:rPr>
      </w:pPr>
      <w:r w:rsidRPr="00B060A3">
        <w:rPr>
          <w:rFonts w:asciiTheme="majorHAnsi" w:hAnsiTheme="majorHAnsi" w:cstheme="majorHAnsi"/>
          <w:noProof/>
          <w:sz w:val="20"/>
          <w:szCs w:val="28"/>
        </w:rPr>
        <w:t>[25]</w:t>
      </w:r>
      <w:r w:rsidRPr="00B060A3">
        <w:rPr>
          <w:rFonts w:asciiTheme="majorHAnsi" w:hAnsiTheme="majorHAnsi" w:cstheme="majorHAnsi"/>
          <w:noProof/>
          <w:sz w:val="20"/>
          <w:szCs w:val="28"/>
        </w:rPr>
        <w:tab/>
        <w:t>T. Tabatabaie, Kabud Mosque “Firuze Islam,” 1st ed. Tabriz: Mahd Azadi Publications, 2000.</w:t>
      </w: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2E7E33">
      <w:headerReference w:type="even" r:id="rId39"/>
      <w:headerReference w:type="default" r:id="rId40"/>
      <w:footerReference w:type="even" r:id="rId41"/>
      <w:footerReference w:type="default" r:id="rId42"/>
      <w:footerReference w:type="first" r:id="rId43"/>
      <w:pgSz w:w="11906" w:h="16838" w:code="9"/>
      <w:pgMar w:top="1418" w:right="1418" w:bottom="1418" w:left="1418" w:header="709" w:footer="709" w:gutter="0"/>
      <w:pgNumType w:start="5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4E8E14" w14:textId="77777777" w:rsidR="00F554B7" w:rsidRDefault="00F554B7" w:rsidP="001101DA">
      <w:r>
        <w:separator/>
      </w:r>
    </w:p>
  </w:endnote>
  <w:endnote w:type="continuationSeparator" w:id="0">
    <w:p w14:paraId="5BD25DF2" w14:textId="77777777" w:rsidR="00F554B7" w:rsidRDefault="00F554B7"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49406873"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19158C">
          <w:rPr>
            <w:sz w:val="16"/>
            <w:szCs w:val="16"/>
          </w:rPr>
          <w:t>8(1</w:t>
        </w:r>
        <w:r w:rsidRPr="00920627">
          <w:rPr>
            <w:sz w:val="16"/>
            <w:szCs w:val="16"/>
          </w:rPr>
          <w:t xml:space="preserve">), </w:t>
        </w:r>
        <w:r w:rsidR="0019158C">
          <w:rPr>
            <w:sz w:val="16"/>
            <w:szCs w:val="16"/>
          </w:rPr>
          <w:t>June</w:t>
        </w:r>
        <w:r w:rsidRPr="00920627">
          <w:rPr>
            <w:sz w:val="16"/>
            <w:szCs w:val="16"/>
          </w:rPr>
          <w:t xml:space="preserve"> 202</w:t>
        </w:r>
        <w:r w:rsidR="0019158C">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14F7620C" w:rsidR="001101DA" w:rsidRPr="00920627" w:rsidRDefault="00920627" w:rsidP="00920627">
        <w:pPr>
          <w:pStyle w:val="Footer"/>
          <w:jc w:val="right"/>
          <w:rPr>
            <w:sz w:val="16"/>
            <w:szCs w:val="16"/>
          </w:rPr>
        </w:pPr>
        <w:r w:rsidRPr="00920627">
          <w:rPr>
            <w:sz w:val="16"/>
            <w:szCs w:val="16"/>
          </w:rPr>
          <w:t xml:space="preserve">Journal of Islamic Architecture </w:t>
        </w:r>
        <w:r w:rsidR="0019158C">
          <w:rPr>
            <w:sz w:val="16"/>
            <w:szCs w:val="16"/>
          </w:rPr>
          <w:t>8</w:t>
        </w:r>
        <w:r w:rsidRPr="00920627">
          <w:rPr>
            <w:sz w:val="16"/>
            <w:szCs w:val="16"/>
          </w:rPr>
          <w:t>(</w:t>
        </w:r>
        <w:r w:rsidR="0019158C">
          <w:rPr>
            <w:sz w:val="16"/>
            <w:szCs w:val="16"/>
          </w:rPr>
          <w:t>1</w:t>
        </w:r>
        <w:r w:rsidRPr="00920627">
          <w:rPr>
            <w:sz w:val="16"/>
            <w:szCs w:val="16"/>
          </w:rPr>
          <w:t xml:space="preserve">), </w:t>
        </w:r>
        <w:r w:rsidR="0019158C">
          <w:rPr>
            <w:sz w:val="16"/>
            <w:szCs w:val="16"/>
          </w:rPr>
          <w:t>June</w:t>
        </w:r>
        <w:r w:rsidRPr="00920627">
          <w:rPr>
            <w:sz w:val="16"/>
            <w:szCs w:val="16"/>
          </w:rPr>
          <w:t xml:space="preserve"> 202</w:t>
        </w:r>
        <w:r w:rsidR="0019158C">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19C7659A"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2E7E33">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4523EB" w14:textId="77777777" w:rsidR="00F554B7" w:rsidRDefault="00F554B7" w:rsidP="001101DA">
      <w:r>
        <w:separator/>
      </w:r>
    </w:p>
  </w:footnote>
  <w:footnote w:type="continuationSeparator" w:id="0">
    <w:p w14:paraId="15652884" w14:textId="77777777" w:rsidR="00F554B7" w:rsidRDefault="00F554B7"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3CDC4382" w:rsidR="001101DA" w:rsidRPr="001101DA" w:rsidRDefault="0019158C" w:rsidP="001101DA">
    <w:pPr>
      <w:pStyle w:val="Header"/>
      <w:rPr>
        <w:sz w:val="16"/>
        <w:szCs w:val="16"/>
      </w:rPr>
    </w:pPr>
    <w:r w:rsidRPr="0019158C">
      <w:rPr>
        <w:sz w:val="16"/>
        <w:szCs w:val="16"/>
      </w:rPr>
      <w:t xml:space="preserve">Genesis and Evolution of </w:t>
    </w:r>
    <w:proofErr w:type="spellStart"/>
    <w:r w:rsidRPr="0019158C">
      <w:rPr>
        <w:sz w:val="16"/>
        <w:szCs w:val="16"/>
      </w:rPr>
      <w:t>Muzaffariyya</w:t>
    </w:r>
    <w:proofErr w:type="spellEnd"/>
    <w:r w:rsidRPr="0019158C">
      <w:rPr>
        <w:sz w:val="16"/>
        <w:szCs w:val="16"/>
      </w:rPr>
      <w:t xml:space="preserve"> Complex with Emphasizing Tabriz`s Goy-Masjid</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601339E7" w:rsidR="001101DA" w:rsidRPr="001101DA" w:rsidRDefault="0019158C" w:rsidP="001101DA">
    <w:pPr>
      <w:pStyle w:val="Header"/>
      <w:jc w:val="right"/>
      <w:rPr>
        <w:sz w:val="16"/>
        <w:szCs w:val="16"/>
      </w:rPr>
    </w:pPr>
    <w:r w:rsidRPr="0019158C">
      <w:rPr>
        <w:sz w:val="16"/>
        <w:szCs w:val="16"/>
      </w:rPr>
      <w:t>Ahad Nejad Ebrahimi</w:t>
    </w:r>
    <w:r>
      <w:rPr>
        <w:sz w:val="16"/>
        <w:szCs w:val="16"/>
      </w:rPr>
      <w:t xml:space="preserve">, </w:t>
    </w:r>
    <w:r w:rsidRPr="0019158C">
      <w:rPr>
        <w:sz w:val="16"/>
        <w:szCs w:val="16"/>
      </w:rPr>
      <w:t xml:space="preserve">Aylar </w:t>
    </w:r>
    <w:proofErr w:type="spellStart"/>
    <w:r w:rsidRPr="0019158C">
      <w:rPr>
        <w:sz w:val="16"/>
        <w:szCs w:val="16"/>
      </w:rPr>
      <w:t>Javadpour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8855C52"/>
    <w:multiLevelType w:val="hybridMultilevel"/>
    <w:tmpl w:val="7B3C2B28"/>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19D1723"/>
    <w:multiLevelType w:val="hybridMultilevel"/>
    <w:tmpl w:val="8668E114"/>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34AB50F3"/>
    <w:multiLevelType w:val="hybridMultilevel"/>
    <w:tmpl w:val="246E0EE8"/>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795757131">
    <w:abstractNumId w:val="2"/>
  </w:num>
  <w:num w:numId="2" w16cid:durableId="107704559">
    <w:abstractNumId w:val="0"/>
  </w:num>
  <w:num w:numId="3" w16cid:durableId="424114999">
    <w:abstractNumId w:val="4"/>
  </w:num>
  <w:num w:numId="4" w16cid:durableId="1894653399">
    <w:abstractNumId w:val="1"/>
  </w:num>
  <w:num w:numId="5" w16cid:durableId="12861543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0ECB"/>
    <w:rsid w:val="00012111"/>
    <w:rsid w:val="00064475"/>
    <w:rsid w:val="000C509F"/>
    <w:rsid w:val="001036A8"/>
    <w:rsid w:val="001101DA"/>
    <w:rsid w:val="001179F0"/>
    <w:rsid w:val="0019158C"/>
    <w:rsid w:val="001D1905"/>
    <w:rsid w:val="001D517C"/>
    <w:rsid w:val="001E33E6"/>
    <w:rsid w:val="00221499"/>
    <w:rsid w:val="002245F5"/>
    <w:rsid w:val="002676BA"/>
    <w:rsid w:val="002825F1"/>
    <w:rsid w:val="00283372"/>
    <w:rsid w:val="002D1CEA"/>
    <w:rsid w:val="002E0FF5"/>
    <w:rsid w:val="002E7E33"/>
    <w:rsid w:val="00330A7A"/>
    <w:rsid w:val="003C0164"/>
    <w:rsid w:val="00417EF0"/>
    <w:rsid w:val="00464461"/>
    <w:rsid w:val="00477FC8"/>
    <w:rsid w:val="00483ECB"/>
    <w:rsid w:val="004C7CB9"/>
    <w:rsid w:val="00502594"/>
    <w:rsid w:val="005141DB"/>
    <w:rsid w:val="00536D0C"/>
    <w:rsid w:val="00554438"/>
    <w:rsid w:val="005E4B9F"/>
    <w:rsid w:val="005E66A5"/>
    <w:rsid w:val="00605B4D"/>
    <w:rsid w:val="00693243"/>
    <w:rsid w:val="006C55A1"/>
    <w:rsid w:val="007077EE"/>
    <w:rsid w:val="00727ABB"/>
    <w:rsid w:val="00745A2A"/>
    <w:rsid w:val="007771EC"/>
    <w:rsid w:val="0079305C"/>
    <w:rsid w:val="007B2C0D"/>
    <w:rsid w:val="007C62F4"/>
    <w:rsid w:val="007F057A"/>
    <w:rsid w:val="00841739"/>
    <w:rsid w:val="008535AE"/>
    <w:rsid w:val="0088300B"/>
    <w:rsid w:val="00883F54"/>
    <w:rsid w:val="008D73E0"/>
    <w:rsid w:val="00920392"/>
    <w:rsid w:val="00920627"/>
    <w:rsid w:val="00926CF7"/>
    <w:rsid w:val="00944AD0"/>
    <w:rsid w:val="009E6DE8"/>
    <w:rsid w:val="00A055B3"/>
    <w:rsid w:val="00A540E9"/>
    <w:rsid w:val="00AC1C31"/>
    <w:rsid w:val="00AC45E5"/>
    <w:rsid w:val="00AC4F01"/>
    <w:rsid w:val="00B060A3"/>
    <w:rsid w:val="00B45E75"/>
    <w:rsid w:val="00BA6C62"/>
    <w:rsid w:val="00BE2239"/>
    <w:rsid w:val="00BF5CD9"/>
    <w:rsid w:val="00C26026"/>
    <w:rsid w:val="00CB6F5A"/>
    <w:rsid w:val="00CD59A1"/>
    <w:rsid w:val="00CE135F"/>
    <w:rsid w:val="00D046CC"/>
    <w:rsid w:val="00D132AE"/>
    <w:rsid w:val="00D57761"/>
    <w:rsid w:val="00D869DB"/>
    <w:rsid w:val="00D87B92"/>
    <w:rsid w:val="00DF10E2"/>
    <w:rsid w:val="00E4204D"/>
    <w:rsid w:val="00E837BE"/>
    <w:rsid w:val="00EB3CAE"/>
    <w:rsid w:val="00EC517E"/>
    <w:rsid w:val="00ED4F07"/>
    <w:rsid w:val="00F554B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E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header" Target="header1.xml"/><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diagramLayout" Target="diagrams/layout1.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footer" Target="footer3.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diagramColors" Target="diagrams/colors1.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20" Type="http://schemas.openxmlformats.org/officeDocument/2006/relationships/image" Target="media/image9.jpeg"/><Relationship Id="rId41"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D6E15C-0687-4479-A5B7-15148BCD4411}" type="doc">
      <dgm:prSet loTypeId="urn:microsoft.com/office/officeart/2008/layout/LinedList" loCatId="list" qsTypeId="urn:microsoft.com/office/officeart/2005/8/quickstyle/simple1" qsCatId="simple" csTypeId="urn:microsoft.com/office/officeart/2005/8/colors/accent0_1" csCatId="mainScheme" phldr="1"/>
      <dgm:spPr/>
      <dgm:t>
        <a:bodyPr/>
        <a:lstStyle/>
        <a:p>
          <a:endParaRPr lang="en-US"/>
        </a:p>
      </dgm:t>
    </dgm:pt>
    <dgm:pt modelId="{3B947D77-93E5-455A-A4D5-C72770E1C0CB}">
      <dgm:prSet phldrT="[Text]" custT="1"/>
      <dgm:spPr>
        <a:ln w="9525"/>
      </dgm:spPr>
      <dgm:t>
        <a:bodyPr/>
        <a:lstStyle/>
        <a:p>
          <a:pPr algn="ctr"/>
          <a:r>
            <a:rPr lang="en-US" sz="800" b="1">
              <a:latin typeface="Candara" panose="020E0502030303020204" pitchFamily="34" charset="0"/>
            </a:rPr>
            <a:t>Muzaffariyya Complex</a:t>
          </a:r>
        </a:p>
      </dgm:t>
    </dgm:pt>
    <dgm:pt modelId="{FC448B59-FDF5-46F2-8975-08061CA03EB8}" type="parTrans" cxnId="{044DB6C7-2B7B-4C91-9759-3664D24B5770}">
      <dgm:prSet/>
      <dgm:spPr/>
      <dgm:t>
        <a:bodyPr/>
        <a:lstStyle/>
        <a:p>
          <a:pPr algn="ctr"/>
          <a:endParaRPr lang="en-US" sz="800" b="1">
            <a:latin typeface="Candara" panose="020E0502030303020204" pitchFamily="34" charset="0"/>
          </a:endParaRPr>
        </a:p>
      </dgm:t>
    </dgm:pt>
    <dgm:pt modelId="{8C787CAE-CF19-4FB7-A15D-703CD7C9B7C6}" type="sibTrans" cxnId="{044DB6C7-2B7B-4C91-9759-3664D24B5770}">
      <dgm:prSet/>
      <dgm:spPr/>
      <dgm:t>
        <a:bodyPr/>
        <a:lstStyle/>
        <a:p>
          <a:pPr algn="ctr"/>
          <a:endParaRPr lang="en-US" sz="800" b="1">
            <a:latin typeface="Candara" panose="020E0502030303020204" pitchFamily="34" charset="0"/>
          </a:endParaRPr>
        </a:p>
      </dgm:t>
    </dgm:pt>
    <dgm:pt modelId="{7EC836B5-6480-4500-B793-CD1A1E0C6BAD}">
      <dgm:prSet phldrT="[Text]" custT="1"/>
      <dgm:spPr>
        <a:ln w="9525"/>
      </dgm:spPr>
      <dgm:t>
        <a:bodyPr/>
        <a:lstStyle/>
        <a:p>
          <a:pPr algn="ctr"/>
          <a:r>
            <a:rPr lang="en-US" sz="800" b="1">
              <a:latin typeface="Candara" panose="020E0502030303020204" pitchFamily="34" charset="0"/>
              <a:cs typeface="Times New Roman" panose="02020603050405020304" pitchFamily="18" charset="0"/>
            </a:rPr>
            <a:t>Goy</a:t>
          </a:r>
          <a:r>
            <a:rPr lang="en-US" sz="800" b="1" baseline="0">
              <a:latin typeface="Candara" panose="020E0502030303020204" pitchFamily="34" charset="0"/>
              <a:cs typeface="Times New Roman" panose="02020603050405020304" pitchFamily="18" charset="0"/>
            </a:rPr>
            <a:t> Masjid</a:t>
          </a:r>
          <a:endParaRPr lang="en-US" sz="800" b="1">
            <a:latin typeface="Candara" panose="020E0502030303020204" pitchFamily="34" charset="0"/>
          </a:endParaRPr>
        </a:p>
      </dgm:t>
    </dgm:pt>
    <dgm:pt modelId="{8FEDE319-FDD0-49D5-A81D-2111C10249E2}" type="parTrans" cxnId="{DE7D309D-20F0-43A8-8EE4-84DBCE5B4B96}">
      <dgm:prSet/>
      <dgm:spPr/>
      <dgm:t>
        <a:bodyPr/>
        <a:lstStyle/>
        <a:p>
          <a:pPr algn="ctr"/>
          <a:endParaRPr lang="en-US" sz="800" b="1">
            <a:latin typeface="Candara" panose="020E0502030303020204" pitchFamily="34" charset="0"/>
          </a:endParaRPr>
        </a:p>
      </dgm:t>
    </dgm:pt>
    <dgm:pt modelId="{8CE7232E-8B3B-4132-ACA7-05970F65EC8D}" type="sibTrans" cxnId="{DE7D309D-20F0-43A8-8EE4-84DBCE5B4B96}">
      <dgm:prSet/>
      <dgm:spPr/>
      <dgm:t>
        <a:bodyPr/>
        <a:lstStyle/>
        <a:p>
          <a:pPr algn="ctr"/>
          <a:endParaRPr lang="en-US" sz="800" b="1">
            <a:latin typeface="Candara" panose="020E0502030303020204" pitchFamily="34" charset="0"/>
          </a:endParaRPr>
        </a:p>
      </dgm:t>
    </dgm:pt>
    <dgm:pt modelId="{C55108A3-1EF4-4274-B07C-577650535927}">
      <dgm:prSet phldrT="[Text]" custT="1"/>
      <dgm:spPr>
        <a:ln w="9525"/>
      </dgm:spPr>
      <dgm:t>
        <a:bodyPr/>
        <a:lstStyle/>
        <a:p>
          <a:pPr algn="ctr"/>
          <a:r>
            <a:rPr lang="en-US" sz="800" b="1">
              <a:latin typeface="Candara" panose="020E0502030303020204" pitchFamily="34" charset="0"/>
              <a:cs typeface="Times New Roman" panose="02020603050405020304" pitchFamily="18" charset="0"/>
            </a:rPr>
            <a:t>Maqbareh (Tomb)</a:t>
          </a:r>
          <a:endParaRPr lang="en-US" sz="800" b="1">
            <a:latin typeface="Candara" panose="020E0502030303020204" pitchFamily="34" charset="0"/>
          </a:endParaRPr>
        </a:p>
      </dgm:t>
    </dgm:pt>
    <dgm:pt modelId="{65EA0940-5657-4B8D-B7A3-4CB66268C680}" type="parTrans" cxnId="{5D13CA71-3DCE-42ED-9369-A3B51184C08F}">
      <dgm:prSet/>
      <dgm:spPr/>
      <dgm:t>
        <a:bodyPr/>
        <a:lstStyle/>
        <a:p>
          <a:pPr algn="ctr"/>
          <a:endParaRPr lang="en-US" sz="800" b="1">
            <a:latin typeface="Candara" panose="020E0502030303020204" pitchFamily="34" charset="0"/>
          </a:endParaRPr>
        </a:p>
      </dgm:t>
    </dgm:pt>
    <dgm:pt modelId="{0FFDE59E-859D-4F9E-B7FF-375F46249726}" type="sibTrans" cxnId="{5D13CA71-3DCE-42ED-9369-A3B51184C08F}">
      <dgm:prSet/>
      <dgm:spPr/>
      <dgm:t>
        <a:bodyPr/>
        <a:lstStyle/>
        <a:p>
          <a:pPr algn="ctr"/>
          <a:endParaRPr lang="en-US" sz="800" b="1">
            <a:latin typeface="Candara" panose="020E0502030303020204" pitchFamily="34" charset="0"/>
          </a:endParaRPr>
        </a:p>
      </dgm:t>
    </dgm:pt>
    <dgm:pt modelId="{D46A7E58-C8AE-4BDA-AC4D-70435F036A46}">
      <dgm:prSet custT="1"/>
      <dgm:spPr>
        <a:ln w="9525"/>
      </dgm:spPr>
      <dgm:t>
        <a:bodyPr/>
        <a:lstStyle/>
        <a:p>
          <a:pPr algn="ctr"/>
          <a:r>
            <a:rPr lang="en-US" sz="800" b="1">
              <a:latin typeface="Candara" panose="020E0502030303020204" pitchFamily="34" charset="0"/>
              <a:cs typeface="Times New Roman" panose="02020603050405020304" pitchFamily="18" charset="0"/>
            </a:rPr>
            <a:t>Carvanserai</a:t>
          </a:r>
          <a:endParaRPr lang="en-US" sz="800" b="1">
            <a:latin typeface="Candara" panose="020E0502030303020204" pitchFamily="34" charset="0"/>
          </a:endParaRPr>
        </a:p>
      </dgm:t>
    </dgm:pt>
    <dgm:pt modelId="{0476C7DD-4907-4CEF-ACE8-DBC048A92BD5}" type="parTrans" cxnId="{C328A123-E40B-4816-93AF-F012B44F0B55}">
      <dgm:prSet/>
      <dgm:spPr/>
      <dgm:t>
        <a:bodyPr/>
        <a:lstStyle/>
        <a:p>
          <a:pPr algn="ctr"/>
          <a:endParaRPr lang="en-US" sz="800" b="1">
            <a:latin typeface="Candara" panose="020E0502030303020204" pitchFamily="34" charset="0"/>
          </a:endParaRPr>
        </a:p>
      </dgm:t>
    </dgm:pt>
    <dgm:pt modelId="{31BCEA6F-D324-44C6-B883-EB2292C2E84D}" type="sibTrans" cxnId="{C328A123-E40B-4816-93AF-F012B44F0B55}">
      <dgm:prSet/>
      <dgm:spPr/>
      <dgm:t>
        <a:bodyPr/>
        <a:lstStyle/>
        <a:p>
          <a:pPr algn="ctr"/>
          <a:endParaRPr lang="en-US" sz="800" b="1">
            <a:latin typeface="Candara" panose="020E0502030303020204" pitchFamily="34" charset="0"/>
          </a:endParaRPr>
        </a:p>
      </dgm:t>
    </dgm:pt>
    <dgm:pt modelId="{99CFBE2A-52BA-49C8-9586-37D49BDCD7C4}">
      <dgm:prSet custT="1"/>
      <dgm:spPr>
        <a:ln w="9525"/>
      </dgm:spPr>
      <dgm:t>
        <a:bodyPr/>
        <a:lstStyle/>
        <a:p>
          <a:pPr algn="ctr"/>
          <a:r>
            <a:rPr lang="en-US" sz="800" b="1">
              <a:latin typeface="Candara" panose="020E0502030303020204" pitchFamily="34" charset="0"/>
              <a:cs typeface="Times New Roman" panose="02020603050405020304" pitchFamily="18" charset="0"/>
            </a:rPr>
            <a:t>Library</a:t>
          </a:r>
          <a:endParaRPr lang="en-US" sz="800" b="1">
            <a:latin typeface="Candara" panose="020E0502030303020204" pitchFamily="34" charset="0"/>
          </a:endParaRPr>
        </a:p>
      </dgm:t>
    </dgm:pt>
    <dgm:pt modelId="{D3519976-1A8B-41CB-B305-2775CE2D38B4}" type="parTrans" cxnId="{D200F1D4-462C-4321-88F6-88EB636C8795}">
      <dgm:prSet/>
      <dgm:spPr/>
      <dgm:t>
        <a:bodyPr/>
        <a:lstStyle/>
        <a:p>
          <a:pPr algn="ctr"/>
          <a:endParaRPr lang="en-US" sz="800" b="1">
            <a:latin typeface="Candara" panose="020E0502030303020204" pitchFamily="34" charset="0"/>
          </a:endParaRPr>
        </a:p>
      </dgm:t>
    </dgm:pt>
    <dgm:pt modelId="{6FAD4E9D-CA3B-47E8-B1BB-5263E20A6315}" type="sibTrans" cxnId="{D200F1D4-462C-4321-88F6-88EB636C8795}">
      <dgm:prSet/>
      <dgm:spPr/>
      <dgm:t>
        <a:bodyPr/>
        <a:lstStyle/>
        <a:p>
          <a:pPr algn="ctr"/>
          <a:endParaRPr lang="en-US" sz="800" b="1">
            <a:latin typeface="Candara" panose="020E0502030303020204" pitchFamily="34" charset="0"/>
          </a:endParaRPr>
        </a:p>
      </dgm:t>
    </dgm:pt>
    <dgm:pt modelId="{8D4F170D-743D-4973-BB61-E759395C8265}">
      <dgm:prSet custT="1"/>
      <dgm:spPr/>
      <dgm:t>
        <a:bodyPr/>
        <a:lstStyle/>
        <a:p>
          <a:pPr algn="ctr"/>
          <a:r>
            <a:rPr lang="en-US" sz="800" b="1">
              <a:latin typeface="Candara" panose="020E0502030303020204" pitchFamily="34" charset="0"/>
              <a:cs typeface="Times New Roman" panose="02020603050405020304" pitchFamily="18" charset="0"/>
            </a:rPr>
            <a:t>Revag (Porch)</a:t>
          </a:r>
          <a:endParaRPr lang="en-US" sz="800" b="1">
            <a:latin typeface="Candara" panose="020E0502030303020204" pitchFamily="34" charset="0"/>
          </a:endParaRPr>
        </a:p>
      </dgm:t>
    </dgm:pt>
    <dgm:pt modelId="{A7852661-8D48-445A-ACAD-194EFDF38E2B}" type="parTrans" cxnId="{547F4C6E-A6A7-4E0A-83F8-E0C83279A53C}">
      <dgm:prSet/>
      <dgm:spPr/>
      <dgm:t>
        <a:bodyPr/>
        <a:lstStyle/>
        <a:p>
          <a:pPr algn="ctr"/>
          <a:endParaRPr lang="en-US" sz="800" b="1">
            <a:latin typeface="Candara" panose="020E0502030303020204" pitchFamily="34" charset="0"/>
          </a:endParaRPr>
        </a:p>
      </dgm:t>
    </dgm:pt>
    <dgm:pt modelId="{D3B334E6-EA20-4BAA-8845-159A8EE89162}" type="sibTrans" cxnId="{547F4C6E-A6A7-4E0A-83F8-E0C83279A53C}">
      <dgm:prSet/>
      <dgm:spPr/>
      <dgm:t>
        <a:bodyPr/>
        <a:lstStyle/>
        <a:p>
          <a:pPr algn="ctr"/>
          <a:endParaRPr lang="en-US" sz="800" b="1">
            <a:latin typeface="Candara" panose="020E0502030303020204" pitchFamily="34" charset="0"/>
          </a:endParaRPr>
        </a:p>
      </dgm:t>
    </dgm:pt>
    <dgm:pt modelId="{1F5D5759-3CB1-4D81-997D-A69CC0FF53F8}">
      <dgm:prSet custT="1"/>
      <dgm:spPr>
        <a:ln w="9525"/>
      </dgm:spPr>
      <dgm:t>
        <a:bodyPr/>
        <a:lstStyle/>
        <a:p>
          <a:pPr algn="ctr"/>
          <a:r>
            <a:rPr lang="en-US" sz="800" b="1">
              <a:latin typeface="Candara" panose="020E0502030303020204" pitchFamily="34" charset="0"/>
              <a:cs typeface="Times New Roman" panose="02020603050405020304" pitchFamily="18" charset="0"/>
            </a:rPr>
            <a:t>Madrasa (School)</a:t>
          </a:r>
          <a:endParaRPr lang="en-US" sz="800" b="1">
            <a:latin typeface="Candara" panose="020E0502030303020204" pitchFamily="34" charset="0"/>
          </a:endParaRPr>
        </a:p>
      </dgm:t>
    </dgm:pt>
    <dgm:pt modelId="{6A3684B5-F891-4C0C-B8E2-60BCB66CBAC1}" type="parTrans" cxnId="{81ECDA4C-A0D4-4F2C-840C-61F4D26C2711}">
      <dgm:prSet/>
      <dgm:spPr/>
      <dgm:t>
        <a:bodyPr/>
        <a:lstStyle/>
        <a:p>
          <a:pPr algn="ctr"/>
          <a:endParaRPr lang="en-US" sz="800" b="1">
            <a:latin typeface="Candara" panose="020E0502030303020204" pitchFamily="34" charset="0"/>
          </a:endParaRPr>
        </a:p>
      </dgm:t>
    </dgm:pt>
    <dgm:pt modelId="{91AE30CC-B24F-4D96-918B-FBCAE165A451}" type="sibTrans" cxnId="{81ECDA4C-A0D4-4F2C-840C-61F4D26C2711}">
      <dgm:prSet/>
      <dgm:spPr/>
      <dgm:t>
        <a:bodyPr/>
        <a:lstStyle/>
        <a:p>
          <a:pPr algn="ctr"/>
          <a:endParaRPr lang="en-US" sz="800" b="1">
            <a:latin typeface="Candara" panose="020E0502030303020204" pitchFamily="34" charset="0"/>
          </a:endParaRPr>
        </a:p>
      </dgm:t>
    </dgm:pt>
    <dgm:pt modelId="{A640D477-E118-4ACB-AFBC-FBF20525F9AB}">
      <dgm:prSet custT="1"/>
      <dgm:spPr>
        <a:ln w="9525"/>
      </dgm:spPr>
      <dgm:t>
        <a:bodyPr/>
        <a:lstStyle/>
        <a:p>
          <a:pPr algn="ctr"/>
          <a:r>
            <a:rPr lang="en-US" sz="800" b="1">
              <a:latin typeface="Candara" panose="020E0502030303020204" pitchFamily="34" charset="0"/>
              <a:cs typeface="Times New Roman" panose="02020603050405020304" pitchFamily="18" charset="0"/>
            </a:rPr>
            <a:t>Sufi Khangah (Monastery)</a:t>
          </a:r>
          <a:endParaRPr lang="en-US" sz="800" b="1">
            <a:latin typeface="Candara" panose="020E0502030303020204" pitchFamily="34" charset="0"/>
          </a:endParaRPr>
        </a:p>
      </dgm:t>
    </dgm:pt>
    <dgm:pt modelId="{477DE043-4FA4-4B75-8674-54C3394C491B}" type="parTrans" cxnId="{FF1AEAE7-07FE-4D59-84E2-75A88B569A80}">
      <dgm:prSet/>
      <dgm:spPr/>
      <dgm:t>
        <a:bodyPr/>
        <a:lstStyle/>
        <a:p>
          <a:pPr algn="ctr"/>
          <a:endParaRPr lang="en-US" sz="800" b="1">
            <a:latin typeface="Candara" panose="020E0502030303020204" pitchFamily="34" charset="0"/>
          </a:endParaRPr>
        </a:p>
      </dgm:t>
    </dgm:pt>
    <dgm:pt modelId="{6B38DC7C-BAC4-413E-A04C-2CD6B04ADEE1}" type="sibTrans" cxnId="{FF1AEAE7-07FE-4D59-84E2-75A88B569A80}">
      <dgm:prSet/>
      <dgm:spPr/>
      <dgm:t>
        <a:bodyPr/>
        <a:lstStyle/>
        <a:p>
          <a:pPr algn="ctr"/>
          <a:endParaRPr lang="en-US" sz="800" b="1">
            <a:latin typeface="Candara" panose="020E0502030303020204" pitchFamily="34" charset="0"/>
          </a:endParaRPr>
        </a:p>
      </dgm:t>
    </dgm:pt>
    <dgm:pt modelId="{94A71AD3-0960-409E-A246-B70CD78CAA1D}">
      <dgm:prSet custT="1"/>
      <dgm:spPr>
        <a:ln w="9525"/>
      </dgm:spPr>
      <dgm:t>
        <a:bodyPr/>
        <a:lstStyle/>
        <a:p>
          <a:pPr algn="ctr"/>
          <a:r>
            <a:rPr lang="en-US" sz="800" b="1">
              <a:latin typeface="Candara" panose="020E0502030303020204" pitchFamily="34" charset="0"/>
              <a:cs typeface="Times New Roman" panose="02020603050405020304" pitchFamily="18" charset="0"/>
            </a:rPr>
            <a:t>Zāviye (Shrine) </a:t>
          </a:r>
          <a:endParaRPr lang="en-US" sz="800" b="1">
            <a:latin typeface="Candara" panose="020E0502030303020204" pitchFamily="34" charset="0"/>
          </a:endParaRPr>
        </a:p>
      </dgm:t>
    </dgm:pt>
    <dgm:pt modelId="{5583E20E-E3C2-47F3-BBAF-36E4EEE6545B}" type="parTrans" cxnId="{CF76FB6A-A1EC-461B-9401-6B36114CFB18}">
      <dgm:prSet/>
      <dgm:spPr/>
      <dgm:t>
        <a:bodyPr/>
        <a:lstStyle/>
        <a:p>
          <a:pPr algn="ctr"/>
          <a:endParaRPr lang="en-US" sz="800" b="1">
            <a:latin typeface="Candara" panose="020E0502030303020204" pitchFamily="34" charset="0"/>
          </a:endParaRPr>
        </a:p>
      </dgm:t>
    </dgm:pt>
    <dgm:pt modelId="{E922B579-1BCC-4874-BA09-64B7F33707BE}" type="sibTrans" cxnId="{CF76FB6A-A1EC-461B-9401-6B36114CFB18}">
      <dgm:prSet/>
      <dgm:spPr/>
      <dgm:t>
        <a:bodyPr/>
        <a:lstStyle/>
        <a:p>
          <a:pPr algn="ctr"/>
          <a:endParaRPr lang="en-US" sz="800" b="1">
            <a:latin typeface="Candara" panose="020E0502030303020204" pitchFamily="34" charset="0"/>
          </a:endParaRPr>
        </a:p>
      </dgm:t>
    </dgm:pt>
    <dgm:pt modelId="{E1A2E348-14DA-4DDB-9603-8B6AF775D840}">
      <dgm:prSet custT="1"/>
      <dgm:spPr>
        <a:ln w="9525"/>
      </dgm:spPr>
      <dgm:t>
        <a:bodyPr/>
        <a:lstStyle/>
        <a:p>
          <a:pPr algn="ctr"/>
          <a:r>
            <a:rPr lang="en-US" sz="800" b="1">
              <a:latin typeface="Candara" panose="020E0502030303020204" pitchFamily="34" charset="0"/>
              <a:cs typeface="Times New Roman" panose="02020603050405020304" pitchFamily="18" charset="0"/>
            </a:rPr>
            <a:t>Storage</a:t>
          </a:r>
          <a:endParaRPr lang="en-US" sz="800" b="1">
            <a:latin typeface="Candara" panose="020E0502030303020204" pitchFamily="34" charset="0"/>
          </a:endParaRPr>
        </a:p>
      </dgm:t>
    </dgm:pt>
    <dgm:pt modelId="{59121630-B8B3-424A-9532-48B4CAB3DF73}" type="parTrans" cxnId="{1539EDBB-93D4-4909-A838-51050D70D5B8}">
      <dgm:prSet/>
      <dgm:spPr/>
      <dgm:t>
        <a:bodyPr/>
        <a:lstStyle/>
        <a:p>
          <a:pPr algn="ctr"/>
          <a:endParaRPr lang="en-US" sz="800" b="1">
            <a:latin typeface="Candara" panose="020E0502030303020204" pitchFamily="34" charset="0"/>
          </a:endParaRPr>
        </a:p>
      </dgm:t>
    </dgm:pt>
    <dgm:pt modelId="{D7A6E242-8972-40D3-8ADB-A317B276163C}" type="sibTrans" cxnId="{1539EDBB-93D4-4909-A838-51050D70D5B8}">
      <dgm:prSet/>
      <dgm:spPr/>
      <dgm:t>
        <a:bodyPr/>
        <a:lstStyle/>
        <a:p>
          <a:pPr algn="ctr"/>
          <a:endParaRPr lang="en-US" sz="800" b="1">
            <a:latin typeface="Candara" panose="020E0502030303020204" pitchFamily="34" charset="0"/>
          </a:endParaRPr>
        </a:p>
      </dgm:t>
    </dgm:pt>
    <dgm:pt modelId="{A16BFE7F-D732-46BE-B106-D69A7B963609}">
      <dgm:prSet custT="1"/>
      <dgm:spPr>
        <a:ln w="9525"/>
      </dgm:spPr>
      <dgm:t>
        <a:bodyPr/>
        <a:lstStyle/>
        <a:p>
          <a:pPr algn="ctr"/>
          <a:r>
            <a:rPr lang="en-US" sz="800" b="1">
              <a:latin typeface="Candara" panose="020E0502030303020204" pitchFamily="34" charset="0"/>
              <a:cs typeface="Times New Roman" panose="02020603050405020304" pitchFamily="18" charset="0"/>
            </a:rPr>
            <a:t>Sahn (Courtyard)</a:t>
          </a:r>
          <a:endParaRPr lang="en-US" sz="800" b="1">
            <a:latin typeface="Candara" panose="020E0502030303020204" pitchFamily="34" charset="0"/>
          </a:endParaRPr>
        </a:p>
      </dgm:t>
    </dgm:pt>
    <dgm:pt modelId="{4E81DA7D-9CAE-49E1-8366-60F86191B66A}" type="parTrans" cxnId="{7BAE60AF-1D66-452C-ADC2-248D00AF75DD}">
      <dgm:prSet/>
      <dgm:spPr/>
      <dgm:t>
        <a:bodyPr/>
        <a:lstStyle/>
        <a:p>
          <a:pPr algn="ctr"/>
          <a:endParaRPr lang="en-US" sz="800" b="1">
            <a:latin typeface="Candara" panose="020E0502030303020204" pitchFamily="34" charset="0"/>
          </a:endParaRPr>
        </a:p>
      </dgm:t>
    </dgm:pt>
    <dgm:pt modelId="{6420DB75-9947-4F85-8F24-F89F69BC6F59}" type="sibTrans" cxnId="{7BAE60AF-1D66-452C-ADC2-248D00AF75DD}">
      <dgm:prSet/>
      <dgm:spPr/>
      <dgm:t>
        <a:bodyPr/>
        <a:lstStyle/>
        <a:p>
          <a:pPr algn="ctr"/>
          <a:endParaRPr lang="en-US" sz="800" b="1">
            <a:latin typeface="Candara" panose="020E0502030303020204" pitchFamily="34" charset="0"/>
          </a:endParaRPr>
        </a:p>
      </dgm:t>
    </dgm:pt>
    <dgm:pt modelId="{E652212E-DE84-4381-8B5B-56E4ACF43193}">
      <dgm:prSet custT="1"/>
      <dgm:spPr>
        <a:ln w="9525"/>
      </dgm:spPr>
      <dgm:t>
        <a:bodyPr/>
        <a:lstStyle/>
        <a:p>
          <a:pPr algn="ctr"/>
          <a:r>
            <a:rPr lang="en-US" sz="800" b="1">
              <a:latin typeface="Candara" panose="020E0502030303020204" pitchFamily="34" charset="0"/>
              <a:cs typeface="Times New Roman" panose="02020603050405020304" pitchFamily="18" charset="0"/>
            </a:rPr>
            <a:t>Ho</a:t>
          </a:r>
          <a:r>
            <a:rPr lang="tr-TR" sz="800" b="1">
              <a:latin typeface="Candara" panose="020E0502030303020204" pitchFamily="34" charset="0"/>
              <a:cs typeface="Times New Roman" panose="02020603050405020304" pitchFamily="18" charset="0"/>
            </a:rPr>
            <a:t>w</a:t>
          </a:r>
          <a:r>
            <a:rPr lang="en-US" sz="800" b="1">
              <a:latin typeface="Candara" panose="020E0502030303020204" pitchFamily="34" charset="0"/>
              <a:cs typeface="Times New Roman" panose="02020603050405020304" pitchFamily="18" charset="0"/>
            </a:rPr>
            <a:t>z Khaneha (Pools)</a:t>
          </a:r>
          <a:endParaRPr lang="en-US" sz="800" b="1">
            <a:latin typeface="Candara" panose="020E0502030303020204" pitchFamily="34" charset="0"/>
          </a:endParaRPr>
        </a:p>
      </dgm:t>
    </dgm:pt>
    <dgm:pt modelId="{D7566E56-AE36-471D-969E-8D2CC475766F}" type="parTrans" cxnId="{E28D6A69-7948-4529-AAD4-A26D38AAA06E}">
      <dgm:prSet/>
      <dgm:spPr/>
      <dgm:t>
        <a:bodyPr/>
        <a:lstStyle/>
        <a:p>
          <a:pPr algn="ctr"/>
          <a:endParaRPr lang="en-US" sz="800" b="1">
            <a:latin typeface="Candara" panose="020E0502030303020204" pitchFamily="34" charset="0"/>
          </a:endParaRPr>
        </a:p>
      </dgm:t>
    </dgm:pt>
    <dgm:pt modelId="{0E30A5DC-440F-4400-B0B4-6008F4F7491B}" type="sibTrans" cxnId="{E28D6A69-7948-4529-AAD4-A26D38AAA06E}">
      <dgm:prSet/>
      <dgm:spPr/>
      <dgm:t>
        <a:bodyPr/>
        <a:lstStyle/>
        <a:p>
          <a:pPr algn="ctr"/>
          <a:endParaRPr lang="en-US" sz="800" b="1">
            <a:latin typeface="Candara" panose="020E0502030303020204" pitchFamily="34" charset="0"/>
          </a:endParaRPr>
        </a:p>
      </dgm:t>
    </dgm:pt>
    <dgm:pt modelId="{4D01BFC1-32E6-4EFA-AA96-574F70928709}">
      <dgm:prSet custT="1"/>
      <dgm:spPr>
        <a:ln w="9525"/>
      </dgm:spPr>
      <dgm:t>
        <a:bodyPr/>
        <a:lstStyle/>
        <a:p>
          <a:pPr algn="ctr"/>
          <a:r>
            <a:rPr lang="en-US" sz="800" b="1">
              <a:latin typeface="Candara" panose="020E0502030303020204" pitchFamily="34" charset="0"/>
              <a:cs typeface="Times New Roman" panose="02020603050405020304" pitchFamily="18" charset="0"/>
            </a:rPr>
            <a:t>Ganāt (Aqueduct)</a:t>
          </a:r>
          <a:endParaRPr lang="en-US" sz="800" b="1">
            <a:latin typeface="Candara" panose="020E0502030303020204" pitchFamily="34" charset="0"/>
          </a:endParaRPr>
        </a:p>
      </dgm:t>
    </dgm:pt>
    <dgm:pt modelId="{2028A53A-21BD-4814-A586-0EF6F93E831B}" type="parTrans" cxnId="{F4CDF295-E68C-4B5A-A2F7-9BBE92DD6EDE}">
      <dgm:prSet/>
      <dgm:spPr/>
      <dgm:t>
        <a:bodyPr/>
        <a:lstStyle/>
        <a:p>
          <a:pPr algn="ctr"/>
          <a:endParaRPr lang="en-US" sz="800" b="1">
            <a:latin typeface="Candara" panose="020E0502030303020204" pitchFamily="34" charset="0"/>
          </a:endParaRPr>
        </a:p>
      </dgm:t>
    </dgm:pt>
    <dgm:pt modelId="{FC1D1651-61B6-416D-96D6-4842A2AB2058}" type="sibTrans" cxnId="{F4CDF295-E68C-4B5A-A2F7-9BBE92DD6EDE}">
      <dgm:prSet/>
      <dgm:spPr/>
      <dgm:t>
        <a:bodyPr/>
        <a:lstStyle/>
        <a:p>
          <a:pPr algn="ctr"/>
          <a:endParaRPr lang="en-US" sz="800" b="1">
            <a:latin typeface="Candara" panose="020E0502030303020204" pitchFamily="34" charset="0"/>
          </a:endParaRPr>
        </a:p>
      </dgm:t>
    </dgm:pt>
    <dgm:pt modelId="{4E5D3BC2-AFF5-49C2-BABD-DC38ED2BDD96}">
      <dgm:prSet custT="1"/>
      <dgm:spPr>
        <a:ln w="9525"/>
      </dgm:spPr>
      <dgm:t>
        <a:bodyPr/>
        <a:lstStyle/>
        <a:p>
          <a:pPr algn="ctr"/>
          <a:r>
            <a:rPr lang="en-US" sz="800" b="1">
              <a:latin typeface="Candara" panose="020E0502030303020204" pitchFamily="34" charset="0"/>
              <a:cs typeface="Times New Roman" panose="02020603050405020304" pitchFamily="18" charset="0"/>
            </a:rPr>
            <a:t>Imam Juma's House</a:t>
          </a:r>
          <a:endParaRPr lang="en-US" sz="800" b="1">
            <a:latin typeface="Candara" panose="020E0502030303020204" pitchFamily="34" charset="0"/>
          </a:endParaRPr>
        </a:p>
      </dgm:t>
    </dgm:pt>
    <dgm:pt modelId="{EA51B8BC-DDDB-4BE3-BE10-E0F9065C1FA5}" type="parTrans" cxnId="{14CAFED2-147B-4AEB-93DD-C26C093A6196}">
      <dgm:prSet/>
      <dgm:spPr/>
      <dgm:t>
        <a:bodyPr/>
        <a:lstStyle/>
        <a:p>
          <a:pPr algn="ctr"/>
          <a:endParaRPr lang="en-US" sz="800" b="1">
            <a:latin typeface="Candara" panose="020E0502030303020204" pitchFamily="34" charset="0"/>
          </a:endParaRPr>
        </a:p>
      </dgm:t>
    </dgm:pt>
    <dgm:pt modelId="{2D358189-7D62-4A19-A4D1-1AC042D30DF0}" type="sibTrans" cxnId="{14CAFED2-147B-4AEB-93DD-C26C093A6196}">
      <dgm:prSet/>
      <dgm:spPr/>
      <dgm:t>
        <a:bodyPr/>
        <a:lstStyle/>
        <a:p>
          <a:pPr algn="ctr"/>
          <a:endParaRPr lang="en-US" sz="800" b="1">
            <a:latin typeface="Candara" panose="020E0502030303020204" pitchFamily="34" charset="0"/>
          </a:endParaRPr>
        </a:p>
      </dgm:t>
    </dgm:pt>
    <dgm:pt modelId="{682D1664-CA84-4E24-BDB5-6364F0D7C4F2}">
      <dgm:prSet custT="1"/>
      <dgm:spPr>
        <a:ln w="9525"/>
      </dgm:spPr>
      <dgm:t>
        <a:bodyPr/>
        <a:lstStyle/>
        <a:p>
          <a:pPr algn="ctr"/>
          <a:r>
            <a:rPr lang="en-US" sz="800" b="1">
              <a:latin typeface="Candara" panose="020E0502030303020204" pitchFamily="34" charset="0"/>
              <a:cs typeface="Times New Roman" panose="02020603050405020304" pitchFamily="18" charset="0"/>
            </a:rPr>
            <a:t>Zemestani &amp; Tabestani Qorfes (hibernal and estival Rooms)</a:t>
          </a:r>
          <a:endParaRPr lang="en-US" sz="800" b="1">
            <a:latin typeface="Candara" panose="020E0502030303020204" pitchFamily="34" charset="0"/>
          </a:endParaRPr>
        </a:p>
      </dgm:t>
    </dgm:pt>
    <dgm:pt modelId="{F512285F-9DAF-4343-B59F-F702C6819ED2}" type="parTrans" cxnId="{271F2613-0854-425B-8E10-920D4F320830}">
      <dgm:prSet/>
      <dgm:spPr/>
      <dgm:t>
        <a:bodyPr/>
        <a:lstStyle/>
        <a:p>
          <a:pPr algn="ctr"/>
          <a:endParaRPr lang="en-US" sz="800" b="1">
            <a:latin typeface="Candara" panose="020E0502030303020204" pitchFamily="34" charset="0"/>
          </a:endParaRPr>
        </a:p>
      </dgm:t>
    </dgm:pt>
    <dgm:pt modelId="{267B9AC9-39B2-4E89-B16E-27B4AA28C1AE}" type="sibTrans" cxnId="{271F2613-0854-425B-8E10-920D4F320830}">
      <dgm:prSet/>
      <dgm:spPr/>
      <dgm:t>
        <a:bodyPr/>
        <a:lstStyle/>
        <a:p>
          <a:pPr algn="ctr"/>
          <a:endParaRPr lang="en-US" sz="800" b="1">
            <a:latin typeface="Candara" panose="020E0502030303020204" pitchFamily="34" charset="0"/>
          </a:endParaRPr>
        </a:p>
      </dgm:t>
    </dgm:pt>
    <dgm:pt modelId="{A30AE694-CA30-489E-BAD9-1B09319EF7FA}">
      <dgm:prSet custT="1"/>
      <dgm:spPr>
        <a:ln w="9525"/>
      </dgm:spPr>
      <dgm:t>
        <a:bodyPr/>
        <a:lstStyle/>
        <a:p>
          <a:pPr algn="ctr"/>
          <a:r>
            <a:rPr lang="en-US" sz="800" b="1">
              <a:latin typeface="Candara" panose="020E0502030303020204" pitchFamily="34" charset="0"/>
              <a:cs typeface="Times New Roman" panose="02020603050405020304" pitchFamily="18" charset="0"/>
            </a:rPr>
            <a:t>Bāqāt (Gardens)</a:t>
          </a:r>
          <a:endParaRPr lang="en-US" sz="800" b="1">
            <a:latin typeface="Candara" panose="020E0502030303020204" pitchFamily="34" charset="0"/>
          </a:endParaRPr>
        </a:p>
      </dgm:t>
    </dgm:pt>
    <dgm:pt modelId="{094365A7-E041-4DB6-B9E3-3038FA373A72}" type="parTrans" cxnId="{BD1AE28E-7A55-4AE5-8EEC-EF72B104F40E}">
      <dgm:prSet/>
      <dgm:spPr/>
      <dgm:t>
        <a:bodyPr/>
        <a:lstStyle/>
        <a:p>
          <a:pPr algn="ctr"/>
          <a:endParaRPr lang="en-US" sz="800" b="1">
            <a:latin typeface="Candara" panose="020E0502030303020204" pitchFamily="34" charset="0"/>
          </a:endParaRPr>
        </a:p>
      </dgm:t>
    </dgm:pt>
    <dgm:pt modelId="{F4184F1C-9034-4216-9EC0-7CEEC1DA0541}" type="sibTrans" cxnId="{BD1AE28E-7A55-4AE5-8EEC-EF72B104F40E}">
      <dgm:prSet/>
      <dgm:spPr/>
      <dgm:t>
        <a:bodyPr/>
        <a:lstStyle/>
        <a:p>
          <a:pPr algn="ctr"/>
          <a:endParaRPr lang="en-US" sz="800" b="1">
            <a:latin typeface="Candara" panose="020E0502030303020204" pitchFamily="34" charset="0"/>
          </a:endParaRPr>
        </a:p>
      </dgm:t>
    </dgm:pt>
    <dgm:pt modelId="{FF08E94E-DAE4-461A-B3F9-2D46E40A6E22}">
      <dgm:prSet custT="1"/>
      <dgm:spPr>
        <a:ln w="9525"/>
      </dgm:spPr>
      <dgm:t>
        <a:bodyPr/>
        <a:lstStyle/>
        <a:p>
          <a:pPr algn="ctr"/>
          <a:r>
            <a:rPr lang="en-US" sz="800" b="1">
              <a:latin typeface="Candara" panose="020E0502030303020204" pitchFamily="34" charset="0"/>
              <a:cs typeface="Times New Roman" panose="02020603050405020304" pitchFamily="18" charset="0"/>
            </a:rPr>
            <a:t>Hammam (Bath House)</a:t>
          </a:r>
          <a:endParaRPr lang="en-US" sz="800" b="1">
            <a:latin typeface="Candara" panose="020E0502030303020204" pitchFamily="34" charset="0"/>
          </a:endParaRPr>
        </a:p>
      </dgm:t>
    </dgm:pt>
    <dgm:pt modelId="{DCD946E8-51E4-4FB1-9937-BCEBA31870F9}" type="parTrans" cxnId="{A670E07C-F33F-49BA-9E3B-E8200C2FE0D0}">
      <dgm:prSet/>
      <dgm:spPr/>
      <dgm:t>
        <a:bodyPr/>
        <a:lstStyle/>
        <a:p>
          <a:pPr algn="ctr"/>
          <a:endParaRPr lang="en-US" sz="800" b="1">
            <a:latin typeface="Candara" panose="020E0502030303020204" pitchFamily="34" charset="0"/>
          </a:endParaRPr>
        </a:p>
      </dgm:t>
    </dgm:pt>
    <dgm:pt modelId="{3108253F-56D5-489C-B1E7-4D0DAF0934CB}" type="sibTrans" cxnId="{A670E07C-F33F-49BA-9E3B-E8200C2FE0D0}">
      <dgm:prSet/>
      <dgm:spPr/>
      <dgm:t>
        <a:bodyPr/>
        <a:lstStyle/>
        <a:p>
          <a:pPr algn="ctr"/>
          <a:endParaRPr lang="en-US" sz="800" b="1">
            <a:latin typeface="Candara" panose="020E0502030303020204" pitchFamily="34" charset="0"/>
          </a:endParaRPr>
        </a:p>
      </dgm:t>
    </dgm:pt>
    <dgm:pt modelId="{7CEDDD95-0F44-4047-ABEB-BF82DEC860F0}">
      <dgm:prSet custT="1"/>
      <dgm:spPr>
        <a:ln w="9525"/>
      </dgm:spPr>
      <dgm:t>
        <a:bodyPr/>
        <a:lstStyle/>
        <a:p>
          <a:pPr algn="ctr"/>
          <a:r>
            <a:rPr lang="en-US" sz="800" b="1">
              <a:solidFill>
                <a:schemeClr val="tx1"/>
              </a:solidFill>
              <a:latin typeface="Candara" panose="020E0502030303020204" pitchFamily="34" charset="0"/>
              <a:cs typeface="Times New Roman" panose="02020603050405020304" pitchFamily="18" charset="0"/>
            </a:rPr>
            <a:t>Ziy</a:t>
          </a:r>
          <a:r>
            <a:rPr lang="en-US" sz="800" b="1">
              <a:latin typeface="Candara" panose="020E0502030303020204" pitchFamily="34" charset="0"/>
              <a:cs typeface="Times New Roman" panose="02020603050405020304" pitchFamily="18" charset="0"/>
            </a:rPr>
            <a:t>ā</a:t>
          </a:r>
          <a:r>
            <a:rPr lang="en-US" sz="800" b="1">
              <a:solidFill>
                <a:schemeClr val="tx1"/>
              </a:solidFill>
              <a:latin typeface="Candara" panose="020E0502030303020204" pitchFamily="34" charset="0"/>
              <a:cs typeface="Times New Roman" panose="02020603050405020304" pitchFamily="18" charset="0"/>
            </a:rPr>
            <a:t>fat Khaneh (banqueting house)</a:t>
          </a:r>
          <a:endParaRPr lang="en-US" sz="800" b="1">
            <a:latin typeface="Candara" panose="020E0502030303020204" pitchFamily="34" charset="0"/>
          </a:endParaRPr>
        </a:p>
      </dgm:t>
    </dgm:pt>
    <dgm:pt modelId="{FC10CE7A-5B95-496F-B7F1-4433EB8024B2}" type="parTrans" cxnId="{53230558-BCB4-40A8-BEEA-87248EBFA2C2}">
      <dgm:prSet/>
      <dgm:spPr/>
      <dgm:t>
        <a:bodyPr/>
        <a:lstStyle/>
        <a:p>
          <a:pPr algn="ctr"/>
          <a:endParaRPr lang="en-US" sz="800" b="1">
            <a:latin typeface="Candara" panose="020E0502030303020204" pitchFamily="34" charset="0"/>
          </a:endParaRPr>
        </a:p>
      </dgm:t>
    </dgm:pt>
    <dgm:pt modelId="{46230E87-B118-474C-9556-5BDDFE28DAE2}" type="sibTrans" cxnId="{53230558-BCB4-40A8-BEEA-87248EBFA2C2}">
      <dgm:prSet/>
      <dgm:spPr/>
      <dgm:t>
        <a:bodyPr/>
        <a:lstStyle/>
        <a:p>
          <a:pPr algn="ctr"/>
          <a:endParaRPr lang="en-US" sz="800" b="1">
            <a:latin typeface="Candara" panose="020E0502030303020204" pitchFamily="34" charset="0"/>
          </a:endParaRPr>
        </a:p>
      </dgm:t>
    </dgm:pt>
    <dgm:pt modelId="{291B0EC5-55EA-4312-98B4-331BAB52CEB8}">
      <dgm:prSet custT="1"/>
      <dgm:spPr>
        <a:ln w="9525"/>
      </dgm:spPr>
      <dgm:t>
        <a:bodyPr/>
        <a:lstStyle/>
        <a:p>
          <a:pPr algn="ctr"/>
          <a:r>
            <a:rPr lang="en-US" sz="800" b="1">
              <a:latin typeface="Candara" panose="020E0502030303020204" pitchFamily="34" charset="0"/>
              <a:cs typeface="Times New Roman" panose="02020603050405020304" pitchFamily="18" charset="0"/>
            </a:rPr>
            <a:t>Meydan (Square)</a:t>
          </a:r>
          <a:endParaRPr lang="en-US" sz="800" b="1">
            <a:latin typeface="Candara" panose="020E0502030303020204" pitchFamily="34" charset="0"/>
          </a:endParaRPr>
        </a:p>
      </dgm:t>
    </dgm:pt>
    <dgm:pt modelId="{5208ACB8-5229-4051-BAE8-BAAD55DFD690}" type="parTrans" cxnId="{820E6AC1-18FC-49C5-8B1E-3984D79BDFD3}">
      <dgm:prSet/>
      <dgm:spPr/>
      <dgm:t>
        <a:bodyPr/>
        <a:lstStyle/>
        <a:p>
          <a:pPr algn="ctr"/>
          <a:endParaRPr lang="en-US" sz="800" b="1">
            <a:latin typeface="Candara" panose="020E0502030303020204" pitchFamily="34" charset="0"/>
          </a:endParaRPr>
        </a:p>
      </dgm:t>
    </dgm:pt>
    <dgm:pt modelId="{BB65949B-DA1A-4EFC-BAAE-F794B7FDC42B}" type="sibTrans" cxnId="{820E6AC1-18FC-49C5-8B1E-3984D79BDFD3}">
      <dgm:prSet/>
      <dgm:spPr/>
      <dgm:t>
        <a:bodyPr/>
        <a:lstStyle/>
        <a:p>
          <a:pPr algn="ctr"/>
          <a:endParaRPr lang="en-US" sz="800" b="1">
            <a:latin typeface="Candara" panose="020E0502030303020204" pitchFamily="34" charset="0"/>
          </a:endParaRPr>
        </a:p>
      </dgm:t>
    </dgm:pt>
    <dgm:pt modelId="{6CB41CD0-DEDA-424A-9172-410D13EE5A60}" type="pres">
      <dgm:prSet presAssocID="{3BD6E15C-0687-4479-A5B7-15148BCD4411}" presName="vert0" presStyleCnt="0">
        <dgm:presLayoutVars>
          <dgm:dir/>
          <dgm:animOne val="branch"/>
          <dgm:animLvl val="lvl"/>
        </dgm:presLayoutVars>
      </dgm:prSet>
      <dgm:spPr/>
    </dgm:pt>
    <dgm:pt modelId="{78726A51-CDDA-4682-9A1E-8D6A4DA22B21}" type="pres">
      <dgm:prSet presAssocID="{3B947D77-93E5-455A-A4D5-C72770E1C0CB}" presName="thickLine" presStyleLbl="alignNode1" presStyleIdx="0" presStyleCnt="1"/>
      <dgm:spPr/>
    </dgm:pt>
    <dgm:pt modelId="{811ACEB5-D705-44BC-BB5E-634D039C774C}" type="pres">
      <dgm:prSet presAssocID="{3B947D77-93E5-455A-A4D5-C72770E1C0CB}" presName="horz1" presStyleCnt="0"/>
      <dgm:spPr/>
    </dgm:pt>
    <dgm:pt modelId="{CA1CD02D-CE87-42F8-9D9C-29F3DDD1CBD8}" type="pres">
      <dgm:prSet presAssocID="{3B947D77-93E5-455A-A4D5-C72770E1C0CB}" presName="tx1" presStyleLbl="revTx" presStyleIdx="0" presStyleCnt="19" custScaleX="145712"/>
      <dgm:spPr/>
    </dgm:pt>
    <dgm:pt modelId="{5C070A03-8401-4A74-8058-E2E5C44C8965}" type="pres">
      <dgm:prSet presAssocID="{3B947D77-93E5-455A-A4D5-C72770E1C0CB}" presName="vert1" presStyleCnt="0"/>
      <dgm:spPr/>
    </dgm:pt>
    <dgm:pt modelId="{C11FA3DC-F76F-475B-83B0-E59F93D2EB18}" type="pres">
      <dgm:prSet presAssocID="{7EC836B5-6480-4500-B793-CD1A1E0C6BAD}" presName="vertSpace2a" presStyleCnt="0"/>
      <dgm:spPr/>
    </dgm:pt>
    <dgm:pt modelId="{2AE0F027-63C6-40CF-825E-6988CCCF5850}" type="pres">
      <dgm:prSet presAssocID="{7EC836B5-6480-4500-B793-CD1A1E0C6BAD}" presName="horz2" presStyleCnt="0"/>
      <dgm:spPr/>
    </dgm:pt>
    <dgm:pt modelId="{CE8F0B1B-CCB4-4AA9-9500-B5C68894A925}" type="pres">
      <dgm:prSet presAssocID="{7EC836B5-6480-4500-B793-CD1A1E0C6BAD}" presName="horzSpace2" presStyleCnt="0"/>
      <dgm:spPr/>
    </dgm:pt>
    <dgm:pt modelId="{4EED4CDA-1B1A-40AF-B3BB-CA9832977C49}" type="pres">
      <dgm:prSet presAssocID="{7EC836B5-6480-4500-B793-CD1A1E0C6BAD}" presName="tx2" presStyleLbl="revTx" presStyleIdx="1" presStyleCnt="19"/>
      <dgm:spPr/>
    </dgm:pt>
    <dgm:pt modelId="{444BF8E5-19EF-4F10-8DB8-30A3675A3A14}" type="pres">
      <dgm:prSet presAssocID="{7EC836B5-6480-4500-B793-CD1A1E0C6BAD}" presName="vert2" presStyleCnt="0"/>
      <dgm:spPr/>
    </dgm:pt>
    <dgm:pt modelId="{18A72D4A-D0F3-45A6-87C9-F9DEBC8FC606}" type="pres">
      <dgm:prSet presAssocID="{7EC836B5-6480-4500-B793-CD1A1E0C6BAD}" presName="thinLine2b" presStyleLbl="callout" presStyleIdx="0" presStyleCnt="18"/>
      <dgm:spPr/>
    </dgm:pt>
    <dgm:pt modelId="{E6AF509D-A3F6-4AE7-8D6D-1CA7E78C6711}" type="pres">
      <dgm:prSet presAssocID="{7EC836B5-6480-4500-B793-CD1A1E0C6BAD}" presName="vertSpace2b" presStyleCnt="0"/>
      <dgm:spPr/>
    </dgm:pt>
    <dgm:pt modelId="{56CB910B-D40F-4159-9ED0-DC04587D5785}" type="pres">
      <dgm:prSet presAssocID="{C55108A3-1EF4-4274-B07C-577650535927}" presName="horz2" presStyleCnt="0"/>
      <dgm:spPr/>
    </dgm:pt>
    <dgm:pt modelId="{D1788112-62DA-4E69-949B-A89217A62859}" type="pres">
      <dgm:prSet presAssocID="{C55108A3-1EF4-4274-B07C-577650535927}" presName="horzSpace2" presStyleCnt="0"/>
      <dgm:spPr/>
    </dgm:pt>
    <dgm:pt modelId="{368FCF72-579C-4E8E-B288-0FB271F59C67}" type="pres">
      <dgm:prSet presAssocID="{C55108A3-1EF4-4274-B07C-577650535927}" presName="tx2" presStyleLbl="revTx" presStyleIdx="2" presStyleCnt="19"/>
      <dgm:spPr/>
    </dgm:pt>
    <dgm:pt modelId="{E229E555-3A06-448C-89DB-5DE50F838370}" type="pres">
      <dgm:prSet presAssocID="{C55108A3-1EF4-4274-B07C-577650535927}" presName="vert2" presStyleCnt="0"/>
      <dgm:spPr/>
    </dgm:pt>
    <dgm:pt modelId="{5DE31EED-CBEC-4FB4-B81A-319DCAD8CCB8}" type="pres">
      <dgm:prSet presAssocID="{C55108A3-1EF4-4274-B07C-577650535927}" presName="thinLine2b" presStyleLbl="callout" presStyleIdx="1" presStyleCnt="18"/>
      <dgm:spPr/>
    </dgm:pt>
    <dgm:pt modelId="{E1975F1F-B9CF-4A28-8D79-DA0C1CCA2733}" type="pres">
      <dgm:prSet presAssocID="{C55108A3-1EF4-4274-B07C-577650535927}" presName="vertSpace2b" presStyleCnt="0"/>
      <dgm:spPr/>
    </dgm:pt>
    <dgm:pt modelId="{A6877EF5-8E9E-440F-A99A-8513E87C53E9}" type="pres">
      <dgm:prSet presAssocID="{8D4F170D-743D-4973-BB61-E759395C8265}" presName="horz2" presStyleCnt="0"/>
      <dgm:spPr/>
    </dgm:pt>
    <dgm:pt modelId="{E436ACBA-9695-4E4D-9EF4-C4EF1EB67E00}" type="pres">
      <dgm:prSet presAssocID="{8D4F170D-743D-4973-BB61-E759395C8265}" presName="horzSpace2" presStyleCnt="0"/>
      <dgm:spPr/>
    </dgm:pt>
    <dgm:pt modelId="{A4AF1517-89F4-4B31-A8E0-84E31DEB4235}" type="pres">
      <dgm:prSet presAssocID="{8D4F170D-743D-4973-BB61-E759395C8265}" presName="tx2" presStyleLbl="revTx" presStyleIdx="3" presStyleCnt="19"/>
      <dgm:spPr/>
    </dgm:pt>
    <dgm:pt modelId="{FBAFE1B0-0784-406E-A6D2-CD9B6926CA5B}" type="pres">
      <dgm:prSet presAssocID="{8D4F170D-743D-4973-BB61-E759395C8265}" presName="vert2" presStyleCnt="0"/>
      <dgm:spPr/>
    </dgm:pt>
    <dgm:pt modelId="{9804BAF3-A98B-43EF-B3CB-C498ADA25716}" type="pres">
      <dgm:prSet presAssocID="{8D4F170D-743D-4973-BB61-E759395C8265}" presName="thinLine2b" presStyleLbl="callout" presStyleIdx="2" presStyleCnt="18"/>
      <dgm:spPr/>
    </dgm:pt>
    <dgm:pt modelId="{4E8F6EF7-E646-4B0A-A381-9B25C336D1C7}" type="pres">
      <dgm:prSet presAssocID="{8D4F170D-743D-4973-BB61-E759395C8265}" presName="vertSpace2b" presStyleCnt="0"/>
      <dgm:spPr/>
    </dgm:pt>
    <dgm:pt modelId="{1B0EE690-8717-4AB1-9331-899321DFF9C4}" type="pres">
      <dgm:prSet presAssocID="{D46A7E58-C8AE-4BDA-AC4D-70435F036A46}" presName="horz2" presStyleCnt="0"/>
      <dgm:spPr/>
    </dgm:pt>
    <dgm:pt modelId="{54E971D3-78B5-4578-8B0B-72DA4ADBBAAD}" type="pres">
      <dgm:prSet presAssocID="{D46A7E58-C8AE-4BDA-AC4D-70435F036A46}" presName="horzSpace2" presStyleCnt="0"/>
      <dgm:spPr/>
    </dgm:pt>
    <dgm:pt modelId="{763FEE81-168F-434B-959C-04DB6CD5CC5A}" type="pres">
      <dgm:prSet presAssocID="{D46A7E58-C8AE-4BDA-AC4D-70435F036A46}" presName="tx2" presStyleLbl="revTx" presStyleIdx="4" presStyleCnt="19"/>
      <dgm:spPr/>
    </dgm:pt>
    <dgm:pt modelId="{3A7468A4-CC8A-4188-BEBF-F21504EBC104}" type="pres">
      <dgm:prSet presAssocID="{D46A7E58-C8AE-4BDA-AC4D-70435F036A46}" presName="vert2" presStyleCnt="0"/>
      <dgm:spPr/>
    </dgm:pt>
    <dgm:pt modelId="{389CED4A-BEF7-4E4F-B8E6-3488D30361DF}" type="pres">
      <dgm:prSet presAssocID="{D46A7E58-C8AE-4BDA-AC4D-70435F036A46}" presName="thinLine2b" presStyleLbl="callout" presStyleIdx="3" presStyleCnt="18"/>
      <dgm:spPr/>
    </dgm:pt>
    <dgm:pt modelId="{EA67ED12-AC15-4744-816D-4F444DB1BDF0}" type="pres">
      <dgm:prSet presAssocID="{D46A7E58-C8AE-4BDA-AC4D-70435F036A46}" presName="vertSpace2b" presStyleCnt="0"/>
      <dgm:spPr/>
    </dgm:pt>
    <dgm:pt modelId="{D392E3E9-C9CE-4572-9D94-472D86180D81}" type="pres">
      <dgm:prSet presAssocID="{99CFBE2A-52BA-49C8-9586-37D49BDCD7C4}" presName="horz2" presStyleCnt="0"/>
      <dgm:spPr/>
    </dgm:pt>
    <dgm:pt modelId="{41BA13B1-A393-4733-AD25-F9CF9D90D95A}" type="pres">
      <dgm:prSet presAssocID="{99CFBE2A-52BA-49C8-9586-37D49BDCD7C4}" presName="horzSpace2" presStyleCnt="0"/>
      <dgm:spPr/>
    </dgm:pt>
    <dgm:pt modelId="{ABFA24FD-8EA8-4E86-9FA9-9C5DDDA1A998}" type="pres">
      <dgm:prSet presAssocID="{99CFBE2A-52BA-49C8-9586-37D49BDCD7C4}" presName="tx2" presStyleLbl="revTx" presStyleIdx="5" presStyleCnt="19"/>
      <dgm:spPr/>
    </dgm:pt>
    <dgm:pt modelId="{603736D9-C328-41E4-AFDD-7698B3BF351F}" type="pres">
      <dgm:prSet presAssocID="{99CFBE2A-52BA-49C8-9586-37D49BDCD7C4}" presName="vert2" presStyleCnt="0"/>
      <dgm:spPr/>
    </dgm:pt>
    <dgm:pt modelId="{B5A850F3-2C37-48F1-9FFD-9A56CB57E7F4}" type="pres">
      <dgm:prSet presAssocID="{99CFBE2A-52BA-49C8-9586-37D49BDCD7C4}" presName="thinLine2b" presStyleLbl="callout" presStyleIdx="4" presStyleCnt="18"/>
      <dgm:spPr/>
    </dgm:pt>
    <dgm:pt modelId="{00DDD24E-D385-4C21-95DD-5DD33D2F31D6}" type="pres">
      <dgm:prSet presAssocID="{99CFBE2A-52BA-49C8-9586-37D49BDCD7C4}" presName="vertSpace2b" presStyleCnt="0"/>
      <dgm:spPr/>
    </dgm:pt>
    <dgm:pt modelId="{D9CBD283-2BDD-47F4-9E2C-9A2F028ED07E}" type="pres">
      <dgm:prSet presAssocID="{1F5D5759-3CB1-4D81-997D-A69CC0FF53F8}" presName="horz2" presStyleCnt="0"/>
      <dgm:spPr/>
    </dgm:pt>
    <dgm:pt modelId="{C8077281-09B9-41A3-A3F0-DBFBD0BE12B7}" type="pres">
      <dgm:prSet presAssocID="{1F5D5759-3CB1-4D81-997D-A69CC0FF53F8}" presName="horzSpace2" presStyleCnt="0"/>
      <dgm:spPr/>
    </dgm:pt>
    <dgm:pt modelId="{F8E39574-60F7-4F17-BDD1-1206B0FDEC96}" type="pres">
      <dgm:prSet presAssocID="{1F5D5759-3CB1-4D81-997D-A69CC0FF53F8}" presName="tx2" presStyleLbl="revTx" presStyleIdx="6" presStyleCnt="19"/>
      <dgm:spPr/>
    </dgm:pt>
    <dgm:pt modelId="{C4836EAC-DFCF-4910-B5D9-706A5C5D3292}" type="pres">
      <dgm:prSet presAssocID="{1F5D5759-3CB1-4D81-997D-A69CC0FF53F8}" presName="vert2" presStyleCnt="0"/>
      <dgm:spPr/>
    </dgm:pt>
    <dgm:pt modelId="{B9EE0CF3-138B-416B-ADA2-A5653CC5BF4B}" type="pres">
      <dgm:prSet presAssocID="{1F5D5759-3CB1-4D81-997D-A69CC0FF53F8}" presName="thinLine2b" presStyleLbl="callout" presStyleIdx="5" presStyleCnt="18"/>
      <dgm:spPr/>
    </dgm:pt>
    <dgm:pt modelId="{E2729470-08FF-4BAF-9E58-74C507A45E72}" type="pres">
      <dgm:prSet presAssocID="{1F5D5759-3CB1-4D81-997D-A69CC0FF53F8}" presName="vertSpace2b" presStyleCnt="0"/>
      <dgm:spPr/>
    </dgm:pt>
    <dgm:pt modelId="{37F52A85-BED1-4B0C-89BC-A92385A32AF6}" type="pres">
      <dgm:prSet presAssocID="{A640D477-E118-4ACB-AFBC-FBF20525F9AB}" presName="horz2" presStyleCnt="0"/>
      <dgm:spPr/>
    </dgm:pt>
    <dgm:pt modelId="{B65C8935-22EB-4A9F-8FB1-6B304C424F9C}" type="pres">
      <dgm:prSet presAssocID="{A640D477-E118-4ACB-AFBC-FBF20525F9AB}" presName="horzSpace2" presStyleCnt="0"/>
      <dgm:spPr/>
    </dgm:pt>
    <dgm:pt modelId="{2DED183E-B11A-40AF-90DC-D1F103183D07}" type="pres">
      <dgm:prSet presAssocID="{A640D477-E118-4ACB-AFBC-FBF20525F9AB}" presName="tx2" presStyleLbl="revTx" presStyleIdx="7" presStyleCnt="19"/>
      <dgm:spPr/>
    </dgm:pt>
    <dgm:pt modelId="{5F0F16EA-A717-4796-9A0E-D3D6E6966B01}" type="pres">
      <dgm:prSet presAssocID="{A640D477-E118-4ACB-AFBC-FBF20525F9AB}" presName="vert2" presStyleCnt="0"/>
      <dgm:spPr/>
    </dgm:pt>
    <dgm:pt modelId="{D09D8B99-48B7-4B06-86C4-C7D620C98CAD}" type="pres">
      <dgm:prSet presAssocID="{A640D477-E118-4ACB-AFBC-FBF20525F9AB}" presName="thinLine2b" presStyleLbl="callout" presStyleIdx="6" presStyleCnt="18"/>
      <dgm:spPr/>
    </dgm:pt>
    <dgm:pt modelId="{B3471FBB-A3A7-4B91-BD44-568A6BC4BEAA}" type="pres">
      <dgm:prSet presAssocID="{A640D477-E118-4ACB-AFBC-FBF20525F9AB}" presName="vertSpace2b" presStyleCnt="0"/>
      <dgm:spPr/>
    </dgm:pt>
    <dgm:pt modelId="{85F7CA13-5ABB-4107-A2CB-42228EF44FFE}" type="pres">
      <dgm:prSet presAssocID="{94A71AD3-0960-409E-A246-B70CD78CAA1D}" presName="horz2" presStyleCnt="0"/>
      <dgm:spPr/>
    </dgm:pt>
    <dgm:pt modelId="{2CA6DA7D-A5CA-418D-84E9-D23F2D09920A}" type="pres">
      <dgm:prSet presAssocID="{94A71AD3-0960-409E-A246-B70CD78CAA1D}" presName="horzSpace2" presStyleCnt="0"/>
      <dgm:spPr/>
    </dgm:pt>
    <dgm:pt modelId="{43745CEC-C16F-4690-A447-3C64954E5269}" type="pres">
      <dgm:prSet presAssocID="{94A71AD3-0960-409E-A246-B70CD78CAA1D}" presName="tx2" presStyleLbl="revTx" presStyleIdx="8" presStyleCnt="19"/>
      <dgm:spPr/>
    </dgm:pt>
    <dgm:pt modelId="{AE47E210-8492-424D-A0A6-D30F6AEBBD8E}" type="pres">
      <dgm:prSet presAssocID="{94A71AD3-0960-409E-A246-B70CD78CAA1D}" presName="vert2" presStyleCnt="0"/>
      <dgm:spPr/>
    </dgm:pt>
    <dgm:pt modelId="{8D212EBA-D7E4-430F-BE74-0C610C16EA73}" type="pres">
      <dgm:prSet presAssocID="{94A71AD3-0960-409E-A246-B70CD78CAA1D}" presName="thinLine2b" presStyleLbl="callout" presStyleIdx="7" presStyleCnt="18"/>
      <dgm:spPr/>
    </dgm:pt>
    <dgm:pt modelId="{8C9D7641-B603-4EDF-8E87-0CB448F7735D}" type="pres">
      <dgm:prSet presAssocID="{94A71AD3-0960-409E-A246-B70CD78CAA1D}" presName="vertSpace2b" presStyleCnt="0"/>
      <dgm:spPr/>
    </dgm:pt>
    <dgm:pt modelId="{9CDB39A3-F459-46E1-B441-2F61B21717BC}" type="pres">
      <dgm:prSet presAssocID="{E1A2E348-14DA-4DDB-9603-8B6AF775D840}" presName="horz2" presStyleCnt="0"/>
      <dgm:spPr/>
    </dgm:pt>
    <dgm:pt modelId="{F75E5382-1D7E-4917-AEC9-AC23BEE9EB45}" type="pres">
      <dgm:prSet presAssocID="{E1A2E348-14DA-4DDB-9603-8B6AF775D840}" presName="horzSpace2" presStyleCnt="0"/>
      <dgm:spPr/>
    </dgm:pt>
    <dgm:pt modelId="{F0BF9AD2-FD9D-4F7A-82DF-C893A342BBA4}" type="pres">
      <dgm:prSet presAssocID="{E1A2E348-14DA-4DDB-9603-8B6AF775D840}" presName="tx2" presStyleLbl="revTx" presStyleIdx="9" presStyleCnt="19"/>
      <dgm:spPr/>
    </dgm:pt>
    <dgm:pt modelId="{3B00C7D3-41AB-4665-BC31-D3060F7ED7B9}" type="pres">
      <dgm:prSet presAssocID="{E1A2E348-14DA-4DDB-9603-8B6AF775D840}" presName="vert2" presStyleCnt="0"/>
      <dgm:spPr/>
    </dgm:pt>
    <dgm:pt modelId="{F6925B0C-B6A1-4C9A-AC81-7F9FB9D1F4D1}" type="pres">
      <dgm:prSet presAssocID="{E1A2E348-14DA-4DDB-9603-8B6AF775D840}" presName="thinLine2b" presStyleLbl="callout" presStyleIdx="8" presStyleCnt="18"/>
      <dgm:spPr/>
    </dgm:pt>
    <dgm:pt modelId="{D7CD150E-B7B7-4DA7-99DB-A87CA3DE7F2B}" type="pres">
      <dgm:prSet presAssocID="{E1A2E348-14DA-4DDB-9603-8B6AF775D840}" presName="vertSpace2b" presStyleCnt="0"/>
      <dgm:spPr/>
    </dgm:pt>
    <dgm:pt modelId="{5973CD8E-8ADA-43F2-8825-2ABDCD5AECA6}" type="pres">
      <dgm:prSet presAssocID="{A16BFE7F-D732-46BE-B106-D69A7B963609}" presName="horz2" presStyleCnt="0"/>
      <dgm:spPr/>
    </dgm:pt>
    <dgm:pt modelId="{C45F61D1-ADA4-4F21-BC35-F7208BE36909}" type="pres">
      <dgm:prSet presAssocID="{A16BFE7F-D732-46BE-B106-D69A7B963609}" presName="horzSpace2" presStyleCnt="0"/>
      <dgm:spPr/>
    </dgm:pt>
    <dgm:pt modelId="{55EFFAE0-A823-433C-B147-236333E805A0}" type="pres">
      <dgm:prSet presAssocID="{A16BFE7F-D732-46BE-B106-D69A7B963609}" presName="tx2" presStyleLbl="revTx" presStyleIdx="10" presStyleCnt="19"/>
      <dgm:spPr/>
    </dgm:pt>
    <dgm:pt modelId="{7DFB89C3-B4C7-4E0B-B44F-A49739BFB336}" type="pres">
      <dgm:prSet presAssocID="{A16BFE7F-D732-46BE-B106-D69A7B963609}" presName="vert2" presStyleCnt="0"/>
      <dgm:spPr/>
    </dgm:pt>
    <dgm:pt modelId="{DF271FAF-187B-4121-B030-B1C37996C1AD}" type="pres">
      <dgm:prSet presAssocID="{A16BFE7F-D732-46BE-B106-D69A7B963609}" presName="thinLine2b" presStyleLbl="callout" presStyleIdx="9" presStyleCnt="18"/>
      <dgm:spPr/>
    </dgm:pt>
    <dgm:pt modelId="{C036CAE9-724D-4C39-8F60-6E9A4791B031}" type="pres">
      <dgm:prSet presAssocID="{A16BFE7F-D732-46BE-B106-D69A7B963609}" presName="vertSpace2b" presStyleCnt="0"/>
      <dgm:spPr/>
    </dgm:pt>
    <dgm:pt modelId="{8F34A2E5-4111-43BA-A541-C4EE32AB8E63}" type="pres">
      <dgm:prSet presAssocID="{E652212E-DE84-4381-8B5B-56E4ACF43193}" presName="horz2" presStyleCnt="0"/>
      <dgm:spPr/>
    </dgm:pt>
    <dgm:pt modelId="{74C4763B-EB8F-4EEE-81B0-76C316CD4D17}" type="pres">
      <dgm:prSet presAssocID="{E652212E-DE84-4381-8B5B-56E4ACF43193}" presName="horzSpace2" presStyleCnt="0"/>
      <dgm:spPr/>
    </dgm:pt>
    <dgm:pt modelId="{83DCB28E-31F3-43F2-85E8-0F7CEB9C877E}" type="pres">
      <dgm:prSet presAssocID="{E652212E-DE84-4381-8B5B-56E4ACF43193}" presName="tx2" presStyleLbl="revTx" presStyleIdx="11" presStyleCnt="19"/>
      <dgm:spPr/>
    </dgm:pt>
    <dgm:pt modelId="{25D238D0-C0A6-40A5-9DC9-452AE6F4C34C}" type="pres">
      <dgm:prSet presAssocID="{E652212E-DE84-4381-8B5B-56E4ACF43193}" presName="vert2" presStyleCnt="0"/>
      <dgm:spPr/>
    </dgm:pt>
    <dgm:pt modelId="{5B8234CC-6F22-4E53-890F-07DDDE029C24}" type="pres">
      <dgm:prSet presAssocID="{E652212E-DE84-4381-8B5B-56E4ACF43193}" presName="thinLine2b" presStyleLbl="callout" presStyleIdx="10" presStyleCnt="18"/>
      <dgm:spPr/>
    </dgm:pt>
    <dgm:pt modelId="{AE8DCCC9-5CCB-4D83-9D35-ACB94A1367E3}" type="pres">
      <dgm:prSet presAssocID="{E652212E-DE84-4381-8B5B-56E4ACF43193}" presName="vertSpace2b" presStyleCnt="0"/>
      <dgm:spPr/>
    </dgm:pt>
    <dgm:pt modelId="{52BF8109-3715-4747-B994-E810D0151FC8}" type="pres">
      <dgm:prSet presAssocID="{4D01BFC1-32E6-4EFA-AA96-574F70928709}" presName="horz2" presStyleCnt="0"/>
      <dgm:spPr/>
    </dgm:pt>
    <dgm:pt modelId="{27BBA035-EC73-4B13-9ACE-7A92F5223504}" type="pres">
      <dgm:prSet presAssocID="{4D01BFC1-32E6-4EFA-AA96-574F70928709}" presName="horzSpace2" presStyleCnt="0"/>
      <dgm:spPr/>
    </dgm:pt>
    <dgm:pt modelId="{6D74A57A-333C-4752-B9F9-86D19158D0C8}" type="pres">
      <dgm:prSet presAssocID="{4D01BFC1-32E6-4EFA-AA96-574F70928709}" presName="tx2" presStyleLbl="revTx" presStyleIdx="12" presStyleCnt="19"/>
      <dgm:spPr/>
    </dgm:pt>
    <dgm:pt modelId="{26B44E99-3273-43AF-BD7E-5D9912EE8662}" type="pres">
      <dgm:prSet presAssocID="{4D01BFC1-32E6-4EFA-AA96-574F70928709}" presName="vert2" presStyleCnt="0"/>
      <dgm:spPr/>
    </dgm:pt>
    <dgm:pt modelId="{D99AFDAD-989E-4808-8A97-43CA8158C28F}" type="pres">
      <dgm:prSet presAssocID="{4D01BFC1-32E6-4EFA-AA96-574F70928709}" presName="thinLine2b" presStyleLbl="callout" presStyleIdx="11" presStyleCnt="18"/>
      <dgm:spPr/>
    </dgm:pt>
    <dgm:pt modelId="{5F0196F1-2169-4AB4-B868-CA98940D1AB0}" type="pres">
      <dgm:prSet presAssocID="{4D01BFC1-32E6-4EFA-AA96-574F70928709}" presName="vertSpace2b" presStyleCnt="0"/>
      <dgm:spPr/>
    </dgm:pt>
    <dgm:pt modelId="{004563E0-3CF2-4BA8-941C-0DAB9792363C}" type="pres">
      <dgm:prSet presAssocID="{4E5D3BC2-AFF5-49C2-BABD-DC38ED2BDD96}" presName="horz2" presStyleCnt="0"/>
      <dgm:spPr/>
    </dgm:pt>
    <dgm:pt modelId="{B5B8DC7B-8874-4DE8-8F57-EB78D4F99562}" type="pres">
      <dgm:prSet presAssocID="{4E5D3BC2-AFF5-49C2-BABD-DC38ED2BDD96}" presName="horzSpace2" presStyleCnt="0"/>
      <dgm:spPr/>
    </dgm:pt>
    <dgm:pt modelId="{B3B5B9E5-0D93-4F6E-8F6E-193E35F19EA6}" type="pres">
      <dgm:prSet presAssocID="{4E5D3BC2-AFF5-49C2-BABD-DC38ED2BDD96}" presName="tx2" presStyleLbl="revTx" presStyleIdx="13" presStyleCnt="19"/>
      <dgm:spPr/>
    </dgm:pt>
    <dgm:pt modelId="{74966E22-D6F3-463E-9EFF-C7157FC413DE}" type="pres">
      <dgm:prSet presAssocID="{4E5D3BC2-AFF5-49C2-BABD-DC38ED2BDD96}" presName="vert2" presStyleCnt="0"/>
      <dgm:spPr/>
    </dgm:pt>
    <dgm:pt modelId="{91578A58-A914-45B5-B0C9-4609402A4FAA}" type="pres">
      <dgm:prSet presAssocID="{4E5D3BC2-AFF5-49C2-BABD-DC38ED2BDD96}" presName="thinLine2b" presStyleLbl="callout" presStyleIdx="12" presStyleCnt="18"/>
      <dgm:spPr/>
    </dgm:pt>
    <dgm:pt modelId="{8C6ADC18-1DC2-4990-AC97-310361E5DF03}" type="pres">
      <dgm:prSet presAssocID="{4E5D3BC2-AFF5-49C2-BABD-DC38ED2BDD96}" presName="vertSpace2b" presStyleCnt="0"/>
      <dgm:spPr/>
    </dgm:pt>
    <dgm:pt modelId="{73E17BC6-4678-439B-9AD7-45042B0D5EB0}" type="pres">
      <dgm:prSet presAssocID="{682D1664-CA84-4E24-BDB5-6364F0D7C4F2}" presName="horz2" presStyleCnt="0"/>
      <dgm:spPr/>
    </dgm:pt>
    <dgm:pt modelId="{EDF00809-CBC4-4739-94EF-FA24A02B12DE}" type="pres">
      <dgm:prSet presAssocID="{682D1664-CA84-4E24-BDB5-6364F0D7C4F2}" presName="horzSpace2" presStyleCnt="0"/>
      <dgm:spPr/>
    </dgm:pt>
    <dgm:pt modelId="{98C45C39-8DD0-4989-A824-5E763ACA833A}" type="pres">
      <dgm:prSet presAssocID="{682D1664-CA84-4E24-BDB5-6364F0D7C4F2}" presName="tx2" presStyleLbl="revTx" presStyleIdx="14" presStyleCnt="19" custScaleY="152527"/>
      <dgm:spPr/>
    </dgm:pt>
    <dgm:pt modelId="{2DFD8B5F-2C99-4266-AE7F-6FE92AE8F3BF}" type="pres">
      <dgm:prSet presAssocID="{682D1664-CA84-4E24-BDB5-6364F0D7C4F2}" presName="vert2" presStyleCnt="0"/>
      <dgm:spPr/>
    </dgm:pt>
    <dgm:pt modelId="{B0FD8FD6-D527-4D2B-8894-A77D459AB545}" type="pres">
      <dgm:prSet presAssocID="{682D1664-CA84-4E24-BDB5-6364F0D7C4F2}" presName="thinLine2b" presStyleLbl="callout" presStyleIdx="13" presStyleCnt="18"/>
      <dgm:spPr/>
    </dgm:pt>
    <dgm:pt modelId="{DC06DA41-4A44-4927-8B15-26D25C8C8B28}" type="pres">
      <dgm:prSet presAssocID="{682D1664-CA84-4E24-BDB5-6364F0D7C4F2}" presName="vertSpace2b" presStyleCnt="0"/>
      <dgm:spPr/>
    </dgm:pt>
    <dgm:pt modelId="{03EE580D-8C25-4D74-8C29-D713976D16C0}" type="pres">
      <dgm:prSet presAssocID="{A30AE694-CA30-489E-BAD9-1B09319EF7FA}" presName="horz2" presStyleCnt="0"/>
      <dgm:spPr/>
    </dgm:pt>
    <dgm:pt modelId="{1C569456-AE6B-46E3-85F4-F9923425EF4C}" type="pres">
      <dgm:prSet presAssocID="{A30AE694-CA30-489E-BAD9-1B09319EF7FA}" presName="horzSpace2" presStyleCnt="0"/>
      <dgm:spPr/>
    </dgm:pt>
    <dgm:pt modelId="{8265D9AC-E18E-4F98-A9C7-C0085FA7BB14}" type="pres">
      <dgm:prSet presAssocID="{A30AE694-CA30-489E-BAD9-1B09319EF7FA}" presName="tx2" presStyleLbl="revTx" presStyleIdx="15" presStyleCnt="19"/>
      <dgm:spPr/>
    </dgm:pt>
    <dgm:pt modelId="{690774AD-0B1D-40A1-AF80-E9A153A004DF}" type="pres">
      <dgm:prSet presAssocID="{A30AE694-CA30-489E-BAD9-1B09319EF7FA}" presName="vert2" presStyleCnt="0"/>
      <dgm:spPr/>
    </dgm:pt>
    <dgm:pt modelId="{5571C2CD-3D4C-4468-B615-60C3AF071F09}" type="pres">
      <dgm:prSet presAssocID="{A30AE694-CA30-489E-BAD9-1B09319EF7FA}" presName="thinLine2b" presStyleLbl="callout" presStyleIdx="14" presStyleCnt="18"/>
      <dgm:spPr/>
    </dgm:pt>
    <dgm:pt modelId="{4A0F56B1-AD95-4F79-9515-691D16349DE2}" type="pres">
      <dgm:prSet presAssocID="{A30AE694-CA30-489E-BAD9-1B09319EF7FA}" presName="vertSpace2b" presStyleCnt="0"/>
      <dgm:spPr/>
    </dgm:pt>
    <dgm:pt modelId="{60C6CBEC-C87E-4BB5-941B-04C13A229019}" type="pres">
      <dgm:prSet presAssocID="{FF08E94E-DAE4-461A-B3F9-2D46E40A6E22}" presName="horz2" presStyleCnt="0"/>
      <dgm:spPr/>
    </dgm:pt>
    <dgm:pt modelId="{7AA91B25-B838-4328-B9DB-035DA16686E6}" type="pres">
      <dgm:prSet presAssocID="{FF08E94E-DAE4-461A-B3F9-2D46E40A6E22}" presName="horzSpace2" presStyleCnt="0"/>
      <dgm:spPr/>
    </dgm:pt>
    <dgm:pt modelId="{041C988D-9CFD-42EA-B2A5-22736BA7B5F0}" type="pres">
      <dgm:prSet presAssocID="{FF08E94E-DAE4-461A-B3F9-2D46E40A6E22}" presName="tx2" presStyleLbl="revTx" presStyleIdx="16" presStyleCnt="19"/>
      <dgm:spPr/>
    </dgm:pt>
    <dgm:pt modelId="{32F99850-EE53-4C18-B543-5C5878CBAB72}" type="pres">
      <dgm:prSet presAssocID="{FF08E94E-DAE4-461A-B3F9-2D46E40A6E22}" presName="vert2" presStyleCnt="0"/>
      <dgm:spPr/>
    </dgm:pt>
    <dgm:pt modelId="{A5E738B1-3F3D-400A-A73D-FECC38B0235D}" type="pres">
      <dgm:prSet presAssocID="{FF08E94E-DAE4-461A-B3F9-2D46E40A6E22}" presName="thinLine2b" presStyleLbl="callout" presStyleIdx="15" presStyleCnt="18"/>
      <dgm:spPr/>
    </dgm:pt>
    <dgm:pt modelId="{1E09846B-F469-4874-BCEF-2AACBA0D5310}" type="pres">
      <dgm:prSet presAssocID="{FF08E94E-DAE4-461A-B3F9-2D46E40A6E22}" presName="vertSpace2b" presStyleCnt="0"/>
      <dgm:spPr/>
    </dgm:pt>
    <dgm:pt modelId="{E0851801-69D2-4C5B-A477-017A4AB842B2}" type="pres">
      <dgm:prSet presAssocID="{291B0EC5-55EA-4312-98B4-331BAB52CEB8}" presName="horz2" presStyleCnt="0"/>
      <dgm:spPr/>
    </dgm:pt>
    <dgm:pt modelId="{F009230A-342F-4DC4-BABD-2DBCD2008C1C}" type="pres">
      <dgm:prSet presAssocID="{291B0EC5-55EA-4312-98B4-331BAB52CEB8}" presName="horzSpace2" presStyleCnt="0"/>
      <dgm:spPr/>
    </dgm:pt>
    <dgm:pt modelId="{1A57C365-73E5-4ECD-B99A-D3CB01DC424E}" type="pres">
      <dgm:prSet presAssocID="{291B0EC5-55EA-4312-98B4-331BAB52CEB8}" presName="tx2" presStyleLbl="revTx" presStyleIdx="17" presStyleCnt="19"/>
      <dgm:spPr/>
    </dgm:pt>
    <dgm:pt modelId="{C263F8C6-E9AB-4F0C-A6CD-371071A684FC}" type="pres">
      <dgm:prSet presAssocID="{291B0EC5-55EA-4312-98B4-331BAB52CEB8}" presName="vert2" presStyleCnt="0"/>
      <dgm:spPr/>
    </dgm:pt>
    <dgm:pt modelId="{F90BC1CE-E710-4386-86F4-AE2EB28D0F61}" type="pres">
      <dgm:prSet presAssocID="{291B0EC5-55EA-4312-98B4-331BAB52CEB8}" presName="thinLine2b" presStyleLbl="callout" presStyleIdx="16" presStyleCnt="18"/>
      <dgm:spPr/>
    </dgm:pt>
    <dgm:pt modelId="{F8CEA947-E75D-4C07-99CF-4950F0DF56B0}" type="pres">
      <dgm:prSet presAssocID="{291B0EC5-55EA-4312-98B4-331BAB52CEB8}" presName="vertSpace2b" presStyleCnt="0"/>
      <dgm:spPr/>
    </dgm:pt>
    <dgm:pt modelId="{F22E4249-8C12-47D5-BE71-8B87337085E2}" type="pres">
      <dgm:prSet presAssocID="{7CEDDD95-0F44-4047-ABEB-BF82DEC860F0}" presName="horz2" presStyleCnt="0"/>
      <dgm:spPr/>
    </dgm:pt>
    <dgm:pt modelId="{050B90A8-6DF5-4BBA-9C0A-F4F40489BAFF}" type="pres">
      <dgm:prSet presAssocID="{7CEDDD95-0F44-4047-ABEB-BF82DEC860F0}" presName="horzSpace2" presStyleCnt="0"/>
      <dgm:spPr/>
    </dgm:pt>
    <dgm:pt modelId="{71D8580A-C8ED-473E-85F4-051175F61243}" type="pres">
      <dgm:prSet presAssocID="{7CEDDD95-0F44-4047-ABEB-BF82DEC860F0}" presName="tx2" presStyleLbl="revTx" presStyleIdx="18" presStyleCnt="19"/>
      <dgm:spPr/>
    </dgm:pt>
    <dgm:pt modelId="{D10B8B8D-3728-46F6-9502-CD995BC33813}" type="pres">
      <dgm:prSet presAssocID="{7CEDDD95-0F44-4047-ABEB-BF82DEC860F0}" presName="vert2" presStyleCnt="0"/>
      <dgm:spPr/>
    </dgm:pt>
    <dgm:pt modelId="{7B96FEA3-AE76-412D-9238-BA3F0FC47511}" type="pres">
      <dgm:prSet presAssocID="{7CEDDD95-0F44-4047-ABEB-BF82DEC860F0}" presName="thinLine2b" presStyleLbl="callout" presStyleIdx="17" presStyleCnt="18"/>
      <dgm:spPr/>
    </dgm:pt>
    <dgm:pt modelId="{801F9145-F798-425A-AD1A-89E98907409C}" type="pres">
      <dgm:prSet presAssocID="{7CEDDD95-0F44-4047-ABEB-BF82DEC860F0}" presName="vertSpace2b" presStyleCnt="0"/>
      <dgm:spPr/>
    </dgm:pt>
  </dgm:ptLst>
  <dgm:cxnLst>
    <dgm:cxn modelId="{271F2613-0854-425B-8E10-920D4F320830}" srcId="{3B947D77-93E5-455A-A4D5-C72770E1C0CB}" destId="{682D1664-CA84-4E24-BDB5-6364F0D7C4F2}" srcOrd="13" destOrd="0" parTransId="{F512285F-9DAF-4343-B59F-F702C6819ED2}" sibTransId="{267B9AC9-39B2-4E89-B16E-27B4AA28C1AE}"/>
    <dgm:cxn modelId="{CD6AB71E-6CA4-4CE5-88FD-426AF295BA98}" type="presOf" srcId="{1F5D5759-3CB1-4D81-997D-A69CC0FF53F8}" destId="{F8E39574-60F7-4F17-BDD1-1206B0FDEC96}" srcOrd="0" destOrd="0" presId="urn:microsoft.com/office/officeart/2008/layout/LinedList"/>
    <dgm:cxn modelId="{C328A123-E40B-4816-93AF-F012B44F0B55}" srcId="{3B947D77-93E5-455A-A4D5-C72770E1C0CB}" destId="{D46A7E58-C8AE-4BDA-AC4D-70435F036A46}" srcOrd="3" destOrd="0" parTransId="{0476C7DD-4907-4CEF-ACE8-DBC048A92BD5}" sibTransId="{31BCEA6F-D324-44C6-B883-EB2292C2E84D}"/>
    <dgm:cxn modelId="{127AD137-B3D1-4059-A34E-C39E5DAC86CB}" type="presOf" srcId="{A16BFE7F-D732-46BE-B106-D69A7B963609}" destId="{55EFFAE0-A823-433C-B147-236333E805A0}" srcOrd="0" destOrd="0" presId="urn:microsoft.com/office/officeart/2008/layout/LinedList"/>
    <dgm:cxn modelId="{55CDD43E-CD78-4E71-8E72-622C6CBB5D85}" type="presOf" srcId="{4D01BFC1-32E6-4EFA-AA96-574F70928709}" destId="{6D74A57A-333C-4752-B9F9-86D19158D0C8}" srcOrd="0" destOrd="0" presId="urn:microsoft.com/office/officeart/2008/layout/LinedList"/>
    <dgm:cxn modelId="{E28D6A69-7948-4529-AAD4-A26D38AAA06E}" srcId="{3B947D77-93E5-455A-A4D5-C72770E1C0CB}" destId="{E652212E-DE84-4381-8B5B-56E4ACF43193}" srcOrd="10" destOrd="0" parTransId="{D7566E56-AE36-471D-969E-8D2CC475766F}" sibTransId="{0E30A5DC-440F-4400-B0B4-6008F4F7491B}"/>
    <dgm:cxn modelId="{CF76FB6A-A1EC-461B-9401-6B36114CFB18}" srcId="{3B947D77-93E5-455A-A4D5-C72770E1C0CB}" destId="{94A71AD3-0960-409E-A246-B70CD78CAA1D}" srcOrd="7" destOrd="0" parTransId="{5583E20E-E3C2-47F3-BBAF-36E4EEE6545B}" sibTransId="{E922B579-1BCC-4874-BA09-64B7F33707BE}"/>
    <dgm:cxn modelId="{40BC694B-0BD9-42DA-88A4-CBB56A956EEF}" type="presOf" srcId="{C55108A3-1EF4-4274-B07C-577650535927}" destId="{368FCF72-579C-4E8E-B288-0FB271F59C67}" srcOrd="0" destOrd="0" presId="urn:microsoft.com/office/officeart/2008/layout/LinedList"/>
    <dgm:cxn modelId="{81ECDA4C-A0D4-4F2C-840C-61F4D26C2711}" srcId="{3B947D77-93E5-455A-A4D5-C72770E1C0CB}" destId="{1F5D5759-3CB1-4D81-997D-A69CC0FF53F8}" srcOrd="5" destOrd="0" parTransId="{6A3684B5-F891-4C0C-B8E2-60BCB66CBAC1}" sibTransId="{91AE30CC-B24F-4D96-918B-FBCAE165A451}"/>
    <dgm:cxn modelId="{C9A1264D-1C9C-45FE-B878-BBA05B164E7F}" type="presOf" srcId="{94A71AD3-0960-409E-A246-B70CD78CAA1D}" destId="{43745CEC-C16F-4690-A447-3C64954E5269}" srcOrd="0" destOrd="0" presId="urn:microsoft.com/office/officeart/2008/layout/LinedList"/>
    <dgm:cxn modelId="{547F4C6E-A6A7-4E0A-83F8-E0C83279A53C}" srcId="{3B947D77-93E5-455A-A4D5-C72770E1C0CB}" destId="{8D4F170D-743D-4973-BB61-E759395C8265}" srcOrd="2" destOrd="0" parTransId="{A7852661-8D48-445A-ACAD-194EFDF38E2B}" sibTransId="{D3B334E6-EA20-4BAA-8845-159A8EE89162}"/>
    <dgm:cxn modelId="{5D13CA71-3DCE-42ED-9369-A3B51184C08F}" srcId="{3B947D77-93E5-455A-A4D5-C72770E1C0CB}" destId="{C55108A3-1EF4-4274-B07C-577650535927}" srcOrd="1" destOrd="0" parTransId="{65EA0940-5657-4B8D-B7A3-4CB66268C680}" sibTransId="{0FFDE59E-859D-4F9E-B7FF-375F46249726}"/>
    <dgm:cxn modelId="{53230558-BCB4-40A8-BEEA-87248EBFA2C2}" srcId="{3B947D77-93E5-455A-A4D5-C72770E1C0CB}" destId="{7CEDDD95-0F44-4047-ABEB-BF82DEC860F0}" srcOrd="17" destOrd="0" parTransId="{FC10CE7A-5B95-496F-B7F1-4433EB8024B2}" sibTransId="{46230E87-B118-474C-9556-5BDDFE28DAE2}"/>
    <dgm:cxn modelId="{A670E07C-F33F-49BA-9E3B-E8200C2FE0D0}" srcId="{3B947D77-93E5-455A-A4D5-C72770E1C0CB}" destId="{FF08E94E-DAE4-461A-B3F9-2D46E40A6E22}" srcOrd="15" destOrd="0" parTransId="{DCD946E8-51E4-4FB1-9937-BCEBA31870F9}" sibTransId="{3108253F-56D5-489C-B1E7-4D0DAF0934CB}"/>
    <dgm:cxn modelId="{B08E837E-8B8C-4367-A622-B9A5335E09E6}" type="presOf" srcId="{8D4F170D-743D-4973-BB61-E759395C8265}" destId="{A4AF1517-89F4-4B31-A8E0-84E31DEB4235}" srcOrd="0" destOrd="0" presId="urn:microsoft.com/office/officeart/2008/layout/LinedList"/>
    <dgm:cxn modelId="{BD1AE28E-7A55-4AE5-8EEC-EF72B104F40E}" srcId="{3B947D77-93E5-455A-A4D5-C72770E1C0CB}" destId="{A30AE694-CA30-489E-BAD9-1B09319EF7FA}" srcOrd="14" destOrd="0" parTransId="{094365A7-E041-4DB6-B9E3-3038FA373A72}" sibTransId="{F4184F1C-9034-4216-9EC0-7CEEC1DA0541}"/>
    <dgm:cxn modelId="{6468EC90-EF9B-4916-B506-A74A042CBBA9}" type="presOf" srcId="{7CEDDD95-0F44-4047-ABEB-BF82DEC860F0}" destId="{71D8580A-C8ED-473E-85F4-051175F61243}" srcOrd="0" destOrd="0" presId="urn:microsoft.com/office/officeart/2008/layout/LinedList"/>
    <dgm:cxn modelId="{F4CDF295-E68C-4B5A-A2F7-9BBE92DD6EDE}" srcId="{3B947D77-93E5-455A-A4D5-C72770E1C0CB}" destId="{4D01BFC1-32E6-4EFA-AA96-574F70928709}" srcOrd="11" destOrd="0" parTransId="{2028A53A-21BD-4814-A586-0EF6F93E831B}" sibTransId="{FC1D1651-61B6-416D-96D6-4842A2AB2058}"/>
    <dgm:cxn modelId="{49765B99-1A74-4F21-8B7C-57126B07D454}" type="presOf" srcId="{D46A7E58-C8AE-4BDA-AC4D-70435F036A46}" destId="{763FEE81-168F-434B-959C-04DB6CD5CC5A}" srcOrd="0" destOrd="0" presId="urn:microsoft.com/office/officeart/2008/layout/LinedList"/>
    <dgm:cxn modelId="{DE7D309D-20F0-43A8-8EE4-84DBCE5B4B96}" srcId="{3B947D77-93E5-455A-A4D5-C72770E1C0CB}" destId="{7EC836B5-6480-4500-B793-CD1A1E0C6BAD}" srcOrd="0" destOrd="0" parTransId="{8FEDE319-FDD0-49D5-A81D-2111C10249E2}" sibTransId="{8CE7232E-8B3B-4132-ACA7-05970F65EC8D}"/>
    <dgm:cxn modelId="{50D51AA9-B1DD-40A9-90DA-60AEEB0DC213}" type="presOf" srcId="{E1A2E348-14DA-4DDB-9603-8B6AF775D840}" destId="{F0BF9AD2-FD9D-4F7A-82DF-C893A342BBA4}" srcOrd="0" destOrd="0" presId="urn:microsoft.com/office/officeart/2008/layout/LinedList"/>
    <dgm:cxn modelId="{C04FF9AC-6E77-454E-91DB-0C6088F7DE96}" type="presOf" srcId="{291B0EC5-55EA-4312-98B4-331BAB52CEB8}" destId="{1A57C365-73E5-4ECD-B99A-D3CB01DC424E}" srcOrd="0" destOrd="0" presId="urn:microsoft.com/office/officeart/2008/layout/LinedList"/>
    <dgm:cxn modelId="{7BAE60AF-1D66-452C-ADC2-248D00AF75DD}" srcId="{3B947D77-93E5-455A-A4D5-C72770E1C0CB}" destId="{A16BFE7F-D732-46BE-B106-D69A7B963609}" srcOrd="9" destOrd="0" parTransId="{4E81DA7D-9CAE-49E1-8366-60F86191B66A}" sibTransId="{6420DB75-9947-4F85-8F24-F89F69BC6F59}"/>
    <dgm:cxn modelId="{1539EDBB-93D4-4909-A838-51050D70D5B8}" srcId="{3B947D77-93E5-455A-A4D5-C72770E1C0CB}" destId="{E1A2E348-14DA-4DDB-9603-8B6AF775D840}" srcOrd="8" destOrd="0" parTransId="{59121630-B8B3-424A-9532-48B4CAB3DF73}" sibTransId="{D7A6E242-8972-40D3-8ADB-A317B276163C}"/>
    <dgm:cxn modelId="{C1EB30BD-D09A-46AB-B0AB-ACEDEF0303D8}" type="presOf" srcId="{7EC836B5-6480-4500-B793-CD1A1E0C6BAD}" destId="{4EED4CDA-1B1A-40AF-B3BB-CA9832977C49}" srcOrd="0" destOrd="0" presId="urn:microsoft.com/office/officeart/2008/layout/LinedList"/>
    <dgm:cxn modelId="{6FB202C0-2D8B-480B-8B79-F3E22B7BA70E}" type="presOf" srcId="{FF08E94E-DAE4-461A-B3F9-2D46E40A6E22}" destId="{041C988D-9CFD-42EA-B2A5-22736BA7B5F0}" srcOrd="0" destOrd="0" presId="urn:microsoft.com/office/officeart/2008/layout/LinedList"/>
    <dgm:cxn modelId="{820E6AC1-18FC-49C5-8B1E-3984D79BDFD3}" srcId="{3B947D77-93E5-455A-A4D5-C72770E1C0CB}" destId="{291B0EC5-55EA-4312-98B4-331BAB52CEB8}" srcOrd="16" destOrd="0" parTransId="{5208ACB8-5229-4051-BAE8-BAAD55DFD690}" sibTransId="{BB65949B-DA1A-4EFC-BAAE-F794B7FDC42B}"/>
    <dgm:cxn modelId="{06DFF6C4-4502-4A04-808B-4FF7CB44C10C}" type="presOf" srcId="{4E5D3BC2-AFF5-49C2-BABD-DC38ED2BDD96}" destId="{B3B5B9E5-0D93-4F6E-8F6E-193E35F19EA6}" srcOrd="0" destOrd="0" presId="urn:microsoft.com/office/officeart/2008/layout/LinedList"/>
    <dgm:cxn modelId="{044DB6C7-2B7B-4C91-9759-3664D24B5770}" srcId="{3BD6E15C-0687-4479-A5B7-15148BCD4411}" destId="{3B947D77-93E5-455A-A4D5-C72770E1C0CB}" srcOrd="0" destOrd="0" parTransId="{FC448B59-FDF5-46F2-8975-08061CA03EB8}" sibTransId="{8C787CAE-CF19-4FB7-A15D-703CD7C9B7C6}"/>
    <dgm:cxn modelId="{FD5F34CA-1819-4AC1-8E09-340A8A1F9350}" type="presOf" srcId="{99CFBE2A-52BA-49C8-9586-37D49BDCD7C4}" destId="{ABFA24FD-8EA8-4E86-9FA9-9C5DDDA1A998}" srcOrd="0" destOrd="0" presId="urn:microsoft.com/office/officeart/2008/layout/LinedList"/>
    <dgm:cxn modelId="{14CAFED2-147B-4AEB-93DD-C26C093A6196}" srcId="{3B947D77-93E5-455A-A4D5-C72770E1C0CB}" destId="{4E5D3BC2-AFF5-49C2-BABD-DC38ED2BDD96}" srcOrd="12" destOrd="0" parTransId="{EA51B8BC-DDDB-4BE3-BE10-E0F9065C1FA5}" sibTransId="{2D358189-7D62-4A19-A4D1-1AC042D30DF0}"/>
    <dgm:cxn modelId="{D200F1D4-462C-4321-88F6-88EB636C8795}" srcId="{3B947D77-93E5-455A-A4D5-C72770E1C0CB}" destId="{99CFBE2A-52BA-49C8-9586-37D49BDCD7C4}" srcOrd="4" destOrd="0" parTransId="{D3519976-1A8B-41CB-B305-2775CE2D38B4}" sibTransId="{6FAD4E9D-CA3B-47E8-B1BB-5263E20A6315}"/>
    <dgm:cxn modelId="{7BEC56D5-7309-4EF5-955D-0962807669F5}" type="presOf" srcId="{3B947D77-93E5-455A-A4D5-C72770E1C0CB}" destId="{CA1CD02D-CE87-42F8-9D9C-29F3DDD1CBD8}" srcOrd="0" destOrd="0" presId="urn:microsoft.com/office/officeart/2008/layout/LinedList"/>
    <dgm:cxn modelId="{0B1990DA-B5CF-4730-8095-E72B121334AE}" type="presOf" srcId="{A640D477-E118-4ACB-AFBC-FBF20525F9AB}" destId="{2DED183E-B11A-40AF-90DC-D1F103183D07}" srcOrd="0" destOrd="0" presId="urn:microsoft.com/office/officeart/2008/layout/LinedList"/>
    <dgm:cxn modelId="{5637C6DD-AE36-4B95-939D-521A5C19CAB6}" type="presOf" srcId="{E652212E-DE84-4381-8B5B-56E4ACF43193}" destId="{83DCB28E-31F3-43F2-85E8-0F7CEB9C877E}" srcOrd="0" destOrd="0" presId="urn:microsoft.com/office/officeart/2008/layout/LinedList"/>
    <dgm:cxn modelId="{320F37E0-DEF4-42A7-88FC-A1A5709D255E}" type="presOf" srcId="{A30AE694-CA30-489E-BAD9-1B09319EF7FA}" destId="{8265D9AC-E18E-4F98-A9C7-C0085FA7BB14}" srcOrd="0" destOrd="0" presId="urn:microsoft.com/office/officeart/2008/layout/LinedList"/>
    <dgm:cxn modelId="{FF1AEAE7-07FE-4D59-84E2-75A88B569A80}" srcId="{3B947D77-93E5-455A-A4D5-C72770E1C0CB}" destId="{A640D477-E118-4ACB-AFBC-FBF20525F9AB}" srcOrd="6" destOrd="0" parTransId="{477DE043-4FA4-4B75-8674-54C3394C491B}" sibTransId="{6B38DC7C-BAC4-413E-A04C-2CD6B04ADEE1}"/>
    <dgm:cxn modelId="{8B9D88E9-197C-4415-859F-CC15D7E46390}" type="presOf" srcId="{3BD6E15C-0687-4479-A5B7-15148BCD4411}" destId="{6CB41CD0-DEDA-424A-9172-410D13EE5A60}" srcOrd="0" destOrd="0" presId="urn:microsoft.com/office/officeart/2008/layout/LinedList"/>
    <dgm:cxn modelId="{C7746BFD-657A-4767-A412-5D2FF0E5A11B}" type="presOf" srcId="{682D1664-CA84-4E24-BDB5-6364F0D7C4F2}" destId="{98C45C39-8DD0-4989-A824-5E763ACA833A}" srcOrd="0" destOrd="0" presId="urn:microsoft.com/office/officeart/2008/layout/LinedList"/>
    <dgm:cxn modelId="{D3B2F0D2-96D0-4DC3-8AE3-D115A1E70AEB}" type="presParOf" srcId="{6CB41CD0-DEDA-424A-9172-410D13EE5A60}" destId="{78726A51-CDDA-4682-9A1E-8D6A4DA22B21}" srcOrd="0" destOrd="0" presId="urn:microsoft.com/office/officeart/2008/layout/LinedList"/>
    <dgm:cxn modelId="{196964A8-822B-40B9-86F9-41FE980BAC0D}" type="presParOf" srcId="{6CB41CD0-DEDA-424A-9172-410D13EE5A60}" destId="{811ACEB5-D705-44BC-BB5E-634D039C774C}" srcOrd="1" destOrd="0" presId="urn:microsoft.com/office/officeart/2008/layout/LinedList"/>
    <dgm:cxn modelId="{BC2E5AE5-1924-486B-8ADF-7AE6E1B13BE9}" type="presParOf" srcId="{811ACEB5-D705-44BC-BB5E-634D039C774C}" destId="{CA1CD02D-CE87-42F8-9D9C-29F3DDD1CBD8}" srcOrd="0" destOrd="0" presId="urn:microsoft.com/office/officeart/2008/layout/LinedList"/>
    <dgm:cxn modelId="{45FDED14-40BA-4007-AFF1-FD448BEDB9E7}" type="presParOf" srcId="{811ACEB5-D705-44BC-BB5E-634D039C774C}" destId="{5C070A03-8401-4A74-8058-E2E5C44C8965}" srcOrd="1" destOrd="0" presId="urn:microsoft.com/office/officeart/2008/layout/LinedList"/>
    <dgm:cxn modelId="{E87FB1EA-8309-4414-B632-CF9DCCB4CA9A}" type="presParOf" srcId="{5C070A03-8401-4A74-8058-E2E5C44C8965}" destId="{C11FA3DC-F76F-475B-83B0-E59F93D2EB18}" srcOrd="0" destOrd="0" presId="urn:microsoft.com/office/officeart/2008/layout/LinedList"/>
    <dgm:cxn modelId="{EBB486C2-45C4-4350-88A3-408B3303A8FE}" type="presParOf" srcId="{5C070A03-8401-4A74-8058-E2E5C44C8965}" destId="{2AE0F027-63C6-40CF-825E-6988CCCF5850}" srcOrd="1" destOrd="0" presId="urn:microsoft.com/office/officeart/2008/layout/LinedList"/>
    <dgm:cxn modelId="{3D127B34-2FF2-4123-8AFF-290AD38672B0}" type="presParOf" srcId="{2AE0F027-63C6-40CF-825E-6988CCCF5850}" destId="{CE8F0B1B-CCB4-4AA9-9500-B5C68894A925}" srcOrd="0" destOrd="0" presId="urn:microsoft.com/office/officeart/2008/layout/LinedList"/>
    <dgm:cxn modelId="{F8EF4228-5FB3-41C7-AC8B-0DF9089B50CE}" type="presParOf" srcId="{2AE0F027-63C6-40CF-825E-6988CCCF5850}" destId="{4EED4CDA-1B1A-40AF-B3BB-CA9832977C49}" srcOrd="1" destOrd="0" presId="urn:microsoft.com/office/officeart/2008/layout/LinedList"/>
    <dgm:cxn modelId="{FBED3E15-98AC-4EAB-9697-2E8A0CA12023}" type="presParOf" srcId="{2AE0F027-63C6-40CF-825E-6988CCCF5850}" destId="{444BF8E5-19EF-4F10-8DB8-30A3675A3A14}" srcOrd="2" destOrd="0" presId="urn:microsoft.com/office/officeart/2008/layout/LinedList"/>
    <dgm:cxn modelId="{DFD42573-FDE9-44DB-A65B-00DBF968DA9C}" type="presParOf" srcId="{5C070A03-8401-4A74-8058-E2E5C44C8965}" destId="{18A72D4A-D0F3-45A6-87C9-F9DEBC8FC606}" srcOrd="2" destOrd="0" presId="urn:microsoft.com/office/officeart/2008/layout/LinedList"/>
    <dgm:cxn modelId="{AEFEC381-4B7E-4452-8EE0-9C62B3B03AA0}" type="presParOf" srcId="{5C070A03-8401-4A74-8058-E2E5C44C8965}" destId="{E6AF509D-A3F6-4AE7-8D6D-1CA7E78C6711}" srcOrd="3" destOrd="0" presId="urn:microsoft.com/office/officeart/2008/layout/LinedList"/>
    <dgm:cxn modelId="{AC7F820D-9EDA-4F51-91DA-4B5A82DA026B}" type="presParOf" srcId="{5C070A03-8401-4A74-8058-E2E5C44C8965}" destId="{56CB910B-D40F-4159-9ED0-DC04587D5785}" srcOrd="4" destOrd="0" presId="urn:microsoft.com/office/officeart/2008/layout/LinedList"/>
    <dgm:cxn modelId="{FEE260FA-CE21-4CDA-8F0E-811A3E94A364}" type="presParOf" srcId="{56CB910B-D40F-4159-9ED0-DC04587D5785}" destId="{D1788112-62DA-4E69-949B-A89217A62859}" srcOrd="0" destOrd="0" presId="urn:microsoft.com/office/officeart/2008/layout/LinedList"/>
    <dgm:cxn modelId="{383FCE33-16EA-4A74-8D8A-AF81CB5680E4}" type="presParOf" srcId="{56CB910B-D40F-4159-9ED0-DC04587D5785}" destId="{368FCF72-579C-4E8E-B288-0FB271F59C67}" srcOrd="1" destOrd="0" presId="urn:microsoft.com/office/officeart/2008/layout/LinedList"/>
    <dgm:cxn modelId="{2C039BAC-7100-4FA0-8193-EA78F4E8F9D8}" type="presParOf" srcId="{56CB910B-D40F-4159-9ED0-DC04587D5785}" destId="{E229E555-3A06-448C-89DB-5DE50F838370}" srcOrd="2" destOrd="0" presId="urn:microsoft.com/office/officeart/2008/layout/LinedList"/>
    <dgm:cxn modelId="{EC1A616A-1B36-4A7B-A9DC-2C135CCDC06A}" type="presParOf" srcId="{5C070A03-8401-4A74-8058-E2E5C44C8965}" destId="{5DE31EED-CBEC-4FB4-B81A-319DCAD8CCB8}" srcOrd="5" destOrd="0" presId="urn:microsoft.com/office/officeart/2008/layout/LinedList"/>
    <dgm:cxn modelId="{023564BF-ADA9-4BE3-AB9E-DDD1D4120482}" type="presParOf" srcId="{5C070A03-8401-4A74-8058-E2E5C44C8965}" destId="{E1975F1F-B9CF-4A28-8D79-DA0C1CCA2733}" srcOrd="6" destOrd="0" presId="urn:microsoft.com/office/officeart/2008/layout/LinedList"/>
    <dgm:cxn modelId="{E1199B2E-E79A-43B8-BDA7-DB84D23D5E01}" type="presParOf" srcId="{5C070A03-8401-4A74-8058-E2E5C44C8965}" destId="{A6877EF5-8E9E-440F-A99A-8513E87C53E9}" srcOrd="7" destOrd="0" presId="urn:microsoft.com/office/officeart/2008/layout/LinedList"/>
    <dgm:cxn modelId="{3ECF546D-C0B0-41DE-9326-A693B5516447}" type="presParOf" srcId="{A6877EF5-8E9E-440F-A99A-8513E87C53E9}" destId="{E436ACBA-9695-4E4D-9EF4-C4EF1EB67E00}" srcOrd="0" destOrd="0" presId="urn:microsoft.com/office/officeart/2008/layout/LinedList"/>
    <dgm:cxn modelId="{2900197E-CAF9-4949-A1E7-AF854CDAE05D}" type="presParOf" srcId="{A6877EF5-8E9E-440F-A99A-8513E87C53E9}" destId="{A4AF1517-89F4-4B31-A8E0-84E31DEB4235}" srcOrd="1" destOrd="0" presId="urn:microsoft.com/office/officeart/2008/layout/LinedList"/>
    <dgm:cxn modelId="{775CABB3-AE03-4FAA-846A-4EFBC017C876}" type="presParOf" srcId="{A6877EF5-8E9E-440F-A99A-8513E87C53E9}" destId="{FBAFE1B0-0784-406E-A6D2-CD9B6926CA5B}" srcOrd="2" destOrd="0" presId="urn:microsoft.com/office/officeart/2008/layout/LinedList"/>
    <dgm:cxn modelId="{88554220-4251-4527-A28C-7FBFE0FC26B0}" type="presParOf" srcId="{5C070A03-8401-4A74-8058-E2E5C44C8965}" destId="{9804BAF3-A98B-43EF-B3CB-C498ADA25716}" srcOrd="8" destOrd="0" presId="urn:microsoft.com/office/officeart/2008/layout/LinedList"/>
    <dgm:cxn modelId="{02567B35-CFA7-4AF3-9E2D-79DC2FF82663}" type="presParOf" srcId="{5C070A03-8401-4A74-8058-E2E5C44C8965}" destId="{4E8F6EF7-E646-4B0A-A381-9B25C336D1C7}" srcOrd="9" destOrd="0" presId="urn:microsoft.com/office/officeart/2008/layout/LinedList"/>
    <dgm:cxn modelId="{1598B747-7273-4D66-B0EC-72A23194E62A}" type="presParOf" srcId="{5C070A03-8401-4A74-8058-E2E5C44C8965}" destId="{1B0EE690-8717-4AB1-9331-899321DFF9C4}" srcOrd="10" destOrd="0" presId="urn:microsoft.com/office/officeart/2008/layout/LinedList"/>
    <dgm:cxn modelId="{ABC086B1-CEFE-47A7-A2AB-3003E38B0957}" type="presParOf" srcId="{1B0EE690-8717-4AB1-9331-899321DFF9C4}" destId="{54E971D3-78B5-4578-8B0B-72DA4ADBBAAD}" srcOrd="0" destOrd="0" presId="urn:microsoft.com/office/officeart/2008/layout/LinedList"/>
    <dgm:cxn modelId="{5CD22C0A-29CA-4E66-8146-0CBC61831BBE}" type="presParOf" srcId="{1B0EE690-8717-4AB1-9331-899321DFF9C4}" destId="{763FEE81-168F-434B-959C-04DB6CD5CC5A}" srcOrd="1" destOrd="0" presId="urn:microsoft.com/office/officeart/2008/layout/LinedList"/>
    <dgm:cxn modelId="{B75CBDA4-D44A-44E9-A5B6-05955ADEEAE6}" type="presParOf" srcId="{1B0EE690-8717-4AB1-9331-899321DFF9C4}" destId="{3A7468A4-CC8A-4188-BEBF-F21504EBC104}" srcOrd="2" destOrd="0" presId="urn:microsoft.com/office/officeart/2008/layout/LinedList"/>
    <dgm:cxn modelId="{3D052D91-4D03-491D-AB6D-D6EA71C5897A}" type="presParOf" srcId="{5C070A03-8401-4A74-8058-E2E5C44C8965}" destId="{389CED4A-BEF7-4E4F-B8E6-3488D30361DF}" srcOrd="11" destOrd="0" presId="urn:microsoft.com/office/officeart/2008/layout/LinedList"/>
    <dgm:cxn modelId="{E2F5C2F9-FCC3-4C96-B876-C39574F3D617}" type="presParOf" srcId="{5C070A03-8401-4A74-8058-E2E5C44C8965}" destId="{EA67ED12-AC15-4744-816D-4F444DB1BDF0}" srcOrd="12" destOrd="0" presId="urn:microsoft.com/office/officeart/2008/layout/LinedList"/>
    <dgm:cxn modelId="{A1E23D61-16A8-4DD0-BDB5-61F2099A59E4}" type="presParOf" srcId="{5C070A03-8401-4A74-8058-E2E5C44C8965}" destId="{D392E3E9-C9CE-4572-9D94-472D86180D81}" srcOrd="13" destOrd="0" presId="urn:microsoft.com/office/officeart/2008/layout/LinedList"/>
    <dgm:cxn modelId="{F1EBAA42-8AB9-464B-B19A-B1BA2C282BE1}" type="presParOf" srcId="{D392E3E9-C9CE-4572-9D94-472D86180D81}" destId="{41BA13B1-A393-4733-AD25-F9CF9D90D95A}" srcOrd="0" destOrd="0" presId="urn:microsoft.com/office/officeart/2008/layout/LinedList"/>
    <dgm:cxn modelId="{421D81E2-9861-4478-9B25-923F51593C75}" type="presParOf" srcId="{D392E3E9-C9CE-4572-9D94-472D86180D81}" destId="{ABFA24FD-8EA8-4E86-9FA9-9C5DDDA1A998}" srcOrd="1" destOrd="0" presId="urn:microsoft.com/office/officeart/2008/layout/LinedList"/>
    <dgm:cxn modelId="{F1D7A096-4BA5-4ABC-9983-EEB3F76361E6}" type="presParOf" srcId="{D392E3E9-C9CE-4572-9D94-472D86180D81}" destId="{603736D9-C328-41E4-AFDD-7698B3BF351F}" srcOrd="2" destOrd="0" presId="urn:microsoft.com/office/officeart/2008/layout/LinedList"/>
    <dgm:cxn modelId="{A2BD8067-49EE-48A1-80D8-210D60405E50}" type="presParOf" srcId="{5C070A03-8401-4A74-8058-E2E5C44C8965}" destId="{B5A850F3-2C37-48F1-9FFD-9A56CB57E7F4}" srcOrd="14" destOrd="0" presId="urn:microsoft.com/office/officeart/2008/layout/LinedList"/>
    <dgm:cxn modelId="{97156EE1-8419-432E-9082-8DA4E72AD245}" type="presParOf" srcId="{5C070A03-8401-4A74-8058-E2E5C44C8965}" destId="{00DDD24E-D385-4C21-95DD-5DD33D2F31D6}" srcOrd="15" destOrd="0" presId="urn:microsoft.com/office/officeart/2008/layout/LinedList"/>
    <dgm:cxn modelId="{A51524BB-1D74-4D47-8BD3-85CC12AEBB38}" type="presParOf" srcId="{5C070A03-8401-4A74-8058-E2E5C44C8965}" destId="{D9CBD283-2BDD-47F4-9E2C-9A2F028ED07E}" srcOrd="16" destOrd="0" presId="urn:microsoft.com/office/officeart/2008/layout/LinedList"/>
    <dgm:cxn modelId="{B3405881-2985-4CAD-80AF-B0EA2012A9F1}" type="presParOf" srcId="{D9CBD283-2BDD-47F4-9E2C-9A2F028ED07E}" destId="{C8077281-09B9-41A3-A3F0-DBFBD0BE12B7}" srcOrd="0" destOrd="0" presId="urn:microsoft.com/office/officeart/2008/layout/LinedList"/>
    <dgm:cxn modelId="{F5679A6C-D441-4815-9C00-CD641B81C57B}" type="presParOf" srcId="{D9CBD283-2BDD-47F4-9E2C-9A2F028ED07E}" destId="{F8E39574-60F7-4F17-BDD1-1206B0FDEC96}" srcOrd="1" destOrd="0" presId="urn:microsoft.com/office/officeart/2008/layout/LinedList"/>
    <dgm:cxn modelId="{03DB00DE-1FB1-4B7B-85B1-8A3F85D81174}" type="presParOf" srcId="{D9CBD283-2BDD-47F4-9E2C-9A2F028ED07E}" destId="{C4836EAC-DFCF-4910-B5D9-706A5C5D3292}" srcOrd="2" destOrd="0" presId="urn:microsoft.com/office/officeart/2008/layout/LinedList"/>
    <dgm:cxn modelId="{F95DF82F-E67A-4AA6-96C3-86CB8B3F8912}" type="presParOf" srcId="{5C070A03-8401-4A74-8058-E2E5C44C8965}" destId="{B9EE0CF3-138B-416B-ADA2-A5653CC5BF4B}" srcOrd="17" destOrd="0" presId="urn:microsoft.com/office/officeart/2008/layout/LinedList"/>
    <dgm:cxn modelId="{33574E7C-4334-4895-8AB0-6BDC34507408}" type="presParOf" srcId="{5C070A03-8401-4A74-8058-E2E5C44C8965}" destId="{E2729470-08FF-4BAF-9E58-74C507A45E72}" srcOrd="18" destOrd="0" presId="urn:microsoft.com/office/officeart/2008/layout/LinedList"/>
    <dgm:cxn modelId="{43EAD860-CEB0-4994-A23A-8DDD27227DA5}" type="presParOf" srcId="{5C070A03-8401-4A74-8058-E2E5C44C8965}" destId="{37F52A85-BED1-4B0C-89BC-A92385A32AF6}" srcOrd="19" destOrd="0" presId="urn:microsoft.com/office/officeart/2008/layout/LinedList"/>
    <dgm:cxn modelId="{4DAA77A6-41C0-4E14-9DDE-75867121D7F5}" type="presParOf" srcId="{37F52A85-BED1-4B0C-89BC-A92385A32AF6}" destId="{B65C8935-22EB-4A9F-8FB1-6B304C424F9C}" srcOrd="0" destOrd="0" presId="urn:microsoft.com/office/officeart/2008/layout/LinedList"/>
    <dgm:cxn modelId="{246F6420-A59D-4AD1-9415-81D5E8264AE3}" type="presParOf" srcId="{37F52A85-BED1-4B0C-89BC-A92385A32AF6}" destId="{2DED183E-B11A-40AF-90DC-D1F103183D07}" srcOrd="1" destOrd="0" presId="urn:microsoft.com/office/officeart/2008/layout/LinedList"/>
    <dgm:cxn modelId="{43AA5624-3065-4C3F-8EBD-6D722BE892C1}" type="presParOf" srcId="{37F52A85-BED1-4B0C-89BC-A92385A32AF6}" destId="{5F0F16EA-A717-4796-9A0E-D3D6E6966B01}" srcOrd="2" destOrd="0" presId="urn:microsoft.com/office/officeart/2008/layout/LinedList"/>
    <dgm:cxn modelId="{768290A8-5542-4268-8F2C-4C1901478D4A}" type="presParOf" srcId="{5C070A03-8401-4A74-8058-E2E5C44C8965}" destId="{D09D8B99-48B7-4B06-86C4-C7D620C98CAD}" srcOrd="20" destOrd="0" presId="urn:microsoft.com/office/officeart/2008/layout/LinedList"/>
    <dgm:cxn modelId="{8556804A-F176-4D9C-8621-FB10EFA810F1}" type="presParOf" srcId="{5C070A03-8401-4A74-8058-E2E5C44C8965}" destId="{B3471FBB-A3A7-4B91-BD44-568A6BC4BEAA}" srcOrd="21" destOrd="0" presId="urn:microsoft.com/office/officeart/2008/layout/LinedList"/>
    <dgm:cxn modelId="{69011A42-E39C-4325-BB3C-39A2E9DC157F}" type="presParOf" srcId="{5C070A03-8401-4A74-8058-E2E5C44C8965}" destId="{85F7CA13-5ABB-4107-A2CB-42228EF44FFE}" srcOrd="22" destOrd="0" presId="urn:microsoft.com/office/officeart/2008/layout/LinedList"/>
    <dgm:cxn modelId="{4DE332D7-5266-4D7B-BE86-0CB508306D3C}" type="presParOf" srcId="{85F7CA13-5ABB-4107-A2CB-42228EF44FFE}" destId="{2CA6DA7D-A5CA-418D-84E9-D23F2D09920A}" srcOrd="0" destOrd="0" presId="urn:microsoft.com/office/officeart/2008/layout/LinedList"/>
    <dgm:cxn modelId="{7AA64D1B-BF8B-4B77-BB44-3468F47376B0}" type="presParOf" srcId="{85F7CA13-5ABB-4107-A2CB-42228EF44FFE}" destId="{43745CEC-C16F-4690-A447-3C64954E5269}" srcOrd="1" destOrd="0" presId="urn:microsoft.com/office/officeart/2008/layout/LinedList"/>
    <dgm:cxn modelId="{FE46B03F-32E8-4407-822C-20E9A580FC23}" type="presParOf" srcId="{85F7CA13-5ABB-4107-A2CB-42228EF44FFE}" destId="{AE47E210-8492-424D-A0A6-D30F6AEBBD8E}" srcOrd="2" destOrd="0" presId="urn:microsoft.com/office/officeart/2008/layout/LinedList"/>
    <dgm:cxn modelId="{DA9FC889-C7B1-49A2-A3F9-FD5C6F84A283}" type="presParOf" srcId="{5C070A03-8401-4A74-8058-E2E5C44C8965}" destId="{8D212EBA-D7E4-430F-BE74-0C610C16EA73}" srcOrd="23" destOrd="0" presId="urn:microsoft.com/office/officeart/2008/layout/LinedList"/>
    <dgm:cxn modelId="{8BD4577F-986B-4AAA-9DC3-F4CF8EF1D183}" type="presParOf" srcId="{5C070A03-8401-4A74-8058-E2E5C44C8965}" destId="{8C9D7641-B603-4EDF-8E87-0CB448F7735D}" srcOrd="24" destOrd="0" presId="urn:microsoft.com/office/officeart/2008/layout/LinedList"/>
    <dgm:cxn modelId="{4865BDF3-8734-4DE3-9D1C-B5DD4852F22A}" type="presParOf" srcId="{5C070A03-8401-4A74-8058-E2E5C44C8965}" destId="{9CDB39A3-F459-46E1-B441-2F61B21717BC}" srcOrd="25" destOrd="0" presId="urn:microsoft.com/office/officeart/2008/layout/LinedList"/>
    <dgm:cxn modelId="{DB816781-06FD-4DB6-828D-9C485F8C7C7E}" type="presParOf" srcId="{9CDB39A3-F459-46E1-B441-2F61B21717BC}" destId="{F75E5382-1D7E-4917-AEC9-AC23BEE9EB45}" srcOrd="0" destOrd="0" presId="urn:microsoft.com/office/officeart/2008/layout/LinedList"/>
    <dgm:cxn modelId="{2F4EA1D4-8F11-4D59-9EE0-F71E76E00B92}" type="presParOf" srcId="{9CDB39A3-F459-46E1-B441-2F61B21717BC}" destId="{F0BF9AD2-FD9D-4F7A-82DF-C893A342BBA4}" srcOrd="1" destOrd="0" presId="urn:microsoft.com/office/officeart/2008/layout/LinedList"/>
    <dgm:cxn modelId="{64AA8ECF-A559-423A-AB39-C6EBC3BF13AC}" type="presParOf" srcId="{9CDB39A3-F459-46E1-B441-2F61B21717BC}" destId="{3B00C7D3-41AB-4665-BC31-D3060F7ED7B9}" srcOrd="2" destOrd="0" presId="urn:microsoft.com/office/officeart/2008/layout/LinedList"/>
    <dgm:cxn modelId="{2E8F4C87-C5AC-49ED-B669-EC9E8E7E9A0B}" type="presParOf" srcId="{5C070A03-8401-4A74-8058-E2E5C44C8965}" destId="{F6925B0C-B6A1-4C9A-AC81-7F9FB9D1F4D1}" srcOrd="26" destOrd="0" presId="urn:microsoft.com/office/officeart/2008/layout/LinedList"/>
    <dgm:cxn modelId="{20BBC32C-1776-445B-BFD1-2626E812DC71}" type="presParOf" srcId="{5C070A03-8401-4A74-8058-E2E5C44C8965}" destId="{D7CD150E-B7B7-4DA7-99DB-A87CA3DE7F2B}" srcOrd="27" destOrd="0" presId="urn:microsoft.com/office/officeart/2008/layout/LinedList"/>
    <dgm:cxn modelId="{1ED604BE-FA86-4FDE-BE0E-B5739066D3AA}" type="presParOf" srcId="{5C070A03-8401-4A74-8058-E2E5C44C8965}" destId="{5973CD8E-8ADA-43F2-8825-2ABDCD5AECA6}" srcOrd="28" destOrd="0" presId="urn:microsoft.com/office/officeart/2008/layout/LinedList"/>
    <dgm:cxn modelId="{6A6C5D34-85D9-448B-8387-A86D2223EFB0}" type="presParOf" srcId="{5973CD8E-8ADA-43F2-8825-2ABDCD5AECA6}" destId="{C45F61D1-ADA4-4F21-BC35-F7208BE36909}" srcOrd="0" destOrd="0" presId="urn:microsoft.com/office/officeart/2008/layout/LinedList"/>
    <dgm:cxn modelId="{374C7B6B-E3C7-45A5-8249-B099534B6524}" type="presParOf" srcId="{5973CD8E-8ADA-43F2-8825-2ABDCD5AECA6}" destId="{55EFFAE0-A823-433C-B147-236333E805A0}" srcOrd="1" destOrd="0" presId="urn:microsoft.com/office/officeart/2008/layout/LinedList"/>
    <dgm:cxn modelId="{A467E868-9E83-443E-BB3E-C735ED1A3168}" type="presParOf" srcId="{5973CD8E-8ADA-43F2-8825-2ABDCD5AECA6}" destId="{7DFB89C3-B4C7-4E0B-B44F-A49739BFB336}" srcOrd="2" destOrd="0" presId="urn:microsoft.com/office/officeart/2008/layout/LinedList"/>
    <dgm:cxn modelId="{9A502A80-602D-46BB-A440-B0C5E84BAB30}" type="presParOf" srcId="{5C070A03-8401-4A74-8058-E2E5C44C8965}" destId="{DF271FAF-187B-4121-B030-B1C37996C1AD}" srcOrd="29" destOrd="0" presId="urn:microsoft.com/office/officeart/2008/layout/LinedList"/>
    <dgm:cxn modelId="{35F7AFB9-9788-49BB-B100-8C8248077580}" type="presParOf" srcId="{5C070A03-8401-4A74-8058-E2E5C44C8965}" destId="{C036CAE9-724D-4C39-8F60-6E9A4791B031}" srcOrd="30" destOrd="0" presId="urn:microsoft.com/office/officeart/2008/layout/LinedList"/>
    <dgm:cxn modelId="{5255DEBC-D24C-4349-B19D-C016E040A37C}" type="presParOf" srcId="{5C070A03-8401-4A74-8058-E2E5C44C8965}" destId="{8F34A2E5-4111-43BA-A541-C4EE32AB8E63}" srcOrd="31" destOrd="0" presId="urn:microsoft.com/office/officeart/2008/layout/LinedList"/>
    <dgm:cxn modelId="{E2822EEA-5350-486D-91C6-28AB7DE0BCC5}" type="presParOf" srcId="{8F34A2E5-4111-43BA-A541-C4EE32AB8E63}" destId="{74C4763B-EB8F-4EEE-81B0-76C316CD4D17}" srcOrd="0" destOrd="0" presId="urn:microsoft.com/office/officeart/2008/layout/LinedList"/>
    <dgm:cxn modelId="{93F9150D-4908-44CF-97B9-9232DA8D4FBE}" type="presParOf" srcId="{8F34A2E5-4111-43BA-A541-C4EE32AB8E63}" destId="{83DCB28E-31F3-43F2-85E8-0F7CEB9C877E}" srcOrd="1" destOrd="0" presId="urn:microsoft.com/office/officeart/2008/layout/LinedList"/>
    <dgm:cxn modelId="{E8CD3CC0-0948-4D84-AFB9-CE5E1B6AEA4A}" type="presParOf" srcId="{8F34A2E5-4111-43BA-A541-C4EE32AB8E63}" destId="{25D238D0-C0A6-40A5-9DC9-452AE6F4C34C}" srcOrd="2" destOrd="0" presId="urn:microsoft.com/office/officeart/2008/layout/LinedList"/>
    <dgm:cxn modelId="{54F1F587-F912-4110-9524-BBABFF96BEBA}" type="presParOf" srcId="{5C070A03-8401-4A74-8058-E2E5C44C8965}" destId="{5B8234CC-6F22-4E53-890F-07DDDE029C24}" srcOrd="32" destOrd="0" presId="urn:microsoft.com/office/officeart/2008/layout/LinedList"/>
    <dgm:cxn modelId="{A6AE4573-F56C-4089-AFB2-17EB3F25426B}" type="presParOf" srcId="{5C070A03-8401-4A74-8058-E2E5C44C8965}" destId="{AE8DCCC9-5CCB-4D83-9D35-ACB94A1367E3}" srcOrd="33" destOrd="0" presId="urn:microsoft.com/office/officeart/2008/layout/LinedList"/>
    <dgm:cxn modelId="{97C4C488-D45E-4CB7-8589-3D9FFF233E8E}" type="presParOf" srcId="{5C070A03-8401-4A74-8058-E2E5C44C8965}" destId="{52BF8109-3715-4747-B994-E810D0151FC8}" srcOrd="34" destOrd="0" presId="urn:microsoft.com/office/officeart/2008/layout/LinedList"/>
    <dgm:cxn modelId="{0252039E-F08F-4AB9-B205-FAF9C63EA0CC}" type="presParOf" srcId="{52BF8109-3715-4747-B994-E810D0151FC8}" destId="{27BBA035-EC73-4B13-9ACE-7A92F5223504}" srcOrd="0" destOrd="0" presId="urn:microsoft.com/office/officeart/2008/layout/LinedList"/>
    <dgm:cxn modelId="{F2CD0B75-837D-49CD-B574-05E6AE3D3F8A}" type="presParOf" srcId="{52BF8109-3715-4747-B994-E810D0151FC8}" destId="{6D74A57A-333C-4752-B9F9-86D19158D0C8}" srcOrd="1" destOrd="0" presId="urn:microsoft.com/office/officeart/2008/layout/LinedList"/>
    <dgm:cxn modelId="{4E9CAC8E-3D43-42EF-8782-911312A61B4F}" type="presParOf" srcId="{52BF8109-3715-4747-B994-E810D0151FC8}" destId="{26B44E99-3273-43AF-BD7E-5D9912EE8662}" srcOrd="2" destOrd="0" presId="urn:microsoft.com/office/officeart/2008/layout/LinedList"/>
    <dgm:cxn modelId="{E23B1FBD-6BDE-4741-B794-95DBB6F7297D}" type="presParOf" srcId="{5C070A03-8401-4A74-8058-E2E5C44C8965}" destId="{D99AFDAD-989E-4808-8A97-43CA8158C28F}" srcOrd="35" destOrd="0" presId="urn:microsoft.com/office/officeart/2008/layout/LinedList"/>
    <dgm:cxn modelId="{30E95343-65B4-49A9-9F26-D38B1324E660}" type="presParOf" srcId="{5C070A03-8401-4A74-8058-E2E5C44C8965}" destId="{5F0196F1-2169-4AB4-B868-CA98940D1AB0}" srcOrd="36" destOrd="0" presId="urn:microsoft.com/office/officeart/2008/layout/LinedList"/>
    <dgm:cxn modelId="{00A3E074-23ED-40AB-BB70-80814608473D}" type="presParOf" srcId="{5C070A03-8401-4A74-8058-E2E5C44C8965}" destId="{004563E0-3CF2-4BA8-941C-0DAB9792363C}" srcOrd="37" destOrd="0" presId="urn:microsoft.com/office/officeart/2008/layout/LinedList"/>
    <dgm:cxn modelId="{79002459-C6DF-4646-B34B-F00A81D45B74}" type="presParOf" srcId="{004563E0-3CF2-4BA8-941C-0DAB9792363C}" destId="{B5B8DC7B-8874-4DE8-8F57-EB78D4F99562}" srcOrd="0" destOrd="0" presId="urn:microsoft.com/office/officeart/2008/layout/LinedList"/>
    <dgm:cxn modelId="{764ADAB9-2C92-4830-A18C-DD11E79B3120}" type="presParOf" srcId="{004563E0-3CF2-4BA8-941C-0DAB9792363C}" destId="{B3B5B9E5-0D93-4F6E-8F6E-193E35F19EA6}" srcOrd="1" destOrd="0" presId="urn:microsoft.com/office/officeart/2008/layout/LinedList"/>
    <dgm:cxn modelId="{A753448D-02F0-4A7D-8CD7-E508A5022C06}" type="presParOf" srcId="{004563E0-3CF2-4BA8-941C-0DAB9792363C}" destId="{74966E22-D6F3-463E-9EFF-C7157FC413DE}" srcOrd="2" destOrd="0" presId="urn:microsoft.com/office/officeart/2008/layout/LinedList"/>
    <dgm:cxn modelId="{CF336579-958D-4275-85F4-8B2E4F33461F}" type="presParOf" srcId="{5C070A03-8401-4A74-8058-E2E5C44C8965}" destId="{91578A58-A914-45B5-B0C9-4609402A4FAA}" srcOrd="38" destOrd="0" presId="urn:microsoft.com/office/officeart/2008/layout/LinedList"/>
    <dgm:cxn modelId="{E8EF9FB8-A903-46D4-B358-FAF464A2247B}" type="presParOf" srcId="{5C070A03-8401-4A74-8058-E2E5C44C8965}" destId="{8C6ADC18-1DC2-4990-AC97-310361E5DF03}" srcOrd="39" destOrd="0" presId="urn:microsoft.com/office/officeart/2008/layout/LinedList"/>
    <dgm:cxn modelId="{48D6BF9A-6A15-4853-AC38-AF1D20229642}" type="presParOf" srcId="{5C070A03-8401-4A74-8058-E2E5C44C8965}" destId="{73E17BC6-4678-439B-9AD7-45042B0D5EB0}" srcOrd="40" destOrd="0" presId="urn:microsoft.com/office/officeart/2008/layout/LinedList"/>
    <dgm:cxn modelId="{E297A634-93A4-47F3-815A-B77272BE8BA4}" type="presParOf" srcId="{73E17BC6-4678-439B-9AD7-45042B0D5EB0}" destId="{EDF00809-CBC4-4739-94EF-FA24A02B12DE}" srcOrd="0" destOrd="0" presId="urn:microsoft.com/office/officeart/2008/layout/LinedList"/>
    <dgm:cxn modelId="{663DD262-ECED-4029-B571-4C1EDC79CA50}" type="presParOf" srcId="{73E17BC6-4678-439B-9AD7-45042B0D5EB0}" destId="{98C45C39-8DD0-4989-A824-5E763ACA833A}" srcOrd="1" destOrd="0" presId="urn:microsoft.com/office/officeart/2008/layout/LinedList"/>
    <dgm:cxn modelId="{B17C4B65-3A6C-4BAA-A796-1DD26F214703}" type="presParOf" srcId="{73E17BC6-4678-439B-9AD7-45042B0D5EB0}" destId="{2DFD8B5F-2C99-4266-AE7F-6FE92AE8F3BF}" srcOrd="2" destOrd="0" presId="urn:microsoft.com/office/officeart/2008/layout/LinedList"/>
    <dgm:cxn modelId="{992A095F-B56E-49AE-90C1-D816E659F510}" type="presParOf" srcId="{5C070A03-8401-4A74-8058-E2E5C44C8965}" destId="{B0FD8FD6-D527-4D2B-8894-A77D459AB545}" srcOrd="41" destOrd="0" presId="urn:microsoft.com/office/officeart/2008/layout/LinedList"/>
    <dgm:cxn modelId="{E98D1501-5372-4AC5-A228-58C8A56B1CE4}" type="presParOf" srcId="{5C070A03-8401-4A74-8058-E2E5C44C8965}" destId="{DC06DA41-4A44-4927-8B15-26D25C8C8B28}" srcOrd="42" destOrd="0" presId="urn:microsoft.com/office/officeart/2008/layout/LinedList"/>
    <dgm:cxn modelId="{31AD327B-43D6-4641-9E3F-2F22527138DC}" type="presParOf" srcId="{5C070A03-8401-4A74-8058-E2E5C44C8965}" destId="{03EE580D-8C25-4D74-8C29-D713976D16C0}" srcOrd="43" destOrd="0" presId="urn:microsoft.com/office/officeart/2008/layout/LinedList"/>
    <dgm:cxn modelId="{1FA0A323-F099-46AD-BEED-508936895935}" type="presParOf" srcId="{03EE580D-8C25-4D74-8C29-D713976D16C0}" destId="{1C569456-AE6B-46E3-85F4-F9923425EF4C}" srcOrd="0" destOrd="0" presId="urn:microsoft.com/office/officeart/2008/layout/LinedList"/>
    <dgm:cxn modelId="{D2328B63-20DE-4D7B-8539-7275DCC00281}" type="presParOf" srcId="{03EE580D-8C25-4D74-8C29-D713976D16C0}" destId="{8265D9AC-E18E-4F98-A9C7-C0085FA7BB14}" srcOrd="1" destOrd="0" presId="urn:microsoft.com/office/officeart/2008/layout/LinedList"/>
    <dgm:cxn modelId="{CA38F860-F5E0-465C-B7DC-E1D045DFB16C}" type="presParOf" srcId="{03EE580D-8C25-4D74-8C29-D713976D16C0}" destId="{690774AD-0B1D-40A1-AF80-E9A153A004DF}" srcOrd="2" destOrd="0" presId="urn:microsoft.com/office/officeart/2008/layout/LinedList"/>
    <dgm:cxn modelId="{6980AD82-4169-40FD-AB97-8A5ADB8BDF38}" type="presParOf" srcId="{5C070A03-8401-4A74-8058-E2E5C44C8965}" destId="{5571C2CD-3D4C-4468-B615-60C3AF071F09}" srcOrd="44" destOrd="0" presId="urn:microsoft.com/office/officeart/2008/layout/LinedList"/>
    <dgm:cxn modelId="{342BD861-B110-41CC-9346-CAEAE3B19586}" type="presParOf" srcId="{5C070A03-8401-4A74-8058-E2E5C44C8965}" destId="{4A0F56B1-AD95-4F79-9515-691D16349DE2}" srcOrd="45" destOrd="0" presId="urn:microsoft.com/office/officeart/2008/layout/LinedList"/>
    <dgm:cxn modelId="{04E42144-D78A-470A-9A28-7E1B3852820D}" type="presParOf" srcId="{5C070A03-8401-4A74-8058-E2E5C44C8965}" destId="{60C6CBEC-C87E-4BB5-941B-04C13A229019}" srcOrd="46" destOrd="0" presId="urn:microsoft.com/office/officeart/2008/layout/LinedList"/>
    <dgm:cxn modelId="{3BCE8914-5CF2-4DA6-8A28-7C7E2B6CB3BA}" type="presParOf" srcId="{60C6CBEC-C87E-4BB5-941B-04C13A229019}" destId="{7AA91B25-B838-4328-B9DB-035DA16686E6}" srcOrd="0" destOrd="0" presId="urn:microsoft.com/office/officeart/2008/layout/LinedList"/>
    <dgm:cxn modelId="{245A2A10-BEBB-42AB-8830-FF22F656D69B}" type="presParOf" srcId="{60C6CBEC-C87E-4BB5-941B-04C13A229019}" destId="{041C988D-9CFD-42EA-B2A5-22736BA7B5F0}" srcOrd="1" destOrd="0" presId="urn:microsoft.com/office/officeart/2008/layout/LinedList"/>
    <dgm:cxn modelId="{92FF91E1-56E6-458E-81E4-310EF4B1764C}" type="presParOf" srcId="{60C6CBEC-C87E-4BB5-941B-04C13A229019}" destId="{32F99850-EE53-4C18-B543-5C5878CBAB72}" srcOrd="2" destOrd="0" presId="urn:microsoft.com/office/officeart/2008/layout/LinedList"/>
    <dgm:cxn modelId="{0318D259-24B4-4D8D-B527-9F6469213B59}" type="presParOf" srcId="{5C070A03-8401-4A74-8058-E2E5C44C8965}" destId="{A5E738B1-3F3D-400A-A73D-FECC38B0235D}" srcOrd="47" destOrd="0" presId="urn:microsoft.com/office/officeart/2008/layout/LinedList"/>
    <dgm:cxn modelId="{27899DEC-55F6-4731-96A1-C59D1A084CF7}" type="presParOf" srcId="{5C070A03-8401-4A74-8058-E2E5C44C8965}" destId="{1E09846B-F469-4874-BCEF-2AACBA0D5310}" srcOrd="48" destOrd="0" presId="urn:microsoft.com/office/officeart/2008/layout/LinedList"/>
    <dgm:cxn modelId="{272B5C23-7595-43F3-BBFE-532B2683F595}" type="presParOf" srcId="{5C070A03-8401-4A74-8058-E2E5C44C8965}" destId="{E0851801-69D2-4C5B-A477-017A4AB842B2}" srcOrd="49" destOrd="0" presId="urn:microsoft.com/office/officeart/2008/layout/LinedList"/>
    <dgm:cxn modelId="{600954C3-EA37-4FE3-B2FE-C6B301233063}" type="presParOf" srcId="{E0851801-69D2-4C5B-A477-017A4AB842B2}" destId="{F009230A-342F-4DC4-BABD-2DBCD2008C1C}" srcOrd="0" destOrd="0" presId="urn:microsoft.com/office/officeart/2008/layout/LinedList"/>
    <dgm:cxn modelId="{194BB115-20DD-45E4-A726-2CBB216E9A36}" type="presParOf" srcId="{E0851801-69D2-4C5B-A477-017A4AB842B2}" destId="{1A57C365-73E5-4ECD-B99A-D3CB01DC424E}" srcOrd="1" destOrd="0" presId="urn:microsoft.com/office/officeart/2008/layout/LinedList"/>
    <dgm:cxn modelId="{4BEEDD29-7206-4E31-8E56-75F80933C2FA}" type="presParOf" srcId="{E0851801-69D2-4C5B-A477-017A4AB842B2}" destId="{C263F8C6-E9AB-4F0C-A6CD-371071A684FC}" srcOrd="2" destOrd="0" presId="urn:microsoft.com/office/officeart/2008/layout/LinedList"/>
    <dgm:cxn modelId="{BA131A8C-3857-444B-9D47-2F695B8639FC}" type="presParOf" srcId="{5C070A03-8401-4A74-8058-E2E5C44C8965}" destId="{F90BC1CE-E710-4386-86F4-AE2EB28D0F61}" srcOrd="50" destOrd="0" presId="urn:microsoft.com/office/officeart/2008/layout/LinedList"/>
    <dgm:cxn modelId="{A5EC3299-042E-4A11-8F20-2E52EB2518BD}" type="presParOf" srcId="{5C070A03-8401-4A74-8058-E2E5C44C8965}" destId="{F8CEA947-E75D-4C07-99CF-4950F0DF56B0}" srcOrd="51" destOrd="0" presId="urn:microsoft.com/office/officeart/2008/layout/LinedList"/>
    <dgm:cxn modelId="{630B0FCD-1200-44D0-8E2C-D7F98BDC2685}" type="presParOf" srcId="{5C070A03-8401-4A74-8058-E2E5C44C8965}" destId="{F22E4249-8C12-47D5-BE71-8B87337085E2}" srcOrd="52" destOrd="0" presId="urn:microsoft.com/office/officeart/2008/layout/LinedList"/>
    <dgm:cxn modelId="{45FAB306-CDF2-4780-9E14-1E9C26E0F709}" type="presParOf" srcId="{F22E4249-8C12-47D5-BE71-8B87337085E2}" destId="{050B90A8-6DF5-4BBA-9C0A-F4F40489BAFF}" srcOrd="0" destOrd="0" presId="urn:microsoft.com/office/officeart/2008/layout/LinedList"/>
    <dgm:cxn modelId="{9DF1EC1B-5855-47C5-8DF8-21AF856BBA8A}" type="presParOf" srcId="{F22E4249-8C12-47D5-BE71-8B87337085E2}" destId="{71D8580A-C8ED-473E-85F4-051175F61243}" srcOrd="1" destOrd="0" presId="urn:microsoft.com/office/officeart/2008/layout/LinedList"/>
    <dgm:cxn modelId="{B42B9ACE-5F8A-4712-A3DC-CA9652C228C7}" type="presParOf" srcId="{F22E4249-8C12-47D5-BE71-8B87337085E2}" destId="{D10B8B8D-3728-46F6-9502-CD995BC33813}" srcOrd="2" destOrd="0" presId="urn:microsoft.com/office/officeart/2008/layout/LinedList"/>
    <dgm:cxn modelId="{60D854C4-C71C-4A82-B607-AD74E576543B}" type="presParOf" srcId="{5C070A03-8401-4A74-8058-E2E5C44C8965}" destId="{7B96FEA3-AE76-412D-9238-BA3F0FC47511}" srcOrd="53" destOrd="0" presId="urn:microsoft.com/office/officeart/2008/layout/LinedList"/>
    <dgm:cxn modelId="{A7B8935F-72B8-4839-9632-9FC24C9333CB}" type="presParOf" srcId="{5C070A03-8401-4A74-8058-E2E5C44C8965}" destId="{801F9145-F798-425A-AD1A-89E98907409C}" srcOrd="54" destOrd="0" presId="urn:microsoft.com/office/officeart/2008/layout/LinedList"/>
  </dgm:cxnLst>
  <dgm:bg/>
  <dgm:whole>
    <a:ln w="6350"/>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726A51-CDDA-4682-9A1E-8D6A4DA22B21}">
      <dsp:nvSpPr>
        <dsp:cNvPr id="0" name=""/>
        <dsp:cNvSpPr/>
      </dsp:nvSpPr>
      <dsp:spPr>
        <a:xfrm>
          <a:off x="0" y="1664"/>
          <a:ext cx="2393950" cy="0"/>
        </a:xfrm>
        <a:prstGeom prst="lin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A1CD02D-CE87-42F8-9D9C-29F3DDD1CBD8}">
      <dsp:nvSpPr>
        <dsp:cNvPr id="0" name=""/>
        <dsp:cNvSpPr/>
      </dsp:nvSpPr>
      <dsp:spPr>
        <a:xfrm>
          <a:off x="0" y="1664"/>
          <a:ext cx="639062" cy="3405351"/>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rPr>
            <a:t>Muzaffariyya Complex</a:t>
          </a:r>
        </a:p>
      </dsp:txBody>
      <dsp:txXfrm>
        <a:off x="0" y="1664"/>
        <a:ext cx="639062" cy="3405351"/>
      </dsp:txXfrm>
    </dsp:sp>
    <dsp:sp modelId="{4EED4CDA-1B1A-40AF-B3BB-CA9832977C49}">
      <dsp:nvSpPr>
        <dsp:cNvPr id="0" name=""/>
        <dsp:cNvSpPr/>
      </dsp:nvSpPr>
      <dsp:spPr>
        <a:xfrm>
          <a:off x="671955" y="10404"/>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Goy</a:t>
          </a:r>
          <a:r>
            <a:rPr lang="en-US" sz="800" b="1" kern="1200" baseline="0">
              <a:latin typeface="Candara" panose="020E0502030303020204" pitchFamily="34" charset="0"/>
              <a:cs typeface="Times New Roman" panose="02020603050405020304" pitchFamily="18" charset="0"/>
            </a:rPr>
            <a:t> Masjid</a:t>
          </a:r>
          <a:endParaRPr lang="en-US" sz="800" b="1" kern="1200">
            <a:latin typeface="Candara" panose="020E0502030303020204" pitchFamily="34" charset="0"/>
          </a:endParaRPr>
        </a:p>
      </dsp:txBody>
      <dsp:txXfrm>
        <a:off x="671955" y="10404"/>
        <a:ext cx="1721423" cy="174798"/>
      </dsp:txXfrm>
    </dsp:sp>
    <dsp:sp modelId="{18A72D4A-D0F3-45A6-87C9-F9DEBC8FC606}">
      <dsp:nvSpPr>
        <dsp:cNvPr id="0" name=""/>
        <dsp:cNvSpPr/>
      </dsp:nvSpPr>
      <dsp:spPr>
        <a:xfrm>
          <a:off x="639062" y="185202"/>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68FCF72-579C-4E8E-B288-0FB271F59C67}">
      <dsp:nvSpPr>
        <dsp:cNvPr id="0" name=""/>
        <dsp:cNvSpPr/>
      </dsp:nvSpPr>
      <dsp:spPr>
        <a:xfrm>
          <a:off x="671955" y="193942"/>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Maqbareh (Tomb)</a:t>
          </a:r>
          <a:endParaRPr lang="en-US" sz="800" b="1" kern="1200">
            <a:latin typeface="Candara" panose="020E0502030303020204" pitchFamily="34" charset="0"/>
          </a:endParaRPr>
        </a:p>
      </dsp:txBody>
      <dsp:txXfrm>
        <a:off x="671955" y="193942"/>
        <a:ext cx="1721423" cy="174798"/>
      </dsp:txXfrm>
    </dsp:sp>
    <dsp:sp modelId="{5DE31EED-CBEC-4FB4-B81A-319DCAD8CCB8}">
      <dsp:nvSpPr>
        <dsp:cNvPr id="0" name=""/>
        <dsp:cNvSpPr/>
      </dsp:nvSpPr>
      <dsp:spPr>
        <a:xfrm>
          <a:off x="639062" y="368741"/>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4AF1517-89F4-4B31-A8E0-84E31DEB4235}">
      <dsp:nvSpPr>
        <dsp:cNvPr id="0" name=""/>
        <dsp:cNvSpPr/>
      </dsp:nvSpPr>
      <dsp:spPr>
        <a:xfrm>
          <a:off x="671955" y="377481"/>
          <a:ext cx="1721423" cy="1747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Revag (Porch)</a:t>
          </a:r>
          <a:endParaRPr lang="en-US" sz="800" b="1" kern="1200">
            <a:latin typeface="Candara" panose="020E0502030303020204" pitchFamily="34" charset="0"/>
          </a:endParaRPr>
        </a:p>
      </dsp:txBody>
      <dsp:txXfrm>
        <a:off x="671955" y="377481"/>
        <a:ext cx="1721423" cy="174798"/>
      </dsp:txXfrm>
    </dsp:sp>
    <dsp:sp modelId="{9804BAF3-A98B-43EF-B3CB-C498ADA25716}">
      <dsp:nvSpPr>
        <dsp:cNvPr id="0" name=""/>
        <dsp:cNvSpPr/>
      </dsp:nvSpPr>
      <dsp:spPr>
        <a:xfrm>
          <a:off x="639062" y="552280"/>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63FEE81-168F-434B-959C-04DB6CD5CC5A}">
      <dsp:nvSpPr>
        <dsp:cNvPr id="0" name=""/>
        <dsp:cNvSpPr/>
      </dsp:nvSpPr>
      <dsp:spPr>
        <a:xfrm>
          <a:off x="671955" y="561019"/>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Carvanserai</a:t>
          </a:r>
          <a:endParaRPr lang="en-US" sz="800" b="1" kern="1200">
            <a:latin typeface="Candara" panose="020E0502030303020204" pitchFamily="34" charset="0"/>
          </a:endParaRPr>
        </a:p>
      </dsp:txBody>
      <dsp:txXfrm>
        <a:off x="671955" y="561019"/>
        <a:ext cx="1721423" cy="174798"/>
      </dsp:txXfrm>
    </dsp:sp>
    <dsp:sp modelId="{389CED4A-BEF7-4E4F-B8E6-3488D30361DF}">
      <dsp:nvSpPr>
        <dsp:cNvPr id="0" name=""/>
        <dsp:cNvSpPr/>
      </dsp:nvSpPr>
      <dsp:spPr>
        <a:xfrm>
          <a:off x="639062" y="735818"/>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BFA24FD-8EA8-4E86-9FA9-9C5DDDA1A998}">
      <dsp:nvSpPr>
        <dsp:cNvPr id="0" name=""/>
        <dsp:cNvSpPr/>
      </dsp:nvSpPr>
      <dsp:spPr>
        <a:xfrm>
          <a:off x="671955" y="744558"/>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Library</a:t>
          </a:r>
          <a:endParaRPr lang="en-US" sz="800" b="1" kern="1200">
            <a:latin typeface="Candara" panose="020E0502030303020204" pitchFamily="34" charset="0"/>
          </a:endParaRPr>
        </a:p>
      </dsp:txBody>
      <dsp:txXfrm>
        <a:off x="671955" y="744558"/>
        <a:ext cx="1721423" cy="174798"/>
      </dsp:txXfrm>
    </dsp:sp>
    <dsp:sp modelId="{B5A850F3-2C37-48F1-9FFD-9A56CB57E7F4}">
      <dsp:nvSpPr>
        <dsp:cNvPr id="0" name=""/>
        <dsp:cNvSpPr/>
      </dsp:nvSpPr>
      <dsp:spPr>
        <a:xfrm>
          <a:off x="639062" y="919357"/>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8E39574-60F7-4F17-BDD1-1206B0FDEC96}">
      <dsp:nvSpPr>
        <dsp:cNvPr id="0" name=""/>
        <dsp:cNvSpPr/>
      </dsp:nvSpPr>
      <dsp:spPr>
        <a:xfrm>
          <a:off x="671955" y="928097"/>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Madrasa (School)</a:t>
          </a:r>
          <a:endParaRPr lang="en-US" sz="800" b="1" kern="1200">
            <a:latin typeface="Candara" panose="020E0502030303020204" pitchFamily="34" charset="0"/>
          </a:endParaRPr>
        </a:p>
      </dsp:txBody>
      <dsp:txXfrm>
        <a:off x="671955" y="928097"/>
        <a:ext cx="1721423" cy="174798"/>
      </dsp:txXfrm>
    </dsp:sp>
    <dsp:sp modelId="{B9EE0CF3-138B-416B-ADA2-A5653CC5BF4B}">
      <dsp:nvSpPr>
        <dsp:cNvPr id="0" name=""/>
        <dsp:cNvSpPr/>
      </dsp:nvSpPr>
      <dsp:spPr>
        <a:xfrm>
          <a:off x="639062" y="1102895"/>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DED183E-B11A-40AF-90DC-D1F103183D07}">
      <dsp:nvSpPr>
        <dsp:cNvPr id="0" name=""/>
        <dsp:cNvSpPr/>
      </dsp:nvSpPr>
      <dsp:spPr>
        <a:xfrm>
          <a:off x="671955" y="1111635"/>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Sufi Khangah (Monastery)</a:t>
          </a:r>
          <a:endParaRPr lang="en-US" sz="800" b="1" kern="1200">
            <a:latin typeface="Candara" panose="020E0502030303020204" pitchFamily="34" charset="0"/>
          </a:endParaRPr>
        </a:p>
      </dsp:txBody>
      <dsp:txXfrm>
        <a:off x="671955" y="1111635"/>
        <a:ext cx="1721423" cy="174798"/>
      </dsp:txXfrm>
    </dsp:sp>
    <dsp:sp modelId="{D09D8B99-48B7-4B06-86C4-C7D620C98CAD}">
      <dsp:nvSpPr>
        <dsp:cNvPr id="0" name=""/>
        <dsp:cNvSpPr/>
      </dsp:nvSpPr>
      <dsp:spPr>
        <a:xfrm>
          <a:off x="639062" y="1286434"/>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3745CEC-C16F-4690-A447-3C64954E5269}">
      <dsp:nvSpPr>
        <dsp:cNvPr id="0" name=""/>
        <dsp:cNvSpPr/>
      </dsp:nvSpPr>
      <dsp:spPr>
        <a:xfrm>
          <a:off x="671955" y="1295174"/>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Zāviye (Shrine) </a:t>
          </a:r>
          <a:endParaRPr lang="en-US" sz="800" b="1" kern="1200">
            <a:latin typeface="Candara" panose="020E0502030303020204" pitchFamily="34" charset="0"/>
          </a:endParaRPr>
        </a:p>
      </dsp:txBody>
      <dsp:txXfrm>
        <a:off x="671955" y="1295174"/>
        <a:ext cx="1721423" cy="174798"/>
      </dsp:txXfrm>
    </dsp:sp>
    <dsp:sp modelId="{8D212EBA-D7E4-430F-BE74-0C610C16EA73}">
      <dsp:nvSpPr>
        <dsp:cNvPr id="0" name=""/>
        <dsp:cNvSpPr/>
      </dsp:nvSpPr>
      <dsp:spPr>
        <a:xfrm>
          <a:off x="639062" y="1469972"/>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0BF9AD2-FD9D-4F7A-82DF-C893A342BBA4}">
      <dsp:nvSpPr>
        <dsp:cNvPr id="0" name=""/>
        <dsp:cNvSpPr/>
      </dsp:nvSpPr>
      <dsp:spPr>
        <a:xfrm>
          <a:off x="671955" y="1478712"/>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Storage</a:t>
          </a:r>
          <a:endParaRPr lang="en-US" sz="800" b="1" kern="1200">
            <a:latin typeface="Candara" panose="020E0502030303020204" pitchFamily="34" charset="0"/>
          </a:endParaRPr>
        </a:p>
      </dsp:txBody>
      <dsp:txXfrm>
        <a:off x="671955" y="1478712"/>
        <a:ext cx="1721423" cy="174798"/>
      </dsp:txXfrm>
    </dsp:sp>
    <dsp:sp modelId="{F6925B0C-B6A1-4C9A-AC81-7F9FB9D1F4D1}">
      <dsp:nvSpPr>
        <dsp:cNvPr id="0" name=""/>
        <dsp:cNvSpPr/>
      </dsp:nvSpPr>
      <dsp:spPr>
        <a:xfrm>
          <a:off x="639062" y="1653511"/>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5EFFAE0-A823-433C-B147-236333E805A0}">
      <dsp:nvSpPr>
        <dsp:cNvPr id="0" name=""/>
        <dsp:cNvSpPr/>
      </dsp:nvSpPr>
      <dsp:spPr>
        <a:xfrm>
          <a:off x="671955" y="1662251"/>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Sahn (Courtyard)</a:t>
          </a:r>
          <a:endParaRPr lang="en-US" sz="800" b="1" kern="1200">
            <a:latin typeface="Candara" panose="020E0502030303020204" pitchFamily="34" charset="0"/>
          </a:endParaRPr>
        </a:p>
      </dsp:txBody>
      <dsp:txXfrm>
        <a:off x="671955" y="1662251"/>
        <a:ext cx="1721423" cy="174798"/>
      </dsp:txXfrm>
    </dsp:sp>
    <dsp:sp modelId="{DF271FAF-187B-4121-B030-B1C37996C1AD}">
      <dsp:nvSpPr>
        <dsp:cNvPr id="0" name=""/>
        <dsp:cNvSpPr/>
      </dsp:nvSpPr>
      <dsp:spPr>
        <a:xfrm>
          <a:off x="639062" y="1837049"/>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3DCB28E-31F3-43F2-85E8-0F7CEB9C877E}">
      <dsp:nvSpPr>
        <dsp:cNvPr id="0" name=""/>
        <dsp:cNvSpPr/>
      </dsp:nvSpPr>
      <dsp:spPr>
        <a:xfrm>
          <a:off x="671955" y="1845789"/>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Ho</a:t>
          </a:r>
          <a:r>
            <a:rPr lang="tr-TR" sz="800" b="1" kern="1200">
              <a:latin typeface="Candara" panose="020E0502030303020204" pitchFamily="34" charset="0"/>
              <a:cs typeface="Times New Roman" panose="02020603050405020304" pitchFamily="18" charset="0"/>
            </a:rPr>
            <a:t>w</a:t>
          </a:r>
          <a:r>
            <a:rPr lang="en-US" sz="800" b="1" kern="1200">
              <a:latin typeface="Candara" panose="020E0502030303020204" pitchFamily="34" charset="0"/>
              <a:cs typeface="Times New Roman" panose="02020603050405020304" pitchFamily="18" charset="0"/>
            </a:rPr>
            <a:t>z Khaneha (Pools)</a:t>
          </a:r>
          <a:endParaRPr lang="en-US" sz="800" b="1" kern="1200">
            <a:latin typeface="Candara" panose="020E0502030303020204" pitchFamily="34" charset="0"/>
          </a:endParaRPr>
        </a:p>
      </dsp:txBody>
      <dsp:txXfrm>
        <a:off x="671955" y="1845789"/>
        <a:ext cx="1721423" cy="174798"/>
      </dsp:txXfrm>
    </dsp:sp>
    <dsp:sp modelId="{5B8234CC-6F22-4E53-890F-07DDDE029C24}">
      <dsp:nvSpPr>
        <dsp:cNvPr id="0" name=""/>
        <dsp:cNvSpPr/>
      </dsp:nvSpPr>
      <dsp:spPr>
        <a:xfrm>
          <a:off x="639062" y="2020588"/>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D74A57A-333C-4752-B9F9-86D19158D0C8}">
      <dsp:nvSpPr>
        <dsp:cNvPr id="0" name=""/>
        <dsp:cNvSpPr/>
      </dsp:nvSpPr>
      <dsp:spPr>
        <a:xfrm>
          <a:off x="671955" y="2029328"/>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Ganāt (Aqueduct)</a:t>
          </a:r>
          <a:endParaRPr lang="en-US" sz="800" b="1" kern="1200">
            <a:latin typeface="Candara" panose="020E0502030303020204" pitchFamily="34" charset="0"/>
          </a:endParaRPr>
        </a:p>
      </dsp:txBody>
      <dsp:txXfrm>
        <a:off x="671955" y="2029328"/>
        <a:ext cx="1721423" cy="174798"/>
      </dsp:txXfrm>
    </dsp:sp>
    <dsp:sp modelId="{D99AFDAD-989E-4808-8A97-43CA8158C28F}">
      <dsp:nvSpPr>
        <dsp:cNvPr id="0" name=""/>
        <dsp:cNvSpPr/>
      </dsp:nvSpPr>
      <dsp:spPr>
        <a:xfrm>
          <a:off x="639062" y="2204126"/>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3B5B9E5-0D93-4F6E-8F6E-193E35F19EA6}">
      <dsp:nvSpPr>
        <dsp:cNvPr id="0" name=""/>
        <dsp:cNvSpPr/>
      </dsp:nvSpPr>
      <dsp:spPr>
        <a:xfrm>
          <a:off x="671955" y="2212866"/>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Imam Juma's House</a:t>
          </a:r>
          <a:endParaRPr lang="en-US" sz="800" b="1" kern="1200">
            <a:latin typeface="Candara" panose="020E0502030303020204" pitchFamily="34" charset="0"/>
          </a:endParaRPr>
        </a:p>
      </dsp:txBody>
      <dsp:txXfrm>
        <a:off x="671955" y="2212866"/>
        <a:ext cx="1721423" cy="174798"/>
      </dsp:txXfrm>
    </dsp:sp>
    <dsp:sp modelId="{91578A58-A914-45B5-B0C9-4609402A4FAA}">
      <dsp:nvSpPr>
        <dsp:cNvPr id="0" name=""/>
        <dsp:cNvSpPr/>
      </dsp:nvSpPr>
      <dsp:spPr>
        <a:xfrm>
          <a:off x="639062" y="2387665"/>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8C45C39-8DD0-4989-A824-5E763ACA833A}">
      <dsp:nvSpPr>
        <dsp:cNvPr id="0" name=""/>
        <dsp:cNvSpPr/>
      </dsp:nvSpPr>
      <dsp:spPr>
        <a:xfrm>
          <a:off x="671955" y="2396405"/>
          <a:ext cx="1721423" cy="266615"/>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Zemestani &amp; Tabestani Qorfes (hibernal and estival Rooms)</a:t>
          </a:r>
          <a:endParaRPr lang="en-US" sz="800" b="1" kern="1200">
            <a:latin typeface="Candara" panose="020E0502030303020204" pitchFamily="34" charset="0"/>
          </a:endParaRPr>
        </a:p>
      </dsp:txBody>
      <dsp:txXfrm>
        <a:off x="671955" y="2396405"/>
        <a:ext cx="1721423" cy="266615"/>
      </dsp:txXfrm>
    </dsp:sp>
    <dsp:sp modelId="{B0FD8FD6-D527-4D2B-8894-A77D459AB545}">
      <dsp:nvSpPr>
        <dsp:cNvPr id="0" name=""/>
        <dsp:cNvSpPr/>
      </dsp:nvSpPr>
      <dsp:spPr>
        <a:xfrm>
          <a:off x="639062" y="2663020"/>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265D9AC-E18E-4F98-A9C7-C0085FA7BB14}">
      <dsp:nvSpPr>
        <dsp:cNvPr id="0" name=""/>
        <dsp:cNvSpPr/>
      </dsp:nvSpPr>
      <dsp:spPr>
        <a:xfrm>
          <a:off x="671955" y="2671760"/>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Bāqāt (Gardens)</a:t>
          </a:r>
          <a:endParaRPr lang="en-US" sz="800" b="1" kern="1200">
            <a:latin typeface="Candara" panose="020E0502030303020204" pitchFamily="34" charset="0"/>
          </a:endParaRPr>
        </a:p>
      </dsp:txBody>
      <dsp:txXfrm>
        <a:off x="671955" y="2671760"/>
        <a:ext cx="1721423" cy="174798"/>
      </dsp:txXfrm>
    </dsp:sp>
    <dsp:sp modelId="{5571C2CD-3D4C-4468-B615-60C3AF071F09}">
      <dsp:nvSpPr>
        <dsp:cNvPr id="0" name=""/>
        <dsp:cNvSpPr/>
      </dsp:nvSpPr>
      <dsp:spPr>
        <a:xfrm>
          <a:off x="639062" y="2846558"/>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41C988D-9CFD-42EA-B2A5-22736BA7B5F0}">
      <dsp:nvSpPr>
        <dsp:cNvPr id="0" name=""/>
        <dsp:cNvSpPr/>
      </dsp:nvSpPr>
      <dsp:spPr>
        <a:xfrm>
          <a:off x="671955" y="2855298"/>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Hammam (Bath House)</a:t>
          </a:r>
          <a:endParaRPr lang="en-US" sz="800" b="1" kern="1200">
            <a:latin typeface="Candara" panose="020E0502030303020204" pitchFamily="34" charset="0"/>
          </a:endParaRPr>
        </a:p>
      </dsp:txBody>
      <dsp:txXfrm>
        <a:off x="671955" y="2855298"/>
        <a:ext cx="1721423" cy="174798"/>
      </dsp:txXfrm>
    </dsp:sp>
    <dsp:sp modelId="{A5E738B1-3F3D-400A-A73D-FECC38B0235D}">
      <dsp:nvSpPr>
        <dsp:cNvPr id="0" name=""/>
        <dsp:cNvSpPr/>
      </dsp:nvSpPr>
      <dsp:spPr>
        <a:xfrm>
          <a:off x="639062" y="3030097"/>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A57C365-73E5-4ECD-B99A-D3CB01DC424E}">
      <dsp:nvSpPr>
        <dsp:cNvPr id="0" name=""/>
        <dsp:cNvSpPr/>
      </dsp:nvSpPr>
      <dsp:spPr>
        <a:xfrm>
          <a:off x="671955" y="3038837"/>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latin typeface="Candara" panose="020E0502030303020204" pitchFamily="34" charset="0"/>
              <a:cs typeface="Times New Roman" panose="02020603050405020304" pitchFamily="18" charset="0"/>
            </a:rPr>
            <a:t>Meydan (Square)</a:t>
          </a:r>
          <a:endParaRPr lang="en-US" sz="800" b="1" kern="1200">
            <a:latin typeface="Candara" panose="020E0502030303020204" pitchFamily="34" charset="0"/>
          </a:endParaRPr>
        </a:p>
      </dsp:txBody>
      <dsp:txXfrm>
        <a:off x="671955" y="3038837"/>
        <a:ext cx="1721423" cy="174798"/>
      </dsp:txXfrm>
    </dsp:sp>
    <dsp:sp modelId="{F90BC1CE-E710-4386-86F4-AE2EB28D0F61}">
      <dsp:nvSpPr>
        <dsp:cNvPr id="0" name=""/>
        <dsp:cNvSpPr/>
      </dsp:nvSpPr>
      <dsp:spPr>
        <a:xfrm>
          <a:off x="639062" y="3213635"/>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1D8580A-C8ED-473E-85F4-051175F61243}">
      <dsp:nvSpPr>
        <dsp:cNvPr id="0" name=""/>
        <dsp:cNvSpPr/>
      </dsp:nvSpPr>
      <dsp:spPr>
        <a:xfrm>
          <a:off x="671955" y="3222375"/>
          <a:ext cx="1721423" cy="174798"/>
        </a:xfrm>
        <a:prstGeom prst="rect">
          <a:avLst/>
        </a:prstGeom>
        <a:noFill/>
        <a:ln w="9525">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b="1" kern="1200">
              <a:solidFill>
                <a:schemeClr val="tx1"/>
              </a:solidFill>
              <a:latin typeface="Candara" panose="020E0502030303020204" pitchFamily="34" charset="0"/>
              <a:cs typeface="Times New Roman" panose="02020603050405020304" pitchFamily="18" charset="0"/>
            </a:rPr>
            <a:t>Ziy</a:t>
          </a:r>
          <a:r>
            <a:rPr lang="en-US" sz="800" b="1" kern="1200">
              <a:latin typeface="Candara" panose="020E0502030303020204" pitchFamily="34" charset="0"/>
              <a:cs typeface="Times New Roman" panose="02020603050405020304" pitchFamily="18" charset="0"/>
            </a:rPr>
            <a:t>ā</a:t>
          </a:r>
          <a:r>
            <a:rPr lang="en-US" sz="800" b="1" kern="1200">
              <a:solidFill>
                <a:schemeClr val="tx1"/>
              </a:solidFill>
              <a:latin typeface="Candara" panose="020E0502030303020204" pitchFamily="34" charset="0"/>
              <a:cs typeface="Times New Roman" panose="02020603050405020304" pitchFamily="18" charset="0"/>
            </a:rPr>
            <a:t>fat Khaneh (banqueting house)</a:t>
          </a:r>
          <a:endParaRPr lang="en-US" sz="800" b="1" kern="1200">
            <a:latin typeface="Candara" panose="020E0502030303020204" pitchFamily="34" charset="0"/>
          </a:endParaRPr>
        </a:p>
      </dsp:txBody>
      <dsp:txXfrm>
        <a:off x="671955" y="3222375"/>
        <a:ext cx="1721423" cy="174798"/>
      </dsp:txXfrm>
    </dsp:sp>
    <dsp:sp modelId="{7B96FEA3-AE76-412D-9238-BA3F0FC47511}">
      <dsp:nvSpPr>
        <dsp:cNvPr id="0" name=""/>
        <dsp:cNvSpPr/>
      </dsp:nvSpPr>
      <dsp:spPr>
        <a:xfrm>
          <a:off x="639062" y="3397174"/>
          <a:ext cx="1754316"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14</Pages>
  <Words>6167</Words>
  <Characters>32504</Characters>
  <Application>Microsoft Office Word</Application>
  <DocSecurity>0</DocSecurity>
  <Lines>706</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15</cp:revision>
  <dcterms:created xsi:type="dcterms:W3CDTF">2024-06-10T01:09:00Z</dcterms:created>
  <dcterms:modified xsi:type="dcterms:W3CDTF">2024-06-11T04:28:00Z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