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957D02C" w:rsidR="00C26026" w:rsidRPr="004C7CB9" w:rsidRDefault="00863131" w:rsidP="00C26026">
            <w:pPr>
              <w:jc w:val="both"/>
              <w:rPr>
                <w:rFonts w:asciiTheme="minorHAnsi" w:hAnsiTheme="minorHAnsi" w:cstheme="minorHAnsi"/>
                <w:b/>
                <w:sz w:val="26"/>
                <w:szCs w:val="26"/>
              </w:rPr>
            </w:pPr>
            <w:r w:rsidRPr="00863131">
              <w:rPr>
                <w:rFonts w:asciiTheme="minorHAnsi" w:hAnsiTheme="minorHAnsi" w:cstheme="minorHAnsi"/>
                <w:b/>
                <w:bCs/>
                <w:sz w:val="28"/>
                <w:szCs w:val="28"/>
              </w:rPr>
              <w:t>UNCOVERING THE INFLUENCE OF MOSQUE OPENNESS ON SPEECH INTELLIGIBILITY: A SIMULATION STUDY</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3730EAE" w:rsidR="00D869DB" w:rsidRPr="004C7CB9" w:rsidRDefault="00863131">
            <w:pPr>
              <w:rPr>
                <w:rFonts w:asciiTheme="minorHAnsi" w:hAnsiTheme="minorHAnsi" w:cstheme="minorHAnsi"/>
              </w:rPr>
            </w:pPr>
            <w:r w:rsidRPr="00863131">
              <w:rPr>
                <w:rFonts w:asciiTheme="minorHAnsi" w:hAnsiTheme="minorHAnsi" w:cstheme="minorHAnsi"/>
              </w:rPr>
              <w:t xml:space="preserve">Muhammad Harish </w:t>
            </w:r>
            <w:proofErr w:type="spellStart"/>
            <w:r w:rsidRPr="00863131">
              <w:rPr>
                <w:rFonts w:asciiTheme="minorHAnsi" w:hAnsiTheme="minorHAnsi" w:cstheme="minorHAnsi"/>
              </w:rPr>
              <w:t>Heruputra</w:t>
            </w:r>
            <w:proofErr w:type="spellEnd"/>
            <w:r w:rsidRPr="00863131">
              <w:rPr>
                <w:rFonts w:asciiTheme="minorHAnsi" w:hAnsiTheme="minorHAnsi" w:cstheme="minorHAnsi"/>
              </w:rPr>
              <w:t xml:space="preserve"> </w:t>
            </w:r>
            <w:r w:rsidRPr="00863131">
              <w:rPr>
                <w:rFonts w:asciiTheme="minorHAnsi" w:hAnsiTheme="minorHAnsi" w:cstheme="minorHAnsi"/>
                <w:vertAlign w:val="superscript"/>
              </w:rPr>
              <w:t>a</w:t>
            </w:r>
            <w:r w:rsidRPr="00863131">
              <w:rPr>
                <w:rFonts w:asciiTheme="minorHAnsi" w:hAnsiTheme="minorHAnsi" w:cstheme="minorHAnsi"/>
              </w:rPr>
              <w:t xml:space="preserve">, </w:t>
            </w:r>
            <w:proofErr w:type="spellStart"/>
            <w:r w:rsidRPr="00863131">
              <w:rPr>
                <w:rFonts w:asciiTheme="minorHAnsi" w:hAnsiTheme="minorHAnsi" w:cstheme="minorHAnsi"/>
              </w:rPr>
              <w:t>Widyarko</w:t>
            </w:r>
            <w:proofErr w:type="spellEnd"/>
            <w:r w:rsidRPr="00863131">
              <w:rPr>
                <w:rFonts w:asciiTheme="minorHAnsi" w:hAnsiTheme="minorHAnsi" w:cstheme="minorHAnsi"/>
              </w:rPr>
              <w:t xml:space="preserve"> </w:t>
            </w:r>
            <w:proofErr w:type="spellStart"/>
            <w:r w:rsidRPr="00863131">
              <w:rPr>
                <w:rFonts w:asciiTheme="minorHAnsi" w:hAnsiTheme="minorHAnsi" w:cstheme="minorHAnsi"/>
              </w:rPr>
              <w:t>Widyarko</w:t>
            </w:r>
            <w:proofErr w:type="spellEnd"/>
            <w:r w:rsidRPr="00863131">
              <w:rPr>
                <w:rFonts w:asciiTheme="minorHAnsi" w:hAnsiTheme="minorHAnsi" w:cstheme="minorHAnsi"/>
                <w:vertAlign w:val="superscript"/>
              </w:rPr>
              <w:t xml:space="preserve"> a</w:t>
            </w:r>
            <w:r w:rsidRPr="00863131">
              <w:rPr>
                <w:rFonts w:asciiTheme="minorHAnsi" w:hAnsiTheme="minorHAnsi" w:cstheme="minorHAnsi"/>
              </w:rPr>
              <w:t xml:space="preserve">, </w:t>
            </w:r>
            <w:proofErr w:type="spellStart"/>
            <w:r w:rsidRPr="00863131">
              <w:rPr>
                <w:rFonts w:asciiTheme="minorHAnsi" w:hAnsiTheme="minorHAnsi" w:cstheme="minorHAnsi"/>
              </w:rPr>
              <w:t>Dalhar</w:t>
            </w:r>
            <w:proofErr w:type="spellEnd"/>
            <w:r w:rsidRPr="00863131">
              <w:rPr>
                <w:rFonts w:asciiTheme="minorHAnsi" w:hAnsiTheme="minorHAnsi" w:cstheme="minorHAnsi"/>
              </w:rPr>
              <w:t xml:space="preserve"> Susanto</w:t>
            </w:r>
            <w:r w:rsidRPr="00863131">
              <w:rPr>
                <w:rFonts w:asciiTheme="minorHAnsi" w:hAnsiTheme="minorHAnsi" w:cstheme="minorHAnsi"/>
                <w:vertAlign w:val="superscript"/>
              </w:rPr>
              <w:t xml:space="preserve"> a*</w:t>
            </w:r>
            <w:r>
              <w:rPr>
                <w:rFonts w:asciiTheme="minorHAnsi" w:hAnsiTheme="minorHAnsi" w:cstheme="minorHAnsi"/>
                <w:vertAlign w:val="superscript"/>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5073135" w:rsidR="00D869DB" w:rsidRPr="004C7CB9" w:rsidRDefault="00D869DB" w:rsidP="00D869DB">
            <w:pPr>
              <w:rPr>
                <w:sz w:val="18"/>
                <w:szCs w:val="18"/>
              </w:rPr>
            </w:pPr>
            <w:proofErr w:type="spellStart"/>
            <w:r w:rsidRPr="004C7CB9">
              <w:rPr>
                <w:sz w:val="18"/>
                <w:szCs w:val="18"/>
                <w:vertAlign w:val="superscript"/>
              </w:rPr>
              <w:t>a</w:t>
            </w:r>
            <w:r w:rsidR="00863131" w:rsidRPr="00863131">
              <w:rPr>
                <w:sz w:val="18"/>
                <w:szCs w:val="18"/>
              </w:rPr>
              <w:t>Departemen</w:t>
            </w:r>
            <w:proofErr w:type="spellEnd"/>
            <w:r w:rsidR="00863131" w:rsidRPr="00863131">
              <w:rPr>
                <w:sz w:val="18"/>
                <w:szCs w:val="18"/>
              </w:rPr>
              <w:t xml:space="preserve"> </w:t>
            </w:r>
            <w:proofErr w:type="spellStart"/>
            <w:r w:rsidR="00863131" w:rsidRPr="00863131">
              <w:rPr>
                <w:sz w:val="18"/>
                <w:szCs w:val="18"/>
              </w:rPr>
              <w:t>Arsitektur</w:t>
            </w:r>
            <w:proofErr w:type="spellEnd"/>
            <w:r w:rsidR="00863131" w:rsidRPr="00863131">
              <w:rPr>
                <w:sz w:val="18"/>
                <w:szCs w:val="18"/>
              </w:rPr>
              <w:t xml:space="preserve">, </w:t>
            </w:r>
            <w:proofErr w:type="spellStart"/>
            <w:r w:rsidR="00863131" w:rsidRPr="00863131">
              <w:rPr>
                <w:sz w:val="18"/>
                <w:szCs w:val="18"/>
              </w:rPr>
              <w:t>Fakultas</w:t>
            </w:r>
            <w:proofErr w:type="spellEnd"/>
            <w:r w:rsidR="00863131" w:rsidRPr="00863131">
              <w:rPr>
                <w:sz w:val="18"/>
                <w:szCs w:val="18"/>
              </w:rPr>
              <w:t xml:space="preserve"> Teknik, Universitas Indonesia, Indonesia</w:t>
            </w:r>
          </w:p>
          <w:p w14:paraId="4B54932F" w14:textId="67BED545" w:rsidR="00D869DB" w:rsidRPr="004C7CB9" w:rsidRDefault="00D869DB" w:rsidP="00D869DB">
            <w:r w:rsidRPr="004C7CB9">
              <w:rPr>
                <w:sz w:val="18"/>
                <w:szCs w:val="18"/>
              </w:rPr>
              <w:t xml:space="preserve">*Corresponding Author: </w:t>
            </w:r>
            <w:hyperlink r:id="rId9" w:history="1">
              <w:r w:rsidR="00863131" w:rsidRPr="00863131">
                <w:rPr>
                  <w:rStyle w:val="Hyperlink"/>
                  <w:color w:val="auto"/>
                  <w:sz w:val="18"/>
                  <w:szCs w:val="18"/>
                  <w:u w:val="none"/>
                </w:rPr>
                <w:t>dalhar.susanto@ui.ac.id</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7875AC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863131">
              <w:rPr>
                <w:rFonts w:asciiTheme="majorHAnsi" w:hAnsiTheme="majorHAnsi" w:cstheme="majorHAnsi"/>
                <w:sz w:val="18"/>
                <w:szCs w:val="18"/>
              </w:rPr>
              <w:t xml:space="preserve"> 8</w:t>
            </w:r>
          </w:p>
          <w:p w14:paraId="5F8B2097" w14:textId="155511E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863131">
              <w:rPr>
                <w:rFonts w:asciiTheme="majorHAnsi" w:hAnsiTheme="majorHAnsi" w:cstheme="majorHAnsi"/>
                <w:sz w:val="18"/>
                <w:szCs w:val="18"/>
              </w:rPr>
              <w:t xml:space="preserve"> 4</w:t>
            </w:r>
          </w:p>
          <w:p w14:paraId="1727970E" w14:textId="598CACC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26E0F">
              <w:rPr>
                <w:rFonts w:asciiTheme="majorHAnsi" w:hAnsiTheme="majorHAnsi" w:cstheme="majorHAnsi"/>
                <w:sz w:val="18"/>
                <w:szCs w:val="18"/>
              </w:rPr>
              <w:t xml:space="preserve"> 998-1011</w:t>
            </w:r>
          </w:p>
          <w:p w14:paraId="42AC331B" w14:textId="3904472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863131">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863131">
              <w:rPr>
                <w:rFonts w:asciiTheme="majorHAnsi" w:hAnsiTheme="majorHAnsi" w:cstheme="majorHAnsi"/>
                <w:sz w:val="18"/>
                <w:szCs w:val="18"/>
              </w:rPr>
              <w:t>19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63131">
              <w:rPr>
                <w:rFonts w:asciiTheme="majorHAnsi" w:hAnsiTheme="majorHAnsi" w:cstheme="majorHAnsi"/>
                <w:sz w:val="18"/>
                <w:szCs w:val="18"/>
              </w:rPr>
              <w:t>3</w:t>
            </w:r>
          </w:p>
          <w:p w14:paraId="63316A40" w14:textId="6BC71DE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863131">
              <w:rPr>
                <w:rFonts w:asciiTheme="majorHAnsi" w:hAnsiTheme="majorHAnsi" w:cstheme="majorHAnsi"/>
                <w:sz w:val="18"/>
                <w:szCs w:val="18"/>
              </w:rPr>
              <w:t>July</w:t>
            </w:r>
            <w:r w:rsidRPr="004C7CB9">
              <w:rPr>
                <w:rFonts w:asciiTheme="majorHAnsi" w:hAnsiTheme="majorHAnsi" w:cstheme="majorHAnsi"/>
                <w:sz w:val="18"/>
                <w:szCs w:val="18"/>
              </w:rPr>
              <w:t xml:space="preserve"> 3</w:t>
            </w:r>
            <w:r w:rsidR="00863131">
              <w:rPr>
                <w:rFonts w:asciiTheme="majorHAnsi" w:hAnsiTheme="majorHAnsi" w:cstheme="majorHAnsi"/>
                <w:sz w:val="18"/>
                <w:szCs w:val="18"/>
              </w:rPr>
              <w:t>1</w:t>
            </w:r>
            <w:r w:rsidR="00863131">
              <w:rPr>
                <w:rFonts w:asciiTheme="majorHAnsi" w:hAnsiTheme="majorHAnsi" w:cstheme="majorHAnsi"/>
                <w:sz w:val="18"/>
                <w:szCs w:val="18"/>
                <w:vertAlign w:val="superscript"/>
              </w:rPr>
              <w:t>st</w:t>
            </w:r>
            <w:r w:rsidRPr="004C7CB9">
              <w:rPr>
                <w:rFonts w:asciiTheme="majorHAnsi" w:hAnsiTheme="majorHAnsi" w:cstheme="majorHAnsi"/>
                <w:sz w:val="18"/>
                <w:szCs w:val="18"/>
              </w:rPr>
              <w:t>, 202</w:t>
            </w:r>
            <w:r w:rsidR="00863131">
              <w:rPr>
                <w:rFonts w:asciiTheme="majorHAnsi" w:hAnsiTheme="majorHAnsi" w:cstheme="majorHAnsi"/>
                <w:sz w:val="18"/>
                <w:szCs w:val="18"/>
              </w:rPr>
              <w:t>4</w:t>
            </w:r>
          </w:p>
          <w:p w14:paraId="6068623C" w14:textId="66A0D85F"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63131">
              <w:rPr>
                <w:rFonts w:asciiTheme="majorHAnsi" w:hAnsiTheme="majorHAnsi" w:cstheme="majorHAnsi"/>
                <w:sz w:val="18"/>
                <w:szCs w:val="18"/>
              </w:rPr>
              <w:t>5</w:t>
            </w:r>
          </w:p>
          <w:p w14:paraId="78EB1E49" w14:textId="22C572E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863131" w:rsidRPr="00863131">
              <w:rPr>
                <w:rFonts w:asciiTheme="majorHAnsi" w:hAnsiTheme="majorHAnsi" w:cstheme="majorHAnsi"/>
                <w:bCs/>
                <w:sz w:val="18"/>
                <w:szCs w:val="18"/>
              </w:rPr>
              <w:t>10.18860/</w:t>
            </w:r>
            <w:proofErr w:type="gramStart"/>
            <w:r w:rsidR="00863131" w:rsidRPr="00863131">
              <w:rPr>
                <w:rFonts w:asciiTheme="majorHAnsi" w:hAnsiTheme="majorHAnsi" w:cstheme="majorHAnsi"/>
                <w:bCs/>
                <w:sz w:val="18"/>
                <w:szCs w:val="18"/>
              </w:rPr>
              <w:t>jia.v</w:t>
            </w:r>
            <w:proofErr w:type="gramEnd"/>
            <w:r w:rsidR="00863131" w:rsidRPr="00863131">
              <w:rPr>
                <w:rFonts w:asciiTheme="majorHAnsi" w:hAnsiTheme="majorHAnsi" w:cstheme="majorHAnsi"/>
                <w:bCs/>
                <w:sz w:val="18"/>
                <w:szCs w:val="18"/>
              </w:rPr>
              <w:t>8i4.23828</w:t>
            </w:r>
          </w:p>
        </w:tc>
        <w:tc>
          <w:tcPr>
            <w:tcW w:w="5671" w:type="dxa"/>
          </w:tcPr>
          <w:p w14:paraId="7EFBA0CC" w14:textId="77777777" w:rsidR="00863131" w:rsidRDefault="00863131" w:rsidP="001D517C">
            <w:pPr>
              <w:jc w:val="both"/>
              <w:rPr>
                <w:rFonts w:asciiTheme="majorHAnsi" w:hAnsiTheme="majorHAnsi" w:cstheme="majorHAnsi"/>
                <w:sz w:val="18"/>
                <w:szCs w:val="18"/>
              </w:rPr>
            </w:pPr>
            <w:r w:rsidRPr="00863131">
              <w:rPr>
                <w:rFonts w:asciiTheme="majorHAnsi" w:hAnsiTheme="majorHAnsi" w:cstheme="majorHAnsi"/>
                <w:sz w:val="18"/>
                <w:szCs w:val="18"/>
              </w:rPr>
              <w:t>Mosques, serving as places of worship for Muslims, require a high level of speech intelligibility to achieve the solemnity of worship. Due to rising urban temperatures, many mosques in tropical urban areas are transitioning from their previously open-designed condition, which relied more on natural ventilation, to enclosed ones that rely more on artificial ventilation. This study aims to understand the influence of space openness on speech intelligibility in mosques. Speech intelligibility measures how clear a voice is in a room and is measured by the speech transmission index (STI) method. This research utilizes a quantitative approach, integrating site observations, on-site measurements, and computational simulations. Focusing on Masjid UI as the case study, the study simulates open and enclosed design configurations across three scenarios: full, half-full, and empty rooms. The results show that a mosque with an open design has a higher STI than a mosque with an enclosed design. However, the difference is insignificant due to several supporting factors in the existing condition, such as the square-shaped plan design with a pyramid dome, equal loudspeaker sound distribution, and crowded worshippers’ condition</w:t>
            </w:r>
            <w:r>
              <w:rPr>
                <w:rFonts w:asciiTheme="majorHAnsi" w:hAnsiTheme="majorHAnsi" w:cstheme="majorHAnsi"/>
                <w:sz w:val="18"/>
                <w:szCs w:val="18"/>
              </w:rPr>
              <w:t>.</w:t>
            </w:r>
          </w:p>
          <w:p w14:paraId="491026FB" w14:textId="77777777" w:rsidR="00863131" w:rsidRDefault="00863131" w:rsidP="001D517C">
            <w:pPr>
              <w:jc w:val="both"/>
              <w:rPr>
                <w:rFonts w:asciiTheme="majorHAnsi" w:hAnsiTheme="majorHAnsi" w:cstheme="majorHAnsi"/>
                <w:sz w:val="18"/>
                <w:szCs w:val="18"/>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6EE73E1" w:rsidR="001D517C" w:rsidRPr="004C7CB9" w:rsidRDefault="00863131" w:rsidP="001D517C">
            <w:pPr>
              <w:jc w:val="both"/>
              <w:rPr>
                <w:rFonts w:asciiTheme="majorHAnsi" w:hAnsiTheme="majorHAnsi" w:cstheme="majorHAnsi"/>
                <w:sz w:val="18"/>
                <w:szCs w:val="18"/>
                <w:lang w:val="en-US"/>
              </w:rPr>
            </w:pPr>
            <w:r w:rsidRPr="00863131">
              <w:rPr>
                <w:rFonts w:asciiTheme="majorHAnsi" w:hAnsiTheme="majorHAnsi" w:cstheme="majorHAnsi"/>
                <w:sz w:val="18"/>
                <w:szCs w:val="18"/>
              </w:rPr>
              <w:t>Acoustics; Mosque; Spaces’ Openness; Speech Intelligibility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87B20A1"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7DA5A458" w14:textId="77777777" w:rsidR="00863131" w:rsidRPr="00863131" w:rsidRDefault="00863131" w:rsidP="00863131">
      <w:pPr>
        <w:ind w:firstLine="284"/>
        <w:jc w:val="both"/>
        <w:rPr>
          <w:rFonts w:asciiTheme="majorHAnsi" w:hAnsiTheme="majorHAnsi" w:cstheme="majorHAnsi"/>
          <w:b/>
          <w:bCs/>
          <w:sz w:val="20"/>
          <w:szCs w:val="20"/>
        </w:rPr>
      </w:pPr>
      <w:r w:rsidRPr="00863131">
        <w:rPr>
          <w:rFonts w:asciiTheme="majorHAnsi" w:hAnsiTheme="majorHAnsi" w:cstheme="majorHAnsi"/>
          <w:sz w:val="20"/>
          <w:szCs w:val="20"/>
          <w:lang w:val="en-US"/>
        </w:rPr>
        <w:t xml:space="preserve">Islam is one of the fastest-growing religions globally. By 2050, it is estimated that there will be approximately 2.8 billion Muslims worldwide </w:t>
      </w:r>
      <w:sdt>
        <w:sdtPr>
          <w:rPr>
            <w:rFonts w:asciiTheme="majorHAnsi" w:hAnsiTheme="majorHAnsi" w:cstheme="majorHAnsi"/>
            <w:sz w:val="20"/>
            <w:szCs w:val="20"/>
            <w:lang w:val="en-US"/>
          </w:rPr>
          <w:id w:val="-1144043308"/>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Dai211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As a place of worship, mosques exert a profound influence on Islamic culture, serving as symbols, icons, and focal points representing the presence of Islam and the Muslim community </w:t>
      </w:r>
      <w:sdt>
        <w:sdtPr>
          <w:rPr>
            <w:rFonts w:asciiTheme="majorHAnsi" w:hAnsiTheme="majorHAnsi" w:cstheme="majorHAnsi"/>
            <w:sz w:val="20"/>
            <w:szCs w:val="20"/>
            <w:lang w:val="en-US"/>
          </w:rPr>
          <w:id w:val="-1923027351"/>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JMa19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Mosques serve as places of both ritual and social worship, encompassing economics, education, and socio-cultural aspects </w:t>
      </w:r>
      <w:sdt>
        <w:sdtPr>
          <w:rPr>
            <w:rFonts w:asciiTheme="majorHAnsi" w:hAnsiTheme="majorHAnsi" w:cstheme="majorHAnsi"/>
            <w:sz w:val="20"/>
            <w:szCs w:val="20"/>
            <w:lang w:val="en-US"/>
          </w:rPr>
          <w:id w:val="-1630238854"/>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Rat22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[3]</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Therefore, </w:t>
      </w:r>
      <w:proofErr w:type="spellStart"/>
      <w:r w:rsidRPr="00863131">
        <w:rPr>
          <w:rFonts w:asciiTheme="majorHAnsi" w:hAnsiTheme="majorHAnsi" w:cstheme="majorHAnsi"/>
          <w:sz w:val="20"/>
          <w:szCs w:val="20"/>
          <w:lang w:val="en-US"/>
        </w:rPr>
        <w:t>Barliana</w:t>
      </w:r>
      <w:proofErr w:type="spellEnd"/>
      <w:r w:rsidRPr="00863131">
        <w:rPr>
          <w:rFonts w:asciiTheme="majorHAnsi" w:hAnsiTheme="majorHAnsi" w:cstheme="majorHAnsi"/>
          <w:sz w:val="20"/>
          <w:szCs w:val="20"/>
          <w:lang w:val="en-US"/>
        </w:rPr>
        <w:t xml:space="preserve"> </w:t>
      </w:r>
      <w:sdt>
        <w:sdtPr>
          <w:rPr>
            <w:rFonts w:asciiTheme="majorHAnsi" w:hAnsiTheme="majorHAnsi" w:cstheme="majorHAnsi"/>
            <w:sz w:val="20"/>
            <w:szCs w:val="20"/>
            <w:lang w:val="en-US"/>
          </w:rPr>
          <w:id w:val="-1237787557"/>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MSy08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[4]</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asserts that mosques are the most significant artistic and cultural manifestations of Islam within the field of architecture. However, as expressions of Islamic architecture, mosques do not adhere to rigid constraints regarding their construction or form </w:t>
      </w:r>
      <w:sdt>
        <w:sdtPr>
          <w:rPr>
            <w:rFonts w:asciiTheme="majorHAnsi" w:hAnsiTheme="majorHAnsi" w:cstheme="majorHAnsi"/>
            <w:sz w:val="20"/>
            <w:szCs w:val="20"/>
            <w:lang w:val="en-US"/>
          </w:rPr>
          <w:id w:val="-249884901"/>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Ind22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[5]</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Embracing a non-prescriptive architectural concept, the development of mosques displays remarkable diversity worldwide</w:t>
      </w:r>
      <w:r w:rsidRPr="00863131">
        <w:rPr>
          <w:rFonts w:asciiTheme="majorHAnsi" w:hAnsiTheme="majorHAnsi" w:cstheme="majorHAnsi"/>
          <w:sz w:val="20"/>
          <w:szCs w:val="20"/>
        </w:rPr>
        <w:t>, influenced by cultural variations and climatic differences across various regions of the world</w:t>
      </w:r>
      <w:r w:rsidRPr="00863131">
        <w:rPr>
          <w:rFonts w:asciiTheme="majorHAnsi" w:hAnsiTheme="majorHAnsi" w:cstheme="majorHAnsi"/>
          <w:b/>
          <w:bCs/>
          <w:sz w:val="20"/>
          <w:szCs w:val="20"/>
        </w:rPr>
        <w:t xml:space="preserve"> </w:t>
      </w:r>
      <w:sdt>
        <w:sdtPr>
          <w:rPr>
            <w:rFonts w:asciiTheme="majorHAnsi" w:hAnsiTheme="majorHAnsi" w:cstheme="majorHAnsi"/>
            <w:sz w:val="20"/>
            <w:szCs w:val="20"/>
            <w:lang w:val="en-US"/>
          </w:rPr>
          <w:id w:val="-847794411"/>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CITATION JMa19 \l 14345  \m Dai21</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 6]</w:t>
          </w:r>
          <w:r w:rsidRPr="00863131">
            <w:rPr>
              <w:rFonts w:asciiTheme="majorHAnsi" w:hAnsiTheme="majorHAnsi" w:cstheme="majorHAnsi"/>
              <w:sz w:val="20"/>
              <w:szCs w:val="20"/>
            </w:rPr>
            <w:fldChar w:fldCharType="end"/>
          </w:r>
          <w:r w:rsidRPr="00863131">
            <w:rPr>
              <w:rFonts w:asciiTheme="majorHAnsi" w:hAnsiTheme="majorHAnsi" w:cstheme="majorHAnsi"/>
              <w:sz w:val="20"/>
              <w:szCs w:val="20"/>
              <w:lang w:val="en-US"/>
            </w:rPr>
            <w:t>.</w:t>
          </w:r>
        </w:sdtContent>
      </w:sdt>
    </w:p>
    <w:p w14:paraId="569EB569"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Regional architectural identities significantly influence the development of mosques. One example can be seen in Javanese mosques, which incorporate distinctive architectural features such as the addition of four </w:t>
      </w:r>
      <w:proofErr w:type="spellStart"/>
      <w:r w:rsidRPr="00863131">
        <w:rPr>
          <w:rFonts w:asciiTheme="majorHAnsi" w:hAnsiTheme="majorHAnsi" w:cstheme="majorHAnsi"/>
          <w:i/>
          <w:iCs/>
          <w:sz w:val="20"/>
          <w:szCs w:val="20"/>
          <w:lang w:val="en-US"/>
        </w:rPr>
        <w:t>soko</w:t>
      </w:r>
      <w:proofErr w:type="spellEnd"/>
      <w:r w:rsidRPr="00863131">
        <w:rPr>
          <w:rFonts w:asciiTheme="majorHAnsi" w:hAnsiTheme="majorHAnsi" w:cstheme="majorHAnsi"/>
          <w:i/>
          <w:iCs/>
          <w:sz w:val="20"/>
          <w:szCs w:val="20"/>
          <w:lang w:val="en-US"/>
        </w:rPr>
        <w:t xml:space="preserve"> guru</w:t>
      </w:r>
      <w:r w:rsidRPr="00863131">
        <w:rPr>
          <w:rFonts w:asciiTheme="majorHAnsi" w:hAnsiTheme="majorHAnsi" w:cstheme="majorHAnsi"/>
          <w:sz w:val="20"/>
          <w:szCs w:val="20"/>
          <w:lang w:val="en-US"/>
        </w:rPr>
        <w:t xml:space="preserve"> columns topped with </w:t>
      </w:r>
      <w:proofErr w:type="spellStart"/>
      <w:r w:rsidRPr="00863131">
        <w:rPr>
          <w:rFonts w:asciiTheme="majorHAnsi" w:hAnsiTheme="majorHAnsi" w:cstheme="majorHAnsi"/>
          <w:i/>
          <w:iCs/>
          <w:sz w:val="20"/>
          <w:szCs w:val="20"/>
          <w:lang w:val="en-US"/>
        </w:rPr>
        <w:t>tajug</w:t>
      </w:r>
      <w:proofErr w:type="spellEnd"/>
      <w:r w:rsidRPr="00863131">
        <w:rPr>
          <w:rFonts w:asciiTheme="majorHAnsi" w:hAnsiTheme="majorHAnsi" w:cstheme="majorHAnsi"/>
          <w:sz w:val="20"/>
          <w:szCs w:val="20"/>
          <w:lang w:val="en-US"/>
        </w:rPr>
        <w:t xml:space="preserve">-style roofs and a reduced prominence of minarets </w:t>
      </w:r>
      <w:sdt>
        <w:sdtPr>
          <w:rPr>
            <w:rFonts w:asciiTheme="majorHAnsi" w:hAnsiTheme="majorHAnsi" w:cstheme="majorHAnsi"/>
            <w:sz w:val="20"/>
            <w:szCs w:val="20"/>
            <w:lang w:val="en-US"/>
          </w:rPr>
          <w:id w:val="91518971"/>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MSy08 \l 14345  \m Rin23</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[4, 7]</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Furthermore, during the early stages of Islamic development, mosques in Indonesia were often designed with pavilion-like structures, influenced by Hindu temples </w:t>
      </w:r>
      <w:sdt>
        <w:sdtPr>
          <w:rPr>
            <w:rFonts w:asciiTheme="majorHAnsi" w:hAnsiTheme="majorHAnsi" w:cstheme="majorHAnsi"/>
            <w:sz w:val="20"/>
            <w:szCs w:val="20"/>
            <w:lang w:val="en-US"/>
          </w:rPr>
          <w:id w:val="981283170"/>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Dai21 \l 14345  \m Nan09</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[6, 8]</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These mosques were characterized by open designs, lacking walls except for the area around the mihrab. This design choice was influenced by Indonesia's environmental conditions, which favored natural ventilation and the absence of excessive noise pollution during that era </w:t>
      </w:r>
      <w:sdt>
        <w:sdtPr>
          <w:rPr>
            <w:rFonts w:asciiTheme="majorHAnsi" w:hAnsiTheme="majorHAnsi" w:cstheme="majorHAnsi"/>
            <w:sz w:val="20"/>
            <w:szCs w:val="20"/>
            <w:lang w:val="en-US"/>
          </w:rPr>
          <w:id w:val="-1998261073"/>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Rin23 \m Abd22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[7, 9]</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w:t>
      </w:r>
    </w:p>
    <w:p w14:paraId="21A25749"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However, the urban heat island phenomenon has become increasingly pronounced, leading to a greater reliance on air conditioning systems to mitigate indoor heat </w:t>
      </w:r>
      <w:sdt>
        <w:sdtPr>
          <w:rPr>
            <w:rFonts w:asciiTheme="majorHAnsi" w:hAnsiTheme="majorHAnsi" w:cstheme="majorHAnsi"/>
            <w:sz w:val="20"/>
            <w:szCs w:val="20"/>
            <w:lang w:val="en-US"/>
          </w:rPr>
          <w:id w:val="-1567717261"/>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Pie21 \l 14345  \m Dan21 \m Ann19</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[10, 11, 12]</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Given these challenges, mosque design must adapt to the evolving urban environment. This adaptation is not limited to newly constructed mosques, but also applies to existing ones that were originally designed as open-plan mosques, aiming to preserve both thermal comfort and acoustic quality within these spaces </w:t>
      </w:r>
      <w:sdt>
        <w:sdtPr>
          <w:rPr>
            <w:rFonts w:asciiTheme="majorHAnsi" w:hAnsiTheme="majorHAnsi" w:cstheme="majorHAnsi"/>
            <w:sz w:val="20"/>
            <w:szCs w:val="20"/>
            <w:lang w:val="en-US"/>
          </w:rPr>
          <w:id w:val="-252446593"/>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Pie21 \l 14345  \m Sim19</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[10, 13]</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w:t>
      </w:r>
    </w:p>
    <w:p w14:paraId="6BFB52B3"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lastRenderedPageBreak/>
        <w:t xml:space="preserve">Acoustic comfort in mosques refers to the condition and satisfaction experienced by worshippers with the acoustic environment within the mosque premises </w:t>
      </w:r>
      <w:sdt>
        <w:sdtPr>
          <w:rPr>
            <w:rFonts w:asciiTheme="majorHAnsi" w:hAnsiTheme="majorHAnsi" w:cstheme="majorHAnsi"/>
            <w:sz w:val="20"/>
            <w:szCs w:val="20"/>
            <w:lang w:val="en-US"/>
          </w:rPr>
          <w:id w:val="-1664308784"/>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Eli \m NGV18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[14, 15]</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A comfortable acoustic environment in mosques can be achieved through the careful design of the mosque, particularly in its interior spaces </w:t>
      </w:r>
      <w:sdt>
        <w:sdtPr>
          <w:rPr>
            <w:rFonts w:asciiTheme="majorHAnsi" w:hAnsiTheme="majorHAnsi" w:cstheme="majorHAnsi"/>
            <w:sz w:val="20"/>
            <w:szCs w:val="20"/>
            <w:lang w:val="en-US"/>
          </w:rPr>
          <w:id w:val="427241717"/>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Oth16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[16]</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w:t>
      </w:r>
    </w:p>
    <w:p w14:paraId="4CAC5A27" w14:textId="77777777" w:rsid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The prayer space within enclosed mosques has a significant impact on the characteristics of sound reflections. Sound reflections can be categorized into two types: early reflections and reverberation. The geometry of space plays a crucial role in influencing these sound reflections </w:t>
      </w:r>
      <w:sdt>
        <w:sdtPr>
          <w:rPr>
            <w:rFonts w:asciiTheme="majorHAnsi" w:hAnsiTheme="majorHAnsi" w:cstheme="majorHAnsi"/>
            <w:sz w:val="20"/>
            <w:szCs w:val="20"/>
            <w:lang w:val="en-US"/>
          </w:rPr>
          <w:id w:val="-1249580571"/>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How17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[17]</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The first factor, room shape, influences how sound gets reflected. Abdou </w:t>
      </w:r>
      <w:sdt>
        <w:sdtPr>
          <w:rPr>
            <w:rFonts w:asciiTheme="majorHAnsi" w:hAnsiTheme="majorHAnsi" w:cstheme="majorHAnsi"/>
            <w:sz w:val="20"/>
            <w:szCs w:val="20"/>
            <w:lang w:val="en-US"/>
          </w:rPr>
          <w:id w:val="1036473003"/>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Abd03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[18]</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discovered that mosques with a square floor plan exhibit the most favorable sound distribution compared to other floor plan shapes. The second factor is the room's volume. A more extensive room volume results in more extended sound reflections. Ismail </w:t>
      </w:r>
      <w:sdt>
        <w:sdtPr>
          <w:rPr>
            <w:rFonts w:asciiTheme="majorHAnsi" w:hAnsiTheme="majorHAnsi" w:cstheme="majorHAnsi"/>
            <w:sz w:val="20"/>
            <w:szCs w:val="20"/>
            <w:lang w:val="en-US"/>
          </w:rPr>
          <w:id w:val="-527486388"/>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Mos13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[19]</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observed that domes can extend the reverberation time within mosque interiors. In addition to increasing the room's volume, domes also concentrate sound reflections at a specific point, enhancing sound intensity at those locations (Fig. 1) </w:t>
      </w:r>
      <w:sdt>
        <w:sdtPr>
          <w:rPr>
            <w:rFonts w:asciiTheme="majorHAnsi" w:hAnsiTheme="majorHAnsi" w:cstheme="majorHAnsi"/>
            <w:sz w:val="20"/>
            <w:szCs w:val="20"/>
            <w:lang w:val="en-US"/>
          </w:rPr>
          <w:id w:val="1922285182"/>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Ibr14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[20]</w:t>
          </w:r>
          <w:r w:rsidRPr="00863131">
            <w:rPr>
              <w:rFonts w:asciiTheme="majorHAnsi" w:hAnsiTheme="majorHAnsi" w:cstheme="majorHAnsi"/>
              <w:sz w:val="20"/>
              <w:szCs w:val="20"/>
            </w:rPr>
            <w:fldChar w:fldCharType="end"/>
          </w:r>
        </w:sdtContent>
      </w:sdt>
      <w:r>
        <w:rPr>
          <w:rFonts w:asciiTheme="majorHAnsi" w:hAnsiTheme="majorHAnsi" w:cstheme="majorHAnsi"/>
          <w:sz w:val="20"/>
          <w:szCs w:val="20"/>
          <w:lang w:val="en-US"/>
        </w:rPr>
        <w:t>.</w:t>
      </w:r>
    </w:p>
    <w:p w14:paraId="50BA7EDF" w14:textId="77777777" w:rsidR="00863131" w:rsidRDefault="00863131" w:rsidP="00863131">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63131" w14:paraId="05CD1EF2" w14:textId="77777777" w:rsidTr="00426E0F">
        <w:tc>
          <w:tcPr>
            <w:tcW w:w="9060" w:type="dxa"/>
          </w:tcPr>
          <w:p w14:paraId="0ABFE2B6" w14:textId="77777777" w:rsidR="00863131" w:rsidRDefault="00863131" w:rsidP="00863131">
            <w:pPr>
              <w:jc w:val="center"/>
              <w:rPr>
                <w:rFonts w:asciiTheme="majorHAnsi" w:hAnsiTheme="majorHAnsi" w:cstheme="majorHAnsi"/>
                <w:sz w:val="20"/>
                <w:szCs w:val="20"/>
                <w:lang w:val="en-US"/>
              </w:rPr>
            </w:pPr>
            <w:r>
              <w:rPr>
                <w:noProof/>
              </w:rPr>
              <w:drawing>
                <wp:inline distT="0" distB="0" distL="0" distR="0" wp14:anchorId="5C52024B" wp14:editId="512ED1E9">
                  <wp:extent cx="2736850" cy="1314450"/>
                  <wp:effectExtent l="0" t="0" r="6350" b="0"/>
                  <wp:docPr id="93" name="image93.png"/>
                  <wp:cNvGraphicFramePr/>
                  <a:graphic xmlns:a="http://schemas.openxmlformats.org/drawingml/2006/main">
                    <a:graphicData uri="http://schemas.openxmlformats.org/drawingml/2006/picture">
                      <pic:pic xmlns:pic="http://schemas.openxmlformats.org/drawingml/2006/picture">
                        <pic:nvPicPr>
                          <pic:cNvPr id="93" name="image93.png"/>
                          <pic:cNvPicPr/>
                        </pic:nvPicPr>
                        <pic:blipFill>
                          <a:blip r:embed="rId10" cstate="screen"/>
                          <a:srcRect l="35740" t="64110" r="35920" b="11527"/>
                          <a:stretch>
                            <a:fillRect/>
                          </a:stretch>
                        </pic:blipFill>
                        <pic:spPr>
                          <a:xfrm>
                            <a:off x="0" y="0"/>
                            <a:ext cx="2736850" cy="1314450"/>
                          </a:xfrm>
                          <a:prstGeom prst="rect">
                            <a:avLst/>
                          </a:prstGeom>
                        </pic:spPr>
                      </pic:pic>
                    </a:graphicData>
                  </a:graphic>
                </wp:inline>
              </w:drawing>
            </w:r>
          </w:p>
          <w:p w14:paraId="5F100CEF" w14:textId="50B8CB09" w:rsidR="00863131" w:rsidRDefault="00863131" w:rsidP="00863131">
            <w:pPr>
              <w:jc w:val="center"/>
              <w:rPr>
                <w:rFonts w:asciiTheme="majorHAnsi" w:hAnsiTheme="majorHAnsi" w:cstheme="majorHAnsi"/>
                <w:sz w:val="20"/>
                <w:szCs w:val="20"/>
                <w:lang w:val="en-US"/>
              </w:rPr>
            </w:pPr>
          </w:p>
        </w:tc>
      </w:tr>
      <w:tr w:rsidR="00863131" w:rsidRPr="00863131" w14:paraId="1DAE4EED" w14:textId="77777777" w:rsidTr="00426E0F">
        <w:tc>
          <w:tcPr>
            <w:tcW w:w="9060" w:type="dxa"/>
          </w:tcPr>
          <w:p w14:paraId="2928CF88" w14:textId="76ECF297" w:rsidR="00863131" w:rsidRPr="00863131" w:rsidRDefault="00863131" w:rsidP="00863131">
            <w:pPr>
              <w:jc w:val="center"/>
              <w:rPr>
                <w:rFonts w:asciiTheme="majorHAnsi" w:hAnsiTheme="majorHAnsi" w:cstheme="majorHAnsi"/>
                <w:sz w:val="16"/>
                <w:szCs w:val="16"/>
                <w:lang w:val="en-US"/>
              </w:rPr>
            </w:pPr>
            <w:r w:rsidRPr="00863131">
              <w:rPr>
                <w:rFonts w:asciiTheme="majorHAnsi" w:hAnsiTheme="majorHAnsi" w:cstheme="majorHAnsi"/>
                <w:sz w:val="16"/>
                <w:szCs w:val="16"/>
              </w:rPr>
              <w:t xml:space="preserve">Figure 1. Sound reflection in a dome </w:t>
            </w:r>
            <w:sdt>
              <w:sdtPr>
                <w:rPr>
                  <w:rFonts w:asciiTheme="majorHAnsi" w:hAnsiTheme="majorHAnsi" w:cstheme="majorHAnsi"/>
                  <w:sz w:val="16"/>
                  <w:szCs w:val="16"/>
                </w:rPr>
                <w:id w:val="191049576"/>
              </w:sdtPr>
              <w:sdtContent>
                <w:r w:rsidRPr="00863131">
                  <w:rPr>
                    <w:rFonts w:asciiTheme="majorHAnsi" w:hAnsiTheme="majorHAnsi" w:cstheme="majorHAnsi"/>
                    <w:sz w:val="16"/>
                    <w:szCs w:val="16"/>
                  </w:rPr>
                  <w:fldChar w:fldCharType="begin"/>
                </w:r>
                <w:r w:rsidRPr="00863131">
                  <w:rPr>
                    <w:rFonts w:asciiTheme="majorHAnsi" w:hAnsiTheme="majorHAnsi" w:cstheme="majorHAnsi"/>
                    <w:sz w:val="16"/>
                    <w:szCs w:val="16"/>
                  </w:rPr>
                  <w:instrText xml:space="preserve"> CITATION Ibr14 \l 14345 </w:instrText>
                </w:r>
                <w:r w:rsidRPr="00863131">
                  <w:rPr>
                    <w:rFonts w:asciiTheme="majorHAnsi" w:hAnsiTheme="majorHAnsi" w:cstheme="majorHAnsi"/>
                    <w:sz w:val="16"/>
                    <w:szCs w:val="16"/>
                  </w:rPr>
                  <w:fldChar w:fldCharType="separate"/>
                </w:r>
                <w:r w:rsidRPr="00863131">
                  <w:rPr>
                    <w:rFonts w:asciiTheme="majorHAnsi" w:hAnsiTheme="majorHAnsi" w:cstheme="majorHAnsi"/>
                    <w:sz w:val="16"/>
                    <w:szCs w:val="16"/>
                  </w:rPr>
                  <w:t>[20]</w:t>
                </w:r>
                <w:r w:rsidRPr="00863131">
                  <w:rPr>
                    <w:rFonts w:asciiTheme="majorHAnsi" w:hAnsiTheme="majorHAnsi" w:cstheme="majorHAnsi"/>
                    <w:sz w:val="16"/>
                    <w:szCs w:val="16"/>
                    <w:lang w:val="en-US"/>
                  </w:rPr>
                  <w:fldChar w:fldCharType="end"/>
                </w:r>
              </w:sdtContent>
            </w:sdt>
          </w:p>
        </w:tc>
      </w:tr>
    </w:tbl>
    <w:p w14:paraId="6B310E41" w14:textId="77777777" w:rsidR="00863131" w:rsidRDefault="00863131" w:rsidP="00863131">
      <w:pPr>
        <w:ind w:firstLine="284"/>
        <w:jc w:val="both"/>
        <w:rPr>
          <w:rFonts w:asciiTheme="majorHAnsi" w:hAnsiTheme="majorHAnsi" w:cstheme="majorHAnsi"/>
          <w:sz w:val="20"/>
          <w:szCs w:val="20"/>
          <w:lang w:val="en-US"/>
        </w:rPr>
      </w:pPr>
    </w:p>
    <w:p w14:paraId="621E364F"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Beyond spatial geometry, the choice of materials in mosques also profoundly influences acoustic comfort. Each material possesses two crucial characteristics: absorption and diffusion </w:t>
      </w:r>
      <w:sdt>
        <w:sdtPr>
          <w:rPr>
            <w:rFonts w:asciiTheme="majorHAnsi" w:hAnsiTheme="majorHAnsi" w:cstheme="majorHAnsi"/>
            <w:sz w:val="20"/>
            <w:szCs w:val="20"/>
            <w:lang w:val="en-US"/>
          </w:rPr>
          <w:id w:val="1885975475"/>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How17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[17]</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Absorption refers to a material's sound-absorbing capacity, measuring how effectively it dissipates sound energy upon contact. Conversely, diffusion refers to a material's ability to disperse sound upon reflection </w:t>
      </w:r>
      <w:sdt>
        <w:sdtPr>
          <w:rPr>
            <w:rFonts w:asciiTheme="majorHAnsi" w:hAnsiTheme="majorHAnsi" w:cstheme="majorHAnsi"/>
            <w:sz w:val="20"/>
            <w:szCs w:val="20"/>
            <w:lang w:val="en-US"/>
          </w:rPr>
          <w:id w:val="-613671922"/>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Erm15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[21]</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Materials with higher absorption tend to reduce sound reflections, while those with greater diffusion scatter sound more effectively </w:t>
      </w:r>
      <w:sdt>
        <w:sdtPr>
          <w:rPr>
            <w:rFonts w:asciiTheme="majorHAnsi" w:hAnsiTheme="majorHAnsi" w:cstheme="majorHAnsi"/>
            <w:sz w:val="20"/>
            <w:szCs w:val="20"/>
            <w:lang w:val="en-US"/>
          </w:rPr>
          <w:id w:val="1012255658"/>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Ayu20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[22]</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w:t>
      </w:r>
    </w:p>
    <w:p w14:paraId="3C1664A5"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The acoustic characteristics of sound reflections within a mosque significantly impact sound intensity. Sound intensity measures the strength of sound and is quantified in decibels (dB) </w:t>
      </w:r>
      <w:sdt>
        <w:sdtPr>
          <w:rPr>
            <w:rFonts w:asciiTheme="majorHAnsi" w:hAnsiTheme="majorHAnsi" w:cstheme="majorHAnsi"/>
            <w:sz w:val="20"/>
            <w:szCs w:val="20"/>
            <w:lang w:val="en-US"/>
          </w:rPr>
          <w:id w:val="1906634204"/>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Lon06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[23]</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Long </w:t>
      </w:r>
      <w:sdt>
        <w:sdtPr>
          <w:rPr>
            <w:rFonts w:asciiTheme="majorHAnsi" w:hAnsiTheme="majorHAnsi" w:cstheme="majorHAnsi"/>
            <w:sz w:val="20"/>
            <w:szCs w:val="20"/>
            <w:lang w:val="en-US"/>
          </w:rPr>
          <w:id w:val="-431281143"/>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Lon06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[23]</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distinguishes three types of sound intensity: sound power level, sound intensity level, and sound pressure level (SPL). Sound measurements in enclosed spaces commonly utilize SPL as it represents sound intensity at a specific point, thereby reflecting the sound intensity perceived by humans </w:t>
      </w:r>
      <w:sdt>
        <w:sdtPr>
          <w:rPr>
            <w:rFonts w:asciiTheme="majorHAnsi" w:hAnsiTheme="majorHAnsi" w:cstheme="majorHAnsi"/>
            <w:sz w:val="20"/>
            <w:szCs w:val="20"/>
            <w:lang w:val="en-US"/>
          </w:rPr>
          <w:id w:val="1844979310"/>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Med05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[24]</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For the same reason, SPL is one of the critical indicators of sound quality within enclosed spaces </w:t>
      </w:r>
      <w:sdt>
        <w:sdtPr>
          <w:rPr>
            <w:rFonts w:asciiTheme="majorHAnsi" w:hAnsiTheme="majorHAnsi" w:cstheme="majorHAnsi"/>
            <w:sz w:val="20"/>
            <w:szCs w:val="20"/>
            <w:lang w:val="en-US"/>
          </w:rPr>
          <w:id w:val="1572230626"/>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NTI20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[25]</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w:t>
      </w:r>
    </w:p>
    <w:p w14:paraId="421FCFA7"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The speech intelligibility indicator assesses the perceived sound quality within a mosque. It measures how clearly listeners hear syllables, words, or sentences within a room </w:t>
      </w:r>
      <w:sdt>
        <w:sdtPr>
          <w:rPr>
            <w:rFonts w:asciiTheme="majorHAnsi" w:hAnsiTheme="majorHAnsi" w:cstheme="majorHAnsi"/>
            <w:sz w:val="20"/>
            <w:szCs w:val="20"/>
            <w:lang w:val="en-US"/>
          </w:rPr>
          <w:id w:val="-438376769"/>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Lon06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[23]</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Speech intelligibility can be measured using several methods. The globally recognized method, based on the IEC-60268-16 rev. 4 standard from 2011, is the Speech Transmission Index (STI) using the derived method known as STIPA (STI for Public Address systems) </w:t>
      </w:r>
      <w:sdt>
        <w:sdtPr>
          <w:rPr>
            <w:rFonts w:asciiTheme="majorHAnsi" w:hAnsiTheme="majorHAnsi" w:cstheme="majorHAnsi"/>
            <w:sz w:val="20"/>
            <w:szCs w:val="20"/>
            <w:lang w:val="en-US"/>
          </w:rPr>
          <w:id w:val="509184343"/>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CITATION Int11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[26]</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Unlike other methods, STIPA can be applied to assess sound quality in spaces, whether they have sound systems or not </w:t>
      </w:r>
      <w:sdt>
        <w:sdtPr>
          <w:rPr>
            <w:rFonts w:asciiTheme="majorHAnsi" w:hAnsiTheme="majorHAnsi" w:cstheme="majorHAnsi"/>
            <w:i/>
            <w:iCs/>
            <w:sz w:val="20"/>
            <w:szCs w:val="20"/>
            <w:lang w:val="en-US"/>
          </w:rPr>
          <w:id w:val="-1212266455"/>
        </w:sdtPr>
        <w:sdtContent>
          <w:r w:rsidRPr="00863131">
            <w:rPr>
              <w:rFonts w:asciiTheme="majorHAnsi" w:hAnsiTheme="majorHAnsi" w:cstheme="majorHAnsi"/>
              <w:i/>
              <w:iCs/>
              <w:sz w:val="20"/>
              <w:szCs w:val="20"/>
              <w:lang w:val="en-US"/>
            </w:rPr>
            <w:fldChar w:fldCharType="begin"/>
          </w:r>
          <w:r w:rsidRPr="00863131">
            <w:rPr>
              <w:rFonts w:asciiTheme="majorHAnsi" w:hAnsiTheme="majorHAnsi" w:cstheme="majorHAnsi"/>
              <w:sz w:val="20"/>
              <w:szCs w:val="20"/>
              <w:lang w:val="en-US"/>
            </w:rPr>
            <w:instrText xml:space="preserve"> CITATION NTI20 \l 14345 </w:instrText>
          </w:r>
          <w:r w:rsidRPr="00863131">
            <w:rPr>
              <w:rFonts w:asciiTheme="majorHAnsi" w:hAnsiTheme="majorHAnsi" w:cstheme="majorHAnsi"/>
              <w:i/>
              <w:iCs/>
              <w:sz w:val="20"/>
              <w:szCs w:val="20"/>
              <w:lang w:val="en-US"/>
            </w:rPr>
            <w:fldChar w:fldCharType="separate"/>
          </w:r>
          <w:r w:rsidRPr="00863131">
            <w:rPr>
              <w:rFonts w:asciiTheme="majorHAnsi" w:hAnsiTheme="majorHAnsi" w:cstheme="majorHAnsi"/>
              <w:sz w:val="20"/>
              <w:szCs w:val="20"/>
              <w:lang w:val="en-US"/>
            </w:rPr>
            <w:t>[25]</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Consequently, STIPA has become the prevailing standard in the contemporary era as sound systems are widely employed.</w:t>
      </w:r>
    </w:p>
    <w:p w14:paraId="596E1EF8" w14:textId="77777777" w:rsidR="00863131" w:rsidRPr="00863131" w:rsidRDefault="00863131" w:rsidP="00863131">
      <w:pPr>
        <w:ind w:firstLine="284"/>
        <w:jc w:val="both"/>
        <w:rPr>
          <w:rFonts w:asciiTheme="majorHAnsi" w:hAnsiTheme="majorHAnsi" w:cstheme="majorHAnsi"/>
          <w:b/>
          <w:bCs/>
          <w:sz w:val="20"/>
          <w:szCs w:val="20"/>
          <w:lang w:val="en-US"/>
        </w:rPr>
      </w:pPr>
      <w:r w:rsidRPr="00863131">
        <w:rPr>
          <w:rFonts w:asciiTheme="majorHAnsi" w:hAnsiTheme="majorHAnsi" w:cstheme="majorHAnsi"/>
          <w:sz w:val="20"/>
          <w:szCs w:val="20"/>
          <w:lang w:val="en-US"/>
        </w:rPr>
        <w:t xml:space="preserve">In the STIPA method, three factors directly influence the STI value. The first factor is SPL (Sound Pressure Level) </w:t>
      </w:r>
      <w:sdt>
        <w:sdtPr>
          <w:rPr>
            <w:rFonts w:asciiTheme="majorHAnsi" w:hAnsiTheme="majorHAnsi" w:cstheme="majorHAnsi"/>
            <w:sz w:val="20"/>
            <w:szCs w:val="20"/>
            <w:lang w:val="en-US"/>
          </w:rPr>
          <w:id w:val="695505707"/>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NTI20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[25]</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The second factor is background noise, which refers to sound sources that have the potential to disrupt acoustic comfort and is measured using the Noise Criterion system </w:t>
      </w:r>
      <w:sdt>
        <w:sdtPr>
          <w:rPr>
            <w:rFonts w:asciiTheme="majorHAnsi" w:hAnsiTheme="majorHAnsi" w:cstheme="majorHAnsi"/>
            <w:sz w:val="20"/>
            <w:szCs w:val="20"/>
            <w:lang w:val="en-US"/>
          </w:rPr>
          <w:id w:val="1799573812"/>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Erm15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[21]</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The last factor is reverberation time, which refers to the duration of sound reverberations within a room after the sound source has ceased. This factor can significantly impact sound quality, depending on the room's purpose </w:t>
      </w:r>
      <w:sdt>
        <w:sdtPr>
          <w:rPr>
            <w:rFonts w:asciiTheme="majorHAnsi" w:hAnsiTheme="majorHAnsi" w:cstheme="majorHAnsi"/>
            <w:sz w:val="20"/>
            <w:szCs w:val="20"/>
            <w:lang w:val="en-US"/>
          </w:rPr>
          <w:id w:val="255948279"/>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Lon06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[23]</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These three factors are essential measurements for assessing sound quality in mosques.</w:t>
      </w:r>
    </w:p>
    <w:p w14:paraId="70A7001C"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As previously mentioned, contemporary mosque designs often feature greater enclosure to improve acoustic quality. However, rather than providing a comprehensive solution, these enclosed mosque designs may potentially introduce new acoustic challenges, particularly the reduction of speech intelligibility within the mosque’s interior </w:t>
      </w:r>
      <w:sdt>
        <w:sdtPr>
          <w:rPr>
            <w:rFonts w:asciiTheme="majorHAnsi" w:hAnsiTheme="majorHAnsi" w:cstheme="majorHAnsi"/>
            <w:sz w:val="20"/>
            <w:szCs w:val="20"/>
            <w:lang w:val="en-US"/>
          </w:rPr>
          <w:id w:val="-345719931"/>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Abd031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[27]</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Additionally, Ismail </w:t>
      </w:r>
      <w:sdt>
        <w:sdtPr>
          <w:rPr>
            <w:rFonts w:asciiTheme="majorHAnsi" w:hAnsiTheme="majorHAnsi" w:cstheme="majorHAnsi"/>
            <w:sz w:val="20"/>
            <w:szCs w:val="20"/>
            <w:lang w:val="en-US"/>
          </w:rPr>
          <w:id w:val="-887567523"/>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lang w:val="en-US"/>
            </w:rPr>
            <w:instrText xml:space="preserve"> CITATION Mos13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lang w:val="en-US"/>
            </w:rPr>
            <w:t>[19]</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noted that the materials commonly used in mosques are often acoustically reflective, making mosque interiors prone to sound reverberation. </w:t>
      </w:r>
    </w:p>
    <w:p w14:paraId="51BC2137"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However, there has been a lack of research examining acoustic comfort in present-day mosques</w:t>
      </w:r>
      <w:sdt>
        <w:sdtPr>
          <w:rPr>
            <w:rFonts w:asciiTheme="majorHAnsi" w:hAnsiTheme="majorHAnsi" w:cstheme="majorHAnsi"/>
            <w:sz w:val="20"/>
            <w:szCs w:val="20"/>
            <w:lang w:val="en-US"/>
          </w:rPr>
          <w:id w:val="-1868822255"/>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Mos13 \l 14345  \m Abd031</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 xml:space="preserve"> [19, 27]</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Only a few existing studies related to the acoustics of contemporary mosques have been conducted. Adel </w:t>
      </w:r>
      <w:sdt>
        <w:sdtPr>
          <w:rPr>
            <w:rFonts w:asciiTheme="majorHAnsi" w:hAnsiTheme="majorHAnsi" w:cstheme="majorHAnsi"/>
            <w:sz w:val="20"/>
            <w:szCs w:val="20"/>
            <w:lang w:val="en-US"/>
          </w:rPr>
          <w:id w:val="1449209287"/>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Abd031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[27]</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investigated the acoustics of mosques in general and concluded that many contemporary mosques have poor speech intelligibility, although speech intelligibility can be improved when the mosque is fully occupied. </w:t>
      </w:r>
      <w:r w:rsidRPr="00863131">
        <w:rPr>
          <w:rFonts w:asciiTheme="majorHAnsi" w:hAnsiTheme="majorHAnsi" w:cstheme="majorHAnsi"/>
          <w:sz w:val="20"/>
          <w:szCs w:val="20"/>
          <w:lang w:val="en-US"/>
        </w:rPr>
        <w:lastRenderedPageBreak/>
        <w:t xml:space="preserve">Meanwhile, Ismail </w:t>
      </w:r>
      <w:sdt>
        <w:sdtPr>
          <w:rPr>
            <w:rFonts w:asciiTheme="majorHAnsi" w:hAnsiTheme="majorHAnsi" w:cstheme="majorHAnsi"/>
            <w:sz w:val="20"/>
            <w:szCs w:val="20"/>
            <w:lang w:val="en-US"/>
          </w:rPr>
          <w:id w:val="121430485"/>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Mos13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[19]</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xml:space="preserve"> examined how the geometry of a mosque can affect speech intelligibility, finding that large domes, which are common in modern mosques, tend to reduce speech intelligibility. </w:t>
      </w:r>
    </w:p>
    <w:p w14:paraId="240679E1" w14:textId="39531C50" w:rsid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Previous studies have focused on closed-design mosques, but the acoustic performance of open-designed mosques in the current contexts remains undisclosed, especially given that mosques have transitioned from open to closed designs. Therefore, this study aims to investigate the level of acoustic comfort in open-designed mosques to determine whether an open or enclosed design is more advantageous. The study places particular emphasis on speech intelligibility as a clarity parameter for prayer, as well as reverberation time and background noise, to provide a more detailed assessment of the mosque's acoustic conditions.</w:t>
      </w:r>
    </w:p>
    <w:p w14:paraId="045532DF" w14:textId="77777777" w:rsidR="00863131" w:rsidRDefault="00863131" w:rsidP="00863131">
      <w:pPr>
        <w:ind w:firstLine="284"/>
        <w:jc w:val="both"/>
        <w:rPr>
          <w:rFonts w:asciiTheme="majorHAnsi" w:hAnsiTheme="majorHAnsi" w:cstheme="majorHAnsi"/>
          <w:sz w:val="20"/>
          <w:szCs w:val="20"/>
          <w:lang w:val="en-US"/>
        </w:rPr>
      </w:pPr>
    </w:p>
    <w:p w14:paraId="5A3EC896" w14:textId="3E678C02" w:rsidR="00863131" w:rsidRDefault="00863131" w:rsidP="00863131">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462B1DE3" w14:textId="77777777" w:rsidR="00863131" w:rsidRDefault="00863131" w:rsidP="00863131">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863131" w14:paraId="1AE0F7F2" w14:textId="77777777" w:rsidTr="00426E0F">
        <w:tc>
          <w:tcPr>
            <w:tcW w:w="9060" w:type="dxa"/>
          </w:tcPr>
          <w:p w14:paraId="1B4E4C99" w14:textId="77777777" w:rsidR="00863131" w:rsidRDefault="00863131" w:rsidP="00863131">
            <w:pPr>
              <w:jc w:val="both"/>
              <w:rPr>
                <w:rFonts w:asciiTheme="majorHAnsi" w:hAnsiTheme="majorHAnsi" w:cstheme="majorHAnsi"/>
                <w:sz w:val="20"/>
                <w:szCs w:val="20"/>
              </w:rPr>
            </w:pPr>
            <w:r>
              <w:rPr>
                <w:noProof/>
              </w:rPr>
              <w:drawing>
                <wp:inline distT="0" distB="0" distL="0" distR="0" wp14:anchorId="5FE1100D" wp14:editId="5831B3FA">
                  <wp:extent cx="5759450" cy="1212215"/>
                  <wp:effectExtent l="0" t="0" r="0" b="6985"/>
                  <wp:docPr id="1995576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76429" name="Picture 2"/>
                          <pic:cNvPicPr>
                            <a:picLocks noChangeAspect="1"/>
                          </pic:cNvPicPr>
                        </pic:nvPicPr>
                        <pic:blipFill>
                          <a:blip r:embed="rId11">
                            <a:extLst>
                              <a:ext uri="{28A0092B-C50C-407E-A947-70E740481C1C}">
                                <a14:useLocalDpi xmlns:a14="http://schemas.microsoft.com/office/drawing/2010/main" val="0"/>
                              </a:ext>
                            </a:extLst>
                          </a:blip>
                          <a:srcRect t="33570" b="29009"/>
                          <a:stretch>
                            <a:fillRect/>
                          </a:stretch>
                        </pic:blipFill>
                        <pic:spPr>
                          <a:xfrm>
                            <a:off x="0" y="0"/>
                            <a:ext cx="5759450" cy="1212215"/>
                          </a:xfrm>
                          <a:prstGeom prst="rect">
                            <a:avLst/>
                          </a:prstGeom>
                          <a:ln>
                            <a:noFill/>
                          </a:ln>
                        </pic:spPr>
                      </pic:pic>
                    </a:graphicData>
                  </a:graphic>
                </wp:inline>
              </w:drawing>
            </w:r>
          </w:p>
          <w:p w14:paraId="42ADA6B3" w14:textId="0942B9DD" w:rsidR="00863131" w:rsidRDefault="00863131" w:rsidP="00863131">
            <w:pPr>
              <w:jc w:val="both"/>
              <w:rPr>
                <w:rFonts w:asciiTheme="majorHAnsi" w:hAnsiTheme="majorHAnsi" w:cstheme="majorHAnsi"/>
                <w:sz w:val="20"/>
                <w:szCs w:val="20"/>
              </w:rPr>
            </w:pPr>
          </w:p>
        </w:tc>
      </w:tr>
      <w:tr w:rsidR="00863131" w:rsidRPr="00863131" w14:paraId="3E974971" w14:textId="77777777" w:rsidTr="00426E0F">
        <w:tc>
          <w:tcPr>
            <w:tcW w:w="9060" w:type="dxa"/>
          </w:tcPr>
          <w:p w14:paraId="4394CD5D" w14:textId="3BC51832" w:rsidR="00863131" w:rsidRPr="00863131" w:rsidRDefault="00863131" w:rsidP="00863131">
            <w:pPr>
              <w:jc w:val="center"/>
              <w:rPr>
                <w:rFonts w:asciiTheme="majorHAnsi" w:hAnsiTheme="majorHAnsi" w:cstheme="majorHAnsi"/>
                <w:bCs/>
                <w:sz w:val="16"/>
                <w:szCs w:val="16"/>
              </w:rPr>
            </w:pPr>
            <w:r w:rsidRPr="00863131">
              <w:rPr>
                <w:rFonts w:asciiTheme="majorHAnsi" w:hAnsiTheme="majorHAnsi" w:cstheme="majorHAnsi"/>
                <w:bCs/>
                <w:sz w:val="16"/>
                <w:szCs w:val="16"/>
              </w:rPr>
              <w:t>Figure 2. Study Framework</w:t>
            </w:r>
          </w:p>
        </w:tc>
      </w:tr>
    </w:tbl>
    <w:p w14:paraId="7CAF8B86" w14:textId="77777777" w:rsidR="00863131" w:rsidRDefault="00863131" w:rsidP="00863131">
      <w:pPr>
        <w:ind w:firstLine="284"/>
        <w:jc w:val="both"/>
        <w:rPr>
          <w:rFonts w:asciiTheme="majorHAnsi" w:hAnsiTheme="majorHAnsi" w:cstheme="majorHAnsi"/>
          <w:sz w:val="20"/>
          <w:szCs w:val="20"/>
        </w:rPr>
      </w:pPr>
    </w:p>
    <w:p w14:paraId="7D32C94B" w14:textId="77777777" w:rsidR="00863131" w:rsidRDefault="00863131" w:rsidP="00863131">
      <w:pPr>
        <w:ind w:firstLine="284"/>
        <w:jc w:val="both"/>
        <w:rPr>
          <w:rFonts w:asciiTheme="majorHAnsi" w:hAnsiTheme="majorHAnsi" w:cstheme="majorHAnsi"/>
          <w:sz w:val="20"/>
          <w:szCs w:val="20"/>
        </w:rPr>
      </w:pPr>
      <w:r w:rsidRPr="00863131">
        <w:rPr>
          <w:rFonts w:asciiTheme="majorHAnsi" w:hAnsiTheme="majorHAnsi" w:cstheme="majorHAnsi"/>
          <w:sz w:val="20"/>
          <w:szCs w:val="20"/>
        </w:rPr>
        <w:t xml:space="preserve">The methodology employed in this study uses quantitative approach conducted through a series of observations, on-site measurements, and simulations to obtain Speech Transmission Index (STI) values under various spatial openness conditions and room occupancy scenarios (Fig. 2). The use of the STI method with simulations distinguishes this research from the conventional STI method, which typically involves on-site measurements. The research subject is the Masjid </w:t>
      </w:r>
      <w:proofErr w:type="spellStart"/>
      <w:r w:rsidRPr="00863131">
        <w:rPr>
          <w:rFonts w:asciiTheme="majorHAnsi" w:hAnsiTheme="majorHAnsi" w:cstheme="majorHAnsi"/>
          <w:sz w:val="20"/>
          <w:szCs w:val="20"/>
        </w:rPr>
        <w:t>Ukhuwah</w:t>
      </w:r>
      <w:proofErr w:type="spellEnd"/>
      <w:r w:rsidRPr="00863131">
        <w:rPr>
          <w:rFonts w:asciiTheme="majorHAnsi" w:hAnsiTheme="majorHAnsi" w:cstheme="majorHAnsi"/>
          <w:sz w:val="20"/>
          <w:szCs w:val="20"/>
        </w:rPr>
        <w:t xml:space="preserve"> Islamiyah, commonly known as Masjid UI, the primary mosque on the Universitas Indonesia campus in Depok. The mosque is strategically located on the border of Jakarta and Depok, West Java, Indonesia, at coordinates -6.36577, 106.83108 (Fig. 3). Covering a total area of approximately 5,000 m², Masjid UI can accommodate up to 2,000 worshippers.</w:t>
      </w:r>
    </w:p>
    <w:p w14:paraId="4B67C851" w14:textId="77777777" w:rsidR="00863131" w:rsidRDefault="00863131" w:rsidP="00863131">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264"/>
      </w:tblGrid>
      <w:tr w:rsidR="00863131" w14:paraId="2BC28794" w14:textId="77777777" w:rsidTr="00426E0F">
        <w:tc>
          <w:tcPr>
            <w:tcW w:w="4530" w:type="dxa"/>
          </w:tcPr>
          <w:p w14:paraId="1861F11A" w14:textId="387724E4" w:rsidR="00863131" w:rsidRDefault="00863131" w:rsidP="00426E0F">
            <w:pPr>
              <w:jc w:val="center"/>
              <w:rPr>
                <w:rFonts w:asciiTheme="majorHAnsi" w:hAnsiTheme="majorHAnsi" w:cstheme="majorHAnsi"/>
                <w:sz w:val="20"/>
                <w:szCs w:val="20"/>
              </w:rPr>
            </w:pPr>
            <w:r>
              <w:rPr>
                <w:noProof/>
              </w:rPr>
              <w:drawing>
                <wp:inline distT="0" distB="0" distL="0" distR="0" wp14:anchorId="4DCF1033" wp14:editId="2ABD7CC3">
                  <wp:extent cx="2905125" cy="2038350"/>
                  <wp:effectExtent l="0" t="0" r="9525" b="0"/>
                  <wp:docPr id="65" name="image74.jpg"/>
                  <wp:cNvGraphicFramePr/>
                  <a:graphic xmlns:a="http://schemas.openxmlformats.org/drawingml/2006/main">
                    <a:graphicData uri="http://schemas.openxmlformats.org/drawingml/2006/picture">
                      <pic:pic xmlns:pic="http://schemas.openxmlformats.org/drawingml/2006/picture">
                        <pic:nvPicPr>
                          <pic:cNvPr id="65" name="image74.jpg"/>
                          <pic:cNvPicPr/>
                        </pic:nvPicPr>
                        <pic:blipFill>
                          <a:blip r:embed="rId12" cstate="screen"/>
                          <a:srcRect l="7162" r="7162"/>
                          <a:stretch>
                            <a:fillRect/>
                          </a:stretch>
                        </pic:blipFill>
                        <pic:spPr>
                          <a:xfrm>
                            <a:off x="0" y="0"/>
                            <a:ext cx="2905125" cy="2038350"/>
                          </a:xfrm>
                          <a:prstGeom prst="rect">
                            <a:avLst/>
                          </a:prstGeom>
                          <a:ln>
                            <a:noFill/>
                          </a:ln>
                        </pic:spPr>
                      </pic:pic>
                    </a:graphicData>
                  </a:graphic>
                </wp:inline>
              </w:drawing>
            </w:r>
          </w:p>
        </w:tc>
        <w:tc>
          <w:tcPr>
            <w:tcW w:w="4530" w:type="dxa"/>
          </w:tcPr>
          <w:p w14:paraId="13DDCB99" w14:textId="77777777" w:rsidR="00863131" w:rsidRDefault="00863131" w:rsidP="00426E0F">
            <w:pPr>
              <w:jc w:val="center"/>
              <w:rPr>
                <w:rFonts w:asciiTheme="majorHAnsi" w:hAnsiTheme="majorHAnsi" w:cstheme="majorHAnsi"/>
                <w:sz w:val="20"/>
                <w:szCs w:val="20"/>
              </w:rPr>
            </w:pPr>
            <w:r>
              <w:rPr>
                <w:noProof/>
              </w:rPr>
              <w:drawing>
                <wp:inline distT="0" distB="0" distL="0" distR="0" wp14:anchorId="5113B2D0" wp14:editId="445EDBF2">
                  <wp:extent cx="2293587" cy="2038350"/>
                  <wp:effectExtent l="0" t="0" r="0" b="0"/>
                  <wp:docPr id="8634913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91334" name="Picture 9"/>
                          <pic:cNvPicPr>
                            <a:picLocks noChangeAspect="1"/>
                          </pic:cNvPicPr>
                        </pic:nvPicPr>
                        <pic:blipFill>
                          <a:blip r:embed="rId13" cstate="screen"/>
                          <a:srcRect l="22961" t="9741" r="25092" b="8163"/>
                          <a:stretch>
                            <a:fillRect/>
                          </a:stretch>
                        </pic:blipFill>
                        <pic:spPr>
                          <a:xfrm>
                            <a:off x="0" y="0"/>
                            <a:ext cx="2298641" cy="2042842"/>
                          </a:xfrm>
                          <a:prstGeom prst="rect">
                            <a:avLst/>
                          </a:prstGeom>
                          <a:ln>
                            <a:noFill/>
                          </a:ln>
                        </pic:spPr>
                      </pic:pic>
                    </a:graphicData>
                  </a:graphic>
                </wp:inline>
              </w:drawing>
            </w:r>
          </w:p>
          <w:p w14:paraId="006B3450" w14:textId="3B413ED1" w:rsidR="00863131" w:rsidRDefault="00863131" w:rsidP="00863131">
            <w:pPr>
              <w:jc w:val="both"/>
              <w:rPr>
                <w:rFonts w:asciiTheme="majorHAnsi" w:hAnsiTheme="majorHAnsi" w:cstheme="majorHAnsi"/>
                <w:sz w:val="20"/>
                <w:szCs w:val="20"/>
              </w:rPr>
            </w:pPr>
          </w:p>
        </w:tc>
      </w:tr>
      <w:tr w:rsidR="00863131" w:rsidRPr="00863131" w14:paraId="61EAFB53" w14:textId="77777777" w:rsidTr="00426E0F">
        <w:tc>
          <w:tcPr>
            <w:tcW w:w="9060" w:type="dxa"/>
            <w:gridSpan w:val="2"/>
          </w:tcPr>
          <w:p w14:paraId="58A58BA4" w14:textId="22B2E7B6" w:rsidR="00863131" w:rsidRPr="00863131" w:rsidRDefault="00863131" w:rsidP="00863131">
            <w:pPr>
              <w:jc w:val="center"/>
              <w:rPr>
                <w:rFonts w:asciiTheme="majorHAnsi" w:hAnsiTheme="majorHAnsi" w:cstheme="majorHAnsi"/>
                <w:sz w:val="16"/>
                <w:szCs w:val="16"/>
              </w:rPr>
            </w:pPr>
            <w:r w:rsidRPr="00863131">
              <w:rPr>
                <w:rFonts w:asciiTheme="majorHAnsi" w:hAnsiTheme="majorHAnsi" w:cstheme="majorHAnsi"/>
                <w:sz w:val="16"/>
                <w:szCs w:val="16"/>
              </w:rPr>
              <w:t xml:space="preserve">Figure 3. Satellite view and main prayer hall of Masjid UI </w:t>
            </w:r>
          </w:p>
        </w:tc>
      </w:tr>
    </w:tbl>
    <w:p w14:paraId="36E7F054" w14:textId="77777777" w:rsidR="00863131" w:rsidRDefault="00863131" w:rsidP="00863131">
      <w:pPr>
        <w:ind w:firstLine="284"/>
        <w:jc w:val="both"/>
        <w:rPr>
          <w:rFonts w:asciiTheme="majorHAnsi" w:hAnsiTheme="majorHAnsi" w:cstheme="majorHAnsi"/>
          <w:sz w:val="20"/>
          <w:szCs w:val="20"/>
        </w:rPr>
      </w:pPr>
    </w:p>
    <w:p w14:paraId="6C9B5B54" w14:textId="77777777" w:rsidR="00863131" w:rsidRDefault="00863131" w:rsidP="00863131">
      <w:pPr>
        <w:ind w:firstLine="284"/>
        <w:jc w:val="both"/>
        <w:rPr>
          <w:rFonts w:asciiTheme="majorHAnsi" w:hAnsiTheme="majorHAnsi" w:cstheme="majorHAnsi"/>
          <w:sz w:val="20"/>
          <w:szCs w:val="20"/>
        </w:rPr>
      </w:pPr>
      <w:r w:rsidRPr="00863131">
        <w:rPr>
          <w:rFonts w:asciiTheme="majorHAnsi" w:hAnsiTheme="majorHAnsi" w:cstheme="majorHAnsi"/>
          <w:sz w:val="20"/>
          <w:szCs w:val="20"/>
        </w:rPr>
        <w:t xml:space="preserve">This mosque was selected as the case study due to its distinctive characteristics. Apart from its open design, it deviates from conventional mosque architecture by incorporating local architectural elements with its pyramid-shaped roof made of clay materials (Fig. 4). Built in 1987, Masjid UI </w:t>
      </w:r>
      <w:proofErr w:type="gramStart"/>
      <w:r w:rsidRPr="00863131">
        <w:rPr>
          <w:rFonts w:asciiTheme="majorHAnsi" w:hAnsiTheme="majorHAnsi" w:cstheme="majorHAnsi"/>
          <w:sz w:val="20"/>
          <w:szCs w:val="20"/>
        </w:rPr>
        <w:t>is currently faces</w:t>
      </w:r>
      <w:proofErr w:type="gramEnd"/>
      <w:r w:rsidRPr="00863131">
        <w:rPr>
          <w:rFonts w:asciiTheme="majorHAnsi" w:hAnsiTheme="majorHAnsi" w:cstheme="majorHAnsi"/>
          <w:sz w:val="20"/>
          <w:szCs w:val="20"/>
        </w:rPr>
        <w:t xml:space="preserve"> with thermal issues caused by the urban heat island effect and noise disturbances due to the rapid development of the campus and the city, similar to other mosques in the vicinity.</w:t>
      </w:r>
    </w:p>
    <w:p w14:paraId="17EDAEB3" w14:textId="77777777" w:rsidR="00863131" w:rsidRDefault="00863131" w:rsidP="00863131">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63131" w14:paraId="6D4138E9" w14:textId="77777777" w:rsidTr="00426E0F">
        <w:tc>
          <w:tcPr>
            <w:tcW w:w="9060" w:type="dxa"/>
          </w:tcPr>
          <w:p w14:paraId="027A2EE9" w14:textId="77777777" w:rsidR="00863131" w:rsidRDefault="00863131" w:rsidP="00863131">
            <w:pPr>
              <w:jc w:val="center"/>
              <w:rPr>
                <w:rFonts w:asciiTheme="majorHAnsi" w:hAnsiTheme="majorHAnsi" w:cstheme="majorHAnsi"/>
                <w:sz w:val="20"/>
                <w:szCs w:val="20"/>
              </w:rPr>
            </w:pPr>
            <w:r>
              <w:rPr>
                <w:noProof/>
              </w:rPr>
              <w:lastRenderedPageBreak/>
              <w:drawing>
                <wp:inline distT="0" distB="0" distL="0" distR="0" wp14:anchorId="1D5AC85A" wp14:editId="73504FBD">
                  <wp:extent cx="2971800" cy="1762125"/>
                  <wp:effectExtent l="0" t="0" r="0" b="9525"/>
                  <wp:docPr id="66" name="image65.png"/>
                  <wp:cNvGraphicFramePr/>
                  <a:graphic xmlns:a="http://schemas.openxmlformats.org/drawingml/2006/main">
                    <a:graphicData uri="http://schemas.openxmlformats.org/drawingml/2006/picture">
                      <pic:pic xmlns:pic="http://schemas.openxmlformats.org/drawingml/2006/picture">
                        <pic:nvPicPr>
                          <pic:cNvPr id="66" name="image65.png"/>
                          <pic:cNvPicPr/>
                        </pic:nvPicPr>
                        <pic:blipFill>
                          <a:blip r:embed="rId14"/>
                          <a:srcRect l="6495" t="8087" r="6945" b="15274"/>
                          <a:stretch>
                            <a:fillRect/>
                          </a:stretch>
                        </pic:blipFill>
                        <pic:spPr>
                          <a:xfrm>
                            <a:off x="0" y="0"/>
                            <a:ext cx="2971800" cy="1762125"/>
                          </a:xfrm>
                          <a:prstGeom prst="rect">
                            <a:avLst/>
                          </a:prstGeom>
                          <a:ln>
                            <a:noFill/>
                          </a:ln>
                        </pic:spPr>
                      </pic:pic>
                    </a:graphicData>
                  </a:graphic>
                </wp:inline>
              </w:drawing>
            </w:r>
          </w:p>
          <w:p w14:paraId="58FFED58" w14:textId="0A69F14D" w:rsidR="00863131" w:rsidRDefault="00863131" w:rsidP="00863131">
            <w:pPr>
              <w:jc w:val="center"/>
              <w:rPr>
                <w:rFonts w:asciiTheme="majorHAnsi" w:hAnsiTheme="majorHAnsi" w:cstheme="majorHAnsi"/>
                <w:sz w:val="20"/>
                <w:szCs w:val="20"/>
              </w:rPr>
            </w:pPr>
          </w:p>
        </w:tc>
      </w:tr>
      <w:tr w:rsidR="00863131" w:rsidRPr="00863131" w14:paraId="4B40BA39" w14:textId="77777777" w:rsidTr="00426E0F">
        <w:tc>
          <w:tcPr>
            <w:tcW w:w="9060" w:type="dxa"/>
          </w:tcPr>
          <w:p w14:paraId="7A312AB7" w14:textId="19AD0CC4" w:rsidR="00863131" w:rsidRPr="00863131" w:rsidRDefault="00863131" w:rsidP="00863131">
            <w:pPr>
              <w:jc w:val="center"/>
              <w:rPr>
                <w:rFonts w:asciiTheme="majorHAnsi" w:hAnsiTheme="majorHAnsi" w:cstheme="majorHAnsi"/>
                <w:sz w:val="16"/>
                <w:szCs w:val="16"/>
              </w:rPr>
            </w:pPr>
            <w:r w:rsidRPr="00863131">
              <w:rPr>
                <w:rFonts w:asciiTheme="majorHAnsi" w:hAnsiTheme="majorHAnsi" w:cstheme="majorHAnsi"/>
                <w:sz w:val="16"/>
                <w:szCs w:val="16"/>
              </w:rPr>
              <w:t xml:space="preserve">Figure 4. Front view of Masjid UI </w:t>
            </w:r>
            <w:sdt>
              <w:sdtPr>
                <w:rPr>
                  <w:rFonts w:asciiTheme="majorHAnsi" w:hAnsiTheme="majorHAnsi" w:cstheme="majorHAnsi"/>
                  <w:sz w:val="16"/>
                  <w:szCs w:val="16"/>
                </w:rPr>
                <w:id w:val="-1386253473"/>
              </w:sdtPr>
              <w:sdtContent>
                <w:r w:rsidRPr="00863131">
                  <w:rPr>
                    <w:rFonts w:asciiTheme="majorHAnsi" w:hAnsiTheme="majorHAnsi" w:cstheme="majorHAnsi"/>
                    <w:sz w:val="16"/>
                    <w:szCs w:val="16"/>
                  </w:rPr>
                  <w:fldChar w:fldCharType="begin"/>
                </w:r>
                <w:r w:rsidRPr="00863131">
                  <w:rPr>
                    <w:rFonts w:asciiTheme="majorHAnsi" w:hAnsiTheme="majorHAnsi" w:cstheme="majorHAnsi"/>
                    <w:sz w:val="16"/>
                    <w:szCs w:val="16"/>
                  </w:rPr>
                  <w:instrText xml:space="preserve"> CITATION Mas21 \l 14345 </w:instrText>
                </w:r>
                <w:r w:rsidRPr="00863131">
                  <w:rPr>
                    <w:rFonts w:asciiTheme="majorHAnsi" w:hAnsiTheme="majorHAnsi" w:cstheme="majorHAnsi"/>
                    <w:sz w:val="16"/>
                    <w:szCs w:val="16"/>
                  </w:rPr>
                  <w:fldChar w:fldCharType="separate"/>
                </w:r>
                <w:r w:rsidRPr="00863131">
                  <w:rPr>
                    <w:rFonts w:asciiTheme="majorHAnsi" w:hAnsiTheme="majorHAnsi" w:cstheme="majorHAnsi"/>
                    <w:sz w:val="16"/>
                    <w:szCs w:val="16"/>
                  </w:rPr>
                  <w:t>[28]</w:t>
                </w:r>
                <w:r w:rsidRPr="00863131">
                  <w:rPr>
                    <w:rFonts w:asciiTheme="majorHAnsi" w:hAnsiTheme="majorHAnsi" w:cstheme="majorHAnsi"/>
                    <w:sz w:val="16"/>
                    <w:szCs w:val="16"/>
                  </w:rPr>
                  <w:fldChar w:fldCharType="end"/>
                </w:r>
              </w:sdtContent>
            </w:sdt>
          </w:p>
        </w:tc>
      </w:tr>
    </w:tbl>
    <w:p w14:paraId="6F9DE28D" w14:textId="77777777" w:rsidR="00863131" w:rsidRDefault="00863131" w:rsidP="00863131">
      <w:pPr>
        <w:ind w:firstLine="284"/>
        <w:jc w:val="both"/>
        <w:rPr>
          <w:rFonts w:asciiTheme="majorHAnsi" w:hAnsiTheme="majorHAnsi" w:cstheme="majorHAnsi"/>
          <w:sz w:val="20"/>
          <w:szCs w:val="20"/>
        </w:rPr>
      </w:pPr>
    </w:p>
    <w:p w14:paraId="61AD0E23"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To narrow the scope of the study, only the main prayer hall was selected as the object for STI measurements, as it is the space most frequently used for worship (Fig. 3). The prayer hall has a total area of approximately 1,000 m² and a volume of approximately 5,000 m³. The data collection method employed the speech transmission index (STI) using the derivative STIPA method, encompassing both observation and simulation stages.</w:t>
      </w:r>
    </w:p>
    <w:p w14:paraId="47044136"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Observation was conducted in two phases: site observation and on-site measurements. Site observation aimed to gather physical data about the mosque, including its dimensions, materials, and the placement and specifications of loudspeakers. Subsequently, on-site measurements were conducted to acquire sound intensity data, covering both background noise and loudspeaker sound intensity. </w:t>
      </w:r>
    </w:p>
    <w:p w14:paraId="3862F2A8" w14:textId="77777777" w:rsid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Sound intensity was measured using the Decibel X software, a well-established smartphone application known for its accuracy in measuring sound pressure levels (SPL) with a Mobile Apps Rating Score (MARS) above 3.0 </w:t>
      </w:r>
      <w:sdt>
        <w:sdtPr>
          <w:rPr>
            <w:rFonts w:asciiTheme="majorHAnsi" w:hAnsiTheme="majorHAnsi" w:cstheme="majorHAnsi"/>
            <w:sz w:val="20"/>
            <w:szCs w:val="20"/>
            <w:lang w:val="en-US"/>
          </w:rPr>
          <w:id w:val="2024656816"/>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Jin23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[29]</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As a reference, an earlier study demonstrated the use of the Decibel X app to measure urban acoustics in a school </w:t>
      </w:r>
      <w:sdt>
        <w:sdtPr>
          <w:rPr>
            <w:rFonts w:asciiTheme="majorHAnsi" w:hAnsiTheme="majorHAnsi" w:cstheme="majorHAnsi"/>
            <w:sz w:val="20"/>
            <w:szCs w:val="20"/>
            <w:lang w:val="en-US"/>
          </w:rPr>
          <w:id w:val="-926874899"/>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Kim19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[30]</w:t>
          </w:r>
          <w:r w:rsidRPr="00863131">
            <w:rPr>
              <w:rFonts w:asciiTheme="majorHAnsi" w:hAnsiTheme="majorHAnsi" w:cstheme="majorHAnsi"/>
              <w:sz w:val="20"/>
              <w:szCs w:val="20"/>
            </w:rPr>
            <w:fldChar w:fldCharType="end"/>
          </w:r>
        </w:sdtContent>
      </w:sdt>
      <w:r w:rsidRPr="00863131">
        <w:rPr>
          <w:rFonts w:asciiTheme="majorHAnsi" w:hAnsiTheme="majorHAnsi" w:cstheme="majorHAnsi"/>
          <w:sz w:val="20"/>
          <w:szCs w:val="20"/>
          <w:lang w:val="en-US"/>
        </w:rPr>
        <w:t xml:space="preserve">. The Decibel X software records and displays the SPL values for each frequency throughout the recording, which is necessary for calculating the NC level of background noise. During the SPL measurement, the phone was elevated to 1,6 meters from the floor, representing the worshippers’ ear height. Background noise and loudspeaker measurements were conducted between 11:00 AM and 12:00 PM (WIB), the peak time of mosque activity. Both background noise and loudspeaker measurements were assessed at 12 different locations, with each location measured for 20 seconds (Fig. 5). The observation data then served as the primary input for </w:t>
      </w:r>
      <w:bookmarkStart w:id="0" w:name="_1mrcu09"/>
      <w:bookmarkEnd w:id="0"/>
      <w:r w:rsidRPr="00863131">
        <w:rPr>
          <w:rFonts w:asciiTheme="majorHAnsi" w:hAnsiTheme="majorHAnsi" w:cstheme="majorHAnsi"/>
          <w:sz w:val="20"/>
          <w:szCs w:val="20"/>
          <w:lang w:val="en-US"/>
        </w:rPr>
        <w:t>the subsequent computer simulation process</w:t>
      </w:r>
      <w:r>
        <w:rPr>
          <w:rFonts w:asciiTheme="majorHAnsi" w:hAnsiTheme="majorHAnsi" w:cstheme="majorHAnsi"/>
          <w:sz w:val="20"/>
          <w:szCs w:val="20"/>
          <w:lang w:val="en-US"/>
        </w:rPr>
        <w:t>.</w:t>
      </w:r>
    </w:p>
    <w:p w14:paraId="7A87ABD9" w14:textId="77777777" w:rsidR="00863131" w:rsidRDefault="00863131" w:rsidP="00863131">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63131" w14:paraId="52192E8C" w14:textId="77777777" w:rsidTr="00426E0F">
        <w:tc>
          <w:tcPr>
            <w:tcW w:w="9060" w:type="dxa"/>
          </w:tcPr>
          <w:p w14:paraId="4F136096" w14:textId="77777777" w:rsidR="00863131" w:rsidRDefault="00863131" w:rsidP="00863131">
            <w:pPr>
              <w:jc w:val="center"/>
              <w:rPr>
                <w:rFonts w:asciiTheme="majorHAnsi" w:hAnsiTheme="majorHAnsi" w:cstheme="majorHAnsi"/>
                <w:sz w:val="20"/>
                <w:szCs w:val="20"/>
                <w:lang w:val="en-US"/>
              </w:rPr>
            </w:pPr>
            <w:r>
              <w:rPr>
                <w:noProof/>
              </w:rPr>
              <w:drawing>
                <wp:inline distT="0" distB="0" distL="0" distR="0" wp14:anchorId="379B9425" wp14:editId="7E29D71E">
                  <wp:extent cx="3284805" cy="1847850"/>
                  <wp:effectExtent l="0" t="0" r="0" b="0"/>
                  <wp:docPr id="11725614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61439" name="Picture 2"/>
                          <pic:cNvPicPr>
                            <a:picLocks noChangeAspect="1"/>
                          </pic:cNvPicPr>
                        </pic:nvPicPr>
                        <pic:blipFill>
                          <a:blip r:embed="rId15" cstate="screen"/>
                          <a:stretch>
                            <a:fillRect/>
                          </a:stretch>
                        </pic:blipFill>
                        <pic:spPr>
                          <a:xfrm>
                            <a:off x="0" y="0"/>
                            <a:ext cx="3291482" cy="1851606"/>
                          </a:xfrm>
                          <a:prstGeom prst="rect">
                            <a:avLst/>
                          </a:prstGeom>
                        </pic:spPr>
                      </pic:pic>
                    </a:graphicData>
                  </a:graphic>
                </wp:inline>
              </w:drawing>
            </w:r>
          </w:p>
          <w:p w14:paraId="0DC823FC" w14:textId="5655E0BD" w:rsidR="00863131" w:rsidRDefault="00863131" w:rsidP="00863131">
            <w:pPr>
              <w:jc w:val="center"/>
              <w:rPr>
                <w:rFonts w:asciiTheme="majorHAnsi" w:hAnsiTheme="majorHAnsi" w:cstheme="majorHAnsi"/>
                <w:sz w:val="20"/>
                <w:szCs w:val="20"/>
                <w:lang w:val="en-US"/>
              </w:rPr>
            </w:pPr>
          </w:p>
        </w:tc>
      </w:tr>
      <w:tr w:rsidR="00863131" w:rsidRPr="00863131" w14:paraId="5AFB02D1" w14:textId="77777777" w:rsidTr="00426E0F">
        <w:tc>
          <w:tcPr>
            <w:tcW w:w="9060" w:type="dxa"/>
          </w:tcPr>
          <w:p w14:paraId="2B1B8CF3" w14:textId="1E94FF8B" w:rsidR="00863131" w:rsidRPr="00863131" w:rsidRDefault="00863131" w:rsidP="00863131">
            <w:pPr>
              <w:jc w:val="center"/>
              <w:rPr>
                <w:rFonts w:asciiTheme="majorHAnsi" w:hAnsiTheme="majorHAnsi" w:cstheme="majorHAnsi"/>
                <w:sz w:val="16"/>
                <w:szCs w:val="16"/>
                <w:lang w:val="en-US"/>
              </w:rPr>
            </w:pPr>
            <w:r w:rsidRPr="00863131">
              <w:rPr>
                <w:rFonts w:asciiTheme="majorHAnsi" w:hAnsiTheme="majorHAnsi" w:cstheme="majorHAnsi"/>
                <w:sz w:val="16"/>
                <w:szCs w:val="16"/>
              </w:rPr>
              <w:t xml:space="preserve">Figure 5. Background noise and loudspeaker measurement mapping </w:t>
            </w:r>
          </w:p>
        </w:tc>
      </w:tr>
    </w:tbl>
    <w:p w14:paraId="2E64A717" w14:textId="77777777" w:rsidR="00863131" w:rsidRDefault="00863131" w:rsidP="00863131">
      <w:pPr>
        <w:ind w:firstLine="284"/>
        <w:jc w:val="both"/>
        <w:rPr>
          <w:rFonts w:asciiTheme="majorHAnsi" w:hAnsiTheme="majorHAnsi" w:cstheme="majorHAnsi"/>
          <w:sz w:val="20"/>
          <w:szCs w:val="20"/>
          <w:lang w:val="en-US"/>
        </w:rPr>
      </w:pPr>
    </w:p>
    <w:p w14:paraId="54A72C2C"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Once the primary data were collected, the computer simulation process, comprising modeling, configuration setup, and simulation, was initiated. Modeling was carried out using Rhinoceros 6 software to define all boundaries of the mosque, including the floor, walls, columns, beams, and roof. Each boundary was grouped into different layers to facilitate material settings in the simulation. The file was then exported to COLLADA (.</w:t>
      </w:r>
      <w:proofErr w:type="spellStart"/>
      <w:r w:rsidRPr="00863131">
        <w:rPr>
          <w:rFonts w:asciiTheme="majorHAnsi" w:hAnsiTheme="majorHAnsi" w:cstheme="majorHAnsi"/>
          <w:sz w:val="20"/>
          <w:szCs w:val="20"/>
          <w:lang w:val="en-US"/>
        </w:rPr>
        <w:t>dae</w:t>
      </w:r>
      <w:proofErr w:type="spellEnd"/>
      <w:r w:rsidRPr="00863131">
        <w:rPr>
          <w:rFonts w:asciiTheme="majorHAnsi" w:hAnsiTheme="majorHAnsi" w:cstheme="majorHAnsi"/>
          <w:sz w:val="20"/>
          <w:szCs w:val="20"/>
          <w:lang w:val="en-US"/>
        </w:rPr>
        <w:t xml:space="preserve">) format and imported into the web-based software </w:t>
      </w:r>
      <w:proofErr w:type="spellStart"/>
      <w:r w:rsidRPr="00863131">
        <w:rPr>
          <w:rFonts w:asciiTheme="majorHAnsi" w:hAnsiTheme="majorHAnsi" w:cstheme="majorHAnsi"/>
          <w:sz w:val="20"/>
          <w:szCs w:val="20"/>
          <w:lang w:val="en-US"/>
        </w:rPr>
        <w:t>Fohhn</w:t>
      </w:r>
      <w:proofErr w:type="spellEnd"/>
      <w:r w:rsidRPr="00863131">
        <w:rPr>
          <w:rFonts w:asciiTheme="majorHAnsi" w:hAnsiTheme="majorHAnsi" w:cstheme="majorHAnsi"/>
          <w:sz w:val="20"/>
          <w:szCs w:val="20"/>
          <w:lang w:val="en-US"/>
        </w:rPr>
        <w:t xml:space="preserve"> Designer for further configuration and simulation. </w:t>
      </w:r>
      <w:proofErr w:type="spellStart"/>
      <w:r w:rsidRPr="00863131">
        <w:rPr>
          <w:rFonts w:asciiTheme="majorHAnsi" w:hAnsiTheme="majorHAnsi" w:cstheme="majorHAnsi"/>
          <w:sz w:val="20"/>
          <w:szCs w:val="20"/>
          <w:lang w:val="en-US"/>
        </w:rPr>
        <w:t>Fohhn</w:t>
      </w:r>
      <w:proofErr w:type="spellEnd"/>
      <w:r w:rsidRPr="00863131">
        <w:rPr>
          <w:rFonts w:asciiTheme="majorHAnsi" w:hAnsiTheme="majorHAnsi" w:cstheme="majorHAnsi"/>
          <w:sz w:val="20"/>
          <w:szCs w:val="20"/>
          <w:lang w:val="en-US"/>
        </w:rPr>
        <w:t xml:space="preserve"> Designer was selected because it complies with the DIN EN IEC 60268-16 standard for STI simulations, which specifies how to rate speech intelligibility in rooms equipped with sound systems </w:t>
      </w:r>
      <w:sdt>
        <w:sdtPr>
          <w:rPr>
            <w:rFonts w:asciiTheme="majorHAnsi" w:hAnsiTheme="majorHAnsi" w:cstheme="majorHAnsi"/>
            <w:sz w:val="20"/>
            <w:szCs w:val="20"/>
            <w:lang w:val="en-US"/>
          </w:rPr>
          <w:id w:val="-1876458722"/>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Int11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[26]</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Settings were configured to control background noise obtained from the on-site measurements, loudspeakers’ placements and sound intensity, and room material properties, with single sound reflection.</w:t>
      </w:r>
    </w:p>
    <w:tbl>
      <w:tblPr>
        <w:tblW w:w="0" w:type="auto"/>
        <w:jc w:val="center"/>
        <w:tblLayout w:type="fixed"/>
        <w:tblLook w:val="04A0" w:firstRow="1" w:lastRow="0" w:firstColumn="1" w:lastColumn="0" w:noHBand="0" w:noVBand="1"/>
      </w:tblPr>
      <w:tblGrid>
        <w:gridCol w:w="1559"/>
        <w:gridCol w:w="3970"/>
      </w:tblGrid>
      <w:tr w:rsidR="00863131" w:rsidRPr="00863131" w14:paraId="353EBB9B" w14:textId="77777777" w:rsidTr="00863131">
        <w:trPr>
          <w:trHeight w:val="90"/>
          <w:jc w:val="center"/>
        </w:trPr>
        <w:tc>
          <w:tcPr>
            <w:tcW w:w="5529" w:type="dxa"/>
            <w:gridSpan w:val="2"/>
            <w:hideMark/>
          </w:tcPr>
          <w:p w14:paraId="341F70FF" w14:textId="1043224C" w:rsidR="00863131" w:rsidRPr="00863131" w:rsidRDefault="00863131" w:rsidP="00426E0F">
            <w:pPr>
              <w:spacing w:line="360" w:lineRule="auto"/>
              <w:ind w:firstLine="284"/>
              <w:jc w:val="center"/>
              <w:rPr>
                <w:rFonts w:asciiTheme="majorHAnsi" w:hAnsiTheme="majorHAnsi" w:cstheme="majorHAnsi"/>
                <w:bCs/>
                <w:sz w:val="16"/>
                <w:szCs w:val="16"/>
                <w:lang w:val="en-US"/>
              </w:rPr>
            </w:pPr>
            <w:r w:rsidRPr="00863131">
              <w:rPr>
                <w:rFonts w:asciiTheme="majorHAnsi" w:hAnsiTheme="majorHAnsi" w:cstheme="majorHAnsi"/>
                <w:bCs/>
                <w:sz w:val="16"/>
                <w:szCs w:val="16"/>
                <w:lang w:val="en-US"/>
              </w:rPr>
              <w:lastRenderedPageBreak/>
              <w:t>Table 1. Explanation of each model variable</w:t>
            </w:r>
          </w:p>
        </w:tc>
      </w:tr>
      <w:tr w:rsidR="00863131" w:rsidRPr="00863131" w14:paraId="6CF3F0CD" w14:textId="77777777" w:rsidTr="00863131">
        <w:trPr>
          <w:trHeight w:val="85"/>
          <w:jc w:val="center"/>
        </w:trPr>
        <w:tc>
          <w:tcPr>
            <w:tcW w:w="1559" w:type="dxa"/>
            <w:tcBorders>
              <w:top w:val="single" w:sz="4" w:space="0" w:color="auto"/>
              <w:left w:val="nil"/>
              <w:bottom w:val="nil"/>
              <w:right w:val="nil"/>
            </w:tcBorders>
            <w:hideMark/>
          </w:tcPr>
          <w:p w14:paraId="42B00266"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Variable</w:t>
            </w:r>
          </w:p>
        </w:tc>
        <w:tc>
          <w:tcPr>
            <w:tcW w:w="3970" w:type="dxa"/>
            <w:tcBorders>
              <w:top w:val="single" w:sz="4" w:space="0" w:color="auto"/>
              <w:left w:val="nil"/>
              <w:bottom w:val="nil"/>
              <w:right w:val="nil"/>
            </w:tcBorders>
            <w:hideMark/>
          </w:tcPr>
          <w:p w14:paraId="7558DBC4"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Explanation</w:t>
            </w:r>
          </w:p>
        </w:tc>
      </w:tr>
      <w:tr w:rsidR="00863131" w:rsidRPr="00863131" w14:paraId="3F136F81" w14:textId="77777777" w:rsidTr="00863131">
        <w:trPr>
          <w:cantSplit/>
          <w:jc w:val="center"/>
        </w:trPr>
        <w:tc>
          <w:tcPr>
            <w:tcW w:w="1559" w:type="dxa"/>
            <w:tcBorders>
              <w:top w:val="single" w:sz="4" w:space="0" w:color="auto"/>
              <w:left w:val="nil"/>
              <w:bottom w:val="nil"/>
              <w:right w:val="nil"/>
            </w:tcBorders>
            <w:hideMark/>
          </w:tcPr>
          <w:p w14:paraId="6569D963"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MUI-A</w:t>
            </w:r>
          </w:p>
        </w:tc>
        <w:tc>
          <w:tcPr>
            <w:tcW w:w="3970" w:type="dxa"/>
            <w:tcBorders>
              <w:top w:val="single" w:sz="4" w:space="0" w:color="auto"/>
              <w:left w:val="nil"/>
              <w:bottom w:val="nil"/>
              <w:right w:val="nil"/>
            </w:tcBorders>
            <w:hideMark/>
          </w:tcPr>
          <w:p w14:paraId="28C5A0FB"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 xml:space="preserve">Original version of Masjid UI </w:t>
            </w:r>
          </w:p>
          <w:p w14:paraId="40BD73E2"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with an open design</w:t>
            </w:r>
          </w:p>
        </w:tc>
      </w:tr>
      <w:tr w:rsidR="00863131" w:rsidRPr="00863131" w14:paraId="10849A97" w14:textId="77777777" w:rsidTr="00863131">
        <w:trPr>
          <w:jc w:val="center"/>
        </w:trPr>
        <w:tc>
          <w:tcPr>
            <w:tcW w:w="1559" w:type="dxa"/>
            <w:hideMark/>
          </w:tcPr>
          <w:p w14:paraId="67A98FDD"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MUI-B</w:t>
            </w:r>
          </w:p>
        </w:tc>
        <w:tc>
          <w:tcPr>
            <w:tcW w:w="3970" w:type="dxa"/>
            <w:hideMark/>
          </w:tcPr>
          <w:p w14:paraId="6F00EF9E"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 xml:space="preserve">Modified version of Masjid UI </w:t>
            </w:r>
          </w:p>
          <w:p w14:paraId="11F5748A"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with enclosed design</w:t>
            </w:r>
          </w:p>
        </w:tc>
      </w:tr>
      <w:tr w:rsidR="00863131" w:rsidRPr="00863131" w14:paraId="3C31706C" w14:textId="77777777" w:rsidTr="00863131">
        <w:trPr>
          <w:jc w:val="center"/>
        </w:trPr>
        <w:tc>
          <w:tcPr>
            <w:tcW w:w="1559" w:type="dxa"/>
            <w:hideMark/>
          </w:tcPr>
          <w:p w14:paraId="4A2B5F22"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E</w:t>
            </w:r>
          </w:p>
        </w:tc>
        <w:tc>
          <w:tcPr>
            <w:tcW w:w="3970" w:type="dxa"/>
            <w:hideMark/>
          </w:tcPr>
          <w:p w14:paraId="7CED71BE"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Empty scenario</w:t>
            </w:r>
          </w:p>
        </w:tc>
      </w:tr>
      <w:tr w:rsidR="00863131" w:rsidRPr="00863131" w14:paraId="4E10FFBA" w14:textId="77777777" w:rsidTr="00863131">
        <w:trPr>
          <w:jc w:val="center"/>
        </w:trPr>
        <w:tc>
          <w:tcPr>
            <w:tcW w:w="1559" w:type="dxa"/>
            <w:hideMark/>
          </w:tcPr>
          <w:p w14:paraId="4FB2B660"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HF</w:t>
            </w:r>
          </w:p>
        </w:tc>
        <w:tc>
          <w:tcPr>
            <w:tcW w:w="3970" w:type="dxa"/>
            <w:hideMark/>
          </w:tcPr>
          <w:p w14:paraId="160B643C"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Half full scenario</w:t>
            </w:r>
          </w:p>
        </w:tc>
      </w:tr>
      <w:tr w:rsidR="00863131" w:rsidRPr="00863131" w14:paraId="5543D709" w14:textId="77777777" w:rsidTr="00863131">
        <w:trPr>
          <w:jc w:val="center"/>
        </w:trPr>
        <w:tc>
          <w:tcPr>
            <w:tcW w:w="1559" w:type="dxa"/>
            <w:tcBorders>
              <w:top w:val="nil"/>
              <w:left w:val="nil"/>
              <w:bottom w:val="single" w:sz="4" w:space="0" w:color="auto"/>
              <w:right w:val="nil"/>
            </w:tcBorders>
            <w:hideMark/>
          </w:tcPr>
          <w:p w14:paraId="7D2F69AB"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F</w:t>
            </w:r>
          </w:p>
        </w:tc>
        <w:tc>
          <w:tcPr>
            <w:tcW w:w="3970" w:type="dxa"/>
            <w:tcBorders>
              <w:top w:val="nil"/>
              <w:left w:val="nil"/>
              <w:bottom w:val="single" w:sz="4" w:space="0" w:color="auto"/>
              <w:right w:val="nil"/>
            </w:tcBorders>
            <w:hideMark/>
          </w:tcPr>
          <w:p w14:paraId="1EF5C2EE" w14:textId="77777777" w:rsidR="00863131" w:rsidRPr="00863131" w:rsidRDefault="00863131" w:rsidP="00863131">
            <w:pPr>
              <w:ind w:firstLine="284"/>
              <w:jc w:val="both"/>
              <w:rPr>
                <w:rFonts w:asciiTheme="majorHAnsi" w:hAnsiTheme="majorHAnsi" w:cstheme="majorHAnsi"/>
                <w:bCs/>
                <w:sz w:val="16"/>
                <w:szCs w:val="16"/>
                <w:lang w:val="en-US"/>
              </w:rPr>
            </w:pPr>
            <w:r w:rsidRPr="00863131">
              <w:rPr>
                <w:rFonts w:asciiTheme="majorHAnsi" w:hAnsiTheme="majorHAnsi" w:cstheme="majorHAnsi"/>
                <w:bCs/>
                <w:sz w:val="16"/>
                <w:szCs w:val="16"/>
                <w:lang w:val="en-US"/>
              </w:rPr>
              <w:t>Full scenario</w:t>
            </w:r>
          </w:p>
        </w:tc>
      </w:tr>
    </w:tbl>
    <w:p w14:paraId="7FBE8088" w14:textId="77777777" w:rsidR="00863131" w:rsidRDefault="00863131" w:rsidP="00863131">
      <w:pPr>
        <w:ind w:firstLine="284"/>
        <w:jc w:val="both"/>
        <w:rPr>
          <w:rFonts w:asciiTheme="majorHAnsi" w:hAnsiTheme="majorHAnsi" w:cstheme="majorHAnsi"/>
          <w:sz w:val="20"/>
          <w:szCs w:val="20"/>
          <w:lang w:val="en-US"/>
        </w:rPr>
      </w:pPr>
    </w:p>
    <w:p w14:paraId="553B7531" w14:textId="77777777" w:rsidR="00863131" w:rsidRP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Two mosque types were considered in the simulation: the open-design (MUI-A, original) and the enclosed-design (MUI-B, modified), each simulated under three scenarios: empty, half-full, and full, as indicated by the codes in Table 1. Rectangle blocks (red-colored) were used to represent worshippers, reflecting variations in worshipper occupancy levels (Fig. 6). The "half-full" scenario represents typical obligatory prayers practiced daily, while the "full" scenario simulates the mosque's use during Friday prayers. These three scenarios were simulated to assess the mosque's acoustic conditions across various situations.</w:t>
      </w:r>
    </w:p>
    <w:p w14:paraId="6155F63B" w14:textId="650BCB37" w:rsidR="00863131" w:rsidRDefault="00863131" w:rsidP="00863131">
      <w:pPr>
        <w:ind w:firstLine="284"/>
        <w:jc w:val="both"/>
        <w:rPr>
          <w:rFonts w:asciiTheme="majorHAnsi" w:hAnsiTheme="majorHAnsi" w:cstheme="majorHAnsi"/>
          <w:sz w:val="20"/>
          <w:szCs w:val="20"/>
          <w:lang w:val="en-US"/>
        </w:rPr>
      </w:pPr>
      <w:r w:rsidRPr="00863131">
        <w:rPr>
          <w:rFonts w:asciiTheme="majorHAnsi" w:hAnsiTheme="majorHAnsi" w:cstheme="majorHAnsi"/>
          <w:sz w:val="20"/>
          <w:szCs w:val="20"/>
          <w:lang w:val="en-US"/>
        </w:rPr>
        <w:t xml:space="preserve">The modified mosque model (MUI-B) was created by adding walls on all sides of the building and windows as openings. The selection of materials for both simulation models was adjusted based on data from site observations with the absorption coefficient values for each material obtained from </w:t>
      </w:r>
      <w:proofErr w:type="spellStart"/>
      <w:r w:rsidRPr="00863131">
        <w:rPr>
          <w:rFonts w:asciiTheme="majorHAnsi" w:hAnsiTheme="majorHAnsi" w:cstheme="majorHAnsi"/>
          <w:sz w:val="20"/>
          <w:szCs w:val="20"/>
          <w:lang w:val="en-US"/>
        </w:rPr>
        <w:t>Fohhn</w:t>
      </w:r>
      <w:proofErr w:type="spellEnd"/>
      <w:r w:rsidRPr="00863131">
        <w:rPr>
          <w:rFonts w:asciiTheme="majorHAnsi" w:hAnsiTheme="majorHAnsi" w:cstheme="majorHAnsi"/>
          <w:sz w:val="20"/>
          <w:szCs w:val="20"/>
          <w:lang w:val="en-US"/>
        </w:rPr>
        <w:t xml:space="preserve"> Designer, referencing various books and material manufacturers </w:t>
      </w:r>
      <w:sdt>
        <w:sdtPr>
          <w:rPr>
            <w:rFonts w:asciiTheme="majorHAnsi" w:hAnsiTheme="majorHAnsi" w:cstheme="majorHAnsi"/>
            <w:sz w:val="20"/>
            <w:szCs w:val="20"/>
            <w:lang w:val="en-US"/>
          </w:rPr>
          <w:id w:val="481812997"/>
          <w:citation/>
        </w:sdtPr>
        <w:sdtContent>
          <w:r w:rsidRPr="00863131">
            <w:rPr>
              <w:rFonts w:asciiTheme="majorHAnsi" w:hAnsiTheme="majorHAnsi" w:cstheme="majorHAnsi"/>
              <w:sz w:val="20"/>
              <w:szCs w:val="20"/>
              <w:lang w:val="en-US"/>
            </w:rPr>
            <w:fldChar w:fldCharType="begin"/>
          </w:r>
          <w:r w:rsidRPr="00863131">
            <w:rPr>
              <w:rFonts w:asciiTheme="majorHAnsi" w:hAnsiTheme="majorHAnsi" w:cstheme="majorHAnsi"/>
              <w:sz w:val="20"/>
              <w:szCs w:val="20"/>
            </w:rPr>
            <w:instrText xml:space="preserve"> CITATION Foh20 \l 14345 </w:instrText>
          </w:r>
          <w:r w:rsidRPr="00863131">
            <w:rPr>
              <w:rFonts w:asciiTheme="majorHAnsi" w:hAnsiTheme="majorHAnsi" w:cstheme="majorHAnsi"/>
              <w:sz w:val="20"/>
              <w:szCs w:val="20"/>
              <w:lang w:val="en-US"/>
            </w:rPr>
            <w:fldChar w:fldCharType="separate"/>
          </w:r>
          <w:r w:rsidRPr="00863131">
            <w:rPr>
              <w:rFonts w:asciiTheme="majorHAnsi" w:hAnsiTheme="majorHAnsi" w:cstheme="majorHAnsi"/>
              <w:sz w:val="20"/>
              <w:szCs w:val="20"/>
            </w:rPr>
            <w:t>[31]</w:t>
          </w:r>
          <w:r w:rsidRPr="00863131">
            <w:rPr>
              <w:rFonts w:asciiTheme="majorHAnsi" w:hAnsiTheme="majorHAnsi" w:cstheme="majorHAnsi"/>
              <w:sz w:val="20"/>
              <w:szCs w:val="20"/>
              <w:lang w:val="en-US"/>
            </w:rPr>
            <w:fldChar w:fldCharType="end"/>
          </w:r>
        </w:sdtContent>
      </w:sdt>
      <w:r w:rsidRPr="00863131">
        <w:rPr>
          <w:rFonts w:asciiTheme="majorHAnsi" w:hAnsiTheme="majorHAnsi" w:cstheme="majorHAnsi"/>
          <w:sz w:val="20"/>
          <w:szCs w:val="20"/>
          <w:lang w:val="en-US"/>
        </w:rPr>
        <w:t>. The listener plane was positioned 1.5 meters above the floor for plan view simulations and centered at the mosque’s midpoint for vertical section simulations, and was color-coded to represent both SPL and STI values (Fig. 7).</w:t>
      </w:r>
    </w:p>
    <w:p w14:paraId="2A963DBA" w14:textId="77777777" w:rsidR="00863131" w:rsidRDefault="00863131" w:rsidP="00863131">
      <w:pPr>
        <w:ind w:firstLine="284"/>
        <w:jc w:val="both"/>
        <w:rPr>
          <w:rFonts w:asciiTheme="majorHAnsi" w:hAnsiTheme="majorHAnsi" w:cstheme="majorHAnsi"/>
          <w:sz w:val="20"/>
          <w:szCs w:val="20"/>
          <w:lang w:val="en-US"/>
        </w:rPr>
      </w:pPr>
    </w:p>
    <w:p w14:paraId="6187F162" w14:textId="77777777" w:rsidR="00863131" w:rsidRDefault="00863131" w:rsidP="00863131">
      <w:pPr>
        <w:ind w:firstLine="284"/>
        <w:jc w:val="both"/>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3066"/>
        <w:gridCol w:w="3066"/>
      </w:tblGrid>
      <w:tr w:rsidR="00863131" w14:paraId="7553C74C" w14:textId="77777777" w:rsidTr="00863131">
        <w:tc>
          <w:tcPr>
            <w:tcW w:w="2993" w:type="dxa"/>
          </w:tcPr>
          <w:p w14:paraId="0AB2C15D" w14:textId="77777777" w:rsidR="00863131" w:rsidRDefault="00863131" w:rsidP="00863131">
            <w:pPr>
              <w:jc w:val="both"/>
              <w:rPr>
                <w:rFonts w:asciiTheme="majorHAnsi" w:hAnsiTheme="majorHAnsi" w:cstheme="majorHAnsi"/>
                <w:sz w:val="20"/>
                <w:szCs w:val="20"/>
                <w:lang w:val="en-US"/>
              </w:rPr>
            </w:pPr>
            <w:r>
              <w:rPr>
                <w:noProof/>
              </w:rPr>
              <w:drawing>
                <wp:inline distT="0" distB="0" distL="0" distR="0" wp14:anchorId="7BDFCA3C" wp14:editId="535E555C">
                  <wp:extent cx="1631315" cy="1181100"/>
                  <wp:effectExtent l="0" t="0" r="6985" b="0"/>
                  <wp:docPr id="11" name="image3.png"/>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r:embed="rId16" cstate="screen"/>
                          <a:srcRect l="13898" t="22760" r="30469" b="16840"/>
                          <a:stretch>
                            <a:fillRect/>
                          </a:stretch>
                        </pic:blipFill>
                        <pic:spPr>
                          <a:xfrm>
                            <a:off x="0" y="0"/>
                            <a:ext cx="1631315" cy="1181100"/>
                          </a:xfrm>
                          <a:prstGeom prst="rect">
                            <a:avLst/>
                          </a:prstGeom>
                        </pic:spPr>
                      </pic:pic>
                    </a:graphicData>
                  </a:graphic>
                </wp:inline>
              </w:drawing>
            </w:r>
          </w:p>
          <w:p w14:paraId="1D0055C4" w14:textId="06B0BB9F" w:rsidR="00863131" w:rsidRDefault="00863131" w:rsidP="00426E0F">
            <w:pPr>
              <w:jc w:val="center"/>
              <w:rPr>
                <w:rFonts w:asciiTheme="majorHAnsi" w:hAnsiTheme="majorHAnsi" w:cstheme="majorHAnsi"/>
                <w:sz w:val="20"/>
                <w:szCs w:val="20"/>
                <w:lang w:val="en-US"/>
              </w:rPr>
            </w:pPr>
            <w:r>
              <w:rPr>
                <w:rFonts w:asciiTheme="majorHAnsi" w:hAnsiTheme="majorHAnsi" w:cstheme="majorHAnsi"/>
                <w:sz w:val="20"/>
                <w:szCs w:val="20"/>
                <w:lang w:val="en-US"/>
              </w:rPr>
              <w:t>a</w:t>
            </w:r>
          </w:p>
        </w:tc>
        <w:tc>
          <w:tcPr>
            <w:tcW w:w="3066" w:type="dxa"/>
          </w:tcPr>
          <w:p w14:paraId="2D347F74" w14:textId="77777777" w:rsidR="00863131" w:rsidRDefault="00863131" w:rsidP="00863131">
            <w:pPr>
              <w:jc w:val="both"/>
              <w:rPr>
                <w:rFonts w:asciiTheme="majorHAnsi" w:hAnsiTheme="majorHAnsi" w:cstheme="majorHAnsi"/>
                <w:sz w:val="20"/>
                <w:szCs w:val="20"/>
                <w:lang w:val="en-US"/>
              </w:rPr>
            </w:pPr>
            <w:r>
              <w:rPr>
                <w:noProof/>
              </w:rPr>
              <w:drawing>
                <wp:inline distT="0" distB="0" distL="0" distR="0" wp14:anchorId="284B203D" wp14:editId="65209501">
                  <wp:extent cx="1803400" cy="1192530"/>
                  <wp:effectExtent l="0" t="0" r="6350" b="7620"/>
                  <wp:docPr id="12" name="image7.png"/>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7" cstate="screen"/>
                          <a:srcRect l="13464" t="23589" r="29552" b="16052"/>
                          <a:stretch>
                            <a:fillRect/>
                          </a:stretch>
                        </pic:blipFill>
                        <pic:spPr>
                          <a:xfrm>
                            <a:off x="0" y="0"/>
                            <a:ext cx="1803400" cy="1192530"/>
                          </a:xfrm>
                          <a:prstGeom prst="rect">
                            <a:avLst/>
                          </a:prstGeom>
                        </pic:spPr>
                      </pic:pic>
                    </a:graphicData>
                  </a:graphic>
                </wp:inline>
              </w:drawing>
            </w:r>
          </w:p>
          <w:p w14:paraId="30E707B0" w14:textId="520A4700" w:rsidR="00863131" w:rsidRDefault="00863131" w:rsidP="00426E0F">
            <w:pPr>
              <w:jc w:val="center"/>
              <w:rPr>
                <w:rFonts w:asciiTheme="majorHAnsi" w:hAnsiTheme="majorHAnsi" w:cstheme="majorHAnsi"/>
                <w:sz w:val="20"/>
                <w:szCs w:val="20"/>
                <w:lang w:val="en-US"/>
              </w:rPr>
            </w:pPr>
            <w:r>
              <w:rPr>
                <w:rFonts w:asciiTheme="majorHAnsi" w:hAnsiTheme="majorHAnsi" w:cstheme="majorHAnsi"/>
                <w:sz w:val="20"/>
                <w:szCs w:val="20"/>
                <w:lang w:val="en-US"/>
              </w:rPr>
              <w:t>b</w:t>
            </w:r>
          </w:p>
        </w:tc>
        <w:tc>
          <w:tcPr>
            <w:tcW w:w="3001" w:type="dxa"/>
          </w:tcPr>
          <w:p w14:paraId="36B5DFB5" w14:textId="77777777" w:rsidR="00863131" w:rsidRDefault="00863131" w:rsidP="00863131">
            <w:pPr>
              <w:jc w:val="both"/>
              <w:rPr>
                <w:rFonts w:asciiTheme="majorHAnsi" w:hAnsiTheme="majorHAnsi" w:cstheme="majorHAnsi"/>
                <w:sz w:val="20"/>
                <w:szCs w:val="20"/>
                <w:lang w:val="en-US"/>
              </w:rPr>
            </w:pPr>
            <w:r>
              <w:rPr>
                <w:noProof/>
              </w:rPr>
              <w:drawing>
                <wp:inline distT="0" distB="0" distL="0" distR="0" wp14:anchorId="18782189" wp14:editId="05217C2A">
                  <wp:extent cx="1809750" cy="1192530"/>
                  <wp:effectExtent l="0" t="0" r="0" b="7620"/>
                  <wp:docPr id="13" name="image6.png"/>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r:embed="rId18" cstate="screen"/>
                          <a:srcRect l="13465" t="23762" r="29988" b="16355"/>
                          <a:stretch>
                            <a:fillRect/>
                          </a:stretch>
                        </pic:blipFill>
                        <pic:spPr>
                          <a:xfrm>
                            <a:off x="0" y="0"/>
                            <a:ext cx="1809750" cy="1192530"/>
                          </a:xfrm>
                          <a:prstGeom prst="rect">
                            <a:avLst/>
                          </a:prstGeom>
                        </pic:spPr>
                      </pic:pic>
                    </a:graphicData>
                  </a:graphic>
                </wp:inline>
              </w:drawing>
            </w:r>
          </w:p>
          <w:p w14:paraId="37A0FBC7" w14:textId="184D75DE" w:rsidR="00863131" w:rsidRDefault="00426E0F" w:rsidP="00426E0F">
            <w:pPr>
              <w:jc w:val="center"/>
              <w:rPr>
                <w:rFonts w:asciiTheme="majorHAnsi" w:hAnsiTheme="majorHAnsi" w:cstheme="majorHAnsi"/>
                <w:sz w:val="20"/>
                <w:szCs w:val="20"/>
                <w:lang w:val="en-US"/>
              </w:rPr>
            </w:pPr>
            <w:r>
              <w:rPr>
                <w:rFonts w:asciiTheme="majorHAnsi" w:hAnsiTheme="majorHAnsi" w:cstheme="majorHAnsi"/>
                <w:sz w:val="20"/>
                <w:szCs w:val="20"/>
                <w:lang w:val="en-US"/>
              </w:rPr>
              <w:t>C</w:t>
            </w:r>
          </w:p>
          <w:p w14:paraId="2A1EA95B" w14:textId="7A53FDDD" w:rsidR="00426E0F" w:rsidRDefault="00426E0F" w:rsidP="00426E0F">
            <w:pPr>
              <w:jc w:val="center"/>
              <w:rPr>
                <w:rFonts w:asciiTheme="majorHAnsi" w:hAnsiTheme="majorHAnsi" w:cstheme="majorHAnsi"/>
                <w:sz w:val="20"/>
                <w:szCs w:val="20"/>
                <w:lang w:val="en-US"/>
              </w:rPr>
            </w:pPr>
          </w:p>
        </w:tc>
      </w:tr>
      <w:tr w:rsidR="00863131" w:rsidRPr="00863131" w14:paraId="26AF0785" w14:textId="77777777" w:rsidTr="00863131">
        <w:trPr>
          <w:trHeight w:val="489"/>
        </w:trPr>
        <w:tc>
          <w:tcPr>
            <w:tcW w:w="9060" w:type="dxa"/>
            <w:gridSpan w:val="3"/>
          </w:tcPr>
          <w:p w14:paraId="5C73360C" w14:textId="77777777" w:rsidR="00863131" w:rsidRDefault="00863131" w:rsidP="00863131">
            <w:pPr>
              <w:jc w:val="center"/>
              <w:rPr>
                <w:rFonts w:asciiTheme="majorHAnsi" w:hAnsiTheme="majorHAnsi" w:cstheme="majorHAnsi"/>
                <w:sz w:val="16"/>
                <w:szCs w:val="16"/>
              </w:rPr>
            </w:pPr>
            <w:r w:rsidRPr="00863131">
              <w:rPr>
                <w:rFonts w:asciiTheme="majorHAnsi" w:hAnsiTheme="majorHAnsi" w:cstheme="majorHAnsi"/>
                <w:sz w:val="16"/>
                <w:szCs w:val="16"/>
              </w:rPr>
              <w:t xml:space="preserve">Figure 6. Masjid UI in empty scenario with the inner </w:t>
            </w:r>
            <w:proofErr w:type="spellStart"/>
            <w:r w:rsidRPr="00863131">
              <w:rPr>
                <w:rFonts w:asciiTheme="majorHAnsi" w:hAnsiTheme="majorHAnsi" w:cstheme="majorHAnsi"/>
                <w:i/>
                <w:iCs/>
                <w:sz w:val="16"/>
                <w:szCs w:val="16"/>
              </w:rPr>
              <w:t>soko</w:t>
            </w:r>
            <w:proofErr w:type="spellEnd"/>
            <w:r w:rsidRPr="00863131">
              <w:rPr>
                <w:rFonts w:asciiTheme="majorHAnsi" w:hAnsiTheme="majorHAnsi" w:cstheme="majorHAnsi"/>
                <w:i/>
                <w:iCs/>
                <w:sz w:val="16"/>
                <w:szCs w:val="16"/>
              </w:rPr>
              <w:t xml:space="preserve"> guru</w:t>
            </w:r>
            <w:r w:rsidRPr="00863131">
              <w:rPr>
                <w:rFonts w:asciiTheme="majorHAnsi" w:hAnsiTheme="majorHAnsi" w:cstheme="majorHAnsi"/>
                <w:sz w:val="16"/>
                <w:szCs w:val="16"/>
              </w:rPr>
              <w:t xml:space="preserve"> (a), half-full scenario b), and full scenario (c). The red </w:t>
            </w:r>
            <w:proofErr w:type="spellStart"/>
            <w:r w:rsidRPr="00863131">
              <w:rPr>
                <w:rFonts w:asciiTheme="majorHAnsi" w:hAnsiTheme="majorHAnsi" w:cstheme="majorHAnsi"/>
                <w:sz w:val="16"/>
                <w:szCs w:val="16"/>
              </w:rPr>
              <w:t>color</w:t>
            </w:r>
            <w:proofErr w:type="spellEnd"/>
            <w:r w:rsidRPr="00863131">
              <w:rPr>
                <w:rFonts w:asciiTheme="majorHAnsi" w:hAnsiTheme="majorHAnsi" w:cstheme="majorHAnsi"/>
                <w:sz w:val="16"/>
                <w:szCs w:val="16"/>
              </w:rPr>
              <w:t xml:space="preserve"> represents the worshippers. </w:t>
            </w:r>
          </w:p>
          <w:p w14:paraId="0F0DFCFC" w14:textId="1CE2FE9C" w:rsidR="00426E0F" w:rsidRPr="00863131" w:rsidRDefault="00426E0F" w:rsidP="00863131">
            <w:pPr>
              <w:jc w:val="center"/>
              <w:rPr>
                <w:rFonts w:asciiTheme="majorHAnsi" w:hAnsiTheme="majorHAnsi" w:cstheme="majorHAnsi"/>
                <w:sz w:val="16"/>
                <w:szCs w:val="16"/>
                <w:lang w:val="en-US"/>
              </w:rPr>
            </w:pPr>
          </w:p>
        </w:tc>
      </w:tr>
      <w:tr w:rsidR="00863131" w14:paraId="20DFAABD" w14:textId="77777777" w:rsidTr="00863131">
        <w:trPr>
          <w:trHeight w:val="1075"/>
        </w:trPr>
        <w:tc>
          <w:tcPr>
            <w:tcW w:w="9060" w:type="dxa"/>
            <w:gridSpan w:val="3"/>
          </w:tcPr>
          <w:p w14:paraId="18DC4600" w14:textId="77777777" w:rsidR="00863131" w:rsidRDefault="00863131" w:rsidP="00863131">
            <w:pPr>
              <w:jc w:val="center"/>
              <w:rPr>
                <w:rFonts w:asciiTheme="majorHAnsi" w:hAnsiTheme="majorHAnsi" w:cstheme="majorHAnsi"/>
                <w:sz w:val="20"/>
                <w:szCs w:val="20"/>
                <w:lang w:val="en-US"/>
              </w:rPr>
            </w:pPr>
            <w:r>
              <w:rPr>
                <w:noProof/>
              </w:rPr>
              <w:drawing>
                <wp:inline distT="0" distB="0" distL="0" distR="0" wp14:anchorId="738C9DDF" wp14:editId="7CB521E9">
                  <wp:extent cx="4219575" cy="837354"/>
                  <wp:effectExtent l="0" t="0" r="0" b="1270"/>
                  <wp:docPr id="1542039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39737" name="Picture 1542039737"/>
                          <pic:cNvPicPr>
                            <a:picLocks noChangeAspect="1"/>
                          </pic:cNvPicPr>
                        </pic:nvPicPr>
                        <pic:blipFill>
                          <a:blip r:embed="rId19" cstate="screen"/>
                          <a:srcRect t="10527" r="50856"/>
                          <a:stretch>
                            <a:fillRect/>
                          </a:stretch>
                        </pic:blipFill>
                        <pic:spPr>
                          <a:xfrm>
                            <a:off x="0" y="0"/>
                            <a:ext cx="4259400" cy="845257"/>
                          </a:xfrm>
                          <a:prstGeom prst="rect">
                            <a:avLst/>
                          </a:prstGeom>
                          <a:ln>
                            <a:noFill/>
                          </a:ln>
                        </pic:spPr>
                      </pic:pic>
                    </a:graphicData>
                  </a:graphic>
                </wp:inline>
              </w:drawing>
            </w:r>
          </w:p>
          <w:p w14:paraId="5DC9C6E2" w14:textId="6B4A82C8" w:rsidR="00863131" w:rsidRDefault="00863131" w:rsidP="00863131">
            <w:pPr>
              <w:jc w:val="center"/>
              <w:rPr>
                <w:rFonts w:asciiTheme="majorHAnsi" w:hAnsiTheme="majorHAnsi" w:cstheme="majorHAnsi"/>
                <w:sz w:val="20"/>
                <w:szCs w:val="20"/>
                <w:lang w:val="en-US"/>
              </w:rPr>
            </w:pPr>
            <w:r>
              <w:rPr>
                <w:noProof/>
              </w:rPr>
              <w:drawing>
                <wp:inline distT="0" distB="0" distL="0" distR="0" wp14:anchorId="248823A6" wp14:editId="135DEFDF">
                  <wp:extent cx="3552825" cy="708910"/>
                  <wp:effectExtent l="0" t="0" r="0" b="0"/>
                  <wp:docPr id="1269081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081897" name="Picture 1"/>
                          <pic:cNvPicPr>
                            <a:picLocks noChangeAspect="1"/>
                          </pic:cNvPicPr>
                        </pic:nvPicPr>
                        <pic:blipFill>
                          <a:blip r:embed="rId20" cstate="screen"/>
                          <a:srcRect l="51202" t="10527" b="-1"/>
                          <a:stretch>
                            <a:fillRect/>
                          </a:stretch>
                        </pic:blipFill>
                        <pic:spPr>
                          <a:xfrm>
                            <a:off x="0" y="0"/>
                            <a:ext cx="3573556" cy="713046"/>
                          </a:xfrm>
                          <a:prstGeom prst="rect">
                            <a:avLst/>
                          </a:prstGeom>
                          <a:ln>
                            <a:noFill/>
                          </a:ln>
                        </pic:spPr>
                      </pic:pic>
                    </a:graphicData>
                  </a:graphic>
                </wp:inline>
              </w:drawing>
            </w:r>
          </w:p>
        </w:tc>
      </w:tr>
      <w:tr w:rsidR="00863131" w:rsidRPr="00863131" w14:paraId="69849711" w14:textId="77777777" w:rsidTr="00863131">
        <w:tc>
          <w:tcPr>
            <w:tcW w:w="9060" w:type="dxa"/>
            <w:gridSpan w:val="3"/>
          </w:tcPr>
          <w:p w14:paraId="68694C08" w14:textId="77777777" w:rsidR="00426E0F" w:rsidRDefault="00426E0F" w:rsidP="00863131">
            <w:pPr>
              <w:jc w:val="center"/>
              <w:rPr>
                <w:rFonts w:asciiTheme="majorHAnsi" w:hAnsiTheme="majorHAnsi" w:cstheme="majorHAnsi"/>
                <w:bCs/>
                <w:sz w:val="16"/>
                <w:szCs w:val="16"/>
              </w:rPr>
            </w:pPr>
          </w:p>
          <w:p w14:paraId="18E6CE49" w14:textId="2F86FB74" w:rsidR="00863131" w:rsidRPr="00863131" w:rsidRDefault="00863131" w:rsidP="00863131">
            <w:pPr>
              <w:jc w:val="center"/>
              <w:rPr>
                <w:rFonts w:asciiTheme="majorHAnsi" w:hAnsiTheme="majorHAnsi" w:cstheme="majorHAnsi"/>
                <w:bCs/>
                <w:sz w:val="16"/>
                <w:szCs w:val="16"/>
                <w:lang w:val="en-US"/>
              </w:rPr>
            </w:pPr>
            <w:r w:rsidRPr="00863131">
              <w:rPr>
                <w:rFonts w:asciiTheme="majorHAnsi" w:hAnsiTheme="majorHAnsi" w:cstheme="majorHAnsi"/>
                <w:bCs/>
                <w:sz w:val="16"/>
                <w:szCs w:val="16"/>
              </w:rPr>
              <w:t xml:space="preserve">Figure 7. SPL diagram in dBA (top) and STI (bottom) </w:t>
            </w:r>
            <w:sdt>
              <w:sdtPr>
                <w:rPr>
                  <w:rFonts w:asciiTheme="majorHAnsi" w:hAnsiTheme="majorHAnsi" w:cstheme="majorHAnsi"/>
                  <w:bCs/>
                  <w:sz w:val="16"/>
                  <w:szCs w:val="16"/>
                </w:rPr>
                <w:id w:val="1941093587"/>
              </w:sdtPr>
              <w:sdtContent>
                <w:r w:rsidRPr="00863131">
                  <w:rPr>
                    <w:rFonts w:asciiTheme="majorHAnsi" w:hAnsiTheme="majorHAnsi" w:cstheme="majorHAnsi"/>
                    <w:bCs/>
                    <w:sz w:val="16"/>
                    <w:szCs w:val="16"/>
                  </w:rPr>
                  <w:fldChar w:fldCharType="begin"/>
                </w:r>
                <w:r w:rsidRPr="00863131">
                  <w:rPr>
                    <w:rFonts w:asciiTheme="majorHAnsi" w:hAnsiTheme="majorHAnsi" w:cstheme="majorHAnsi"/>
                    <w:bCs/>
                    <w:sz w:val="16"/>
                    <w:szCs w:val="16"/>
                  </w:rPr>
                  <w:instrText xml:space="preserve"> CITATION Foh20 \l 14345 </w:instrText>
                </w:r>
                <w:r w:rsidRPr="00863131">
                  <w:rPr>
                    <w:rFonts w:asciiTheme="majorHAnsi" w:hAnsiTheme="majorHAnsi" w:cstheme="majorHAnsi"/>
                    <w:bCs/>
                    <w:sz w:val="16"/>
                    <w:szCs w:val="16"/>
                  </w:rPr>
                  <w:fldChar w:fldCharType="separate"/>
                </w:r>
                <w:r w:rsidRPr="00863131">
                  <w:rPr>
                    <w:rFonts w:asciiTheme="majorHAnsi" w:hAnsiTheme="majorHAnsi" w:cstheme="majorHAnsi"/>
                    <w:bCs/>
                    <w:sz w:val="16"/>
                    <w:szCs w:val="16"/>
                  </w:rPr>
                  <w:t>[31]</w:t>
                </w:r>
                <w:r w:rsidRPr="00863131">
                  <w:rPr>
                    <w:rFonts w:asciiTheme="majorHAnsi" w:hAnsiTheme="majorHAnsi" w:cstheme="majorHAnsi"/>
                    <w:bCs/>
                    <w:sz w:val="16"/>
                    <w:szCs w:val="16"/>
                    <w:lang w:val="en-US"/>
                  </w:rPr>
                  <w:fldChar w:fldCharType="end"/>
                </w:r>
              </w:sdtContent>
            </w:sdt>
          </w:p>
        </w:tc>
      </w:tr>
    </w:tbl>
    <w:p w14:paraId="4F8180A5" w14:textId="77777777" w:rsidR="00863131" w:rsidRDefault="00863131" w:rsidP="00863131">
      <w:pPr>
        <w:ind w:firstLine="284"/>
        <w:jc w:val="both"/>
        <w:rPr>
          <w:rFonts w:asciiTheme="majorHAnsi" w:hAnsiTheme="majorHAnsi" w:cstheme="majorHAnsi"/>
          <w:sz w:val="20"/>
          <w:szCs w:val="20"/>
          <w:lang w:val="en-US"/>
        </w:rPr>
      </w:pPr>
    </w:p>
    <w:p w14:paraId="28B20B9B" w14:textId="77777777" w:rsidR="00863131" w:rsidRDefault="00863131" w:rsidP="00863131">
      <w:pPr>
        <w:ind w:firstLine="284"/>
        <w:jc w:val="both"/>
        <w:rPr>
          <w:rFonts w:asciiTheme="majorHAnsi" w:hAnsiTheme="majorHAnsi" w:cstheme="majorHAnsi"/>
          <w:sz w:val="20"/>
          <w:szCs w:val="20"/>
        </w:rPr>
      </w:pPr>
      <w:r w:rsidRPr="00863131">
        <w:rPr>
          <w:rFonts w:asciiTheme="majorHAnsi" w:hAnsiTheme="majorHAnsi" w:cstheme="majorHAnsi"/>
          <w:sz w:val="20"/>
          <w:szCs w:val="20"/>
        </w:rPr>
        <w:t>The simulation process generated three sets of outputs. The primary output was the distribution of (STI) values in the study object. Supporting outputs were the distribution of SPL (A-weighting) values and the reverberation time within the mosque's space. All simulation results were discussed collectively, linking the data with internationally recognized acoustic comfort standards and previous research, as presented in Table 2, to draw comprehensive conclusions</w:t>
      </w:r>
      <w:r>
        <w:rPr>
          <w:rFonts w:asciiTheme="majorHAnsi" w:hAnsiTheme="majorHAnsi" w:cstheme="majorHAnsi"/>
          <w:sz w:val="20"/>
          <w:szCs w:val="20"/>
        </w:rPr>
        <w:t xml:space="preserve">. </w:t>
      </w:r>
    </w:p>
    <w:p w14:paraId="7334BBF4" w14:textId="77777777" w:rsidR="00426E0F" w:rsidRDefault="00426E0F" w:rsidP="00863131">
      <w:pPr>
        <w:ind w:firstLine="284"/>
        <w:jc w:val="both"/>
        <w:rPr>
          <w:rFonts w:asciiTheme="majorHAnsi" w:hAnsiTheme="majorHAnsi" w:cstheme="majorHAnsi"/>
          <w:sz w:val="20"/>
          <w:szCs w:val="20"/>
        </w:rPr>
      </w:pPr>
    </w:p>
    <w:p w14:paraId="3D43E764" w14:textId="77777777" w:rsidR="00426E0F" w:rsidRDefault="00426E0F" w:rsidP="00863131">
      <w:pPr>
        <w:ind w:firstLine="284"/>
        <w:jc w:val="both"/>
        <w:rPr>
          <w:rFonts w:asciiTheme="majorHAnsi" w:hAnsiTheme="majorHAnsi" w:cstheme="majorHAnsi"/>
          <w:sz w:val="20"/>
          <w:szCs w:val="20"/>
        </w:rPr>
      </w:pPr>
    </w:p>
    <w:p w14:paraId="2A650514" w14:textId="77777777" w:rsidR="00426E0F" w:rsidRDefault="00426E0F" w:rsidP="00863131">
      <w:pPr>
        <w:ind w:firstLine="284"/>
        <w:jc w:val="both"/>
        <w:rPr>
          <w:rFonts w:asciiTheme="majorHAnsi" w:hAnsiTheme="majorHAnsi" w:cstheme="majorHAnsi"/>
          <w:sz w:val="20"/>
          <w:szCs w:val="20"/>
        </w:rPr>
      </w:pPr>
    </w:p>
    <w:p w14:paraId="728134F9" w14:textId="77777777" w:rsidR="00426E0F" w:rsidRDefault="00426E0F" w:rsidP="00863131">
      <w:pPr>
        <w:ind w:firstLine="284"/>
        <w:jc w:val="both"/>
        <w:rPr>
          <w:rFonts w:asciiTheme="majorHAnsi" w:hAnsiTheme="majorHAnsi" w:cstheme="majorHAnsi"/>
          <w:sz w:val="20"/>
          <w:szCs w:val="20"/>
        </w:rPr>
      </w:pPr>
    </w:p>
    <w:p w14:paraId="10D1AF5A" w14:textId="77777777" w:rsidR="00AD43B0" w:rsidRDefault="00AD43B0" w:rsidP="00426E0F">
      <w:pPr>
        <w:spacing w:line="360" w:lineRule="auto"/>
        <w:jc w:val="center"/>
        <w:rPr>
          <w:rFonts w:asciiTheme="majorHAnsi" w:hAnsiTheme="majorHAnsi" w:cstheme="majorHAnsi"/>
          <w:bCs/>
          <w:sz w:val="16"/>
          <w:szCs w:val="16"/>
          <w:lang w:val="en-US"/>
        </w:rPr>
      </w:pPr>
    </w:p>
    <w:p w14:paraId="51D05A42" w14:textId="68E4139F" w:rsidR="00863131" w:rsidRPr="00863131" w:rsidRDefault="00863131" w:rsidP="00426E0F">
      <w:pPr>
        <w:spacing w:line="360" w:lineRule="auto"/>
        <w:jc w:val="center"/>
        <w:rPr>
          <w:rFonts w:asciiTheme="majorHAnsi" w:hAnsiTheme="majorHAnsi" w:cstheme="majorHAnsi"/>
          <w:bCs/>
          <w:sz w:val="16"/>
          <w:szCs w:val="16"/>
          <w:lang w:val="en-US"/>
        </w:rPr>
      </w:pPr>
      <w:r w:rsidRPr="00863131">
        <w:rPr>
          <w:rFonts w:asciiTheme="majorHAnsi" w:hAnsiTheme="majorHAnsi" w:cstheme="majorHAnsi"/>
          <w:bCs/>
          <w:sz w:val="16"/>
          <w:szCs w:val="16"/>
          <w:lang w:val="en-US"/>
        </w:rPr>
        <w:lastRenderedPageBreak/>
        <w:t>Table 2. Standard value level of STI, SPL, RT, and BN, and the recommended value for Masjid UI</w:t>
      </w:r>
    </w:p>
    <w:tbl>
      <w:tblPr>
        <w:tblStyle w:val="TableGrid"/>
        <w:tblW w:w="916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
        <w:gridCol w:w="1108"/>
        <w:gridCol w:w="1099"/>
        <w:gridCol w:w="1099"/>
        <w:gridCol w:w="1100"/>
        <w:gridCol w:w="1230"/>
        <w:gridCol w:w="1440"/>
        <w:gridCol w:w="919"/>
        <w:gridCol w:w="14"/>
      </w:tblGrid>
      <w:tr w:rsidR="00863131" w:rsidRPr="00863131" w14:paraId="235308D1" w14:textId="77777777" w:rsidTr="00426E0F">
        <w:trPr>
          <w:jc w:val="center"/>
        </w:trPr>
        <w:tc>
          <w:tcPr>
            <w:tcW w:w="1153" w:type="dxa"/>
            <w:vMerge w:val="restart"/>
            <w:tcBorders>
              <w:top w:val="single" w:sz="4" w:space="0" w:color="auto"/>
              <w:bottom w:val="nil"/>
            </w:tcBorders>
            <w:vAlign w:val="center"/>
            <w:hideMark/>
          </w:tcPr>
          <w:p w14:paraId="4123718A" w14:textId="77777777" w:rsidR="00863131" w:rsidRPr="00863131" w:rsidRDefault="00863131" w:rsidP="00863131">
            <w:pPr>
              <w:ind w:firstLine="22"/>
              <w:jc w:val="center"/>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Parameter</w:t>
            </w:r>
          </w:p>
        </w:tc>
        <w:tc>
          <w:tcPr>
            <w:tcW w:w="5646" w:type="dxa"/>
            <w:gridSpan w:val="5"/>
            <w:tcBorders>
              <w:top w:val="single" w:sz="4" w:space="0" w:color="auto"/>
              <w:bottom w:val="single" w:sz="4" w:space="0" w:color="auto"/>
            </w:tcBorders>
            <w:hideMark/>
          </w:tcPr>
          <w:p w14:paraId="07C793A0" w14:textId="77777777" w:rsidR="00863131" w:rsidRPr="00863131" w:rsidRDefault="00863131" w:rsidP="00863131">
            <w:pPr>
              <w:ind w:firstLine="22"/>
              <w:jc w:val="center"/>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Value</w:t>
            </w:r>
          </w:p>
        </w:tc>
        <w:tc>
          <w:tcPr>
            <w:tcW w:w="1441" w:type="dxa"/>
            <w:tcBorders>
              <w:top w:val="single" w:sz="4" w:space="0" w:color="auto"/>
              <w:bottom w:val="nil"/>
            </w:tcBorders>
            <w:vAlign w:val="center"/>
            <w:hideMark/>
          </w:tcPr>
          <w:p w14:paraId="0E772876" w14:textId="77777777" w:rsidR="00863131" w:rsidRPr="00863131" w:rsidRDefault="00863131" w:rsidP="00863131">
            <w:pPr>
              <w:ind w:firstLine="22"/>
              <w:jc w:val="center"/>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Recommended</w:t>
            </w:r>
          </w:p>
        </w:tc>
        <w:tc>
          <w:tcPr>
            <w:tcW w:w="921" w:type="dxa"/>
            <w:gridSpan w:val="2"/>
            <w:tcBorders>
              <w:top w:val="single" w:sz="4" w:space="0" w:color="auto"/>
              <w:bottom w:val="nil"/>
            </w:tcBorders>
            <w:vAlign w:val="center"/>
            <w:hideMark/>
          </w:tcPr>
          <w:p w14:paraId="0C57E759" w14:textId="77777777" w:rsidR="00863131" w:rsidRPr="00863131" w:rsidRDefault="00863131" w:rsidP="00863131">
            <w:pPr>
              <w:ind w:firstLine="22"/>
              <w:jc w:val="center"/>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Source</w:t>
            </w:r>
          </w:p>
        </w:tc>
      </w:tr>
      <w:tr w:rsidR="00863131" w:rsidRPr="00863131" w14:paraId="4C5E08AF" w14:textId="77777777" w:rsidTr="00426E0F">
        <w:trPr>
          <w:gridAfter w:val="1"/>
          <w:wAfter w:w="14" w:type="dxa"/>
          <w:jc w:val="center"/>
        </w:trPr>
        <w:tc>
          <w:tcPr>
            <w:tcW w:w="0" w:type="auto"/>
            <w:vMerge/>
            <w:tcBorders>
              <w:top w:val="nil"/>
              <w:bottom w:val="single" w:sz="4" w:space="0" w:color="auto"/>
            </w:tcBorders>
            <w:vAlign w:val="center"/>
            <w:hideMark/>
          </w:tcPr>
          <w:p w14:paraId="4385F857" w14:textId="77777777" w:rsidR="00863131" w:rsidRPr="00863131" w:rsidRDefault="00863131" w:rsidP="00863131">
            <w:pPr>
              <w:ind w:firstLine="284"/>
              <w:jc w:val="both"/>
              <w:rPr>
                <w:rFonts w:asciiTheme="majorHAnsi" w:hAnsiTheme="majorHAnsi" w:cstheme="majorHAnsi"/>
                <w:b/>
                <w:bCs/>
                <w:sz w:val="16"/>
                <w:szCs w:val="16"/>
                <w:lang w:val="en-US"/>
              </w:rPr>
            </w:pPr>
          </w:p>
        </w:tc>
        <w:tc>
          <w:tcPr>
            <w:tcW w:w="1110" w:type="dxa"/>
            <w:tcBorders>
              <w:top w:val="single" w:sz="4" w:space="0" w:color="auto"/>
              <w:bottom w:val="single" w:sz="4" w:space="0" w:color="auto"/>
            </w:tcBorders>
            <w:hideMark/>
          </w:tcPr>
          <w:p w14:paraId="05950736" w14:textId="77777777" w:rsidR="00863131" w:rsidRPr="00863131" w:rsidRDefault="00863131" w:rsidP="00863131">
            <w:pPr>
              <w:ind w:firstLine="284"/>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1</w:t>
            </w:r>
          </w:p>
        </w:tc>
        <w:tc>
          <w:tcPr>
            <w:tcW w:w="1101" w:type="dxa"/>
            <w:tcBorders>
              <w:top w:val="single" w:sz="4" w:space="0" w:color="auto"/>
              <w:bottom w:val="single" w:sz="4" w:space="0" w:color="auto"/>
            </w:tcBorders>
            <w:hideMark/>
          </w:tcPr>
          <w:p w14:paraId="414261C8" w14:textId="77777777" w:rsidR="00863131" w:rsidRPr="00863131" w:rsidRDefault="00863131" w:rsidP="00863131">
            <w:pPr>
              <w:ind w:firstLine="284"/>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2</w:t>
            </w:r>
          </w:p>
        </w:tc>
        <w:tc>
          <w:tcPr>
            <w:tcW w:w="1101" w:type="dxa"/>
            <w:tcBorders>
              <w:top w:val="single" w:sz="4" w:space="0" w:color="auto"/>
              <w:bottom w:val="single" w:sz="4" w:space="0" w:color="auto"/>
            </w:tcBorders>
            <w:hideMark/>
          </w:tcPr>
          <w:p w14:paraId="2AAE1438" w14:textId="77777777" w:rsidR="00863131" w:rsidRPr="00863131" w:rsidRDefault="00863131" w:rsidP="00863131">
            <w:pPr>
              <w:ind w:firstLine="284"/>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3</w:t>
            </w:r>
          </w:p>
        </w:tc>
        <w:tc>
          <w:tcPr>
            <w:tcW w:w="1102" w:type="dxa"/>
            <w:tcBorders>
              <w:top w:val="single" w:sz="4" w:space="0" w:color="auto"/>
              <w:bottom w:val="single" w:sz="4" w:space="0" w:color="auto"/>
            </w:tcBorders>
            <w:hideMark/>
          </w:tcPr>
          <w:p w14:paraId="734A64A9" w14:textId="77777777" w:rsidR="00863131" w:rsidRPr="00863131" w:rsidRDefault="00863131" w:rsidP="00863131">
            <w:pPr>
              <w:ind w:firstLine="284"/>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4</w:t>
            </w:r>
          </w:p>
        </w:tc>
        <w:tc>
          <w:tcPr>
            <w:tcW w:w="1218" w:type="dxa"/>
            <w:tcBorders>
              <w:top w:val="single" w:sz="4" w:space="0" w:color="auto"/>
              <w:bottom w:val="single" w:sz="4" w:space="0" w:color="auto"/>
            </w:tcBorders>
            <w:hideMark/>
          </w:tcPr>
          <w:p w14:paraId="080489B4" w14:textId="77777777" w:rsidR="00863131" w:rsidRPr="00863131" w:rsidRDefault="00863131" w:rsidP="00863131">
            <w:pPr>
              <w:ind w:firstLine="284"/>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5</w:t>
            </w:r>
          </w:p>
        </w:tc>
        <w:tc>
          <w:tcPr>
            <w:tcW w:w="0" w:type="auto"/>
            <w:tcBorders>
              <w:top w:val="nil"/>
              <w:bottom w:val="single" w:sz="4" w:space="0" w:color="auto"/>
            </w:tcBorders>
            <w:vAlign w:val="center"/>
            <w:hideMark/>
          </w:tcPr>
          <w:p w14:paraId="31237DDB" w14:textId="77777777" w:rsidR="00863131" w:rsidRPr="00863131" w:rsidRDefault="00863131" w:rsidP="00863131">
            <w:pPr>
              <w:ind w:firstLine="284"/>
              <w:jc w:val="both"/>
              <w:rPr>
                <w:rFonts w:asciiTheme="majorHAnsi" w:hAnsiTheme="majorHAnsi" w:cstheme="majorHAnsi"/>
                <w:b/>
                <w:bCs/>
                <w:sz w:val="16"/>
                <w:szCs w:val="16"/>
                <w:lang w:val="en-US"/>
              </w:rPr>
            </w:pPr>
          </w:p>
        </w:tc>
        <w:tc>
          <w:tcPr>
            <w:tcW w:w="0" w:type="auto"/>
            <w:tcBorders>
              <w:top w:val="nil"/>
              <w:bottom w:val="single" w:sz="4" w:space="0" w:color="auto"/>
            </w:tcBorders>
            <w:vAlign w:val="center"/>
            <w:hideMark/>
          </w:tcPr>
          <w:p w14:paraId="39A00EA1" w14:textId="77777777" w:rsidR="00863131" w:rsidRPr="00863131" w:rsidRDefault="00863131" w:rsidP="00863131">
            <w:pPr>
              <w:ind w:firstLine="284"/>
              <w:jc w:val="both"/>
              <w:rPr>
                <w:rFonts w:asciiTheme="majorHAnsi" w:hAnsiTheme="majorHAnsi" w:cstheme="majorHAnsi"/>
                <w:b/>
                <w:bCs/>
                <w:sz w:val="16"/>
                <w:szCs w:val="16"/>
                <w:lang w:val="en-US"/>
              </w:rPr>
            </w:pPr>
          </w:p>
        </w:tc>
      </w:tr>
      <w:tr w:rsidR="00863131" w:rsidRPr="00863131" w14:paraId="58DC10DE" w14:textId="77777777" w:rsidTr="00426E0F">
        <w:trPr>
          <w:gridAfter w:val="1"/>
          <w:wAfter w:w="14" w:type="dxa"/>
          <w:jc w:val="center"/>
        </w:trPr>
        <w:tc>
          <w:tcPr>
            <w:tcW w:w="1153" w:type="dxa"/>
            <w:tcBorders>
              <w:top w:val="single" w:sz="4" w:space="0" w:color="auto"/>
            </w:tcBorders>
            <w:vAlign w:val="center"/>
            <w:hideMark/>
          </w:tcPr>
          <w:p w14:paraId="4E800561" w14:textId="77777777" w:rsidR="00863131" w:rsidRPr="00863131" w:rsidRDefault="00863131" w:rsidP="00863131">
            <w:pPr>
              <w:ind w:firstLine="22"/>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STI</w:t>
            </w:r>
          </w:p>
          <w:p w14:paraId="205B31FB" w14:textId="77777777" w:rsidR="00863131" w:rsidRPr="00863131" w:rsidRDefault="00863131" w:rsidP="00863131">
            <w:pPr>
              <w:ind w:firstLine="22"/>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(bad-excellent)</w:t>
            </w:r>
          </w:p>
        </w:tc>
        <w:tc>
          <w:tcPr>
            <w:tcW w:w="1110" w:type="dxa"/>
            <w:tcBorders>
              <w:top w:val="single" w:sz="4" w:space="0" w:color="auto"/>
            </w:tcBorders>
            <w:vAlign w:val="center"/>
            <w:hideMark/>
          </w:tcPr>
          <w:p w14:paraId="6599388E"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&lt;0.3</w:t>
            </w:r>
          </w:p>
          <w:p w14:paraId="421B9FA3"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(Bad)</w:t>
            </w:r>
          </w:p>
        </w:tc>
        <w:tc>
          <w:tcPr>
            <w:tcW w:w="1101" w:type="dxa"/>
            <w:tcBorders>
              <w:top w:val="single" w:sz="4" w:space="0" w:color="auto"/>
            </w:tcBorders>
            <w:vAlign w:val="center"/>
            <w:hideMark/>
          </w:tcPr>
          <w:p w14:paraId="38C81A50"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0.3-0.45</w:t>
            </w:r>
          </w:p>
          <w:p w14:paraId="6FA650B1"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(Poor)</w:t>
            </w:r>
          </w:p>
        </w:tc>
        <w:tc>
          <w:tcPr>
            <w:tcW w:w="1101" w:type="dxa"/>
            <w:tcBorders>
              <w:top w:val="single" w:sz="4" w:space="0" w:color="auto"/>
            </w:tcBorders>
            <w:vAlign w:val="center"/>
            <w:hideMark/>
          </w:tcPr>
          <w:p w14:paraId="5A728A23"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0.45-0.60</w:t>
            </w:r>
          </w:p>
          <w:p w14:paraId="772A5A05"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(Fair)</w:t>
            </w:r>
          </w:p>
        </w:tc>
        <w:tc>
          <w:tcPr>
            <w:tcW w:w="1102" w:type="dxa"/>
            <w:tcBorders>
              <w:top w:val="single" w:sz="4" w:space="0" w:color="auto"/>
            </w:tcBorders>
            <w:vAlign w:val="center"/>
            <w:hideMark/>
          </w:tcPr>
          <w:p w14:paraId="2ECC74F1"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0.60-0.75</w:t>
            </w:r>
          </w:p>
          <w:p w14:paraId="74AF1697"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(Good)</w:t>
            </w:r>
          </w:p>
        </w:tc>
        <w:tc>
          <w:tcPr>
            <w:tcW w:w="1218" w:type="dxa"/>
            <w:tcBorders>
              <w:top w:val="single" w:sz="4" w:space="0" w:color="auto"/>
            </w:tcBorders>
            <w:vAlign w:val="center"/>
            <w:hideMark/>
          </w:tcPr>
          <w:p w14:paraId="7C02A546"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&gt;0.75</w:t>
            </w:r>
          </w:p>
          <w:p w14:paraId="0C8B698A"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(Excellent)</w:t>
            </w:r>
          </w:p>
        </w:tc>
        <w:tc>
          <w:tcPr>
            <w:tcW w:w="1441" w:type="dxa"/>
            <w:tcBorders>
              <w:top w:val="single" w:sz="4" w:space="0" w:color="auto"/>
            </w:tcBorders>
            <w:vAlign w:val="center"/>
            <w:hideMark/>
          </w:tcPr>
          <w:p w14:paraId="5B5C9764"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At least STI 0.68 for speech auditorium and alike</w:t>
            </w:r>
          </w:p>
        </w:tc>
        <w:tc>
          <w:tcPr>
            <w:tcW w:w="921" w:type="dxa"/>
            <w:tcBorders>
              <w:top w:val="single" w:sz="4" w:space="0" w:color="auto"/>
            </w:tcBorders>
            <w:vAlign w:val="center"/>
            <w:hideMark/>
          </w:tcPr>
          <w:p w14:paraId="0A28C361"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 xml:space="preserve">NTI Audio </w:t>
            </w:r>
            <w:sdt>
              <w:sdtPr>
                <w:rPr>
                  <w:rFonts w:asciiTheme="majorHAnsi" w:hAnsiTheme="majorHAnsi" w:cstheme="majorHAnsi"/>
                  <w:sz w:val="16"/>
                  <w:szCs w:val="16"/>
                  <w:lang w:val="en-US"/>
                </w:rPr>
                <w:id w:val="756255020"/>
                <w:citation/>
              </w:sdtPr>
              <w:sdtContent>
                <w:r w:rsidRPr="00863131">
                  <w:rPr>
                    <w:rFonts w:asciiTheme="majorHAnsi" w:hAnsiTheme="majorHAnsi" w:cstheme="majorHAnsi"/>
                    <w:sz w:val="16"/>
                    <w:szCs w:val="16"/>
                    <w:lang w:val="en-US"/>
                  </w:rPr>
                  <w:fldChar w:fldCharType="begin"/>
                </w:r>
                <w:r w:rsidRPr="00863131">
                  <w:rPr>
                    <w:rFonts w:asciiTheme="majorHAnsi" w:hAnsiTheme="majorHAnsi" w:cstheme="majorHAnsi"/>
                    <w:sz w:val="16"/>
                    <w:szCs w:val="16"/>
                  </w:rPr>
                  <w:instrText xml:space="preserve"> CITATION NTI20 \l 14345 </w:instrText>
                </w:r>
                <w:r w:rsidRPr="00863131">
                  <w:rPr>
                    <w:rFonts w:asciiTheme="majorHAnsi" w:hAnsiTheme="majorHAnsi" w:cstheme="majorHAnsi"/>
                    <w:sz w:val="16"/>
                    <w:szCs w:val="16"/>
                    <w:lang w:val="en-US"/>
                  </w:rPr>
                  <w:fldChar w:fldCharType="separate"/>
                </w:r>
                <w:r w:rsidRPr="00863131">
                  <w:rPr>
                    <w:rFonts w:asciiTheme="majorHAnsi" w:hAnsiTheme="majorHAnsi" w:cstheme="majorHAnsi"/>
                    <w:sz w:val="16"/>
                    <w:szCs w:val="16"/>
                  </w:rPr>
                  <w:t>[25]</w:t>
                </w:r>
                <w:r w:rsidRPr="00863131">
                  <w:rPr>
                    <w:rFonts w:asciiTheme="majorHAnsi" w:hAnsiTheme="majorHAnsi" w:cstheme="majorHAnsi"/>
                    <w:sz w:val="16"/>
                    <w:szCs w:val="16"/>
                  </w:rPr>
                  <w:fldChar w:fldCharType="end"/>
                </w:r>
              </w:sdtContent>
            </w:sdt>
          </w:p>
        </w:tc>
      </w:tr>
      <w:tr w:rsidR="00863131" w:rsidRPr="00863131" w14:paraId="5FD0601E" w14:textId="77777777" w:rsidTr="00863131">
        <w:trPr>
          <w:gridAfter w:val="1"/>
          <w:wAfter w:w="14" w:type="dxa"/>
          <w:jc w:val="center"/>
        </w:trPr>
        <w:tc>
          <w:tcPr>
            <w:tcW w:w="1153" w:type="dxa"/>
            <w:vAlign w:val="center"/>
            <w:hideMark/>
          </w:tcPr>
          <w:p w14:paraId="0D7FEA12" w14:textId="77777777" w:rsidR="00863131" w:rsidRPr="00863131" w:rsidRDefault="00863131" w:rsidP="00863131">
            <w:pPr>
              <w:ind w:firstLine="22"/>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SPL standard deviation</w:t>
            </w:r>
          </w:p>
          <w:p w14:paraId="7F436AB5" w14:textId="77777777" w:rsidR="00863131" w:rsidRPr="00863131" w:rsidRDefault="00863131" w:rsidP="00863131">
            <w:pPr>
              <w:ind w:firstLine="22"/>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(dBA deviation)</w:t>
            </w:r>
          </w:p>
        </w:tc>
        <w:tc>
          <w:tcPr>
            <w:tcW w:w="1110" w:type="dxa"/>
            <w:vAlign w:val="center"/>
            <w:hideMark/>
          </w:tcPr>
          <w:p w14:paraId="5861AE78"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&lt;3dBA</w:t>
            </w:r>
          </w:p>
        </w:tc>
        <w:tc>
          <w:tcPr>
            <w:tcW w:w="1101" w:type="dxa"/>
            <w:vAlign w:val="center"/>
            <w:hideMark/>
          </w:tcPr>
          <w:p w14:paraId="366F103B"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&gt;3dBA</w:t>
            </w:r>
          </w:p>
        </w:tc>
        <w:tc>
          <w:tcPr>
            <w:tcW w:w="1101" w:type="dxa"/>
            <w:vAlign w:val="center"/>
            <w:hideMark/>
          </w:tcPr>
          <w:p w14:paraId="5DCE6AB8"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w:t>
            </w:r>
          </w:p>
        </w:tc>
        <w:tc>
          <w:tcPr>
            <w:tcW w:w="1102" w:type="dxa"/>
            <w:vAlign w:val="center"/>
            <w:hideMark/>
          </w:tcPr>
          <w:p w14:paraId="52E0F307"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w:t>
            </w:r>
          </w:p>
        </w:tc>
        <w:tc>
          <w:tcPr>
            <w:tcW w:w="1218" w:type="dxa"/>
            <w:vAlign w:val="center"/>
            <w:hideMark/>
          </w:tcPr>
          <w:p w14:paraId="1AD839BF"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w:t>
            </w:r>
          </w:p>
        </w:tc>
        <w:tc>
          <w:tcPr>
            <w:tcW w:w="1441" w:type="dxa"/>
            <w:vAlign w:val="center"/>
            <w:hideMark/>
          </w:tcPr>
          <w:p w14:paraId="742C24EF"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 xml:space="preserve"> &lt;3dBA</w:t>
            </w:r>
          </w:p>
        </w:tc>
        <w:tc>
          <w:tcPr>
            <w:tcW w:w="921" w:type="dxa"/>
            <w:vAlign w:val="center"/>
            <w:hideMark/>
          </w:tcPr>
          <w:p w14:paraId="5C91C8C7"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 xml:space="preserve">Akil </w:t>
            </w:r>
            <w:sdt>
              <w:sdtPr>
                <w:rPr>
                  <w:rFonts w:asciiTheme="majorHAnsi" w:hAnsiTheme="majorHAnsi" w:cstheme="majorHAnsi"/>
                  <w:sz w:val="16"/>
                  <w:szCs w:val="16"/>
                  <w:lang w:val="en-US"/>
                </w:rPr>
                <w:id w:val="-376391972"/>
                <w:citation/>
              </w:sdtPr>
              <w:sdtContent>
                <w:r w:rsidRPr="00863131">
                  <w:rPr>
                    <w:rFonts w:asciiTheme="majorHAnsi" w:hAnsiTheme="majorHAnsi" w:cstheme="majorHAnsi"/>
                    <w:sz w:val="16"/>
                    <w:szCs w:val="16"/>
                    <w:lang w:val="en-US"/>
                  </w:rPr>
                  <w:fldChar w:fldCharType="begin"/>
                </w:r>
                <w:r w:rsidRPr="00863131">
                  <w:rPr>
                    <w:rFonts w:asciiTheme="majorHAnsi" w:hAnsiTheme="majorHAnsi" w:cstheme="majorHAnsi"/>
                    <w:sz w:val="16"/>
                    <w:szCs w:val="16"/>
                  </w:rPr>
                  <w:instrText xml:space="preserve"> CITATION Aki16 \l 14345 </w:instrText>
                </w:r>
                <w:r w:rsidRPr="00863131">
                  <w:rPr>
                    <w:rFonts w:asciiTheme="majorHAnsi" w:hAnsiTheme="majorHAnsi" w:cstheme="majorHAnsi"/>
                    <w:sz w:val="16"/>
                    <w:szCs w:val="16"/>
                    <w:lang w:val="en-US"/>
                  </w:rPr>
                  <w:fldChar w:fldCharType="separate"/>
                </w:r>
                <w:r w:rsidRPr="00863131">
                  <w:rPr>
                    <w:rFonts w:asciiTheme="majorHAnsi" w:hAnsiTheme="majorHAnsi" w:cstheme="majorHAnsi"/>
                    <w:sz w:val="16"/>
                    <w:szCs w:val="16"/>
                  </w:rPr>
                  <w:t>[32]</w:t>
                </w:r>
                <w:r w:rsidRPr="00863131">
                  <w:rPr>
                    <w:rFonts w:asciiTheme="majorHAnsi" w:hAnsiTheme="majorHAnsi" w:cstheme="majorHAnsi"/>
                    <w:sz w:val="16"/>
                    <w:szCs w:val="16"/>
                  </w:rPr>
                  <w:fldChar w:fldCharType="end"/>
                </w:r>
              </w:sdtContent>
            </w:sdt>
          </w:p>
        </w:tc>
      </w:tr>
      <w:tr w:rsidR="00863131" w:rsidRPr="00863131" w14:paraId="63A302A5" w14:textId="77777777" w:rsidTr="00863131">
        <w:trPr>
          <w:gridAfter w:val="1"/>
          <w:wAfter w:w="14" w:type="dxa"/>
          <w:jc w:val="center"/>
        </w:trPr>
        <w:tc>
          <w:tcPr>
            <w:tcW w:w="1153" w:type="dxa"/>
            <w:vAlign w:val="center"/>
            <w:hideMark/>
          </w:tcPr>
          <w:p w14:paraId="58045955" w14:textId="77777777" w:rsidR="00863131" w:rsidRPr="00863131" w:rsidRDefault="00863131" w:rsidP="00863131">
            <w:pPr>
              <w:ind w:firstLine="22"/>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RT</w:t>
            </w:r>
          </w:p>
          <w:p w14:paraId="39E3E413" w14:textId="77777777" w:rsidR="00863131" w:rsidRPr="00863131" w:rsidRDefault="00863131" w:rsidP="00863131">
            <w:pPr>
              <w:ind w:firstLine="22"/>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(max for each room’s volume)</w:t>
            </w:r>
          </w:p>
        </w:tc>
        <w:tc>
          <w:tcPr>
            <w:tcW w:w="1110" w:type="dxa"/>
            <w:vAlign w:val="center"/>
            <w:hideMark/>
          </w:tcPr>
          <w:p w14:paraId="76B190B4"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1.6 s</w:t>
            </w:r>
          </w:p>
          <w:p w14:paraId="1509477F"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(500m2)</w:t>
            </w:r>
          </w:p>
        </w:tc>
        <w:tc>
          <w:tcPr>
            <w:tcW w:w="1101" w:type="dxa"/>
            <w:vAlign w:val="center"/>
            <w:hideMark/>
          </w:tcPr>
          <w:p w14:paraId="2008A197"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1.75 s</w:t>
            </w:r>
          </w:p>
          <w:p w14:paraId="062BD827"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(1000m2)</w:t>
            </w:r>
          </w:p>
        </w:tc>
        <w:tc>
          <w:tcPr>
            <w:tcW w:w="1101" w:type="dxa"/>
            <w:vAlign w:val="center"/>
            <w:hideMark/>
          </w:tcPr>
          <w:p w14:paraId="5B100FC8"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1.9 s</w:t>
            </w:r>
          </w:p>
          <w:p w14:paraId="123A4DAA"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(2500m2)</w:t>
            </w:r>
          </w:p>
        </w:tc>
        <w:tc>
          <w:tcPr>
            <w:tcW w:w="1102" w:type="dxa"/>
            <w:vAlign w:val="center"/>
            <w:hideMark/>
          </w:tcPr>
          <w:p w14:paraId="61C23CB6"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2.1 s</w:t>
            </w:r>
          </w:p>
          <w:p w14:paraId="739FF6AB"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b/>
                <w:bCs/>
                <w:sz w:val="16"/>
                <w:szCs w:val="16"/>
                <w:lang w:val="en-US"/>
              </w:rPr>
              <w:t>(5000m2)</w:t>
            </w:r>
          </w:p>
        </w:tc>
        <w:tc>
          <w:tcPr>
            <w:tcW w:w="1218" w:type="dxa"/>
            <w:vAlign w:val="center"/>
            <w:hideMark/>
          </w:tcPr>
          <w:p w14:paraId="5AC6F52E"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2.25 s</w:t>
            </w:r>
          </w:p>
          <w:p w14:paraId="1DB8D7AE"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(10.000m2)</w:t>
            </w:r>
          </w:p>
        </w:tc>
        <w:tc>
          <w:tcPr>
            <w:tcW w:w="1441" w:type="dxa"/>
            <w:vAlign w:val="center"/>
            <w:hideMark/>
          </w:tcPr>
          <w:p w14:paraId="5736EC40"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The volume of Masjid UI’s prayer hall is approximately 5000m</w:t>
            </w:r>
            <w:r w:rsidRPr="00863131">
              <w:rPr>
                <w:rFonts w:asciiTheme="majorHAnsi" w:hAnsiTheme="majorHAnsi" w:cstheme="majorHAnsi"/>
                <w:sz w:val="16"/>
                <w:szCs w:val="16"/>
                <w:vertAlign w:val="superscript"/>
                <w:lang w:val="en-US"/>
              </w:rPr>
              <w:t>3</w:t>
            </w:r>
            <w:r w:rsidRPr="00863131">
              <w:rPr>
                <w:rFonts w:asciiTheme="majorHAnsi" w:hAnsiTheme="majorHAnsi" w:cstheme="majorHAnsi"/>
                <w:sz w:val="16"/>
                <w:szCs w:val="16"/>
                <w:lang w:val="en-US"/>
              </w:rPr>
              <w:t>, leading to an RT recommendation of 2.1 seconds</w:t>
            </w:r>
          </w:p>
        </w:tc>
        <w:tc>
          <w:tcPr>
            <w:tcW w:w="921" w:type="dxa"/>
            <w:vAlign w:val="center"/>
            <w:hideMark/>
          </w:tcPr>
          <w:p w14:paraId="71123C5F"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 xml:space="preserve">Ismail </w:t>
            </w:r>
            <w:sdt>
              <w:sdtPr>
                <w:rPr>
                  <w:rFonts w:asciiTheme="majorHAnsi" w:hAnsiTheme="majorHAnsi" w:cstheme="majorHAnsi"/>
                  <w:sz w:val="16"/>
                  <w:szCs w:val="16"/>
                  <w:lang w:val="en-US"/>
                </w:rPr>
                <w:id w:val="-1973658793"/>
                <w:citation/>
              </w:sdtPr>
              <w:sdtContent>
                <w:r w:rsidRPr="00863131">
                  <w:rPr>
                    <w:rFonts w:asciiTheme="majorHAnsi" w:hAnsiTheme="majorHAnsi" w:cstheme="majorHAnsi"/>
                    <w:sz w:val="16"/>
                    <w:szCs w:val="16"/>
                    <w:lang w:val="en-US"/>
                  </w:rPr>
                  <w:fldChar w:fldCharType="begin"/>
                </w:r>
                <w:r w:rsidRPr="00863131">
                  <w:rPr>
                    <w:rFonts w:asciiTheme="majorHAnsi" w:hAnsiTheme="majorHAnsi" w:cstheme="majorHAnsi"/>
                    <w:sz w:val="16"/>
                    <w:szCs w:val="16"/>
                  </w:rPr>
                  <w:instrText xml:space="preserve"> CITATION Mos13 \l 14345 </w:instrText>
                </w:r>
                <w:r w:rsidRPr="00863131">
                  <w:rPr>
                    <w:rFonts w:asciiTheme="majorHAnsi" w:hAnsiTheme="majorHAnsi" w:cstheme="majorHAnsi"/>
                    <w:sz w:val="16"/>
                    <w:szCs w:val="16"/>
                    <w:lang w:val="en-US"/>
                  </w:rPr>
                  <w:fldChar w:fldCharType="separate"/>
                </w:r>
                <w:r w:rsidRPr="00863131">
                  <w:rPr>
                    <w:rFonts w:asciiTheme="majorHAnsi" w:hAnsiTheme="majorHAnsi" w:cstheme="majorHAnsi"/>
                    <w:sz w:val="16"/>
                    <w:szCs w:val="16"/>
                  </w:rPr>
                  <w:t>[19]</w:t>
                </w:r>
                <w:r w:rsidRPr="00863131">
                  <w:rPr>
                    <w:rFonts w:asciiTheme="majorHAnsi" w:hAnsiTheme="majorHAnsi" w:cstheme="majorHAnsi"/>
                    <w:sz w:val="16"/>
                    <w:szCs w:val="16"/>
                  </w:rPr>
                  <w:fldChar w:fldCharType="end"/>
                </w:r>
              </w:sdtContent>
            </w:sdt>
          </w:p>
        </w:tc>
      </w:tr>
      <w:tr w:rsidR="00863131" w:rsidRPr="00863131" w14:paraId="70075C31" w14:textId="77777777" w:rsidTr="00863131">
        <w:trPr>
          <w:gridAfter w:val="1"/>
          <w:wAfter w:w="14" w:type="dxa"/>
          <w:jc w:val="center"/>
        </w:trPr>
        <w:tc>
          <w:tcPr>
            <w:tcW w:w="1153" w:type="dxa"/>
            <w:vAlign w:val="center"/>
            <w:hideMark/>
          </w:tcPr>
          <w:p w14:paraId="7FA950C6" w14:textId="77777777" w:rsidR="00863131" w:rsidRPr="00863131" w:rsidRDefault="00863131" w:rsidP="00863131">
            <w:pPr>
              <w:ind w:firstLine="22"/>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BN</w:t>
            </w:r>
          </w:p>
          <w:p w14:paraId="1D8CBE28" w14:textId="77777777" w:rsidR="00863131" w:rsidRPr="00863131" w:rsidRDefault="00863131" w:rsidP="00863131">
            <w:pPr>
              <w:ind w:firstLine="22"/>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(NC level)</w:t>
            </w:r>
          </w:p>
        </w:tc>
        <w:tc>
          <w:tcPr>
            <w:tcW w:w="1110" w:type="dxa"/>
            <w:vAlign w:val="center"/>
            <w:hideMark/>
          </w:tcPr>
          <w:p w14:paraId="3B67D2AF"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NC &lt;20</w:t>
            </w:r>
          </w:p>
        </w:tc>
        <w:tc>
          <w:tcPr>
            <w:tcW w:w="1101" w:type="dxa"/>
            <w:vAlign w:val="center"/>
            <w:hideMark/>
          </w:tcPr>
          <w:p w14:paraId="190A485C"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NC 20</w:t>
            </w:r>
          </w:p>
        </w:tc>
        <w:tc>
          <w:tcPr>
            <w:tcW w:w="1101" w:type="dxa"/>
            <w:vAlign w:val="center"/>
            <w:hideMark/>
          </w:tcPr>
          <w:p w14:paraId="3A86C185"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NC 25</w:t>
            </w:r>
          </w:p>
        </w:tc>
        <w:tc>
          <w:tcPr>
            <w:tcW w:w="1102" w:type="dxa"/>
            <w:vAlign w:val="center"/>
            <w:hideMark/>
          </w:tcPr>
          <w:p w14:paraId="5EBAEBD3" w14:textId="77777777" w:rsidR="00863131" w:rsidRPr="00863131" w:rsidRDefault="00863131" w:rsidP="00863131">
            <w:pPr>
              <w:jc w:val="both"/>
              <w:rPr>
                <w:rFonts w:asciiTheme="majorHAnsi" w:hAnsiTheme="majorHAnsi" w:cstheme="majorHAnsi"/>
                <w:b/>
                <w:bCs/>
                <w:sz w:val="16"/>
                <w:szCs w:val="16"/>
                <w:lang w:val="en-US"/>
              </w:rPr>
            </w:pPr>
            <w:r w:rsidRPr="00863131">
              <w:rPr>
                <w:rFonts w:asciiTheme="majorHAnsi" w:hAnsiTheme="majorHAnsi" w:cstheme="majorHAnsi"/>
                <w:b/>
                <w:bCs/>
                <w:sz w:val="16"/>
                <w:szCs w:val="16"/>
                <w:lang w:val="en-US"/>
              </w:rPr>
              <w:t>NC 30</w:t>
            </w:r>
          </w:p>
        </w:tc>
        <w:tc>
          <w:tcPr>
            <w:tcW w:w="1218" w:type="dxa"/>
            <w:vAlign w:val="center"/>
            <w:hideMark/>
          </w:tcPr>
          <w:p w14:paraId="43F5D5B1"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 xml:space="preserve">NC &gt;30 </w:t>
            </w:r>
          </w:p>
        </w:tc>
        <w:tc>
          <w:tcPr>
            <w:tcW w:w="1441" w:type="dxa"/>
            <w:vAlign w:val="center"/>
            <w:hideMark/>
          </w:tcPr>
          <w:p w14:paraId="4913D18D"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NC 25 to NC 30 for conference halls and alike</w:t>
            </w:r>
          </w:p>
        </w:tc>
        <w:tc>
          <w:tcPr>
            <w:tcW w:w="921" w:type="dxa"/>
            <w:vAlign w:val="center"/>
            <w:hideMark/>
          </w:tcPr>
          <w:p w14:paraId="185AD76E" w14:textId="77777777" w:rsidR="00863131" w:rsidRPr="00863131" w:rsidRDefault="00863131" w:rsidP="00863131">
            <w:pPr>
              <w:jc w:val="both"/>
              <w:rPr>
                <w:rFonts w:asciiTheme="majorHAnsi" w:hAnsiTheme="majorHAnsi" w:cstheme="majorHAnsi"/>
                <w:sz w:val="16"/>
                <w:szCs w:val="16"/>
                <w:lang w:val="en-US"/>
              </w:rPr>
            </w:pPr>
            <w:r w:rsidRPr="00863131">
              <w:rPr>
                <w:rFonts w:asciiTheme="majorHAnsi" w:hAnsiTheme="majorHAnsi" w:cstheme="majorHAnsi"/>
                <w:sz w:val="16"/>
                <w:szCs w:val="16"/>
                <w:lang w:val="en-US"/>
              </w:rPr>
              <w:t xml:space="preserve">Adel </w:t>
            </w:r>
            <w:sdt>
              <w:sdtPr>
                <w:rPr>
                  <w:rFonts w:asciiTheme="majorHAnsi" w:hAnsiTheme="majorHAnsi" w:cstheme="majorHAnsi"/>
                  <w:sz w:val="16"/>
                  <w:szCs w:val="16"/>
                  <w:lang w:val="en-US"/>
                </w:rPr>
                <w:id w:val="-608279241"/>
                <w:citation/>
              </w:sdtPr>
              <w:sdtContent>
                <w:r w:rsidRPr="00863131">
                  <w:rPr>
                    <w:rFonts w:asciiTheme="majorHAnsi" w:hAnsiTheme="majorHAnsi" w:cstheme="majorHAnsi"/>
                    <w:sz w:val="16"/>
                    <w:szCs w:val="16"/>
                    <w:lang w:val="en-US"/>
                  </w:rPr>
                  <w:fldChar w:fldCharType="begin"/>
                </w:r>
                <w:r w:rsidRPr="00863131">
                  <w:rPr>
                    <w:rFonts w:asciiTheme="majorHAnsi" w:hAnsiTheme="majorHAnsi" w:cstheme="majorHAnsi"/>
                    <w:sz w:val="16"/>
                    <w:szCs w:val="16"/>
                  </w:rPr>
                  <w:instrText xml:space="preserve"> CITATION Abd031 \l 14345 </w:instrText>
                </w:r>
                <w:r w:rsidRPr="00863131">
                  <w:rPr>
                    <w:rFonts w:asciiTheme="majorHAnsi" w:hAnsiTheme="majorHAnsi" w:cstheme="majorHAnsi"/>
                    <w:sz w:val="16"/>
                    <w:szCs w:val="16"/>
                    <w:lang w:val="en-US"/>
                  </w:rPr>
                  <w:fldChar w:fldCharType="separate"/>
                </w:r>
                <w:r w:rsidRPr="00863131">
                  <w:rPr>
                    <w:rFonts w:asciiTheme="majorHAnsi" w:hAnsiTheme="majorHAnsi" w:cstheme="majorHAnsi"/>
                    <w:sz w:val="16"/>
                    <w:szCs w:val="16"/>
                  </w:rPr>
                  <w:t>[27]</w:t>
                </w:r>
                <w:r w:rsidRPr="00863131">
                  <w:rPr>
                    <w:rFonts w:asciiTheme="majorHAnsi" w:hAnsiTheme="majorHAnsi" w:cstheme="majorHAnsi"/>
                    <w:sz w:val="16"/>
                    <w:szCs w:val="16"/>
                  </w:rPr>
                  <w:fldChar w:fldCharType="end"/>
                </w:r>
              </w:sdtContent>
            </w:sdt>
          </w:p>
        </w:tc>
      </w:tr>
    </w:tbl>
    <w:p w14:paraId="4631CE7A" w14:textId="77777777" w:rsidR="00863131" w:rsidRDefault="00863131" w:rsidP="00863131">
      <w:pPr>
        <w:ind w:firstLine="284"/>
        <w:jc w:val="both"/>
        <w:rPr>
          <w:rFonts w:asciiTheme="majorHAnsi" w:hAnsiTheme="majorHAnsi" w:cstheme="majorHAnsi"/>
          <w:sz w:val="20"/>
          <w:szCs w:val="20"/>
        </w:rPr>
      </w:pPr>
    </w:p>
    <w:p w14:paraId="2F46531F" w14:textId="09CF7EE3" w:rsidR="00863131" w:rsidRDefault="00863131" w:rsidP="00863131">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52823E5B" w14:textId="77777777" w:rsidR="00863131" w:rsidRDefault="00863131" w:rsidP="00863131">
      <w:pPr>
        <w:ind w:firstLine="283"/>
        <w:jc w:val="both"/>
        <w:rPr>
          <w:rFonts w:asciiTheme="majorHAnsi" w:hAnsiTheme="majorHAnsi" w:cstheme="majorHAnsi"/>
          <w:sz w:val="20"/>
          <w:szCs w:val="20"/>
        </w:rPr>
      </w:pPr>
    </w:p>
    <w:p w14:paraId="4FEF2D08" w14:textId="6A4A8A2F" w:rsidR="00863131" w:rsidRDefault="00863131" w:rsidP="00863131">
      <w:pPr>
        <w:pStyle w:val="ListParagraph"/>
        <w:numPr>
          <w:ilvl w:val="1"/>
          <w:numId w:val="2"/>
        </w:numPr>
        <w:ind w:left="567" w:hanging="284"/>
        <w:jc w:val="both"/>
        <w:rPr>
          <w:rFonts w:asciiTheme="minorHAnsi" w:hAnsiTheme="minorHAnsi" w:cstheme="minorHAnsi"/>
          <w:b/>
          <w:bCs/>
          <w:sz w:val="18"/>
          <w:szCs w:val="18"/>
        </w:rPr>
      </w:pPr>
      <w:r w:rsidRPr="00863131">
        <w:rPr>
          <w:rFonts w:asciiTheme="minorHAnsi" w:hAnsiTheme="minorHAnsi" w:cstheme="minorHAnsi"/>
          <w:b/>
          <w:bCs/>
          <w:sz w:val="18"/>
          <w:szCs w:val="18"/>
        </w:rPr>
        <w:t>OBSERVATION RESULTS</w:t>
      </w:r>
    </w:p>
    <w:p w14:paraId="476DA880" w14:textId="302D780D" w:rsidR="00863131" w:rsidRDefault="00863131" w:rsidP="00863131">
      <w:pPr>
        <w:ind w:left="283" w:firstLine="284"/>
        <w:jc w:val="both"/>
        <w:rPr>
          <w:rFonts w:asciiTheme="majorHAnsi" w:eastAsia="Times New Roman" w:hAnsiTheme="majorHAnsi" w:cstheme="majorHAnsi"/>
          <w:sz w:val="20"/>
          <w:szCs w:val="20"/>
          <w:lang w:eastAsia="ko-KR"/>
        </w:rPr>
      </w:pPr>
      <w:r w:rsidRPr="00863131">
        <w:rPr>
          <w:rFonts w:asciiTheme="majorHAnsi" w:eastAsia="Times New Roman" w:hAnsiTheme="majorHAnsi" w:cstheme="majorHAnsi"/>
          <w:sz w:val="20"/>
          <w:szCs w:val="20"/>
          <w:lang w:eastAsia="ko-KR"/>
        </w:rPr>
        <w:t>The mosque’s dimensions obtained during the site observation phase were used to create the Masjid UI model. Most of the mosque's materials are reflective, including ceramic tiles and painted concrete. The only absorptive materials are the carpets in the inner area and on the second floor, as well as a few curtains on the second floor.</w:t>
      </w:r>
    </w:p>
    <w:p w14:paraId="0F43B7EB" w14:textId="77777777" w:rsidR="00863131" w:rsidRDefault="00863131" w:rsidP="00863131">
      <w:pPr>
        <w:ind w:left="283" w:firstLine="284"/>
        <w:jc w:val="both"/>
        <w:rPr>
          <w:rFonts w:asciiTheme="majorHAnsi" w:eastAsia="Times New Roman" w:hAnsiTheme="majorHAnsi" w:cstheme="majorHAnsi"/>
          <w:sz w:val="20"/>
          <w:szCs w:val="20"/>
          <w:lang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863131" w14:paraId="6D7C97EB" w14:textId="77777777" w:rsidTr="00426E0F">
        <w:tc>
          <w:tcPr>
            <w:tcW w:w="9060" w:type="dxa"/>
          </w:tcPr>
          <w:p w14:paraId="155809CC" w14:textId="7018E0C5" w:rsidR="00863131" w:rsidRDefault="00863131" w:rsidP="00863131">
            <w:pPr>
              <w:jc w:val="center"/>
              <w:rPr>
                <w:rFonts w:asciiTheme="majorHAnsi" w:eastAsia="Times New Roman" w:hAnsiTheme="majorHAnsi" w:cstheme="majorHAnsi"/>
                <w:sz w:val="20"/>
                <w:szCs w:val="20"/>
                <w:lang w:eastAsia="ko-KR"/>
              </w:rPr>
            </w:pPr>
            <w:r>
              <w:rPr>
                <w:noProof/>
              </w:rPr>
              <w:drawing>
                <wp:inline distT="0" distB="0" distL="0" distR="0" wp14:anchorId="2B5B6CCD" wp14:editId="6D69C9E3">
                  <wp:extent cx="1406525" cy="1511300"/>
                  <wp:effectExtent l="0" t="0" r="3175" b="0"/>
                  <wp:docPr id="20902437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43768" name="Picture 3"/>
                          <pic:cNvPicPr>
                            <a:picLocks noChangeAspect="1"/>
                          </pic:cNvPicPr>
                        </pic:nvPicPr>
                        <pic:blipFill>
                          <a:blip r:embed="rId21" cstate="screen"/>
                          <a:srcRect l="23822" r="23822"/>
                          <a:stretch>
                            <a:fillRect/>
                          </a:stretch>
                        </pic:blipFill>
                        <pic:spPr>
                          <a:xfrm>
                            <a:off x="0" y="0"/>
                            <a:ext cx="1406525" cy="1511300"/>
                          </a:xfrm>
                          <a:prstGeom prst="rect">
                            <a:avLst/>
                          </a:prstGeom>
                          <a:ln>
                            <a:noFill/>
                          </a:ln>
                        </pic:spPr>
                      </pic:pic>
                    </a:graphicData>
                  </a:graphic>
                </wp:inline>
              </w:drawing>
            </w:r>
            <w:r>
              <w:rPr>
                <w:rFonts w:asciiTheme="majorHAnsi" w:eastAsia="Times New Roman" w:hAnsiTheme="majorHAnsi" w:cstheme="majorHAnsi"/>
                <w:sz w:val="20"/>
                <w:szCs w:val="20"/>
                <w:lang w:eastAsia="ko-KR"/>
              </w:rPr>
              <w:t xml:space="preserve">    </w:t>
            </w:r>
            <w:r>
              <w:rPr>
                <w:noProof/>
              </w:rPr>
              <w:drawing>
                <wp:inline distT="0" distB="0" distL="0" distR="0" wp14:anchorId="29A910B3" wp14:editId="55F25C7F">
                  <wp:extent cx="1422400" cy="1527810"/>
                  <wp:effectExtent l="0" t="0" r="6350" b="0"/>
                  <wp:docPr id="16078318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31894" name="Picture 4"/>
                          <pic:cNvPicPr>
                            <a:picLocks noChangeAspect="1"/>
                          </pic:cNvPicPr>
                        </pic:nvPicPr>
                        <pic:blipFill>
                          <a:blip r:embed="rId22" cstate="screen"/>
                          <a:srcRect l="23822" r="23822"/>
                          <a:stretch>
                            <a:fillRect/>
                          </a:stretch>
                        </pic:blipFill>
                        <pic:spPr>
                          <a:xfrm>
                            <a:off x="0" y="0"/>
                            <a:ext cx="1422400" cy="1527810"/>
                          </a:xfrm>
                          <a:prstGeom prst="rect">
                            <a:avLst/>
                          </a:prstGeom>
                          <a:ln>
                            <a:noFill/>
                          </a:ln>
                        </pic:spPr>
                      </pic:pic>
                    </a:graphicData>
                  </a:graphic>
                </wp:inline>
              </w:drawing>
            </w:r>
          </w:p>
        </w:tc>
      </w:tr>
      <w:tr w:rsidR="00863131" w:rsidRPr="00863131" w14:paraId="3FCDBB30" w14:textId="77777777" w:rsidTr="00426E0F">
        <w:tc>
          <w:tcPr>
            <w:tcW w:w="9060" w:type="dxa"/>
          </w:tcPr>
          <w:p w14:paraId="26E56489" w14:textId="77777777" w:rsidR="00426E0F" w:rsidRDefault="00426E0F" w:rsidP="00863131">
            <w:pPr>
              <w:jc w:val="center"/>
              <w:rPr>
                <w:rFonts w:asciiTheme="majorHAnsi" w:eastAsia="Times New Roman" w:hAnsiTheme="majorHAnsi" w:cstheme="majorHAnsi"/>
                <w:sz w:val="16"/>
                <w:szCs w:val="16"/>
                <w:lang w:val="en-US" w:eastAsia="ko-KR"/>
              </w:rPr>
            </w:pPr>
          </w:p>
          <w:p w14:paraId="6D0860BD" w14:textId="613E1CD8" w:rsidR="00863131" w:rsidRPr="00863131" w:rsidRDefault="00863131" w:rsidP="00863131">
            <w:pPr>
              <w:jc w:val="center"/>
              <w:rPr>
                <w:rFonts w:asciiTheme="majorHAnsi" w:eastAsia="Times New Roman" w:hAnsiTheme="majorHAnsi" w:cstheme="majorHAnsi"/>
                <w:sz w:val="16"/>
                <w:szCs w:val="16"/>
                <w:lang w:val="en-US" w:eastAsia="ko-KR"/>
              </w:rPr>
            </w:pPr>
            <w:r w:rsidRPr="00863131">
              <w:rPr>
                <w:rFonts w:asciiTheme="majorHAnsi" w:eastAsia="Times New Roman" w:hAnsiTheme="majorHAnsi" w:cstheme="majorHAnsi"/>
                <w:sz w:val="16"/>
                <w:szCs w:val="16"/>
                <w:lang w:val="en-US" w:eastAsia="ko-KR"/>
              </w:rPr>
              <w:t>Figure 8. Loudspeakers mapping on the first (left) and 2</w:t>
            </w:r>
            <w:r w:rsidRPr="00863131">
              <w:rPr>
                <w:rFonts w:asciiTheme="majorHAnsi" w:eastAsia="Times New Roman" w:hAnsiTheme="majorHAnsi" w:cstheme="majorHAnsi"/>
                <w:sz w:val="16"/>
                <w:szCs w:val="16"/>
                <w:vertAlign w:val="superscript"/>
                <w:lang w:val="en-US" w:eastAsia="ko-KR"/>
              </w:rPr>
              <w:t>nd</w:t>
            </w:r>
            <w:r w:rsidRPr="00863131">
              <w:rPr>
                <w:rFonts w:asciiTheme="majorHAnsi" w:eastAsia="Times New Roman" w:hAnsiTheme="majorHAnsi" w:cstheme="majorHAnsi"/>
                <w:sz w:val="16"/>
                <w:szCs w:val="16"/>
                <w:lang w:val="en-US" w:eastAsia="ko-KR"/>
              </w:rPr>
              <w:t xml:space="preserve"> (right) floor in Masjid UI </w:t>
            </w:r>
          </w:p>
          <w:p w14:paraId="5FDD1724" w14:textId="77777777" w:rsidR="00863131" w:rsidRPr="00863131" w:rsidRDefault="00863131" w:rsidP="00863131">
            <w:pPr>
              <w:jc w:val="center"/>
              <w:rPr>
                <w:rFonts w:asciiTheme="majorHAnsi" w:eastAsia="Times New Roman" w:hAnsiTheme="majorHAnsi" w:cstheme="majorHAnsi"/>
                <w:sz w:val="16"/>
                <w:szCs w:val="16"/>
                <w:lang w:eastAsia="ko-KR"/>
              </w:rPr>
            </w:pPr>
          </w:p>
        </w:tc>
      </w:tr>
    </w:tbl>
    <w:p w14:paraId="067A141A" w14:textId="77777777" w:rsidR="00863131" w:rsidRPr="00863131" w:rsidRDefault="00863131" w:rsidP="00863131">
      <w:pPr>
        <w:ind w:left="283" w:firstLine="284"/>
        <w:jc w:val="both"/>
        <w:rPr>
          <w:rFonts w:asciiTheme="majorHAnsi" w:eastAsia="Times New Roman" w:hAnsiTheme="majorHAnsi" w:cstheme="majorHAnsi"/>
          <w:sz w:val="20"/>
          <w:szCs w:val="20"/>
          <w:lang w:val="en-US" w:eastAsia="ko-KR"/>
        </w:rPr>
      </w:pPr>
      <w:r w:rsidRPr="00863131">
        <w:rPr>
          <w:rFonts w:asciiTheme="majorHAnsi" w:eastAsia="Times New Roman" w:hAnsiTheme="majorHAnsi" w:cstheme="majorHAnsi"/>
          <w:sz w:val="20"/>
          <w:szCs w:val="20"/>
          <w:lang w:val="en-US" w:eastAsia="ko-KR"/>
        </w:rPr>
        <w:t>The observation also identified seven distinct types of loudspeakers used in the case study, positioned as depicted in Figure 8. These loudspeaker types are symmetrically placed on both sides of the mosque, with a consistent mounting height of approximately 2 to 2.2 meters above the floor. Additionally, some loudspeakers are inclined vertically by 7.5° downwards to better target the worshippers.</w:t>
      </w:r>
    </w:p>
    <w:p w14:paraId="1BBCAC5F" w14:textId="1461D85A" w:rsidR="00863131" w:rsidRDefault="00863131" w:rsidP="00863131">
      <w:pPr>
        <w:ind w:left="283" w:firstLine="284"/>
        <w:jc w:val="both"/>
        <w:rPr>
          <w:rFonts w:asciiTheme="majorHAnsi" w:eastAsia="Times New Roman" w:hAnsiTheme="majorHAnsi" w:cstheme="majorHAnsi"/>
          <w:sz w:val="20"/>
          <w:szCs w:val="20"/>
          <w:lang w:val="en-US" w:eastAsia="ko-KR"/>
        </w:rPr>
      </w:pPr>
      <w:r w:rsidRPr="00863131">
        <w:rPr>
          <w:rFonts w:asciiTheme="majorHAnsi" w:eastAsia="Times New Roman" w:hAnsiTheme="majorHAnsi" w:cstheme="majorHAnsi"/>
          <w:sz w:val="20"/>
          <w:szCs w:val="20"/>
          <w:lang w:val="en-US" w:eastAsia="ko-KR"/>
        </w:rPr>
        <w:t>From the on-site measurements, it was found that the average sound intensity produced by the loudspeakers was 78.8 dBA. The background noise data indicated that within the 125Hz-8000Hz frequency range, the 250Hz frequency exhibited the highest sound intensity, averaging 43.2 dBA. This 43.2 dBA sound intensity at 250Hz corresponds to the NC 30 category. Consequently, an NC 30 background noise level was applied in the simulation.</w:t>
      </w:r>
    </w:p>
    <w:p w14:paraId="08B9CCAE" w14:textId="77777777" w:rsidR="00863131" w:rsidRDefault="00863131" w:rsidP="00863131">
      <w:pPr>
        <w:ind w:left="283" w:firstLine="284"/>
        <w:jc w:val="both"/>
        <w:rPr>
          <w:rFonts w:asciiTheme="majorHAnsi" w:eastAsia="Times New Roman" w:hAnsiTheme="majorHAnsi" w:cstheme="majorHAnsi"/>
          <w:sz w:val="20"/>
          <w:szCs w:val="20"/>
          <w:lang w:val="en-US" w:eastAsia="ko-KR"/>
        </w:rPr>
      </w:pPr>
    </w:p>
    <w:p w14:paraId="5EA0F087" w14:textId="75996CED" w:rsidR="00863131" w:rsidRDefault="00863131" w:rsidP="00863131">
      <w:pPr>
        <w:pStyle w:val="ListParagraph"/>
        <w:numPr>
          <w:ilvl w:val="1"/>
          <w:numId w:val="2"/>
        </w:numPr>
        <w:ind w:left="567" w:hanging="284"/>
        <w:jc w:val="both"/>
        <w:rPr>
          <w:rFonts w:asciiTheme="minorHAnsi" w:hAnsiTheme="minorHAnsi" w:cstheme="minorHAnsi"/>
          <w:b/>
          <w:bCs/>
          <w:sz w:val="18"/>
          <w:szCs w:val="18"/>
        </w:rPr>
      </w:pPr>
      <w:r w:rsidRPr="00863131">
        <w:rPr>
          <w:rFonts w:asciiTheme="minorHAnsi" w:hAnsiTheme="minorHAnsi" w:cstheme="minorHAnsi"/>
          <w:b/>
          <w:bCs/>
          <w:sz w:val="18"/>
          <w:szCs w:val="18"/>
        </w:rPr>
        <w:t>SIMULATION RESULTS</w:t>
      </w:r>
    </w:p>
    <w:p w14:paraId="1986F011" w14:textId="5A231240" w:rsidR="00863131" w:rsidRDefault="00863131" w:rsidP="00863131">
      <w:pPr>
        <w:ind w:left="283" w:firstLine="284"/>
        <w:jc w:val="both"/>
        <w:rPr>
          <w:rFonts w:asciiTheme="majorHAnsi" w:eastAsia="Times New Roman" w:hAnsiTheme="majorHAnsi" w:cstheme="majorHAnsi"/>
          <w:sz w:val="20"/>
          <w:szCs w:val="20"/>
          <w:lang w:eastAsia="ko-KR"/>
        </w:rPr>
      </w:pPr>
      <w:r w:rsidRPr="00863131">
        <w:rPr>
          <w:rFonts w:asciiTheme="majorHAnsi" w:eastAsia="Times New Roman" w:hAnsiTheme="majorHAnsi" w:cstheme="majorHAnsi"/>
          <w:sz w:val="20"/>
          <w:szCs w:val="20"/>
          <w:lang w:eastAsia="ko-KR"/>
        </w:rPr>
        <w:t xml:space="preserve">The simulation process generated STI and SPL data both graphically and numerically, while RT data was generated only numerically. The floor plan illustrating the distribution of STI and SPL values is presented in Table 3. The STI values are generally comparable between both models, except for model MUI-B_E, which was uniquely highlighted in purple. As for the SPL values, the </w:t>
      </w:r>
      <w:proofErr w:type="spellStart"/>
      <w:r w:rsidRPr="00863131">
        <w:rPr>
          <w:rFonts w:asciiTheme="majorHAnsi" w:eastAsia="Times New Roman" w:hAnsiTheme="majorHAnsi" w:cstheme="majorHAnsi"/>
          <w:sz w:val="20"/>
          <w:szCs w:val="20"/>
          <w:lang w:eastAsia="ko-KR"/>
        </w:rPr>
        <w:t>color</w:t>
      </w:r>
      <w:proofErr w:type="spellEnd"/>
      <w:r w:rsidRPr="00863131">
        <w:rPr>
          <w:rFonts w:asciiTheme="majorHAnsi" w:eastAsia="Times New Roman" w:hAnsiTheme="majorHAnsi" w:cstheme="majorHAnsi"/>
          <w:sz w:val="20"/>
          <w:szCs w:val="20"/>
          <w:lang w:eastAsia="ko-KR"/>
        </w:rPr>
        <w:t xml:space="preserve"> patterns were consistent in both models. However, in model MUI-B, a noticeable shift towards more orange coloration indicates higher sound intensity</w:t>
      </w:r>
      <w:r>
        <w:rPr>
          <w:rFonts w:asciiTheme="majorHAnsi" w:eastAsia="Times New Roman" w:hAnsiTheme="majorHAnsi" w:cstheme="majorHAnsi"/>
          <w:sz w:val="20"/>
          <w:szCs w:val="20"/>
          <w:lang w:eastAsia="ko-KR"/>
        </w:rPr>
        <w:t>.</w:t>
      </w:r>
    </w:p>
    <w:p w14:paraId="53B08F83" w14:textId="77777777" w:rsidR="00435ACF" w:rsidRDefault="00435ACF" w:rsidP="00863131">
      <w:pPr>
        <w:ind w:left="283" w:firstLine="284"/>
        <w:jc w:val="both"/>
        <w:rPr>
          <w:rFonts w:asciiTheme="majorHAnsi" w:eastAsia="Times New Roman" w:hAnsiTheme="majorHAnsi" w:cstheme="majorHAnsi"/>
          <w:sz w:val="20"/>
          <w:szCs w:val="20"/>
          <w:lang w:eastAsia="ko-KR"/>
        </w:rPr>
      </w:pPr>
    </w:p>
    <w:p w14:paraId="0753EFAA" w14:textId="77777777" w:rsidR="00435ACF" w:rsidRDefault="00435ACF" w:rsidP="00A54554">
      <w:pPr>
        <w:jc w:val="center"/>
        <w:rPr>
          <w:rFonts w:asciiTheme="majorHAnsi" w:eastAsia="Times New Roman" w:hAnsiTheme="majorHAnsi" w:cstheme="majorHAnsi"/>
          <w:sz w:val="16"/>
          <w:szCs w:val="16"/>
          <w:lang w:val="en-US" w:eastAsia="ko-KR"/>
        </w:rPr>
      </w:pPr>
      <w:bookmarkStart w:id="1" w:name="_Hlk167021585"/>
    </w:p>
    <w:p w14:paraId="6E2F96C1" w14:textId="77777777" w:rsidR="00AD43B0" w:rsidRDefault="00AD43B0" w:rsidP="00A54554">
      <w:pPr>
        <w:jc w:val="center"/>
        <w:rPr>
          <w:rFonts w:asciiTheme="majorHAnsi" w:eastAsia="Times New Roman" w:hAnsiTheme="majorHAnsi" w:cstheme="majorHAnsi"/>
          <w:sz w:val="16"/>
          <w:szCs w:val="16"/>
          <w:lang w:val="en-US" w:eastAsia="ko-KR"/>
        </w:rPr>
      </w:pPr>
    </w:p>
    <w:p w14:paraId="0257BE03" w14:textId="377E6776"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lastRenderedPageBreak/>
        <w:t>Table 3. STI and SPL layouts in both Masjid UI model</w:t>
      </w:r>
      <w:r>
        <w:rPr>
          <w:rFonts w:asciiTheme="majorHAnsi" w:eastAsia="Times New Roman" w:hAnsiTheme="majorHAnsi" w:cstheme="majorHAnsi"/>
          <w:sz w:val="16"/>
          <w:szCs w:val="16"/>
          <w:lang w:val="en-US" w:eastAsia="ko-KR"/>
        </w:rPr>
        <w: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1728"/>
        <w:gridCol w:w="1808"/>
        <w:gridCol w:w="2003"/>
        <w:gridCol w:w="1917"/>
      </w:tblGrid>
      <w:tr w:rsidR="00A54554" w:rsidRPr="00A54554" w14:paraId="7592FEA7" w14:textId="77777777" w:rsidTr="00A54554">
        <w:trPr>
          <w:jc w:val="center"/>
        </w:trPr>
        <w:tc>
          <w:tcPr>
            <w:tcW w:w="708" w:type="dxa"/>
            <w:vMerge w:val="restart"/>
            <w:tcBorders>
              <w:top w:val="single" w:sz="4" w:space="0" w:color="auto"/>
              <w:bottom w:val="single" w:sz="4" w:space="0" w:color="auto"/>
            </w:tcBorders>
          </w:tcPr>
          <w:p w14:paraId="7B212E10" w14:textId="77777777" w:rsidR="00A54554" w:rsidRPr="00A54554" w:rsidRDefault="00A54554" w:rsidP="00A54554">
            <w:pPr>
              <w:jc w:val="both"/>
              <w:rPr>
                <w:rFonts w:asciiTheme="majorHAnsi" w:eastAsia="Times New Roman" w:hAnsiTheme="majorHAnsi" w:cstheme="majorHAnsi"/>
                <w:sz w:val="16"/>
                <w:szCs w:val="16"/>
                <w:lang w:val="en-US" w:eastAsia="ko-KR"/>
              </w:rPr>
            </w:pPr>
          </w:p>
        </w:tc>
        <w:tc>
          <w:tcPr>
            <w:tcW w:w="3536" w:type="dxa"/>
            <w:gridSpan w:val="2"/>
            <w:tcBorders>
              <w:top w:val="single" w:sz="4" w:space="0" w:color="auto"/>
              <w:bottom w:val="single" w:sz="4" w:space="0" w:color="auto"/>
            </w:tcBorders>
            <w:hideMark/>
          </w:tcPr>
          <w:p w14:paraId="42F105C3" w14:textId="77777777"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STI</w:t>
            </w:r>
          </w:p>
        </w:tc>
        <w:tc>
          <w:tcPr>
            <w:tcW w:w="3920" w:type="dxa"/>
            <w:gridSpan w:val="2"/>
            <w:tcBorders>
              <w:top w:val="single" w:sz="4" w:space="0" w:color="auto"/>
              <w:bottom w:val="single" w:sz="4" w:space="0" w:color="auto"/>
            </w:tcBorders>
            <w:hideMark/>
          </w:tcPr>
          <w:p w14:paraId="3376F49D" w14:textId="77777777"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Total SPL</w:t>
            </w:r>
          </w:p>
        </w:tc>
      </w:tr>
      <w:tr w:rsidR="00A54554" w:rsidRPr="00A54554" w14:paraId="1EFAC053" w14:textId="77777777" w:rsidTr="00A54554">
        <w:trPr>
          <w:jc w:val="center"/>
        </w:trPr>
        <w:tc>
          <w:tcPr>
            <w:tcW w:w="0" w:type="auto"/>
            <w:vMerge/>
            <w:tcBorders>
              <w:top w:val="single" w:sz="4" w:space="0" w:color="auto"/>
              <w:bottom w:val="single" w:sz="4" w:space="0" w:color="auto"/>
            </w:tcBorders>
            <w:vAlign w:val="center"/>
            <w:hideMark/>
          </w:tcPr>
          <w:p w14:paraId="234041C8" w14:textId="77777777" w:rsidR="00A54554" w:rsidRPr="00A54554" w:rsidRDefault="00A54554" w:rsidP="00A54554">
            <w:pPr>
              <w:jc w:val="both"/>
              <w:rPr>
                <w:rFonts w:asciiTheme="majorHAnsi" w:eastAsia="Times New Roman" w:hAnsiTheme="majorHAnsi" w:cstheme="majorHAnsi"/>
                <w:sz w:val="16"/>
                <w:szCs w:val="16"/>
                <w:lang w:val="en-US" w:eastAsia="ko-KR"/>
              </w:rPr>
            </w:pPr>
          </w:p>
        </w:tc>
        <w:tc>
          <w:tcPr>
            <w:tcW w:w="1728" w:type="dxa"/>
            <w:tcBorders>
              <w:top w:val="single" w:sz="4" w:space="0" w:color="auto"/>
              <w:bottom w:val="single" w:sz="4" w:space="0" w:color="auto"/>
            </w:tcBorders>
            <w:hideMark/>
          </w:tcPr>
          <w:p w14:paraId="73286BE5" w14:textId="77777777"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First Floor</w:t>
            </w:r>
          </w:p>
        </w:tc>
        <w:tc>
          <w:tcPr>
            <w:tcW w:w="1808" w:type="dxa"/>
            <w:tcBorders>
              <w:top w:val="single" w:sz="4" w:space="0" w:color="auto"/>
              <w:bottom w:val="single" w:sz="4" w:space="0" w:color="auto"/>
            </w:tcBorders>
            <w:hideMark/>
          </w:tcPr>
          <w:p w14:paraId="70C03303" w14:textId="77777777"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Second Floor</w:t>
            </w:r>
          </w:p>
        </w:tc>
        <w:tc>
          <w:tcPr>
            <w:tcW w:w="2003" w:type="dxa"/>
            <w:tcBorders>
              <w:top w:val="single" w:sz="4" w:space="0" w:color="auto"/>
              <w:bottom w:val="single" w:sz="4" w:space="0" w:color="auto"/>
            </w:tcBorders>
            <w:hideMark/>
          </w:tcPr>
          <w:p w14:paraId="1871FFFD" w14:textId="77777777"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First Floor</w:t>
            </w:r>
          </w:p>
        </w:tc>
        <w:tc>
          <w:tcPr>
            <w:tcW w:w="1917" w:type="dxa"/>
            <w:tcBorders>
              <w:top w:val="single" w:sz="4" w:space="0" w:color="auto"/>
              <w:bottom w:val="single" w:sz="4" w:space="0" w:color="auto"/>
            </w:tcBorders>
            <w:hideMark/>
          </w:tcPr>
          <w:p w14:paraId="68765729" w14:textId="77777777"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Second Floor</w:t>
            </w:r>
          </w:p>
        </w:tc>
      </w:tr>
      <w:tr w:rsidR="00A54554" w:rsidRPr="00A54554" w14:paraId="3478AD3A" w14:textId="77777777" w:rsidTr="00A54554">
        <w:trPr>
          <w:jc w:val="center"/>
        </w:trPr>
        <w:tc>
          <w:tcPr>
            <w:tcW w:w="708" w:type="dxa"/>
            <w:tcBorders>
              <w:top w:val="single" w:sz="4" w:space="0" w:color="auto"/>
            </w:tcBorders>
            <w:hideMark/>
          </w:tcPr>
          <w:p w14:paraId="14B0F05E" w14:textId="77777777" w:rsidR="00A54554" w:rsidRPr="00A54554" w:rsidRDefault="00A54554" w:rsidP="00A54554">
            <w:pP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MUI-A</w:t>
            </w:r>
          </w:p>
          <w:p w14:paraId="6302132C" w14:textId="77777777" w:rsidR="00A54554" w:rsidRPr="00A54554" w:rsidRDefault="00A54554" w:rsidP="00A54554">
            <w:pP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E</w:t>
            </w:r>
          </w:p>
        </w:tc>
        <w:tc>
          <w:tcPr>
            <w:tcW w:w="1728" w:type="dxa"/>
            <w:tcBorders>
              <w:top w:val="single" w:sz="4" w:space="0" w:color="auto"/>
            </w:tcBorders>
            <w:hideMark/>
          </w:tcPr>
          <w:p w14:paraId="61A674B2" w14:textId="559F7AA6" w:rsidR="00A54554" w:rsidRPr="00A54554" w:rsidRDefault="00A54554" w:rsidP="00A54554">
            <w:pP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59C53038" wp14:editId="76B695D8">
                  <wp:extent cx="828675" cy="847725"/>
                  <wp:effectExtent l="9525" t="0" r="0" b="0"/>
                  <wp:docPr id="18249877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23">
                            <a:extLst>
                              <a:ext uri="{28A0092B-C50C-407E-A947-70E740481C1C}">
                                <a14:useLocalDpi xmlns:a14="http://schemas.microsoft.com/office/drawing/2010/main" val="0"/>
                              </a:ext>
                            </a:extLst>
                          </a:blip>
                          <a:srcRect l="48254" t="35757" r="24097" b="13423"/>
                          <a:stretch>
                            <a:fillRect/>
                          </a:stretch>
                        </pic:blipFill>
                        <pic:spPr bwMode="auto">
                          <a:xfrm rot="-5400000">
                            <a:off x="0" y="0"/>
                            <a:ext cx="828675" cy="847725"/>
                          </a:xfrm>
                          <a:prstGeom prst="rect">
                            <a:avLst/>
                          </a:prstGeom>
                          <a:noFill/>
                          <a:ln>
                            <a:noFill/>
                          </a:ln>
                        </pic:spPr>
                      </pic:pic>
                    </a:graphicData>
                  </a:graphic>
                </wp:inline>
              </w:drawing>
            </w:r>
          </w:p>
        </w:tc>
        <w:tc>
          <w:tcPr>
            <w:tcW w:w="1808" w:type="dxa"/>
            <w:tcBorders>
              <w:top w:val="single" w:sz="4" w:space="0" w:color="auto"/>
            </w:tcBorders>
            <w:hideMark/>
          </w:tcPr>
          <w:p w14:paraId="49D7B837" w14:textId="200067FD" w:rsidR="00A54554" w:rsidRPr="00A54554" w:rsidRDefault="00A54554" w:rsidP="00A54554">
            <w:pP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CD7C64E" wp14:editId="3AF4F6EA">
                  <wp:extent cx="819150" cy="866775"/>
                  <wp:effectExtent l="0" t="4763" r="0" b="0"/>
                  <wp:docPr id="183298315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24" cstate="print">
                            <a:extLst>
                              <a:ext uri="{28A0092B-C50C-407E-A947-70E740481C1C}">
                                <a14:useLocalDpi xmlns:a14="http://schemas.microsoft.com/office/drawing/2010/main" val="0"/>
                              </a:ext>
                            </a:extLst>
                          </a:blip>
                          <a:srcRect l="48227" t="38120" r="26904" b="14960"/>
                          <a:stretch>
                            <a:fillRect/>
                          </a:stretch>
                        </pic:blipFill>
                        <pic:spPr bwMode="auto">
                          <a:xfrm rot="-5400000">
                            <a:off x="0" y="0"/>
                            <a:ext cx="819150" cy="866775"/>
                          </a:xfrm>
                          <a:prstGeom prst="rect">
                            <a:avLst/>
                          </a:prstGeom>
                          <a:noFill/>
                          <a:ln>
                            <a:noFill/>
                          </a:ln>
                        </pic:spPr>
                      </pic:pic>
                    </a:graphicData>
                  </a:graphic>
                </wp:inline>
              </w:drawing>
            </w:r>
          </w:p>
        </w:tc>
        <w:tc>
          <w:tcPr>
            <w:tcW w:w="2003" w:type="dxa"/>
            <w:tcBorders>
              <w:top w:val="single" w:sz="4" w:space="0" w:color="auto"/>
            </w:tcBorders>
            <w:hideMark/>
          </w:tcPr>
          <w:p w14:paraId="73C2F0DE" w14:textId="4D459E6E" w:rsidR="00A54554" w:rsidRPr="00A54554" w:rsidRDefault="00A54554" w:rsidP="00A54554">
            <w:pP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CDFA91A" wp14:editId="2F3632BF">
                  <wp:extent cx="847725" cy="914400"/>
                  <wp:effectExtent l="4763" t="0" r="0" b="0"/>
                  <wp:docPr id="47890219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326852"/>
                          <pic:cNvPicPr>
                            <a:picLocks noChangeAspect="1" noChangeArrowheads="1"/>
                          </pic:cNvPicPr>
                        </pic:nvPicPr>
                        <pic:blipFill>
                          <a:blip r:embed="rId25">
                            <a:extLst>
                              <a:ext uri="{28A0092B-C50C-407E-A947-70E740481C1C}">
                                <a14:useLocalDpi xmlns:a14="http://schemas.microsoft.com/office/drawing/2010/main" val="0"/>
                              </a:ext>
                            </a:extLst>
                          </a:blip>
                          <a:srcRect l="48991" t="37180" r="24673" b="12971"/>
                          <a:stretch>
                            <a:fillRect/>
                          </a:stretch>
                        </pic:blipFill>
                        <pic:spPr bwMode="auto">
                          <a:xfrm rot="-5400000">
                            <a:off x="0" y="0"/>
                            <a:ext cx="847725" cy="914400"/>
                          </a:xfrm>
                          <a:prstGeom prst="rect">
                            <a:avLst/>
                          </a:prstGeom>
                          <a:noFill/>
                          <a:ln>
                            <a:noFill/>
                          </a:ln>
                        </pic:spPr>
                      </pic:pic>
                    </a:graphicData>
                  </a:graphic>
                </wp:inline>
              </w:drawing>
            </w:r>
          </w:p>
        </w:tc>
        <w:tc>
          <w:tcPr>
            <w:tcW w:w="1917" w:type="dxa"/>
            <w:tcBorders>
              <w:top w:val="single" w:sz="4" w:space="0" w:color="auto"/>
            </w:tcBorders>
            <w:hideMark/>
          </w:tcPr>
          <w:p w14:paraId="189F5B27" w14:textId="5345BAFC" w:rsidR="00A54554" w:rsidRPr="00A54554" w:rsidRDefault="00A54554" w:rsidP="00A54554">
            <w:pP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2B673392" wp14:editId="6B08FFAF">
                  <wp:extent cx="847725" cy="933450"/>
                  <wp:effectExtent l="0" t="4762" r="4762" b="4763"/>
                  <wp:docPr id="97671342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195690"/>
                          <pic:cNvPicPr>
                            <a:picLocks noChangeAspect="1" noChangeArrowheads="1"/>
                          </pic:cNvPicPr>
                        </pic:nvPicPr>
                        <pic:blipFill>
                          <a:blip r:embed="rId26">
                            <a:extLst>
                              <a:ext uri="{28A0092B-C50C-407E-A947-70E740481C1C}">
                                <a14:useLocalDpi xmlns:a14="http://schemas.microsoft.com/office/drawing/2010/main" val="0"/>
                              </a:ext>
                            </a:extLst>
                          </a:blip>
                          <a:srcRect l="49243" t="36832" r="25569" b="14529"/>
                          <a:stretch>
                            <a:fillRect/>
                          </a:stretch>
                        </pic:blipFill>
                        <pic:spPr bwMode="auto">
                          <a:xfrm rot="-5400000">
                            <a:off x="0" y="0"/>
                            <a:ext cx="847725" cy="933450"/>
                          </a:xfrm>
                          <a:prstGeom prst="rect">
                            <a:avLst/>
                          </a:prstGeom>
                          <a:noFill/>
                          <a:ln>
                            <a:noFill/>
                          </a:ln>
                        </pic:spPr>
                      </pic:pic>
                    </a:graphicData>
                  </a:graphic>
                </wp:inline>
              </w:drawing>
            </w:r>
          </w:p>
        </w:tc>
      </w:tr>
      <w:tr w:rsidR="00A54554" w:rsidRPr="00A54554" w14:paraId="1ADF69ED" w14:textId="77777777" w:rsidTr="00A54554">
        <w:trPr>
          <w:jc w:val="center"/>
        </w:trPr>
        <w:tc>
          <w:tcPr>
            <w:tcW w:w="708" w:type="dxa"/>
            <w:hideMark/>
          </w:tcPr>
          <w:p w14:paraId="149A5D8B"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MUI-A</w:t>
            </w:r>
          </w:p>
          <w:p w14:paraId="01035E50"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HF</w:t>
            </w:r>
          </w:p>
        </w:tc>
        <w:tc>
          <w:tcPr>
            <w:tcW w:w="1728" w:type="dxa"/>
            <w:hideMark/>
          </w:tcPr>
          <w:p w14:paraId="7945DB1B" w14:textId="4B06343E"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31323BE3" wp14:editId="35C11317">
                  <wp:extent cx="866775" cy="866775"/>
                  <wp:effectExtent l="0" t="0" r="9525" b="9525"/>
                  <wp:docPr id="15019525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27">
                            <a:extLst>
                              <a:ext uri="{28A0092B-C50C-407E-A947-70E740481C1C}">
                                <a14:useLocalDpi xmlns:a14="http://schemas.microsoft.com/office/drawing/2010/main" val="0"/>
                              </a:ext>
                            </a:extLst>
                          </a:blip>
                          <a:srcRect l="49359" t="38446" r="25259" b="15787"/>
                          <a:stretch>
                            <a:fillRect/>
                          </a:stretch>
                        </pic:blipFill>
                        <pic:spPr bwMode="auto">
                          <a:xfrm rot="-5400000">
                            <a:off x="0" y="0"/>
                            <a:ext cx="866775" cy="866775"/>
                          </a:xfrm>
                          <a:prstGeom prst="rect">
                            <a:avLst/>
                          </a:prstGeom>
                          <a:noFill/>
                          <a:ln>
                            <a:noFill/>
                          </a:ln>
                        </pic:spPr>
                      </pic:pic>
                    </a:graphicData>
                  </a:graphic>
                </wp:inline>
              </w:drawing>
            </w:r>
          </w:p>
        </w:tc>
        <w:tc>
          <w:tcPr>
            <w:tcW w:w="1808" w:type="dxa"/>
            <w:hideMark/>
          </w:tcPr>
          <w:p w14:paraId="07F395EC" w14:textId="0D060533"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6F3030C1" wp14:editId="1C992A35">
                  <wp:extent cx="866775" cy="885825"/>
                  <wp:effectExtent l="9525" t="0" r="0" b="0"/>
                  <wp:docPr id="181023445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28" cstate="print">
                            <a:extLst>
                              <a:ext uri="{28A0092B-C50C-407E-A947-70E740481C1C}">
                                <a14:useLocalDpi xmlns:a14="http://schemas.microsoft.com/office/drawing/2010/main" val="0"/>
                              </a:ext>
                            </a:extLst>
                          </a:blip>
                          <a:srcRect l="50079" t="40620" r="27020" b="17479"/>
                          <a:stretch>
                            <a:fillRect/>
                          </a:stretch>
                        </pic:blipFill>
                        <pic:spPr bwMode="auto">
                          <a:xfrm rot="-5400000">
                            <a:off x="0" y="0"/>
                            <a:ext cx="866775" cy="885825"/>
                          </a:xfrm>
                          <a:prstGeom prst="rect">
                            <a:avLst/>
                          </a:prstGeom>
                          <a:noFill/>
                          <a:ln>
                            <a:noFill/>
                          </a:ln>
                        </pic:spPr>
                      </pic:pic>
                    </a:graphicData>
                  </a:graphic>
                </wp:inline>
              </w:drawing>
            </w:r>
          </w:p>
        </w:tc>
        <w:tc>
          <w:tcPr>
            <w:tcW w:w="2003" w:type="dxa"/>
            <w:hideMark/>
          </w:tcPr>
          <w:p w14:paraId="26CB282C" w14:textId="5718D48A"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26CB4C48" wp14:editId="09A51166">
                  <wp:extent cx="876300" cy="942975"/>
                  <wp:effectExtent l="4762" t="0" r="4763" b="4762"/>
                  <wp:docPr id="31305647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691753"/>
                          <pic:cNvPicPr>
                            <a:picLocks noChangeAspect="1" noChangeArrowheads="1"/>
                          </pic:cNvPicPr>
                        </pic:nvPicPr>
                        <pic:blipFill>
                          <a:blip r:embed="rId29" cstate="print">
                            <a:extLst>
                              <a:ext uri="{28A0092B-C50C-407E-A947-70E740481C1C}">
                                <a14:useLocalDpi xmlns:a14="http://schemas.microsoft.com/office/drawing/2010/main" val="0"/>
                              </a:ext>
                            </a:extLst>
                          </a:blip>
                          <a:srcRect l="50336" t="37781" r="25423" b="15099"/>
                          <a:stretch>
                            <a:fillRect/>
                          </a:stretch>
                        </pic:blipFill>
                        <pic:spPr bwMode="auto">
                          <a:xfrm rot="-5400000">
                            <a:off x="0" y="0"/>
                            <a:ext cx="876300" cy="942975"/>
                          </a:xfrm>
                          <a:prstGeom prst="rect">
                            <a:avLst/>
                          </a:prstGeom>
                          <a:noFill/>
                          <a:ln>
                            <a:noFill/>
                          </a:ln>
                        </pic:spPr>
                      </pic:pic>
                    </a:graphicData>
                  </a:graphic>
                </wp:inline>
              </w:drawing>
            </w:r>
          </w:p>
        </w:tc>
        <w:tc>
          <w:tcPr>
            <w:tcW w:w="1917" w:type="dxa"/>
            <w:hideMark/>
          </w:tcPr>
          <w:p w14:paraId="5AD0E49E" w14:textId="4ABDE914"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603A3CD9" wp14:editId="52C5CF0D">
                  <wp:extent cx="876300" cy="933450"/>
                  <wp:effectExtent l="9525" t="0" r="9525" b="9525"/>
                  <wp:docPr id="7531340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60417"/>
                          <pic:cNvPicPr>
                            <a:picLocks noChangeAspect="1" noChangeArrowheads="1"/>
                          </pic:cNvPicPr>
                        </pic:nvPicPr>
                        <pic:blipFill>
                          <a:blip r:embed="rId30" cstate="print">
                            <a:extLst>
                              <a:ext uri="{28A0092B-C50C-407E-A947-70E740481C1C}">
                                <a14:useLocalDpi xmlns:a14="http://schemas.microsoft.com/office/drawing/2010/main" val="0"/>
                              </a:ext>
                            </a:extLst>
                          </a:blip>
                          <a:srcRect l="48920" t="36935" r="25357" b="14447"/>
                          <a:stretch>
                            <a:fillRect/>
                          </a:stretch>
                        </pic:blipFill>
                        <pic:spPr bwMode="auto">
                          <a:xfrm rot="-5400000">
                            <a:off x="0" y="0"/>
                            <a:ext cx="876300" cy="933450"/>
                          </a:xfrm>
                          <a:prstGeom prst="rect">
                            <a:avLst/>
                          </a:prstGeom>
                          <a:noFill/>
                          <a:ln>
                            <a:noFill/>
                          </a:ln>
                        </pic:spPr>
                      </pic:pic>
                    </a:graphicData>
                  </a:graphic>
                </wp:inline>
              </w:drawing>
            </w:r>
          </w:p>
        </w:tc>
      </w:tr>
      <w:tr w:rsidR="00A54554" w:rsidRPr="00A54554" w14:paraId="45314B3B" w14:textId="77777777" w:rsidTr="00A54554">
        <w:trPr>
          <w:jc w:val="center"/>
        </w:trPr>
        <w:tc>
          <w:tcPr>
            <w:tcW w:w="708" w:type="dxa"/>
            <w:hideMark/>
          </w:tcPr>
          <w:p w14:paraId="07EF6B7D"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MUI-A</w:t>
            </w:r>
          </w:p>
          <w:p w14:paraId="06FB4B58"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F</w:t>
            </w:r>
          </w:p>
        </w:tc>
        <w:tc>
          <w:tcPr>
            <w:tcW w:w="1728" w:type="dxa"/>
            <w:hideMark/>
          </w:tcPr>
          <w:p w14:paraId="71861388" w14:textId="2E49D68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353D30BE" wp14:editId="0D55C3EB">
                  <wp:extent cx="885825" cy="933450"/>
                  <wp:effectExtent l="0" t="4762" r="4762" b="4763"/>
                  <wp:docPr id="170048944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31">
                            <a:extLst>
                              <a:ext uri="{28A0092B-C50C-407E-A947-70E740481C1C}">
                                <a14:useLocalDpi xmlns:a14="http://schemas.microsoft.com/office/drawing/2010/main" val="0"/>
                              </a:ext>
                            </a:extLst>
                          </a:blip>
                          <a:srcRect l="49438" t="38538" r="25909" b="14961"/>
                          <a:stretch>
                            <a:fillRect/>
                          </a:stretch>
                        </pic:blipFill>
                        <pic:spPr bwMode="auto">
                          <a:xfrm rot="-5400000">
                            <a:off x="0" y="0"/>
                            <a:ext cx="885825" cy="933450"/>
                          </a:xfrm>
                          <a:prstGeom prst="rect">
                            <a:avLst/>
                          </a:prstGeom>
                          <a:noFill/>
                          <a:ln>
                            <a:noFill/>
                          </a:ln>
                        </pic:spPr>
                      </pic:pic>
                    </a:graphicData>
                  </a:graphic>
                </wp:inline>
              </w:drawing>
            </w:r>
          </w:p>
        </w:tc>
        <w:tc>
          <w:tcPr>
            <w:tcW w:w="1808" w:type="dxa"/>
            <w:hideMark/>
          </w:tcPr>
          <w:p w14:paraId="3FA83AD2" w14:textId="60EBD178"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0783AFAF" wp14:editId="2B83233E">
                  <wp:extent cx="895350" cy="933450"/>
                  <wp:effectExtent l="0" t="0" r="0" b="0"/>
                  <wp:docPr id="73718699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32">
                            <a:extLst>
                              <a:ext uri="{28A0092B-C50C-407E-A947-70E740481C1C}">
                                <a14:useLocalDpi xmlns:a14="http://schemas.microsoft.com/office/drawing/2010/main" val="0"/>
                              </a:ext>
                            </a:extLst>
                          </a:blip>
                          <a:srcRect l="48598" t="36823" r="24910" b="13612"/>
                          <a:stretch>
                            <a:fillRect/>
                          </a:stretch>
                        </pic:blipFill>
                        <pic:spPr bwMode="auto">
                          <a:xfrm rot="-5400000">
                            <a:off x="0" y="0"/>
                            <a:ext cx="895350" cy="933450"/>
                          </a:xfrm>
                          <a:prstGeom prst="rect">
                            <a:avLst/>
                          </a:prstGeom>
                          <a:noFill/>
                          <a:ln>
                            <a:noFill/>
                          </a:ln>
                        </pic:spPr>
                      </pic:pic>
                    </a:graphicData>
                  </a:graphic>
                </wp:inline>
              </w:drawing>
            </w:r>
          </w:p>
        </w:tc>
        <w:tc>
          <w:tcPr>
            <w:tcW w:w="2003" w:type="dxa"/>
            <w:hideMark/>
          </w:tcPr>
          <w:p w14:paraId="33E57237" w14:textId="07F1FFDB"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61F78B10" wp14:editId="44C9ACAB">
                  <wp:extent cx="885825" cy="952500"/>
                  <wp:effectExtent l="4763" t="0" r="0" b="0"/>
                  <wp:docPr id="2289726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77120"/>
                          <pic:cNvPicPr>
                            <a:picLocks noChangeAspect="1" noChangeArrowheads="1"/>
                          </pic:cNvPicPr>
                        </pic:nvPicPr>
                        <pic:blipFill>
                          <a:blip r:embed="rId33">
                            <a:extLst>
                              <a:ext uri="{28A0092B-C50C-407E-A947-70E740481C1C}">
                                <a14:useLocalDpi xmlns:a14="http://schemas.microsoft.com/office/drawing/2010/main" val="0"/>
                              </a:ext>
                            </a:extLst>
                          </a:blip>
                          <a:srcRect l="47752" t="36288" r="25656" b="13260"/>
                          <a:stretch>
                            <a:fillRect/>
                          </a:stretch>
                        </pic:blipFill>
                        <pic:spPr bwMode="auto">
                          <a:xfrm rot="-5400000">
                            <a:off x="0" y="0"/>
                            <a:ext cx="885825" cy="952500"/>
                          </a:xfrm>
                          <a:prstGeom prst="rect">
                            <a:avLst/>
                          </a:prstGeom>
                          <a:noFill/>
                          <a:ln>
                            <a:noFill/>
                          </a:ln>
                        </pic:spPr>
                      </pic:pic>
                    </a:graphicData>
                  </a:graphic>
                </wp:inline>
              </w:drawing>
            </w:r>
          </w:p>
        </w:tc>
        <w:tc>
          <w:tcPr>
            <w:tcW w:w="1917" w:type="dxa"/>
            <w:hideMark/>
          </w:tcPr>
          <w:p w14:paraId="045B7F5A" w14:textId="1DBA8095"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09ED162" wp14:editId="548F6FA2">
                  <wp:extent cx="885825" cy="990600"/>
                  <wp:effectExtent l="4763" t="0" r="0" b="0"/>
                  <wp:docPr id="3166548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0773507"/>
                          <pic:cNvPicPr>
                            <a:picLocks noChangeAspect="1" noChangeArrowheads="1"/>
                          </pic:cNvPicPr>
                        </pic:nvPicPr>
                        <pic:blipFill>
                          <a:blip r:embed="rId34">
                            <a:extLst>
                              <a:ext uri="{28A0092B-C50C-407E-A947-70E740481C1C}">
                                <a14:useLocalDpi xmlns:a14="http://schemas.microsoft.com/office/drawing/2010/main" val="0"/>
                              </a:ext>
                            </a:extLst>
                          </a:blip>
                          <a:srcRect l="48543" t="35175" r="25356" b="12154"/>
                          <a:stretch>
                            <a:fillRect/>
                          </a:stretch>
                        </pic:blipFill>
                        <pic:spPr bwMode="auto">
                          <a:xfrm rot="-5400000">
                            <a:off x="0" y="0"/>
                            <a:ext cx="885825" cy="990600"/>
                          </a:xfrm>
                          <a:prstGeom prst="rect">
                            <a:avLst/>
                          </a:prstGeom>
                          <a:noFill/>
                          <a:ln>
                            <a:noFill/>
                          </a:ln>
                        </pic:spPr>
                      </pic:pic>
                    </a:graphicData>
                  </a:graphic>
                </wp:inline>
              </w:drawing>
            </w:r>
          </w:p>
        </w:tc>
      </w:tr>
      <w:tr w:rsidR="00A54554" w:rsidRPr="00A54554" w14:paraId="3B6F640F" w14:textId="77777777" w:rsidTr="00A54554">
        <w:trPr>
          <w:jc w:val="center"/>
        </w:trPr>
        <w:tc>
          <w:tcPr>
            <w:tcW w:w="708" w:type="dxa"/>
            <w:hideMark/>
          </w:tcPr>
          <w:p w14:paraId="0F1FDE5E"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MUI-B</w:t>
            </w:r>
          </w:p>
          <w:p w14:paraId="54A27E02"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E</w:t>
            </w:r>
          </w:p>
        </w:tc>
        <w:tc>
          <w:tcPr>
            <w:tcW w:w="1728" w:type="dxa"/>
            <w:hideMark/>
          </w:tcPr>
          <w:p w14:paraId="78C905F7" w14:textId="55BEBCDB"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17D37E03" wp14:editId="3001DE9C">
                  <wp:extent cx="904875" cy="904875"/>
                  <wp:effectExtent l="0" t="0" r="9525" b="9525"/>
                  <wp:docPr id="9950869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35" cstate="print">
                            <a:extLst>
                              <a:ext uri="{28A0092B-C50C-407E-A947-70E740481C1C}">
                                <a14:useLocalDpi xmlns:a14="http://schemas.microsoft.com/office/drawing/2010/main" val="0"/>
                              </a:ext>
                            </a:extLst>
                          </a:blip>
                          <a:srcRect l="49829" t="40578" r="26053" b="16415"/>
                          <a:stretch>
                            <a:fillRect/>
                          </a:stretch>
                        </pic:blipFill>
                        <pic:spPr bwMode="auto">
                          <a:xfrm rot="-5400000">
                            <a:off x="0" y="0"/>
                            <a:ext cx="904875" cy="904875"/>
                          </a:xfrm>
                          <a:prstGeom prst="rect">
                            <a:avLst/>
                          </a:prstGeom>
                          <a:noFill/>
                          <a:ln>
                            <a:noFill/>
                          </a:ln>
                        </pic:spPr>
                      </pic:pic>
                    </a:graphicData>
                  </a:graphic>
                </wp:inline>
              </w:drawing>
            </w:r>
          </w:p>
        </w:tc>
        <w:tc>
          <w:tcPr>
            <w:tcW w:w="1808" w:type="dxa"/>
            <w:hideMark/>
          </w:tcPr>
          <w:p w14:paraId="52F6BC81" w14:textId="4E39AF3F"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2795F1AA" wp14:editId="49293DEE">
                  <wp:extent cx="885825" cy="923925"/>
                  <wp:effectExtent l="0" t="0" r="9525" b="9525"/>
                  <wp:docPr id="16001444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36">
                            <a:extLst>
                              <a:ext uri="{28A0092B-C50C-407E-A947-70E740481C1C}">
                                <a14:useLocalDpi xmlns:a14="http://schemas.microsoft.com/office/drawing/2010/main" val="0"/>
                              </a:ext>
                            </a:extLst>
                          </a:blip>
                          <a:srcRect l="47234" t="38719" r="27611" b="14842"/>
                          <a:stretch>
                            <a:fillRect/>
                          </a:stretch>
                        </pic:blipFill>
                        <pic:spPr bwMode="auto">
                          <a:xfrm rot="-5400000">
                            <a:off x="0" y="0"/>
                            <a:ext cx="885825" cy="923925"/>
                          </a:xfrm>
                          <a:prstGeom prst="rect">
                            <a:avLst/>
                          </a:prstGeom>
                          <a:noFill/>
                          <a:ln>
                            <a:noFill/>
                          </a:ln>
                        </pic:spPr>
                      </pic:pic>
                    </a:graphicData>
                  </a:graphic>
                </wp:inline>
              </w:drawing>
            </w:r>
          </w:p>
        </w:tc>
        <w:tc>
          <w:tcPr>
            <w:tcW w:w="2003" w:type="dxa"/>
            <w:hideMark/>
          </w:tcPr>
          <w:p w14:paraId="5EAA90BB" w14:textId="743AEFB9"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3E64BF8E" wp14:editId="1B6FEDC8">
                  <wp:extent cx="895350" cy="990600"/>
                  <wp:effectExtent l="9525" t="0" r="9525" b="9525"/>
                  <wp:docPr id="92490180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819516"/>
                          <pic:cNvPicPr>
                            <a:picLocks noChangeAspect="1" noChangeArrowheads="1"/>
                          </pic:cNvPicPr>
                        </pic:nvPicPr>
                        <pic:blipFill>
                          <a:blip r:embed="rId37" cstate="print">
                            <a:extLst>
                              <a:ext uri="{28A0092B-C50C-407E-A947-70E740481C1C}">
                                <a14:useLocalDpi xmlns:a14="http://schemas.microsoft.com/office/drawing/2010/main" val="0"/>
                              </a:ext>
                            </a:extLst>
                          </a:blip>
                          <a:srcRect l="48248" t="37984" r="26546" b="13849"/>
                          <a:stretch>
                            <a:fillRect/>
                          </a:stretch>
                        </pic:blipFill>
                        <pic:spPr bwMode="auto">
                          <a:xfrm rot="-5400000">
                            <a:off x="0" y="0"/>
                            <a:ext cx="895350" cy="990600"/>
                          </a:xfrm>
                          <a:prstGeom prst="rect">
                            <a:avLst/>
                          </a:prstGeom>
                          <a:noFill/>
                          <a:ln>
                            <a:noFill/>
                          </a:ln>
                        </pic:spPr>
                      </pic:pic>
                    </a:graphicData>
                  </a:graphic>
                </wp:inline>
              </w:drawing>
            </w:r>
          </w:p>
        </w:tc>
        <w:tc>
          <w:tcPr>
            <w:tcW w:w="1917" w:type="dxa"/>
            <w:hideMark/>
          </w:tcPr>
          <w:p w14:paraId="507F370A" w14:textId="1A2F87C3"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3A15784A" wp14:editId="6987D7D5">
                  <wp:extent cx="895350" cy="962025"/>
                  <wp:effectExtent l="4762" t="0" r="4763" b="4762"/>
                  <wp:docPr id="199554214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72651"/>
                          <pic:cNvPicPr>
                            <a:picLocks noChangeAspect="1" noChangeArrowheads="1"/>
                          </pic:cNvPicPr>
                        </pic:nvPicPr>
                        <pic:blipFill>
                          <a:blip r:embed="rId38" cstate="print">
                            <a:extLst>
                              <a:ext uri="{28A0092B-C50C-407E-A947-70E740481C1C}">
                                <a14:useLocalDpi xmlns:a14="http://schemas.microsoft.com/office/drawing/2010/main" val="0"/>
                              </a:ext>
                            </a:extLst>
                          </a:blip>
                          <a:srcRect l="47124" t="37491" r="27357" b="13994"/>
                          <a:stretch>
                            <a:fillRect/>
                          </a:stretch>
                        </pic:blipFill>
                        <pic:spPr bwMode="auto">
                          <a:xfrm rot="-5400000">
                            <a:off x="0" y="0"/>
                            <a:ext cx="895350" cy="962025"/>
                          </a:xfrm>
                          <a:prstGeom prst="rect">
                            <a:avLst/>
                          </a:prstGeom>
                          <a:noFill/>
                          <a:ln>
                            <a:noFill/>
                          </a:ln>
                        </pic:spPr>
                      </pic:pic>
                    </a:graphicData>
                  </a:graphic>
                </wp:inline>
              </w:drawing>
            </w:r>
          </w:p>
        </w:tc>
      </w:tr>
      <w:tr w:rsidR="00A54554" w:rsidRPr="00A54554" w14:paraId="1DA93C1A" w14:textId="77777777" w:rsidTr="00A54554">
        <w:trPr>
          <w:jc w:val="center"/>
        </w:trPr>
        <w:tc>
          <w:tcPr>
            <w:tcW w:w="708" w:type="dxa"/>
            <w:hideMark/>
          </w:tcPr>
          <w:p w14:paraId="3B5E5CBB"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MUI-B</w:t>
            </w:r>
          </w:p>
          <w:p w14:paraId="2E183E23"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HF</w:t>
            </w:r>
          </w:p>
        </w:tc>
        <w:tc>
          <w:tcPr>
            <w:tcW w:w="1728" w:type="dxa"/>
            <w:hideMark/>
          </w:tcPr>
          <w:p w14:paraId="73149423" w14:textId="3442974F"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64B47038" wp14:editId="34BA48CE">
                  <wp:extent cx="857250" cy="885825"/>
                  <wp:effectExtent l="4762" t="0" r="4763" b="4762"/>
                  <wp:docPr id="38797002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39" cstate="print">
                            <a:extLst>
                              <a:ext uri="{28A0092B-C50C-407E-A947-70E740481C1C}">
                                <a14:useLocalDpi xmlns:a14="http://schemas.microsoft.com/office/drawing/2010/main" val="0"/>
                              </a:ext>
                            </a:extLst>
                          </a:blip>
                          <a:srcRect l="47594" t="37813" r="27373" b="16730"/>
                          <a:stretch>
                            <a:fillRect/>
                          </a:stretch>
                        </pic:blipFill>
                        <pic:spPr bwMode="auto">
                          <a:xfrm rot="-5400000">
                            <a:off x="0" y="0"/>
                            <a:ext cx="857250" cy="885825"/>
                          </a:xfrm>
                          <a:prstGeom prst="rect">
                            <a:avLst/>
                          </a:prstGeom>
                          <a:noFill/>
                          <a:ln>
                            <a:noFill/>
                          </a:ln>
                        </pic:spPr>
                      </pic:pic>
                    </a:graphicData>
                  </a:graphic>
                </wp:inline>
              </w:drawing>
            </w:r>
          </w:p>
        </w:tc>
        <w:tc>
          <w:tcPr>
            <w:tcW w:w="1808" w:type="dxa"/>
            <w:hideMark/>
          </w:tcPr>
          <w:p w14:paraId="7783F13B" w14:textId="2318F64E"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941FD2A" wp14:editId="1AB4BF3B">
                  <wp:extent cx="828675" cy="876300"/>
                  <wp:effectExtent l="0" t="4762" r="4762" b="4763"/>
                  <wp:docPr id="53584275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40">
                            <a:extLst>
                              <a:ext uri="{28A0092B-C50C-407E-A947-70E740481C1C}">
                                <a14:useLocalDpi xmlns:a14="http://schemas.microsoft.com/office/drawing/2010/main" val="0"/>
                              </a:ext>
                            </a:extLst>
                          </a:blip>
                          <a:srcRect l="48006" t="37183" r="25644" b="14285"/>
                          <a:stretch>
                            <a:fillRect/>
                          </a:stretch>
                        </pic:blipFill>
                        <pic:spPr bwMode="auto">
                          <a:xfrm rot="-5400000">
                            <a:off x="0" y="0"/>
                            <a:ext cx="828675" cy="876300"/>
                          </a:xfrm>
                          <a:prstGeom prst="rect">
                            <a:avLst/>
                          </a:prstGeom>
                          <a:noFill/>
                          <a:ln>
                            <a:noFill/>
                          </a:ln>
                        </pic:spPr>
                      </pic:pic>
                    </a:graphicData>
                  </a:graphic>
                </wp:inline>
              </w:drawing>
            </w:r>
          </w:p>
        </w:tc>
        <w:tc>
          <w:tcPr>
            <w:tcW w:w="2003" w:type="dxa"/>
            <w:hideMark/>
          </w:tcPr>
          <w:p w14:paraId="1BCA61A4" w14:textId="6E2E2F0A"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39A38E1" wp14:editId="1CBF33AD">
                  <wp:extent cx="904875" cy="1028700"/>
                  <wp:effectExtent l="0" t="4762" r="4762" b="4763"/>
                  <wp:docPr id="193034963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9275115"/>
                          <pic:cNvPicPr>
                            <a:picLocks noChangeAspect="1" noChangeArrowheads="1"/>
                          </pic:cNvPicPr>
                        </pic:nvPicPr>
                        <pic:blipFill>
                          <a:blip r:embed="rId41">
                            <a:extLst>
                              <a:ext uri="{28A0092B-C50C-407E-A947-70E740481C1C}">
                                <a14:useLocalDpi xmlns:a14="http://schemas.microsoft.com/office/drawing/2010/main" val="0"/>
                              </a:ext>
                            </a:extLst>
                          </a:blip>
                          <a:srcRect l="47131" t="35364" r="27505" b="13774"/>
                          <a:stretch>
                            <a:fillRect/>
                          </a:stretch>
                        </pic:blipFill>
                        <pic:spPr bwMode="auto">
                          <a:xfrm rot="-5400000">
                            <a:off x="0" y="0"/>
                            <a:ext cx="904875" cy="1028700"/>
                          </a:xfrm>
                          <a:prstGeom prst="rect">
                            <a:avLst/>
                          </a:prstGeom>
                          <a:noFill/>
                          <a:ln>
                            <a:noFill/>
                          </a:ln>
                        </pic:spPr>
                      </pic:pic>
                    </a:graphicData>
                  </a:graphic>
                </wp:inline>
              </w:drawing>
            </w:r>
          </w:p>
        </w:tc>
        <w:tc>
          <w:tcPr>
            <w:tcW w:w="1917" w:type="dxa"/>
            <w:hideMark/>
          </w:tcPr>
          <w:p w14:paraId="3E109823" w14:textId="5B657A54"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E84FD0E" wp14:editId="3B698D7B">
                  <wp:extent cx="895350" cy="971550"/>
                  <wp:effectExtent l="0" t="0" r="0" b="0"/>
                  <wp:docPr id="51627469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107188"/>
                          <pic:cNvPicPr>
                            <a:picLocks noChangeAspect="1" noChangeArrowheads="1"/>
                          </pic:cNvPicPr>
                        </pic:nvPicPr>
                        <pic:blipFill>
                          <a:blip r:embed="rId42">
                            <a:extLst>
                              <a:ext uri="{28A0092B-C50C-407E-A947-70E740481C1C}">
                                <a14:useLocalDpi xmlns:a14="http://schemas.microsoft.com/office/drawing/2010/main" val="0"/>
                              </a:ext>
                            </a:extLst>
                          </a:blip>
                          <a:srcRect l="47787" t="36176" r="25211" b="12212"/>
                          <a:stretch>
                            <a:fillRect/>
                          </a:stretch>
                        </pic:blipFill>
                        <pic:spPr bwMode="auto">
                          <a:xfrm rot="-5400000">
                            <a:off x="0" y="0"/>
                            <a:ext cx="895350" cy="971550"/>
                          </a:xfrm>
                          <a:prstGeom prst="rect">
                            <a:avLst/>
                          </a:prstGeom>
                          <a:noFill/>
                          <a:ln>
                            <a:noFill/>
                          </a:ln>
                        </pic:spPr>
                      </pic:pic>
                    </a:graphicData>
                  </a:graphic>
                </wp:inline>
              </w:drawing>
            </w:r>
          </w:p>
        </w:tc>
      </w:tr>
      <w:tr w:rsidR="00A54554" w:rsidRPr="00A54554" w14:paraId="7A942211" w14:textId="77777777" w:rsidTr="00A54554">
        <w:trPr>
          <w:jc w:val="center"/>
        </w:trPr>
        <w:tc>
          <w:tcPr>
            <w:tcW w:w="708" w:type="dxa"/>
            <w:hideMark/>
          </w:tcPr>
          <w:p w14:paraId="00736C91"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MUI-B</w:t>
            </w:r>
          </w:p>
          <w:p w14:paraId="6718B637"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F</w:t>
            </w:r>
          </w:p>
        </w:tc>
        <w:tc>
          <w:tcPr>
            <w:tcW w:w="1728" w:type="dxa"/>
            <w:hideMark/>
          </w:tcPr>
          <w:p w14:paraId="3A133705" w14:textId="24F35FE5"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4EED02E3" wp14:editId="141FD9CE">
                  <wp:extent cx="904875" cy="904875"/>
                  <wp:effectExtent l="0" t="0" r="9525" b="9525"/>
                  <wp:docPr id="17019361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43">
                            <a:extLst>
                              <a:ext uri="{28A0092B-C50C-407E-A947-70E740481C1C}">
                                <a14:useLocalDpi xmlns:a14="http://schemas.microsoft.com/office/drawing/2010/main" val="0"/>
                              </a:ext>
                            </a:extLst>
                          </a:blip>
                          <a:srcRect l="48535" t="37978" r="24129" b="13937"/>
                          <a:stretch>
                            <a:fillRect/>
                          </a:stretch>
                        </pic:blipFill>
                        <pic:spPr bwMode="auto">
                          <a:xfrm rot="-5400000">
                            <a:off x="0" y="0"/>
                            <a:ext cx="904875" cy="904875"/>
                          </a:xfrm>
                          <a:prstGeom prst="rect">
                            <a:avLst/>
                          </a:prstGeom>
                          <a:noFill/>
                          <a:ln>
                            <a:noFill/>
                          </a:ln>
                        </pic:spPr>
                      </pic:pic>
                    </a:graphicData>
                  </a:graphic>
                </wp:inline>
              </w:drawing>
            </w:r>
          </w:p>
        </w:tc>
        <w:tc>
          <w:tcPr>
            <w:tcW w:w="1808" w:type="dxa"/>
            <w:hideMark/>
          </w:tcPr>
          <w:p w14:paraId="0E32945C" w14:textId="791E86BE"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7594A198" wp14:editId="340684B9">
                  <wp:extent cx="904875" cy="904875"/>
                  <wp:effectExtent l="0" t="0" r="9525" b="9525"/>
                  <wp:docPr id="19665116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44">
                            <a:extLst>
                              <a:ext uri="{28A0092B-C50C-407E-A947-70E740481C1C}">
                                <a14:useLocalDpi xmlns:a14="http://schemas.microsoft.com/office/drawing/2010/main" val="0"/>
                              </a:ext>
                            </a:extLst>
                          </a:blip>
                          <a:srcRect l="49779" t="39214" r="25468" b="16740"/>
                          <a:stretch>
                            <a:fillRect/>
                          </a:stretch>
                        </pic:blipFill>
                        <pic:spPr bwMode="auto">
                          <a:xfrm rot="-5400000">
                            <a:off x="0" y="0"/>
                            <a:ext cx="904875" cy="904875"/>
                          </a:xfrm>
                          <a:prstGeom prst="rect">
                            <a:avLst/>
                          </a:prstGeom>
                          <a:noFill/>
                          <a:ln>
                            <a:noFill/>
                          </a:ln>
                        </pic:spPr>
                      </pic:pic>
                    </a:graphicData>
                  </a:graphic>
                </wp:inline>
              </w:drawing>
            </w:r>
          </w:p>
        </w:tc>
        <w:tc>
          <w:tcPr>
            <w:tcW w:w="2003" w:type="dxa"/>
            <w:hideMark/>
          </w:tcPr>
          <w:p w14:paraId="45724338" w14:textId="0721E95B"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620829F8" wp14:editId="39C64A6C">
                  <wp:extent cx="895350" cy="971550"/>
                  <wp:effectExtent l="0" t="0" r="0" b="0"/>
                  <wp:docPr id="180345821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285980"/>
                          <pic:cNvPicPr>
                            <a:picLocks noChangeAspect="1" noChangeArrowheads="1"/>
                          </pic:cNvPicPr>
                        </pic:nvPicPr>
                        <pic:blipFill>
                          <a:blip r:embed="rId45">
                            <a:extLst>
                              <a:ext uri="{28A0092B-C50C-407E-A947-70E740481C1C}">
                                <a14:useLocalDpi xmlns:a14="http://schemas.microsoft.com/office/drawing/2010/main" val="0"/>
                              </a:ext>
                            </a:extLst>
                          </a:blip>
                          <a:srcRect l="48476" t="35864" r="24348" b="12634"/>
                          <a:stretch>
                            <a:fillRect/>
                          </a:stretch>
                        </pic:blipFill>
                        <pic:spPr bwMode="auto">
                          <a:xfrm rot="-5400000">
                            <a:off x="0" y="0"/>
                            <a:ext cx="895350" cy="971550"/>
                          </a:xfrm>
                          <a:prstGeom prst="rect">
                            <a:avLst/>
                          </a:prstGeom>
                          <a:noFill/>
                          <a:ln>
                            <a:noFill/>
                          </a:ln>
                        </pic:spPr>
                      </pic:pic>
                    </a:graphicData>
                  </a:graphic>
                </wp:inline>
              </w:drawing>
            </w:r>
          </w:p>
        </w:tc>
        <w:tc>
          <w:tcPr>
            <w:tcW w:w="1917" w:type="dxa"/>
            <w:hideMark/>
          </w:tcPr>
          <w:p w14:paraId="4B89A538" w14:textId="44F3C419"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noProof/>
                <w:sz w:val="16"/>
                <w:szCs w:val="16"/>
                <w:lang w:val="en-US" w:eastAsia="ko-KR"/>
              </w:rPr>
              <w:drawing>
                <wp:inline distT="0" distB="0" distL="0" distR="0" wp14:anchorId="6E3F02B5" wp14:editId="2B63F4FD">
                  <wp:extent cx="885825" cy="923925"/>
                  <wp:effectExtent l="0" t="0" r="9525" b="9525"/>
                  <wp:docPr id="17626454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801505"/>
                          <pic:cNvPicPr>
                            <a:picLocks noChangeAspect="1" noChangeArrowheads="1"/>
                          </pic:cNvPicPr>
                        </pic:nvPicPr>
                        <pic:blipFill>
                          <a:blip r:embed="rId46" cstate="print">
                            <a:extLst>
                              <a:ext uri="{28A0092B-C50C-407E-A947-70E740481C1C}">
                                <a14:useLocalDpi xmlns:a14="http://schemas.microsoft.com/office/drawing/2010/main" val="0"/>
                              </a:ext>
                            </a:extLst>
                          </a:blip>
                          <a:srcRect l="49814" t="37733" r="25508" b="15758"/>
                          <a:stretch>
                            <a:fillRect/>
                          </a:stretch>
                        </pic:blipFill>
                        <pic:spPr bwMode="auto">
                          <a:xfrm rot="-5400000">
                            <a:off x="0" y="0"/>
                            <a:ext cx="885825" cy="923925"/>
                          </a:xfrm>
                          <a:prstGeom prst="rect">
                            <a:avLst/>
                          </a:prstGeom>
                          <a:noFill/>
                          <a:ln>
                            <a:noFill/>
                          </a:ln>
                        </pic:spPr>
                      </pic:pic>
                    </a:graphicData>
                  </a:graphic>
                </wp:inline>
              </w:drawing>
            </w:r>
          </w:p>
        </w:tc>
        <w:bookmarkEnd w:id="1"/>
      </w:tr>
    </w:tbl>
    <w:p w14:paraId="5F6BAC0B" w14:textId="77777777" w:rsidR="00863131" w:rsidRDefault="00863131" w:rsidP="00863131">
      <w:pPr>
        <w:ind w:left="283" w:firstLine="284"/>
        <w:jc w:val="both"/>
        <w:rPr>
          <w:rFonts w:asciiTheme="majorHAnsi" w:eastAsia="Times New Roman" w:hAnsiTheme="majorHAnsi" w:cstheme="majorHAnsi"/>
          <w:sz w:val="20"/>
          <w:szCs w:val="20"/>
          <w:lang w:eastAsia="ko-KR"/>
        </w:rPr>
      </w:pPr>
    </w:p>
    <w:p w14:paraId="79057F13" w14:textId="77777777" w:rsidR="00426E0F" w:rsidRDefault="00426E0F" w:rsidP="00863131">
      <w:pPr>
        <w:ind w:left="283" w:firstLine="284"/>
        <w:jc w:val="both"/>
        <w:rPr>
          <w:rFonts w:asciiTheme="majorHAnsi" w:eastAsia="Times New Roman" w:hAnsiTheme="majorHAnsi" w:cstheme="majorHAnsi"/>
          <w:sz w:val="20"/>
          <w:szCs w:val="20"/>
          <w:lang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54554" w14:paraId="6C58031C" w14:textId="77777777" w:rsidTr="00426E0F">
        <w:tc>
          <w:tcPr>
            <w:tcW w:w="9060" w:type="dxa"/>
          </w:tcPr>
          <w:p w14:paraId="2AA9F6FD" w14:textId="77777777" w:rsidR="00A54554" w:rsidRDefault="00A54554" w:rsidP="00A54554">
            <w:pPr>
              <w:jc w:val="center"/>
              <w:rPr>
                <w:rFonts w:asciiTheme="majorHAnsi" w:eastAsia="Times New Roman" w:hAnsiTheme="majorHAnsi" w:cstheme="majorHAnsi"/>
                <w:sz w:val="20"/>
                <w:szCs w:val="20"/>
                <w:lang w:eastAsia="ko-KR"/>
              </w:rPr>
            </w:pPr>
            <w:r>
              <w:rPr>
                <w:noProof/>
              </w:rPr>
              <w:drawing>
                <wp:inline distT="0" distB="0" distL="0" distR="0" wp14:anchorId="08476C74" wp14:editId="3E8085AC">
                  <wp:extent cx="3457575" cy="1435840"/>
                  <wp:effectExtent l="0" t="0" r="0" b="0"/>
                  <wp:docPr id="10799360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36077" name="Picture 2"/>
                          <pic:cNvPicPr>
                            <a:picLocks noChangeAspect="1"/>
                          </pic:cNvPicPr>
                        </pic:nvPicPr>
                        <pic:blipFill>
                          <a:blip r:embed="rId47" cstate="print">
                            <a:extLst>
                              <a:ext uri="{28A0092B-C50C-407E-A947-70E740481C1C}">
                                <a14:useLocalDpi xmlns:a14="http://schemas.microsoft.com/office/drawing/2010/main" val="0"/>
                              </a:ext>
                            </a:extLst>
                          </a:blip>
                          <a:srcRect t="21428" b="23215"/>
                          <a:stretch>
                            <a:fillRect/>
                          </a:stretch>
                        </pic:blipFill>
                        <pic:spPr>
                          <a:xfrm>
                            <a:off x="0" y="0"/>
                            <a:ext cx="3465363" cy="1439074"/>
                          </a:xfrm>
                          <a:prstGeom prst="rect">
                            <a:avLst/>
                          </a:prstGeom>
                          <a:ln>
                            <a:noFill/>
                          </a:ln>
                        </pic:spPr>
                      </pic:pic>
                    </a:graphicData>
                  </a:graphic>
                </wp:inline>
              </w:drawing>
            </w:r>
          </w:p>
          <w:p w14:paraId="665F2D41" w14:textId="38469ED0" w:rsidR="00A54554" w:rsidRDefault="00A54554" w:rsidP="00A54554">
            <w:pPr>
              <w:jc w:val="center"/>
              <w:rPr>
                <w:rFonts w:asciiTheme="majorHAnsi" w:eastAsia="Times New Roman" w:hAnsiTheme="majorHAnsi" w:cstheme="majorHAnsi"/>
                <w:sz w:val="20"/>
                <w:szCs w:val="20"/>
                <w:lang w:eastAsia="ko-KR"/>
              </w:rPr>
            </w:pPr>
          </w:p>
        </w:tc>
      </w:tr>
      <w:tr w:rsidR="00A54554" w:rsidRPr="00A54554" w14:paraId="43E1732D" w14:textId="77777777" w:rsidTr="00426E0F">
        <w:tc>
          <w:tcPr>
            <w:tcW w:w="9060" w:type="dxa"/>
          </w:tcPr>
          <w:p w14:paraId="077C3A9E" w14:textId="0C61944D" w:rsidR="00A54554" w:rsidRPr="00A54554" w:rsidRDefault="00A54554" w:rsidP="00A54554">
            <w:pPr>
              <w:jc w:val="center"/>
              <w:rPr>
                <w:rFonts w:asciiTheme="majorHAnsi" w:eastAsia="Times New Roman" w:hAnsiTheme="majorHAnsi" w:cstheme="majorHAnsi"/>
                <w:bCs/>
                <w:sz w:val="16"/>
                <w:szCs w:val="16"/>
                <w:lang w:eastAsia="ko-KR"/>
              </w:rPr>
            </w:pPr>
            <w:r w:rsidRPr="00A54554">
              <w:rPr>
                <w:rFonts w:asciiTheme="majorHAnsi" w:eastAsia="Times New Roman" w:hAnsiTheme="majorHAnsi" w:cstheme="majorHAnsi"/>
                <w:bCs/>
                <w:sz w:val="16"/>
                <w:szCs w:val="16"/>
                <w:lang w:eastAsia="ko-KR"/>
              </w:rPr>
              <w:t>Figure 9. STI average in Masjid UI</w:t>
            </w:r>
          </w:p>
        </w:tc>
      </w:tr>
    </w:tbl>
    <w:p w14:paraId="21C04918" w14:textId="77777777" w:rsidR="00A54554" w:rsidRDefault="00A54554" w:rsidP="00863131">
      <w:pPr>
        <w:ind w:left="283" w:firstLine="284"/>
        <w:jc w:val="both"/>
        <w:rPr>
          <w:rFonts w:asciiTheme="majorHAnsi" w:eastAsia="Times New Roman" w:hAnsiTheme="majorHAnsi" w:cstheme="majorHAnsi"/>
          <w:sz w:val="20"/>
          <w:szCs w:val="20"/>
          <w:lang w:eastAsia="ko-KR"/>
        </w:rPr>
      </w:pPr>
    </w:p>
    <w:p w14:paraId="22E50DEF"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Overall, the STI values for both model MUI-A and model MUI-B fall within the range of 0.9 (Fig. 9). The STI values in model MUI-B are slightly lower than in model MUI-A, with model MUI-B_E having the lowest average STI of 0.853. As the number of worshippers increases, the STI values improve in both types of mosques. The increase in worshippers also narrows the gap in average STI between model MUI-A and model MUI-B. When empty, models MUI-A and MUI-B have an STI difference of approximately 0.08, whereas when full, they only differ by 0.02.</w:t>
      </w:r>
    </w:p>
    <w:p w14:paraId="48F81365" w14:textId="77777777" w:rsidR="00A54554" w:rsidRDefault="00A54554" w:rsidP="00863131">
      <w:pPr>
        <w:ind w:left="283" w:firstLine="284"/>
        <w:jc w:val="both"/>
        <w:rPr>
          <w:rFonts w:asciiTheme="majorHAnsi" w:eastAsia="Times New Roman" w:hAnsiTheme="majorHAnsi" w:cstheme="majorHAnsi"/>
          <w:sz w:val="20"/>
          <w:szCs w:val="20"/>
          <w:lang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54554" w14:paraId="3B37E370" w14:textId="77777777" w:rsidTr="00426E0F">
        <w:tc>
          <w:tcPr>
            <w:tcW w:w="9060" w:type="dxa"/>
          </w:tcPr>
          <w:p w14:paraId="7FEB3CB0" w14:textId="77777777" w:rsidR="00A54554" w:rsidRDefault="00A54554" w:rsidP="00A54554">
            <w:pPr>
              <w:jc w:val="center"/>
              <w:rPr>
                <w:rFonts w:asciiTheme="majorHAnsi" w:eastAsia="Times New Roman" w:hAnsiTheme="majorHAnsi" w:cstheme="majorHAnsi"/>
                <w:sz w:val="20"/>
                <w:szCs w:val="20"/>
                <w:lang w:eastAsia="ko-KR"/>
              </w:rPr>
            </w:pPr>
            <w:r>
              <w:rPr>
                <w:noProof/>
              </w:rPr>
              <w:drawing>
                <wp:inline distT="0" distB="0" distL="0" distR="0" wp14:anchorId="34B3D4CF" wp14:editId="58E905D3">
                  <wp:extent cx="4503134" cy="1809750"/>
                  <wp:effectExtent l="0" t="0" r="0" b="0"/>
                  <wp:docPr id="2363716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71663" name="Picture 3"/>
                          <pic:cNvPicPr>
                            <a:picLocks noChangeAspect="1"/>
                          </pic:cNvPicPr>
                        </pic:nvPicPr>
                        <pic:blipFill>
                          <a:blip r:embed="rId48" cstate="print">
                            <a:extLst>
                              <a:ext uri="{28A0092B-C50C-407E-A947-70E740481C1C}">
                                <a14:useLocalDpi xmlns:a14="http://schemas.microsoft.com/office/drawing/2010/main" val="0"/>
                              </a:ext>
                            </a:extLst>
                          </a:blip>
                          <a:srcRect t="22413" b="24008"/>
                          <a:stretch>
                            <a:fillRect/>
                          </a:stretch>
                        </pic:blipFill>
                        <pic:spPr>
                          <a:xfrm>
                            <a:off x="0" y="0"/>
                            <a:ext cx="4510502" cy="1812711"/>
                          </a:xfrm>
                          <a:prstGeom prst="rect">
                            <a:avLst/>
                          </a:prstGeom>
                          <a:ln>
                            <a:noFill/>
                          </a:ln>
                        </pic:spPr>
                      </pic:pic>
                    </a:graphicData>
                  </a:graphic>
                </wp:inline>
              </w:drawing>
            </w:r>
          </w:p>
          <w:p w14:paraId="62CF0677" w14:textId="774BDEEB" w:rsidR="00A54554" w:rsidRDefault="00A54554" w:rsidP="00A54554">
            <w:pPr>
              <w:jc w:val="center"/>
              <w:rPr>
                <w:rFonts w:asciiTheme="majorHAnsi" w:eastAsia="Times New Roman" w:hAnsiTheme="majorHAnsi" w:cstheme="majorHAnsi"/>
                <w:sz w:val="20"/>
                <w:szCs w:val="20"/>
                <w:lang w:eastAsia="ko-KR"/>
              </w:rPr>
            </w:pPr>
          </w:p>
        </w:tc>
      </w:tr>
      <w:tr w:rsidR="00A54554" w:rsidRPr="00A54554" w14:paraId="7AB692B6" w14:textId="77777777" w:rsidTr="00426E0F">
        <w:trPr>
          <w:trHeight w:val="215"/>
        </w:trPr>
        <w:tc>
          <w:tcPr>
            <w:tcW w:w="9060" w:type="dxa"/>
          </w:tcPr>
          <w:p w14:paraId="16556E45" w14:textId="15DB9DEC" w:rsidR="00A54554" w:rsidRPr="00A54554" w:rsidRDefault="00A54554" w:rsidP="00A54554">
            <w:pPr>
              <w:jc w:val="center"/>
              <w:rPr>
                <w:rFonts w:asciiTheme="majorHAnsi" w:eastAsia="Times New Roman" w:hAnsiTheme="majorHAnsi" w:cstheme="majorHAnsi"/>
                <w:bCs/>
                <w:sz w:val="16"/>
                <w:szCs w:val="16"/>
                <w:lang w:val="en-US" w:eastAsia="ko-KR"/>
              </w:rPr>
            </w:pPr>
            <w:r w:rsidRPr="00A54554">
              <w:rPr>
                <w:rFonts w:asciiTheme="majorHAnsi" w:eastAsia="Times New Roman" w:hAnsiTheme="majorHAnsi" w:cstheme="majorHAnsi"/>
                <w:bCs/>
                <w:sz w:val="16"/>
                <w:szCs w:val="16"/>
                <w:lang w:val="en-US" w:eastAsia="ko-KR"/>
              </w:rPr>
              <w:t xml:space="preserve">Figure 10. SPL average in Masjid UI </w:t>
            </w:r>
          </w:p>
          <w:p w14:paraId="6A1D2237" w14:textId="77777777" w:rsidR="00A54554" w:rsidRPr="00426E0F" w:rsidRDefault="00A54554" w:rsidP="00A54554">
            <w:pPr>
              <w:jc w:val="center"/>
              <w:rPr>
                <w:rFonts w:asciiTheme="majorHAnsi" w:eastAsia="Times New Roman" w:hAnsiTheme="majorHAnsi" w:cstheme="majorHAnsi"/>
                <w:bCs/>
                <w:sz w:val="20"/>
                <w:szCs w:val="20"/>
                <w:lang w:eastAsia="ko-KR"/>
              </w:rPr>
            </w:pPr>
          </w:p>
        </w:tc>
      </w:tr>
    </w:tbl>
    <w:p w14:paraId="313C2034" w14:textId="49CFDB2C" w:rsidR="00A54554" w:rsidRDefault="00A54554" w:rsidP="00863131">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eastAsia="ko-KR"/>
        </w:rPr>
        <w:t>In the SPL (Sound Pressure Level) simulation, SPL calculations were conducted after the sound had reflected once within the room. Overall, the SPL values range between 83 and 90 dBA (Fig. 10). Additionally, model MUI-B exhibits a slightly higher average SPL than model MUI-A, with 1 dBA difference. As the number of worshippers increases, the SPL values decrease in both types of mosques. The distribution of SPL in both models was uniform, indicating no significant variation in SPL intensity across the entire area, as observed in the sound distribution pattern in Table 2. High variations only occur at points near the loudspeakers.</w:t>
      </w:r>
    </w:p>
    <w:p w14:paraId="7FF846F6" w14:textId="77777777" w:rsidR="00A54554" w:rsidRDefault="00A54554" w:rsidP="00863131">
      <w:pPr>
        <w:ind w:left="283" w:firstLine="284"/>
        <w:jc w:val="both"/>
        <w:rPr>
          <w:rFonts w:asciiTheme="majorHAnsi" w:eastAsia="Times New Roman" w:hAnsiTheme="majorHAnsi" w:cstheme="majorHAnsi"/>
          <w:sz w:val="20"/>
          <w:szCs w:val="20"/>
          <w:lang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54554" w14:paraId="6E723ADD" w14:textId="77777777" w:rsidTr="00426E0F">
        <w:tc>
          <w:tcPr>
            <w:tcW w:w="9060" w:type="dxa"/>
          </w:tcPr>
          <w:p w14:paraId="63D9F068" w14:textId="77777777" w:rsidR="00A54554" w:rsidRDefault="00A54554" w:rsidP="00A54554">
            <w:pPr>
              <w:jc w:val="center"/>
              <w:rPr>
                <w:rFonts w:asciiTheme="majorHAnsi" w:eastAsia="Times New Roman" w:hAnsiTheme="majorHAnsi" w:cstheme="majorHAnsi"/>
                <w:sz w:val="20"/>
                <w:szCs w:val="20"/>
                <w:lang w:eastAsia="ko-KR"/>
              </w:rPr>
            </w:pPr>
            <w:r>
              <w:rPr>
                <w:noProof/>
              </w:rPr>
              <w:drawing>
                <wp:inline distT="0" distB="0" distL="0" distR="0" wp14:anchorId="5DDC7A57" wp14:editId="70370522">
                  <wp:extent cx="4359572" cy="2114550"/>
                  <wp:effectExtent l="0" t="0" r="3175" b="0"/>
                  <wp:docPr id="16370708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70833" name="Picture 7"/>
                          <pic:cNvPicPr>
                            <a:picLocks noChangeAspect="1"/>
                          </pic:cNvPicPr>
                        </pic:nvPicPr>
                        <pic:blipFill>
                          <a:blip r:embed="rId49" cstate="screen"/>
                          <a:srcRect t="14223" r="4329" b="23915"/>
                          <a:stretch>
                            <a:fillRect/>
                          </a:stretch>
                        </pic:blipFill>
                        <pic:spPr>
                          <a:xfrm>
                            <a:off x="0" y="0"/>
                            <a:ext cx="4366350" cy="2117838"/>
                          </a:xfrm>
                          <a:prstGeom prst="rect">
                            <a:avLst/>
                          </a:prstGeom>
                          <a:ln>
                            <a:noFill/>
                          </a:ln>
                        </pic:spPr>
                      </pic:pic>
                    </a:graphicData>
                  </a:graphic>
                </wp:inline>
              </w:drawing>
            </w:r>
          </w:p>
          <w:p w14:paraId="4B32945B" w14:textId="189D1933" w:rsidR="00A54554" w:rsidRDefault="00A54554" w:rsidP="00A54554">
            <w:pPr>
              <w:jc w:val="center"/>
              <w:rPr>
                <w:rFonts w:asciiTheme="majorHAnsi" w:eastAsia="Times New Roman" w:hAnsiTheme="majorHAnsi" w:cstheme="majorHAnsi"/>
                <w:sz w:val="20"/>
                <w:szCs w:val="20"/>
                <w:lang w:eastAsia="ko-KR"/>
              </w:rPr>
            </w:pPr>
          </w:p>
        </w:tc>
      </w:tr>
      <w:tr w:rsidR="00A54554" w:rsidRPr="00A54554" w14:paraId="23EA7333" w14:textId="77777777" w:rsidTr="00426E0F">
        <w:tc>
          <w:tcPr>
            <w:tcW w:w="9060" w:type="dxa"/>
          </w:tcPr>
          <w:p w14:paraId="2F4923AD" w14:textId="73079571" w:rsidR="00A54554" w:rsidRPr="00A54554" w:rsidRDefault="00A54554" w:rsidP="00A54554">
            <w:pPr>
              <w:jc w:val="center"/>
              <w:rPr>
                <w:rFonts w:asciiTheme="majorHAnsi" w:eastAsia="Times New Roman" w:hAnsiTheme="majorHAnsi" w:cstheme="majorHAnsi"/>
                <w:bCs/>
                <w:sz w:val="16"/>
                <w:szCs w:val="16"/>
                <w:lang w:eastAsia="ko-KR"/>
              </w:rPr>
            </w:pPr>
            <w:r w:rsidRPr="00A54554">
              <w:rPr>
                <w:rFonts w:asciiTheme="majorHAnsi" w:eastAsia="Times New Roman" w:hAnsiTheme="majorHAnsi" w:cstheme="majorHAnsi"/>
                <w:bCs/>
                <w:sz w:val="16"/>
                <w:szCs w:val="16"/>
                <w:lang w:eastAsia="ko-KR"/>
              </w:rPr>
              <w:t>Figure 11. RT average in Masjid UI</w:t>
            </w:r>
          </w:p>
        </w:tc>
      </w:tr>
    </w:tbl>
    <w:p w14:paraId="61747FC0" w14:textId="77777777" w:rsidR="00A54554" w:rsidRDefault="00A54554" w:rsidP="00863131">
      <w:pPr>
        <w:ind w:left="283" w:firstLine="284"/>
        <w:jc w:val="both"/>
        <w:rPr>
          <w:rFonts w:asciiTheme="majorHAnsi" w:eastAsia="Times New Roman" w:hAnsiTheme="majorHAnsi" w:cstheme="majorHAnsi"/>
          <w:sz w:val="20"/>
          <w:szCs w:val="20"/>
          <w:lang w:eastAsia="ko-KR"/>
        </w:rPr>
      </w:pPr>
    </w:p>
    <w:p w14:paraId="18291120" w14:textId="78391CFA" w:rsidR="00A54554" w:rsidRDefault="00A54554" w:rsidP="00863131">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eastAsia="ko-KR"/>
        </w:rPr>
        <w:t>In the Reverberation Time (RT) simulation, overall, model MUI-B exhibits slightly higher RT values (Fig. 11). The RT values for both models are relatively small, with values below 0.5 seconds, except for MUI-B_E, where the RT at a frequency of 250 Hz reaches 0.53 seconds. As the number of worshippers increases, the RT values decrease in both types of mosques. Furthermore, with more worshippers, the RT difference between model MUI-A and model MUI-B becomes smaller. At a frequency of 250 Hz in an empty room, the RT difference between model MUI-A and model MUI-B is 0.3 seconds. However, in a fully occupied room at the same frequency, the RT difference is only 0.04 seconds.</w:t>
      </w:r>
    </w:p>
    <w:p w14:paraId="1476865B" w14:textId="77777777" w:rsidR="00426E0F" w:rsidRDefault="00426E0F" w:rsidP="00863131">
      <w:pPr>
        <w:ind w:left="283" w:firstLine="284"/>
        <w:jc w:val="both"/>
        <w:rPr>
          <w:rFonts w:asciiTheme="majorHAnsi" w:eastAsia="Times New Roman" w:hAnsiTheme="majorHAnsi" w:cstheme="majorHAnsi"/>
          <w:sz w:val="20"/>
          <w:szCs w:val="20"/>
          <w:lang w:eastAsia="ko-KR"/>
        </w:rPr>
      </w:pPr>
    </w:p>
    <w:p w14:paraId="63CBD327" w14:textId="77777777" w:rsidR="00426E0F" w:rsidRDefault="00426E0F" w:rsidP="00863131">
      <w:pPr>
        <w:ind w:left="283" w:firstLine="284"/>
        <w:jc w:val="both"/>
        <w:rPr>
          <w:rFonts w:asciiTheme="majorHAnsi" w:eastAsia="Times New Roman" w:hAnsiTheme="majorHAnsi" w:cstheme="majorHAnsi"/>
          <w:sz w:val="20"/>
          <w:szCs w:val="20"/>
          <w:lang w:eastAsia="ko-KR"/>
        </w:rPr>
      </w:pPr>
    </w:p>
    <w:p w14:paraId="7A21D2C0" w14:textId="77777777" w:rsidR="00426E0F" w:rsidRDefault="00426E0F" w:rsidP="00863131">
      <w:pPr>
        <w:ind w:left="283" w:firstLine="284"/>
        <w:jc w:val="both"/>
        <w:rPr>
          <w:rFonts w:asciiTheme="majorHAnsi" w:eastAsia="Times New Roman" w:hAnsiTheme="majorHAnsi" w:cstheme="majorHAnsi"/>
          <w:sz w:val="20"/>
          <w:szCs w:val="20"/>
          <w:lang w:eastAsia="ko-KR"/>
        </w:rPr>
      </w:pPr>
    </w:p>
    <w:p w14:paraId="04923648" w14:textId="77777777" w:rsidR="00A54554" w:rsidRDefault="00A54554" w:rsidP="00863131">
      <w:pPr>
        <w:ind w:left="283" w:firstLine="284"/>
        <w:jc w:val="both"/>
        <w:rPr>
          <w:rFonts w:asciiTheme="majorHAnsi" w:eastAsia="Times New Roman" w:hAnsiTheme="majorHAnsi" w:cstheme="majorHAnsi"/>
          <w:sz w:val="20"/>
          <w:szCs w:val="20"/>
          <w:lang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7"/>
      </w:tblGrid>
      <w:tr w:rsidR="00A54554" w14:paraId="20CC4129" w14:textId="77777777" w:rsidTr="00426E0F">
        <w:tc>
          <w:tcPr>
            <w:tcW w:w="8777" w:type="dxa"/>
          </w:tcPr>
          <w:p w14:paraId="444F2495" w14:textId="77777777" w:rsidR="00A54554" w:rsidRDefault="00A54554" w:rsidP="00A54554">
            <w:pPr>
              <w:jc w:val="center"/>
              <w:rPr>
                <w:rFonts w:asciiTheme="majorHAnsi" w:eastAsia="Times New Roman" w:hAnsiTheme="majorHAnsi" w:cstheme="majorHAnsi"/>
                <w:sz w:val="20"/>
                <w:szCs w:val="20"/>
                <w:lang w:eastAsia="ko-KR"/>
              </w:rPr>
            </w:pPr>
            <w:r>
              <w:rPr>
                <w:noProof/>
              </w:rPr>
              <w:lastRenderedPageBreak/>
              <w:drawing>
                <wp:inline distT="0" distB="0" distL="0" distR="0" wp14:anchorId="7A0FA58C" wp14:editId="05A38C88">
                  <wp:extent cx="3028950" cy="1800225"/>
                  <wp:effectExtent l="0" t="0" r="0" b="9525"/>
                  <wp:docPr id="58" name="image50.png"/>
                  <wp:cNvGraphicFramePr/>
                  <a:graphic xmlns:a="http://schemas.openxmlformats.org/drawingml/2006/main">
                    <a:graphicData uri="http://schemas.openxmlformats.org/drawingml/2006/picture">
                      <pic:pic xmlns:pic="http://schemas.openxmlformats.org/drawingml/2006/picture">
                        <pic:nvPicPr>
                          <pic:cNvPr id="58" name="image50.png"/>
                          <pic:cNvPicPr/>
                        </pic:nvPicPr>
                        <pic:blipFill>
                          <a:blip r:embed="rId50" cstate="screen"/>
                          <a:srcRect l="41098" t="46433" r="20323" b="16698"/>
                          <a:stretch>
                            <a:fillRect/>
                          </a:stretch>
                        </pic:blipFill>
                        <pic:spPr>
                          <a:xfrm>
                            <a:off x="0" y="0"/>
                            <a:ext cx="3028950" cy="1800225"/>
                          </a:xfrm>
                          <a:prstGeom prst="rect">
                            <a:avLst/>
                          </a:prstGeom>
                          <a:ln>
                            <a:noFill/>
                          </a:ln>
                        </pic:spPr>
                      </pic:pic>
                    </a:graphicData>
                  </a:graphic>
                </wp:inline>
              </w:drawing>
            </w:r>
          </w:p>
          <w:p w14:paraId="520E5CC0" w14:textId="77777777" w:rsidR="00A54554" w:rsidRDefault="00A54554" w:rsidP="00A54554">
            <w:pPr>
              <w:jc w:val="center"/>
              <w:rPr>
                <w:rFonts w:asciiTheme="majorHAnsi" w:eastAsia="Times New Roman" w:hAnsiTheme="majorHAnsi" w:cstheme="majorHAnsi"/>
                <w:sz w:val="20"/>
                <w:szCs w:val="20"/>
                <w:lang w:eastAsia="ko-KR"/>
              </w:rPr>
            </w:pPr>
          </w:p>
          <w:p w14:paraId="2D41ABB7" w14:textId="77777777" w:rsidR="00A54554" w:rsidRDefault="00A54554" w:rsidP="00A54554">
            <w:pPr>
              <w:jc w:val="center"/>
              <w:rPr>
                <w:rFonts w:asciiTheme="majorHAnsi" w:eastAsia="Times New Roman" w:hAnsiTheme="majorHAnsi" w:cstheme="majorHAnsi"/>
                <w:sz w:val="20"/>
                <w:szCs w:val="20"/>
                <w:lang w:eastAsia="ko-KR"/>
              </w:rPr>
            </w:pPr>
            <w:r>
              <w:rPr>
                <w:noProof/>
              </w:rPr>
              <w:drawing>
                <wp:inline distT="0" distB="0" distL="0" distR="0" wp14:anchorId="479D8562" wp14:editId="3C41A4C0">
                  <wp:extent cx="3019425" cy="1762125"/>
                  <wp:effectExtent l="0" t="0" r="9525" b="9525"/>
                  <wp:docPr id="59" name="image56.png"/>
                  <wp:cNvGraphicFramePr/>
                  <a:graphic xmlns:a="http://schemas.openxmlformats.org/drawingml/2006/main">
                    <a:graphicData uri="http://schemas.openxmlformats.org/drawingml/2006/picture">
                      <pic:pic xmlns:pic="http://schemas.openxmlformats.org/drawingml/2006/picture">
                        <pic:nvPicPr>
                          <pic:cNvPr id="59" name="image56.png"/>
                          <pic:cNvPicPr/>
                        </pic:nvPicPr>
                        <pic:blipFill>
                          <a:blip r:embed="rId51" cstate="screen"/>
                          <a:srcRect l="41980" t="48009" r="21610" b="17331"/>
                          <a:stretch>
                            <a:fillRect/>
                          </a:stretch>
                        </pic:blipFill>
                        <pic:spPr>
                          <a:xfrm>
                            <a:off x="0" y="0"/>
                            <a:ext cx="3019425" cy="1762125"/>
                          </a:xfrm>
                          <a:prstGeom prst="rect">
                            <a:avLst/>
                          </a:prstGeom>
                          <a:ln>
                            <a:noFill/>
                          </a:ln>
                        </pic:spPr>
                      </pic:pic>
                    </a:graphicData>
                  </a:graphic>
                </wp:inline>
              </w:drawing>
            </w:r>
          </w:p>
          <w:p w14:paraId="4EA4BBFA" w14:textId="607019E0" w:rsidR="00A54554" w:rsidRDefault="00A54554" w:rsidP="00A54554">
            <w:pPr>
              <w:jc w:val="center"/>
              <w:rPr>
                <w:rFonts w:asciiTheme="majorHAnsi" w:eastAsia="Times New Roman" w:hAnsiTheme="majorHAnsi" w:cstheme="majorHAnsi"/>
                <w:sz w:val="20"/>
                <w:szCs w:val="20"/>
                <w:lang w:eastAsia="ko-KR"/>
              </w:rPr>
            </w:pPr>
          </w:p>
        </w:tc>
      </w:tr>
      <w:tr w:rsidR="00A54554" w:rsidRPr="00A54554" w14:paraId="4AC99361" w14:textId="77777777" w:rsidTr="00426E0F">
        <w:tc>
          <w:tcPr>
            <w:tcW w:w="8777" w:type="dxa"/>
          </w:tcPr>
          <w:p w14:paraId="56EC857B" w14:textId="7D6EFDAD" w:rsidR="00A54554" w:rsidRPr="00A54554" w:rsidRDefault="00A54554" w:rsidP="00426E0F">
            <w:pPr>
              <w:jc w:val="center"/>
              <w:rPr>
                <w:rFonts w:asciiTheme="majorHAnsi" w:eastAsia="Times New Roman" w:hAnsiTheme="majorHAnsi" w:cstheme="majorHAnsi"/>
                <w:bCs/>
                <w:sz w:val="16"/>
                <w:szCs w:val="16"/>
                <w:lang w:eastAsia="ko-KR"/>
              </w:rPr>
            </w:pPr>
            <w:r w:rsidRPr="00A54554">
              <w:rPr>
                <w:rFonts w:asciiTheme="majorHAnsi" w:eastAsia="Times New Roman" w:hAnsiTheme="majorHAnsi" w:cstheme="majorHAnsi"/>
                <w:bCs/>
                <w:sz w:val="16"/>
                <w:szCs w:val="16"/>
                <w:lang w:eastAsia="ko-KR"/>
              </w:rPr>
              <w:t>Figure 12. The distribution of SPL through sectional diagrams in the MUI-A model (top) and the MUI-B model (bottom)</w:t>
            </w:r>
          </w:p>
        </w:tc>
      </w:tr>
    </w:tbl>
    <w:p w14:paraId="6CE34B19" w14:textId="77777777" w:rsidR="00A54554" w:rsidRDefault="00A54554" w:rsidP="00863131">
      <w:pPr>
        <w:ind w:left="283" w:firstLine="284"/>
        <w:jc w:val="both"/>
        <w:rPr>
          <w:rFonts w:asciiTheme="majorHAnsi" w:eastAsia="Times New Roman" w:hAnsiTheme="majorHAnsi" w:cstheme="majorHAnsi"/>
          <w:sz w:val="20"/>
          <w:szCs w:val="20"/>
          <w:lang w:eastAsia="ko-KR"/>
        </w:rPr>
      </w:pPr>
    </w:p>
    <w:p w14:paraId="0DFABAEB" w14:textId="77777777" w:rsidR="00A54554" w:rsidRPr="00A54554" w:rsidRDefault="00A54554" w:rsidP="00A54554">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val="en-US" w:eastAsia="ko-KR"/>
        </w:rPr>
        <w:t xml:space="preserve">Looking at the vertical distribution of SPL, there was no significant difference between model MUI-A and model MUI-B (Fig. 12). </w:t>
      </w:r>
      <w:r w:rsidRPr="00A54554">
        <w:rPr>
          <w:rFonts w:asciiTheme="majorHAnsi" w:eastAsia="Times New Roman" w:hAnsiTheme="majorHAnsi" w:cstheme="majorHAnsi"/>
          <w:sz w:val="20"/>
          <w:szCs w:val="20"/>
          <w:lang w:eastAsia="ko-KR"/>
        </w:rPr>
        <w:t>Both models exhibit standard deviations exceeding the acceptable standard of 3 dBA (see Table 2).</w:t>
      </w:r>
      <w:r w:rsidRPr="00A54554">
        <w:rPr>
          <w:rFonts w:asciiTheme="majorHAnsi" w:eastAsia="Times New Roman" w:hAnsiTheme="majorHAnsi" w:cstheme="majorHAnsi"/>
          <w:sz w:val="20"/>
          <w:szCs w:val="20"/>
          <w:lang w:val="en-US" w:eastAsia="ko-KR"/>
        </w:rPr>
        <w:t xml:space="preserve"> In model MUI-A, the average SPL value was 72.60 dBA with a standard deviation of 8.68 dBA, while in model MUI-B, the average SPL value was 74.29 dBA with a standard deviation of 6.30 dBA. </w:t>
      </w:r>
      <w:r w:rsidRPr="00A54554">
        <w:rPr>
          <w:rFonts w:asciiTheme="majorHAnsi" w:eastAsia="Times New Roman" w:hAnsiTheme="majorHAnsi" w:cstheme="majorHAnsi"/>
          <w:sz w:val="20"/>
          <w:szCs w:val="20"/>
          <w:lang w:eastAsia="ko-KR"/>
        </w:rPr>
        <w:t>Both models indicate that the vertical sound intensity in the case study was not very high, except in the area near the loudspeakers in the corridor. The roof areas of both models also did not exhibit high sound intensities. The only difference was the presence of some sound escaping through the open façade of model MUI-A. This analysis indicates that vertically, the sound coverage of both models was inadequate, as evidenced by the high and non-uniform deviation across all areas.</w:t>
      </w:r>
    </w:p>
    <w:p w14:paraId="6A596C05" w14:textId="66E17C52" w:rsidR="00A54554" w:rsidRDefault="00A54554" w:rsidP="00A54554">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eastAsia="ko-KR"/>
        </w:rPr>
        <w:t>Summarizing all the data, almost all parameters exhibited by MUI-A and MUI-B were within the recommended range, except the vertical SPL standard deviation coverage, as shown in Table 4.</w:t>
      </w:r>
    </w:p>
    <w:p w14:paraId="16127B91" w14:textId="77777777" w:rsidR="00A54554" w:rsidRDefault="00A54554" w:rsidP="00A54554">
      <w:pPr>
        <w:ind w:left="283" w:firstLine="284"/>
        <w:jc w:val="both"/>
        <w:rPr>
          <w:rFonts w:asciiTheme="majorHAnsi" w:eastAsia="Times New Roman" w:hAnsiTheme="majorHAnsi" w:cstheme="majorHAnsi"/>
          <w:sz w:val="20"/>
          <w:szCs w:val="20"/>
          <w:lang w:eastAsia="ko-KR"/>
        </w:rPr>
      </w:pPr>
    </w:p>
    <w:p w14:paraId="4FECC1D7" w14:textId="1C335364" w:rsidR="00A54554" w:rsidRPr="00A54554" w:rsidRDefault="00A54554" w:rsidP="00A54554">
      <w:pPr>
        <w:ind w:left="283" w:firstLine="1"/>
        <w:jc w:val="center"/>
        <w:rPr>
          <w:rFonts w:asciiTheme="majorHAnsi" w:eastAsia="Times New Roman" w:hAnsiTheme="majorHAnsi" w:cstheme="majorHAnsi"/>
          <w:bCs/>
          <w:sz w:val="16"/>
          <w:szCs w:val="16"/>
          <w:lang w:eastAsia="ko-KR"/>
        </w:rPr>
      </w:pPr>
      <w:r w:rsidRPr="00A54554">
        <w:rPr>
          <w:rFonts w:asciiTheme="majorHAnsi" w:eastAsia="Times New Roman" w:hAnsiTheme="majorHAnsi" w:cstheme="majorHAnsi"/>
          <w:bCs/>
          <w:sz w:val="16"/>
          <w:szCs w:val="16"/>
          <w:lang w:eastAsia="ko-KR"/>
        </w:rPr>
        <w:t>Table 4. Comparison of the measured value of STI, SPL, RT, and BN from observation and simulation with the recommended value in Masjid UI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7"/>
        <w:gridCol w:w="851"/>
        <w:gridCol w:w="851"/>
        <w:gridCol w:w="851"/>
        <w:gridCol w:w="851"/>
        <w:gridCol w:w="851"/>
        <w:gridCol w:w="851"/>
        <w:gridCol w:w="1942"/>
      </w:tblGrid>
      <w:tr w:rsidR="00A54554" w:rsidRPr="00A54554" w14:paraId="2DC54A3A" w14:textId="77777777" w:rsidTr="00426E0F">
        <w:trPr>
          <w:jc w:val="center"/>
        </w:trPr>
        <w:tc>
          <w:tcPr>
            <w:tcW w:w="1577" w:type="dxa"/>
            <w:vMerge w:val="restart"/>
            <w:tcBorders>
              <w:top w:val="single" w:sz="4" w:space="0" w:color="auto"/>
              <w:bottom w:val="single" w:sz="4" w:space="0" w:color="auto"/>
            </w:tcBorders>
            <w:vAlign w:val="center"/>
            <w:hideMark/>
          </w:tcPr>
          <w:p w14:paraId="3D38F60D"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Parameter</w:t>
            </w:r>
          </w:p>
        </w:tc>
        <w:tc>
          <w:tcPr>
            <w:tcW w:w="5106" w:type="dxa"/>
            <w:gridSpan w:val="6"/>
            <w:tcBorders>
              <w:top w:val="single" w:sz="4" w:space="0" w:color="auto"/>
              <w:bottom w:val="single" w:sz="4" w:space="0" w:color="auto"/>
            </w:tcBorders>
            <w:hideMark/>
          </w:tcPr>
          <w:p w14:paraId="4D4436B3"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Value</w:t>
            </w:r>
          </w:p>
        </w:tc>
        <w:tc>
          <w:tcPr>
            <w:tcW w:w="1942" w:type="dxa"/>
            <w:vMerge w:val="restart"/>
            <w:tcBorders>
              <w:top w:val="single" w:sz="4" w:space="0" w:color="auto"/>
              <w:bottom w:val="single" w:sz="4" w:space="0" w:color="auto"/>
            </w:tcBorders>
            <w:vAlign w:val="center"/>
            <w:hideMark/>
          </w:tcPr>
          <w:p w14:paraId="4CF35308"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Recommended</w:t>
            </w:r>
          </w:p>
        </w:tc>
      </w:tr>
      <w:tr w:rsidR="00A54554" w:rsidRPr="00A54554" w14:paraId="5550DAC0" w14:textId="77777777" w:rsidTr="00426E0F">
        <w:trPr>
          <w:jc w:val="center"/>
        </w:trPr>
        <w:tc>
          <w:tcPr>
            <w:tcW w:w="0" w:type="auto"/>
            <w:vMerge/>
            <w:tcBorders>
              <w:top w:val="single" w:sz="4" w:space="0" w:color="auto"/>
              <w:bottom w:val="single" w:sz="4" w:space="0" w:color="auto"/>
            </w:tcBorders>
            <w:vAlign w:val="center"/>
            <w:hideMark/>
          </w:tcPr>
          <w:p w14:paraId="04BD5144"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p>
        </w:tc>
        <w:tc>
          <w:tcPr>
            <w:tcW w:w="851" w:type="dxa"/>
            <w:tcBorders>
              <w:top w:val="single" w:sz="4" w:space="0" w:color="auto"/>
              <w:bottom w:val="single" w:sz="4" w:space="0" w:color="auto"/>
            </w:tcBorders>
            <w:hideMark/>
          </w:tcPr>
          <w:p w14:paraId="6DE34809"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MUI-A</w:t>
            </w:r>
          </w:p>
          <w:p w14:paraId="434F7329"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E</w:t>
            </w:r>
          </w:p>
        </w:tc>
        <w:tc>
          <w:tcPr>
            <w:tcW w:w="851" w:type="dxa"/>
            <w:tcBorders>
              <w:top w:val="single" w:sz="4" w:space="0" w:color="auto"/>
              <w:bottom w:val="single" w:sz="4" w:space="0" w:color="auto"/>
            </w:tcBorders>
            <w:hideMark/>
          </w:tcPr>
          <w:p w14:paraId="5A01C954"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MUI-A</w:t>
            </w:r>
          </w:p>
          <w:p w14:paraId="119588C4"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HF</w:t>
            </w:r>
          </w:p>
        </w:tc>
        <w:tc>
          <w:tcPr>
            <w:tcW w:w="851" w:type="dxa"/>
            <w:tcBorders>
              <w:top w:val="single" w:sz="4" w:space="0" w:color="auto"/>
              <w:bottom w:val="single" w:sz="4" w:space="0" w:color="auto"/>
            </w:tcBorders>
            <w:hideMark/>
          </w:tcPr>
          <w:p w14:paraId="30AC743C"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MUI-A</w:t>
            </w:r>
          </w:p>
          <w:p w14:paraId="62F40201"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F</w:t>
            </w:r>
          </w:p>
        </w:tc>
        <w:tc>
          <w:tcPr>
            <w:tcW w:w="851" w:type="dxa"/>
            <w:tcBorders>
              <w:top w:val="single" w:sz="4" w:space="0" w:color="auto"/>
              <w:bottom w:val="single" w:sz="4" w:space="0" w:color="auto"/>
            </w:tcBorders>
            <w:hideMark/>
          </w:tcPr>
          <w:p w14:paraId="45FDC2E5"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MUI-B</w:t>
            </w:r>
          </w:p>
          <w:p w14:paraId="332A9F90"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E</w:t>
            </w:r>
          </w:p>
        </w:tc>
        <w:tc>
          <w:tcPr>
            <w:tcW w:w="851" w:type="dxa"/>
            <w:tcBorders>
              <w:top w:val="single" w:sz="4" w:space="0" w:color="auto"/>
              <w:bottom w:val="single" w:sz="4" w:space="0" w:color="auto"/>
            </w:tcBorders>
            <w:hideMark/>
          </w:tcPr>
          <w:p w14:paraId="05381F06"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MUI-B</w:t>
            </w:r>
          </w:p>
          <w:p w14:paraId="550AD623"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HF</w:t>
            </w:r>
          </w:p>
        </w:tc>
        <w:tc>
          <w:tcPr>
            <w:tcW w:w="851" w:type="dxa"/>
            <w:tcBorders>
              <w:top w:val="single" w:sz="4" w:space="0" w:color="auto"/>
              <w:bottom w:val="single" w:sz="4" w:space="0" w:color="auto"/>
            </w:tcBorders>
            <w:hideMark/>
          </w:tcPr>
          <w:p w14:paraId="1BC5D5F5"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MUI-B</w:t>
            </w:r>
          </w:p>
          <w:p w14:paraId="0FADD84C"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F</w:t>
            </w:r>
          </w:p>
        </w:tc>
        <w:tc>
          <w:tcPr>
            <w:tcW w:w="0" w:type="auto"/>
            <w:vMerge/>
            <w:tcBorders>
              <w:top w:val="single" w:sz="4" w:space="0" w:color="auto"/>
              <w:bottom w:val="single" w:sz="4" w:space="0" w:color="auto"/>
            </w:tcBorders>
            <w:vAlign w:val="center"/>
            <w:hideMark/>
          </w:tcPr>
          <w:p w14:paraId="1B4F893E"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p>
        </w:tc>
      </w:tr>
      <w:tr w:rsidR="00A54554" w:rsidRPr="00A54554" w14:paraId="1AE8014A" w14:textId="77777777" w:rsidTr="00426E0F">
        <w:trPr>
          <w:jc w:val="center"/>
        </w:trPr>
        <w:tc>
          <w:tcPr>
            <w:tcW w:w="1577" w:type="dxa"/>
            <w:tcBorders>
              <w:top w:val="single" w:sz="4" w:space="0" w:color="auto"/>
            </w:tcBorders>
            <w:vAlign w:val="center"/>
            <w:hideMark/>
          </w:tcPr>
          <w:p w14:paraId="19E4DFAE"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STI</w:t>
            </w:r>
          </w:p>
        </w:tc>
        <w:tc>
          <w:tcPr>
            <w:tcW w:w="851" w:type="dxa"/>
            <w:tcBorders>
              <w:top w:val="single" w:sz="4" w:space="0" w:color="auto"/>
            </w:tcBorders>
            <w:shd w:val="clear" w:color="auto" w:fill="D6E3BC" w:themeFill="accent3" w:themeFillTint="66"/>
            <w:vAlign w:val="center"/>
            <w:hideMark/>
          </w:tcPr>
          <w:p w14:paraId="7C65C736"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0.930</w:t>
            </w:r>
          </w:p>
        </w:tc>
        <w:tc>
          <w:tcPr>
            <w:tcW w:w="851" w:type="dxa"/>
            <w:tcBorders>
              <w:top w:val="single" w:sz="4" w:space="0" w:color="auto"/>
            </w:tcBorders>
            <w:shd w:val="clear" w:color="auto" w:fill="D6E3BC" w:themeFill="accent3" w:themeFillTint="66"/>
            <w:vAlign w:val="center"/>
            <w:hideMark/>
          </w:tcPr>
          <w:p w14:paraId="67985AE0"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0.953</w:t>
            </w:r>
          </w:p>
        </w:tc>
        <w:tc>
          <w:tcPr>
            <w:tcW w:w="851" w:type="dxa"/>
            <w:tcBorders>
              <w:top w:val="single" w:sz="4" w:space="0" w:color="auto"/>
            </w:tcBorders>
            <w:shd w:val="clear" w:color="auto" w:fill="D6E3BC" w:themeFill="accent3" w:themeFillTint="66"/>
            <w:vAlign w:val="center"/>
            <w:hideMark/>
          </w:tcPr>
          <w:p w14:paraId="5AE331BE"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0.974</w:t>
            </w:r>
          </w:p>
        </w:tc>
        <w:tc>
          <w:tcPr>
            <w:tcW w:w="851" w:type="dxa"/>
            <w:tcBorders>
              <w:top w:val="single" w:sz="4" w:space="0" w:color="auto"/>
            </w:tcBorders>
            <w:shd w:val="clear" w:color="auto" w:fill="D6E3BC" w:themeFill="accent3" w:themeFillTint="66"/>
            <w:vAlign w:val="center"/>
            <w:hideMark/>
          </w:tcPr>
          <w:p w14:paraId="58F83537"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0.853</w:t>
            </w:r>
          </w:p>
        </w:tc>
        <w:tc>
          <w:tcPr>
            <w:tcW w:w="851" w:type="dxa"/>
            <w:tcBorders>
              <w:top w:val="single" w:sz="4" w:space="0" w:color="auto"/>
            </w:tcBorders>
            <w:shd w:val="clear" w:color="auto" w:fill="D6E3BC" w:themeFill="accent3" w:themeFillTint="66"/>
            <w:vAlign w:val="center"/>
            <w:hideMark/>
          </w:tcPr>
          <w:p w14:paraId="451E6E19"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0.908</w:t>
            </w:r>
          </w:p>
        </w:tc>
        <w:tc>
          <w:tcPr>
            <w:tcW w:w="851" w:type="dxa"/>
            <w:tcBorders>
              <w:top w:val="single" w:sz="4" w:space="0" w:color="auto"/>
            </w:tcBorders>
            <w:shd w:val="clear" w:color="auto" w:fill="D6E3BC" w:themeFill="accent3" w:themeFillTint="66"/>
            <w:hideMark/>
          </w:tcPr>
          <w:p w14:paraId="3B729D3C"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0.951</w:t>
            </w:r>
          </w:p>
        </w:tc>
        <w:tc>
          <w:tcPr>
            <w:tcW w:w="1942" w:type="dxa"/>
            <w:tcBorders>
              <w:top w:val="single" w:sz="4" w:space="0" w:color="auto"/>
            </w:tcBorders>
            <w:vAlign w:val="center"/>
            <w:hideMark/>
          </w:tcPr>
          <w:p w14:paraId="3706CCB5"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 xml:space="preserve">STI &gt;0.68 </w:t>
            </w:r>
            <w:sdt>
              <w:sdtPr>
                <w:rPr>
                  <w:rFonts w:asciiTheme="majorHAnsi" w:eastAsia="Times New Roman" w:hAnsiTheme="majorHAnsi" w:cstheme="majorHAnsi"/>
                  <w:sz w:val="16"/>
                  <w:szCs w:val="16"/>
                  <w:lang w:val="en-US" w:eastAsia="ko-KR"/>
                </w:rPr>
                <w:id w:val="259729771"/>
                <w:citation/>
              </w:sdtPr>
              <w:sdtContent>
                <w:r w:rsidRPr="00A54554">
                  <w:rPr>
                    <w:rFonts w:asciiTheme="majorHAnsi" w:eastAsia="Times New Roman" w:hAnsiTheme="majorHAnsi" w:cstheme="majorHAnsi"/>
                    <w:sz w:val="16"/>
                    <w:szCs w:val="16"/>
                    <w:lang w:val="en-US" w:eastAsia="ko-KR"/>
                  </w:rPr>
                  <w:fldChar w:fldCharType="begin"/>
                </w:r>
                <w:r w:rsidRPr="00A54554">
                  <w:rPr>
                    <w:rFonts w:asciiTheme="majorHAnsi" w:eastAsia="Times New Roman" w:hAnsiTheme="majorHAnsi" w:cstheme="majorHAnsi"/>
                    <w:sz w:val="16"/>
                    <w:szCs w:val="16"/>
                    <w:lang w:eastAsia="ko-KR"/>
                  </w:rPr>
                  <w:instrText xml:space="preserve"> CITATION NTI20 \l 14345 </w:instrText>
                </w:r>
                <w:r w:rsidRPr="00A54554">
                  <w:rPr>
                    <w:rFonts w:asciiTheme="majorHAnsi" w:eastAsia="Times New Roman" w:hAnsiTheme="majorHAnsi" w:cstheme="majorHAnsi"/>
                    <w:sz w:val="16"/>
                    <w:szCs w:val="16"/>
                    <w:lang w:val="en-US" w:eastAsia="ko-KR"/>
                  </w:rPr>
                  <w:fldChar w:fldCharType="separate"/>
                </w:r>
                <w:r w:rsidRPr="00A54554">
                  <w:rPr>
                    <w:rFonts w:asciiTheme="majorHAnsi" w:eastAsia="Times New Roman" w:hAnsiTheme="majorHAnsi" w:cstheme="majorHAnsi"/>
                    <w:sz w:val="16"/>
                    <w:szCs w:val="16"/>
                    <w:lang w:eastAsia="ko-KR"/>
                  </w:rPr>
                  <w:t>[25]</w:t>
                </w:r>
                <w:r w:rsidRPr="00A54554">
                  <w:rPr>
                    <w:rFonts w:asciiTheme="majorHAnsi" w:eastAsia="Times New Roman" w:hAnsiTheme="majorHAnsi" w:cstheme="majorHAnsi"/>
                    <w:sz w:val="16"/>
                    <w:szCs w:val="16"/>
                    <w:lang w:eastAsia="ko-KR"/>
                  </w:rPr>
                  <w:fldChar w:fldCharType="end"/>
                </w:r>
              </w:sdtContent>
            </w:sdt>
            <w:r w:rsidRPr="00A54554">
              <w:rPr>
                <w:rFonts w:asciiTheme="majorHAnsi" w:eastAsia="Times New Roman" w:hAnsiTheme="majorHAnsi" w:cstheme="majorHAnsi"/>
                <w:sz w:val="16"/>
                <w:szCs w:val="16"/>
                <w:lang w:val="en-US" w:eastAsia="ko-KR"/>
              </w:rPr>
              <w:t xml:space="preserve"> </w:t>
            </w:r>
          </w:p>
        </w:tc>
      </w:tr>
      <w:tr w:rsidR="00A54554" w:rsidRPr="00A54554" w14:paraId="1B7E9F69" w14:textId="77777777" w:rsidTr="00426E0F">
        <w:trPr>
          <w:jc w:val="center"/>
        </w:trPr>
        <w:tc>
          <w:tcPr>
            <w:tcW w:w="1577" w:type="dxa"/>
            <w:vAlign w:val="center"/>
            <w:hideMark/>
          </w:tcPr>
          <w:p w14:paraId="51863CF0"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SPL standard deviation coverage horizontally</w:t>
            </w:r>
          </w:p>
          <w:p w14:paraId="25DCA0DA"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(dBA)</w:t>
            </w:r>
          </w:p>
        </w:tc>
        <w:tc>
          <w:tcPr>
            <w:tcW w:w="851" w:type="dxa"/>
            <w:shd w:val="clear" w:color="auto" w:fill="D6E3BC" w:themeFill="accent3" w:themeFillTint="66"/>
            <w:vAlign w:val="center"/>
            <w:hideMark/>
          </w:tcPr>
          <w:p w14:paraId="1C13809F"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0.89 dBA</w:t>
            </w:r>
          </w:p>
        </w:tc>
        <w:tc>
          <w:tcPr>
            <w:tcW w:w="851" w:type="dxa"/>
            <w:shd w:val="clear" w:color="auto" w:fill="D6E3BC" w:themeFill="accent3" w:themeFillTint="66"/>
            <w:vAlign w:val="center"/>
            <w:hideMark/>
          </w:tcPr>
          <w:p w14:paraId="333A1ACB"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1.38 dBA</w:t>
            </w:r>
          </w:p>
        </w:tc>
        <w:tc>
          <w:tcPr>
            <w:tcW w:w="851" w:type="dxa"/>
            <w:shd w:val="clear" w:color="auto" w:fill="D6E3BC" w:themeFill="accent3" w:themeFillTint="66"/>
            <w:vAlign w:val="center"/>
            <w:hideMark/>
          </w:tcPr>
          <w:p w14:paraId="5722BF14"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1.17 dBA</w:t>
            </w:r>
          </w:p>
        </w:tc>
        <w:tc>
          <w:tcPr>
            <w:tcW w:w="851" w:type="dxa"/>
            <w:shd w:val="clear" w:color="auto" w:fill="D6E3BC" w:themeFill="accent3" w:themeFillTint="66"/>
            <w:vAlign w:val="center"/>
            <w:hideMark/>
          </w:tcPr>
          <w:p w14:paraId="6B093A3B"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0.74 dBA</w:t>
            </w:r>
          </w:p>
        </w:tc>
        <w:tc>
          <w:tcPr>
            <w:tcW w:w="851" w:type="dxa"/>
            <w:shd w:val="clear" w:color="auto" w:fill="D6E3BC" w:themeFill="accent3" w:themeFillTint="66"/>
            <w:vAlign w:val="center"/>
            <w:hideMark/>
          </w:tcPr>
          <w:p w14:paraId="5C0BCCB6"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1.29 dBA</w:t>
            </w:r>
          </w:p>
        </w:tc>
        <w:tc>
          <w:tcPr>
            <w:tcW w:w="851" w:type="dxa"/>
            <w:shd w:val="clear" w:color="auto" w:fill="D6E3BC" w:themeFill="accent3" w:themeFillTint="66"/>
            <w:vAlign w:val="center"/>
            <w:hideMark/>
          </w:tcPr>
          <w:p w14:paraId="4BB955E2"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1.11 dBA</w:t>
            </w:r>
          </w:p>
        </w:tc>
        <w:tc>
          <w:tcPr>
            <w:tcW w:w="1942" w:type="dxa"/>
            <w:vAlign w:val="center"/>
            <w:hideMark/>
          </w:tcPr>
          <w:p w14:paraId="20208AEE"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 xml:space="preserve">&lt;3 dBA </w:t>
            </w:r>
            <w:sdt>
              <w:sdtPr>
                <w:rPr>
                  <w:rFonts w:asciiTheme="majorHAnsi" w:eastAsia="Times New Roman" w:hAnsiTheme="majorHAnsi" w:cstheme="majorHAnsi"/>
                  <w:sz w:val="16"/>
                  <w:szCs w:val="16"/>
                  <w:lang w:val="en-US" w:eastAsia="ko-KR"/>
                </w:rPr>
                <w:id w:val="2110930683"/>
                <w:citation/>
              </w:sdtPr>
              <w:sdtContent>
                <w:r w:rsidRPr="00A54554">
                  <w:rPr>
                    <w:rFonts w:asciiTheme="majorHAnsi" w:eastAsia="Times New Roman" w:hAnsiTheme="majorHAnsi" w:cstheme="majorHAnsi"/>
                    <w:sz w:val="16"/>
                    <w:szCs w:val="16"/>
                    <w:lang w:val="en-US" w:eastAsia="ko-KR"/>
                  </w:rPr>
                  <w:fldChar w:fldCharType="begin"/>
                </w:r>
                <w:r w:rsidRPr="00A54554">
                  <w:rPr>
                    <w:rFonts w:asciiTheme="majorHAnsi" w:eastAsia="Times New Roman" w:hAnsiTheme="majorHAnsi" w:cstheme="majorHAnsi"/>
                    <w:sz w:val="16"/>
                    <w:szCs w:val="16"/>
                    <w:lang w:eastAsia="ko-KR"/>
                  </w:rPr>
                  <w:instrText xml:space="preserve"> CITATION Aki16 \l 14345 </w:instrText>
                </w:r>
                <w:r w:rsidRPr="00A54554">
                  <w:rPr>
                    <w:rFonts w:asciiTheme="majorHAnsi" w:eastAsia="Times New Roman" w:hAnsiTheme="majorHAnsi" w:cstheme="majorHAnsi"/>
                    <w:sz w:val="16"/>
                    <w:szCs w:val="16"/>
                    <w:lang w:val="en-US" w:eastAsia="ko-KR"/>
                  </w:rPr>
                  <w:fldChar w:fldCharType="separate"/>
                </w:r>
                <w:r w:rsidRPr="00A54554">
                  <w:rPr>
                    <w:rFonts w:asciiTheme="majorHAnsi" w:eastAsia="Times New Roman" w:hAnsiTheme="majorHAnsi" w:cstheme="majorHAnsi"/>
                    <w:sz w:val="16"/>
                    <w:szCs w:val="16"/>
                    <w:lang w:eastAsia="ko-KR"/>
                  </w:rPr>
                  <w:t>[32]</w:t>
                </w:r>
                <w:r w:rsidRPr="00A54554">
                  <w:rPr>
                    <w:rFonts w:asciiTheme="majorHAnsi" w:eastAsia="Times New Roman" w:hAnsiTheme="majorHAnsi" w:cstheme="majorHAnsi"/>
                    <w:sz w:val="16"/>
                    <w:szCs w:val="16"/>
                    <w:lang w:eastAsia="ko-KR"/>
                  </w:rPr>
                  <w:fldChar w:fldCharType="end"/>
                </w:r>
              </w:sdtContent>
            </w:sdt>
          </w:p>
        </w:tc>
      </w:tr>
      <w:tr w:rsidR="00A54554" w:rsidRPr="00A54554" w14:paraId="48DBC78E" w14:textId="77777777" w:rsidTr="00426E0F">
        <w:trPr>
          <w:jc w:val="center"/>
        </w:trPr>
        <w:tc>
          <w:tcPr>
            <w:tcW w:w="1577" w:type="dxa"/>
            <w:vAlign w:val="center"/>
            <w:hideMark/>
          </w:tcPr>
          <w:p w14:paraId="63B6358A"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SPL standard deviation coverage vertically</w:t>
            </w:r>
          </w:p>
          <w:p w14:paraId="6030EA63"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(dBA)</w:t>
            </w:r>
          </w:p>
        </w:tc>
        <w:tc>
          <w:tcPr>
            <w:tcW w:w="2553" w:type="dxa"/>
            <w:gridSpan w:val="3"/>
            <w:shd w:val="clear" w:color="auto" w:fill="E5B8B7" w:themeFill="accent2" w:themeFillTint="66"/>
            <w:vAlign w:val="center"/>
            <w:hideMark/>
          </w:tcPr>
          <w:p w14:paraId="4F9CD073"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8.68 dBA</w:t>
            </w:r>
          </w:p>
        </w:tc>
        <w:tc>
          <w:tcPr>
            <w:tcW w:w="2553" w:type="dxa"/>
            <w:gridSpan w:val="3"/>
            <w:shd w:val="clear" w:color="auto" w:fill="E5B8B7" w:themeFill="accent2" w:themeFillTint="66"/>
            <w:vAlign w:val="center"/>
            <w:hideMark/>
          </w:tcPr>
          <w:p w14:paraId="4DF5A89D"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6.30 DBA</w:t>
            </w:r>
          </w:p>
        </w:tc>
        <w:tc>
          <w:tcPr>
            <w:tcW w:w="1942" w:type="dxa"/>
            <w:vAlign w:val="center"/>
            <w:hideMark/>
          </w:tcPr>
          <w:p w14:paraId="64526AE5"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 xml:space="preserve">&lt;3 dBA </w:t>
            </w:r>
            <w:sdt>
              <w:sdtPr>
                <w:rPr>
                  <w:rFonts w:asciiTheme="majorHAnsi" w:eastAsia="Times New Roman" w:hAnsiTheme="majorHAnsi" w:cstheme="majorHAnsi"/>
                  <w:sz w:val="16"/>
                  <w:szCs w:val="16"/>
                  <w:lang w:val="en-US" w:eastAsia="ko-KR"/>
                </w:rPr>
                <w:id w:val="-259298254"/>
                <w:citation/>
              </w:sdtPr>
              <w:sdtContent>
                <w:r w:rsidRPr="00A54554">
                  <w:rPr>
                    <w:rFonts w:asciiTheme="majorHAnsi" w:eastAsia="Times New Roman" w:hAnsiTheme="majorHAnsi" w:cstheme="majorHAnsi"/>
                    <w:sz w:val="16"/>
                    <w:szCs w:val="16"/>
                    <w:lang w:val="en-US" w:eastAsia="ko-KR"/>
                  </w:rPr>
                  <w:fldChar w:fldCharType="begin"/>
                </w:r>
                <w:r w:rsidRPr="00A54554">
                  <w:rPr>
                    <w:rFonts w:asciiTheme="majorHAnsi" w:eastAsia="Times New Roman" w:hAnsiTheme="majorHAnsi" w:cstheme="majorHAnsi"/>
                    <w:sz w:val="16"/>
                    <w:szCs w:val="16"/>
                    <w:lang w:eastAsia="ko-KR"/>
                  </w:rPr>
                  <w:instrText xml:space="preserve"> CITATION Aki16 \l 14345 </w:instrText>
                </w:r>
                <w:r w:rsidRPr="00A54554">
                  <w:rPr>
                    <w:rFonts w:asciiTheme="majorHAnsi" w:eastAsia="Times New Roman" w:hAnsiTheme="majorHAnsi" w:cstheme="majorHAnsi"/>
                    <w:sz w:val="16"/>
                    <w:szCs w:val="16"/>
                    <w:lang w:val="en-US" w:eastAsia="ko-KR"/>
                  </w:rPr>
                  <w:fldChar w:fldCharType="separate"/>
                </w:r>
                <w:r w:rsidRPr="00A54554">
                  <w:rPr>
                    <w:rFonts w:asciiTheme="majorHAnsi" w:eastAsia="Times New Roman" w:hAnsiTheme="majorHAnsi" w:cstheme="majorHAnsi"/>
                    <w:sz w:val="16"/>
                    <w:szCs w:val="16"/>
                    <w:lang w:eastAsia="ko-KR"/>
                  </w:rPr>
                  <w:t>[32]</w:t>
                </w:r>
                <w:r w:rsidRPr="00A54554">
                  <w:rPr>
                    <w:rFonts w:asciiTheme="majorHAnsi" w:eastAsia="Times New Roman" w:hAnsiTheme="majorHAnsi" w:cstheme="majorHAnsi"/>
                    <w:sz w:val="16"/>
                    <w:szCs w:val="16"/>
                    <w:lang w:eastAsia="ko-KR"/>
                  </w:rPr>
                  <w:fldChar w:fldCharType="end"/>
                </w:r>
              </w:sdtContent>
            </w:sdt>
          </w:p>
        </w:tc>
      </w:tr>
      <w:tr w:rsidR="00A54554" w:rsidRPr="00A54554" w14:paraId="2C4CB295" w14:textId="77777777" w:rsidTr="00426E0F">
        <w:trPr>
          <w:jc w:val="center"/>
        </w:trPr>
        <w:tc>
          <w:tcPr>
            <w:tcW w:w="1577" w:type="dxa"/>
            <w:vAlign w:val="center"/>
            <w:hideMark/>
          </w:tcPr>
          <w:p w14:paraId="32836FCC"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RT Average</w:t>
            </w:r>
          </w:p>
          <w:p w14:paraId="7764BD72"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(seconds)</w:t>
            </w:r>
          </w:p>
        </w:tc>
        <w:tc>
          <w:tcPr>
            <w:tcW w:w="851" w:type="dxa"/>
            <w:shd w:val="clear" w:color="auto" w:fill="D6E3BC" w:themeFill="accent3" w:themeFillTint="66"/>
            <w:vAlign w:val="center"/>
            <w:hideMark/>
          </w:tcPr>
          <w:p w14:paraId="6EC4C488"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0.180 s</w:t>
            </w:r>
          </w:p>
        </w:tc>
        <w:tc>
          <w:tcPr>
            <w:tcW w:w="851" w:type="dxa"/>
            <w:shd w:val="clear" w:color="auto" w:fill="D6E3BC" w:themeFill="accent3" w:themeFillTint="66"/>
            <w:vAlign w:val="center"/>
            <w:hideMark/>
          </w:tcPr>
          <w:p w14:paraId="0DB49B02"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0.143 s</w:t>
            </w:r>
          </w:p>
        </w:tc>
        <w:tc>
          <w:tcPr>
            <w:tcW w:w="851" w:type="dxa"/>
            <w:shd w:val="clear" w:color="auto" w:fill="D6E3BC" w:themeFill="accent3" w:themeFillTint="66"/>
            <w:vAlign w:val="center"/>
            <w:hideMark/>
          </w:tcPr>
          <w:p w14:paraId="64AB4A1B"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0.110 s</w:t>
            </w:r>
          </w:p>
        </w:tc>
        <w:tc>
          <w:tcPr>
            <w:tcW w:w="851" w:type="dxa"/>
            <w:shd w:val="clear" w:color="auto" w:fill="D6E3BC" w:themeFill="accent3" w:themeFillTint="66"/>
            <w:vAlign w:val="center"/>
            <w:hideMark/>
          </w:tcPr>
          <w:p w14:paraId="1A46D85C"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0.355 s</w:t>
            </w:r>
          </w:p>
        </w:tc>
        <w:tc>
          <w:tcPr>
            <w:tcW w:w="851" w:type="dxa"/>
            <w:shd w:val="clear" w:color="auto" w:fill="D6E3BC" w:themeFill="accent3" w:themeFillTint="66"/>
            <w:vAlign w:val="center"/>
            <w:hideMark/>
          </w:tcPr>
          <w:p w14:paraId="2AE70023"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0.233 s</w:t>
            </w:r>
          </w:p>
        </w:tc>
        <w:tc>
          <w:tcPr>
            <w:tcW w:w="851" w:type="dxa"/>
            <w:shd w:val="clear" w:color="auto" w:fill="D6E3BC" w:themeFill="accent3" w:themeFillTint="66"/>
            <w:vAlign w:val="center"/>
            <w:hideMark/>
          </w:tcPr>
          <w:p w14:paraId="7AFD19D3"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0.150 s</w:t>
            </w:r>
          </w:p>
        </w:tc>
        <w:tc>
          <w:tcPr>
            <w:tcW w:w="1942" w:type="dxa"/>
            <w:vAlign w:val="center"/>
            <w:hideMark/>
          </w:tcPr>
          <w:p w14:paraId="5AD4AF0F"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 xml:space="preserve">2.1 seconds </w:t>
            </w:r>
            <w:sdt>
              <w:sdtPr>
                <w:rPr>
                  <w:rFonts w:asciiTheme="majorHAnsi" w:eastAsia="Times New Roman" w:hAnsiTheme="majorHAnsi" w:cstheme="majorHAnsi"/>
                  <w:sz w:val="16"/>
                  <w:szCs w:val="16"/>
                  <w:lang w:val="en-US" w:eastAsia="ko-KR"/>
                </w:rPr>
                <w:id w:val="1198279844"/>
                <w:citation/>
              </w:sdtPr>
              <w:sdtContent>
                <w:r w:rsidRPr="00A54554">
                  <w:rPr>
                    <w:rFonts w:asciiTheme="majorHAnsi" w:eastAsia="Times New Roman" w:hAnsiTheme="majorHAnsi" w:cstheme="majorHAnsi"/>
                    <w:sz w:val="16"/>
                    <w:szCs w:val="16"/>
                    <w:lang w:val="en-US" w:eastAsia="ko-KR"/>
                  </w:rPr>
                  <w:fldChar w:fldCharType="begin"/>
                </w:r>
                <w:r w:rsidRPr="00A54554">
                  <w:rPr>
                    <w:rFonts w:asciiTheme="majorHAnsi" w:eastAsia="Times New Roman" w:hAnsiTheme="majorHAnsi" w:cstheme="majorHAnsi"/>
                    <w:sz w:val="16"/>
                    <w:szCs w:val="16"/>
                    <w:lang w:eastAsia="ko-KR"/>
                  </w:rPr>
                  <w:instrText xml:space="preserve"> CITATION Mos13 \l 14345 </w:instrText>
                </w:r>
                <w:r w:rsidRPr="00A54554">
                  <w:rPr>
                    <w:rFonts w:asciiTheme="majorHAnsi" w:eastAsia="Times New Roman" w:hAnsiTheme="majorHAnsi" w:cstheme="majorHAnsi"/>
                    <w:sz w:val="16"/>
                    <w:szCs w:val="16"/>
                    <w:lang w:val="en-US" w:eastAsia="ko-KR"/>
                  </w:rPr>
                  <w:fldChar w:fldCharType="separate"/>
                </w:r>
                <w:r w:rsidRPr="00A54554">
                  <w:rPr>
                    <w:rFonts w:asciiTheme="majorHAnsi" w:eastAsia="Times New Roman" w:hAnsiTheme="majorHAnsi" w:cstheme="majorHAnsi"/>
                    <w:sz w:val="16"/>
                    <w:szCs w:val="16"/>
                    <w:lang w:eastAsia="ko-KR"/>
                  </w:rPr>
                  <w:t>[19]</w:t>
                </w:r>
                <w:r w:rsidRPr="00A54554">
                  <w:rPr>
                    <w:rFonts w:asciiTheme="majorHAnsi" w:eastAsia="Times New Roman" w:hAnsiTheme="majorHAnsi" w:cstheme="majorHAnsi"/>
                    <w:sz w:val="16"/>
                    <w:szCs w:val="16"/>
                    <w:lang w:eastAsia="ko-KR"/>
                  </w:rPr>
                  <w:fldChar w:fldCharType="end"/>
                </w:r>
              </w:sdtContent>
            </w:sdt>
          </w:p>
        </w:tc>
      </w:tr>
      <w:tr w:rsidR="00A54554" w:rsidRPr="00A54554" w14:paraId="6BAB1671" w14:textId="77777777" w:rsidTr="00426E0F">
        <w:trPr>
          <w:jc w:val="center"/>
        </w:trPr>
        <w:tc>
          <w:tcPr>
            <w:tcW w:w="1577" w:type="dxa"/>
            <w:tcBorders>
              <w:bottom w:val="single" w:sz="4" w:space="0" w:color="auto"/>
            </w:tcBorders>
            <w:vAlign w:val="center"/>
            <w:hideMark/>
          </w:tcPr>
          <w:p w14:paraId="156BD9B2" w14:textId="77777777" w:rsidR="00A54554" w:rsidRPr="00A54554" w:rsidRDefault="00A54554" w:rsidP="00A54554">
            <w:pPr>
              <w:ind w:left="22"/>
              <w:jc w:val="both"/>
              <w:rPr>
                <w:rFonts w:asciiTheme="majorHAnsi" w:eastAsia="Times New Roman" w:hAnsiTheme="majorHAnsi" w:cstheme="majorHAnsi"/>
                <w:b/>
                <w:bCs/>
                <w:sz w:val="16"/>
                <w:szCs w:val="16"/>
                <w:lang w:val="en-US" w:eastAsia="ko-KR"/>
              </w:rPr>
            </w:pPr>
            <w:r w:rsidRPr="00A54554">
              <w:rPr>
                <w:rFonts w:asciiTheme="majorHAnsi" w:eastAsia="Times New Roman" w:hAnsiTheme="majorHAnsi" w:cstheme="majorHAnsi"/>
                <w:b/>
                <w:bCs/>
                <w:sz w:val="16"/>
                <w:szCs w:val="16"/>
                <w:lang w:val="en-US" w:eastAsia="ko-KR"/>
              </w:rPr>
              <w:t>BN</w:t>
            </w:r>
          </w:p>
          <w:p w14:paraId="658B33CA"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level)</w:t>
            </w:r>
          </w:p>
        </w:tc>
        <w:tc>
          <w:tcPr>
            <w:tcW w:w="851" w:type="dxa"/>
            <w:tcBorders>
              <w:bottom w:val="single" w:sz="4" w:space="0" w:color="auto"/>
            </w:tcBorders>
            <w:shd w:val="clear" w:color="auto" w:fill="D6E3BC" w:themeFill="accent3" w:themeFillTint="66"/>
            <w:vAlign w:val="center"/>
            <w:hideMark/>
          </w:tcPr>
          <w:p w14:paraId="284EBA14"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30</w:t>
            </w:r>
          </w:p>
        </w:tc>
        <w:tc>
          <w:tcPr>
            <w:tcW w:w="851" w:type="dxa"/>
            <w:tcBorders>
              <w:bottom w:val="single" w:sz="4" w:space="0" w:color="auto"/>
            </w:tcBorders>
            <w:shd w:val="clear" w:color="auto" w:fill="D6E3BC" w:themeFill="accent3" w:themeFillTint="66"/>
            <w:vAlign w:val="center"/>
            <w:hideMark/>
          </w:tcPr>
          <w:p w14:paraId="6F45681B"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30</w:t>
            </w:r>
          </w:p>
        </w:tc>
        <w:tc>
          <w:tcPr>
            <w:tcW w:w="851" w:type="dxa"/>
            <w:tcBorders>
              <w:bottom w:val="single" w:sz="4" w:space="0" w:color="auto"/>
            </w:tcBorders>
            <w:shd w:val="clear" w:color="auto" w:fill="D6E3BC" w:themeFill="accent3" w:themeFillTint="66"/>
            <w:vAlign w:val="center"/>
            <w:hideMark/>
          </w:tcPr>
          <w:p w14:paraId="54B7C1A7"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30</w:t>
            </w:r>
          </w:p>
        </w:tc>
        <w:tc>
          <w:tcPr>
            <w:tcW w:w="851" w:type="dxa"/>
            <w:tcBorders>
              <w:bottom w:val="single" w:sz="4" w:space="0" w:color="auto"/>
            </w:tcBorders>
            <w:shd w:val="clear" w:color="auto" w:fill="D6E3BC" w:themeFill="accent3" w:themeFillTint="66"/>
            <w:vAlign w:val="center"/>
            <w:hideMark/>
          </w:tcPr>
          <w:p w14:paraId="288D0899"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30</w:t>
            </w:r>
          </w:p>
        </w:tc>
        <w:tc>
          <w:tcPr>
            <w:tcW w:w="851" w:type="dxa"/>
            <w:tcBorders>
              <w:bottom w:val="single" w:sz="4" w:space="0" w:color="auto"/>
            </w:tcBorders>
            <w:shd w:val="clear" w:color="auto" w:fill="D6E3BC" w:themeFill="accent3" w:themeFillTint="66"/>
            <w:vAlign w:val="center"/>
            <w:hideMark/>
          </w:tcPr>
          <w:p w14:paraId="458FA2C2"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30</w:t>
            </w:r>
          </w:p>
        </w:tc>
        <w:tc>
          <w:tcPr>
            <w:tcW w:w="851" w:type="dxa"/>
            <w:tcBorders>
              <w:bottom w:val="single" w:sz="4" w:space="0" w:color="auto"/>
            </w:tcBorders>
            <w:shd w:val="clear" w:color="auto" w:fill="D6E3BC" w:themeFill="accent3" w:themeFillTint="66"/>
            <w:vAlign w:val="center"/>
            <w:hideMark/>
          </w:tcPr>
          <w:p w14:paraId="3263C9C3"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NC 30</w:t>
            </w:r>
          </w:p>
        </w:tc>
        <w:tc>
          <w:tcPr>
            <w:tcW w:w="1942" w:type="dxa"/>
            <w:tcBorders>
              <w:bottom w:val="single" w:sz="4" w:space="0" w:color="auto"/>
            </w:tcBorders>
            <w:vAlign w:val="center"/>
            <w:hideMark/>
          </w:tcPr>
          <w:p w14:paraId="39401D26" w14:textId="77777777" w:rsidR="00A54554" w:rsidRPr="00A54554" w:rsidRDefault="00A54554" w:rsidP="00A54554">
            <w:pPr>
              <w:ind w:left="22"/>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 xml:space="preserve">NC 25 to NC 30 </w:t>
            </w:r>
            <w:sdt>
              <w:sdtPr>
                <w:rPr>
                  <w:rFonts w:asciiTheme="majorHAnsi" w:eastAsia="Times New Roman" w:hAnsiTheme="majorHAnsi" w:cstheme="majorHAnsi"/>
                  <w:sz w:val="16"/>
                  <w:szCs w:val="16"/>
                  <w:lang w:val="en-US" w:eastAsia="ko-KR"/>
                </w:rPr>
                <w:id w:val="-1916702045"/>
                <w:citation/>
              </w:sdtPr>
              <w:sdtContent>
                <w:r w:rsidRPr="00A54554">
                  <w:rPr>
                    <w:rFonts w:asciiTheme="majorHAnsi" w:eastAsia="Times New Roman" w:hAnsiTheme="majorHAnsi" w:cstheme="majorHAnsi"/>
                    <w:sz w:val="16"/>
                    <w:szCs w:val="16"/>
                    <w:lang w:val="en-US" w:eastAsia="ko-KR"/>
                  </w:rPr>
                  <w:fldChar w:fldCharType="begin"/>
                </w:r>
                <w:r w:rsidRPr="00A54554">
                  <w:rPr>
                    <w:rFonts w:asciiTheme="majorHAnsi" w:eastAsia="Times New Roman" w:hAnsiTheme="majorHAnsi" w:cstheme="majorHAnsi"/>
                    <w:sz w:val="16"/>
                    <w:szCs w:val="16"/>
                    <w:lang w:eastAsia="ko-KR"/>
                  </w:rPr>
                  <w:instrText xml:space="preserve"> CITATION Abd031 \l 14345 </w:instrText>
                </w:r>
                <w:r w:rsidRPr="00A54554">
                  <w:rPr>
                    <w:rFonts w:asciiTheme="majorHAnsi" w:eastAsia="Times New Roman" w:hAnsiTheme="majorHAnsi" w:cstheme="majorHAnsi"/>
                    <w:sz w:val="16"/>
                    <w:szCs w:val="16"/>
                    <w:lang w:val="en-US" w:eastAsia="ko-KR"/>
                  </w:rPr>
                  <w:fldChar w:fldCharType="separate"/>
                </w:r>
                <w:r w:rsidRPr="00A54554">
                  <w:rPr>
                    <w:rFonts w:asciiTheme="majorHAnsi" w:eastAsia="Times New Roman" w:hAnsiTheme="majorHAnsi" w:cstheme="majorHAnsi"/>
                    <w:sz w:val="16"/>
                    <w:szCs w:val="16"/>
                    <w:lang w:eastAsia="ko-KR"/>
                  </w:rPr>
                  <w:t>[27]</w:t>
                </w:r>
                <w:r w:rsidRPr="00A54554">
                  <w:rPr>
                    <w:rFonts w:asciiTheme="majorHAnsi" w:eastAsia="Times New Roman" w:hAnsiTheme="majorHAnsi" w:cstheme="majorHAnsi"/>
                    <w:sz w:val="16"/>
                    <w:szCs w:val="16"/>
                    <w:lang w:eastAsia="ko-KR"/>
                  </w:rPr>
                  <w:fldChar w:fldCharType="end"/>
                </w:r>
              </w:sdtContent>
            </w:sdt>
          </w:p>
        </w:tc>
      </w:tr>
      <w:tr w:rsidR="00A54554" w:rsidRPr="00A54554" w14:paraId="241A80F4" w14:textId="77777777" w:rsidTr="00426E0F">
        <w:trPr>
          <w:jc w:val="center"/>
        </w:trPr>
        <w:tc>
          <w:tcPr>
            <w:tcW w:w="8625" w:type="dxa"/>
            <w:gridSpan w:val="8"/>
            <w:tcBorders>
              <w:top w:val="single" w:sz="4" w:space="0" w:color="auto"/>
            </w:tcBorders>
            <w:vAlign w:val="center"/>
            <w:hideMark/>
          </w:tcPr>
          <w:p w14:paraId="1D88CC83" w14:textId="77777777" w:rsidR="00A54554" w:rsidRPr="00A54554" w:rsidRDefault="00A54554" w:rsidP="00A54554">
            <w:pPr>
              <w:jc w:val="both"/>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val="en-US" w:eastAsia="ko-KR"/>
              </w:rPr>
              <w:t>Note: A green background in the table indicates that the value is within the recommended range, while a red background indicates that the value exceeds the recommended range.</w:t>
            </w:r>
          </w:p>
        </w:tc>
      </w:tr>
    </w:tbl>
    <w:p w14:paraId="766F245E" w14:textId="77777777" w:rsidR="00A54554" w:rsidRDefault="00A54554" w:rsidP="00A54554">
      <w:pPr>
        <w:ind w:left="283" w:firstLine="284"/>
        <w:jc w:val="both"/>
        <w:rPr>
          <w:rFonts w:asciiTheme="majorHAnsi" w:eastAsia="Times New Roman" w:hAnsiTheme="majorHAnsi" w:cstheme="majorHAnsi"/>
          <w:sz w:val="20"/>
          <w:szCs w:val="20"/>
          <w:lang w:eastAsia="ko-KR"/>
        </w:rPr>
      </w:pPr>
    </w:p>
    <w:p w14:paraId="38FDA0B7" w14:textId="77777777" w:rsidR="00426E0F" w:rsidRDefault="00426E0F" w:rsidP="00A54554">
      <w:pPr>
        <w:ind w:left="283" w:firstLine="284"/>
        <w:jc w:val="both"/>
        <w:rPr>
          <w:rFonts w:asciiTheme="majorHAnsi" w:eastAsia="Times New Roman" w:hAnsiTheme="majorHAnsi" w:cstheme="majorHAnsi"/>
          <w:sz w:val="20"/>
          <w:szCs w:val="20"/>
          <w:lang w:eastAsia="ko-KR"/>
        </w:rPr>
      </w:pPr>
    </w:p>
    <w:p w14:paraId="0BB6BFB7" w14:textId="223E83E2" w:rsidR="00A54554" w:rsidRPr="00A54554" w:rsidRDefault="00A54554" w:rsidP="00A54554">
      <w:pPr>
        <w:pStyle w:val="ListParagraph"/>
        <w:numPr>
          <w:ilvl w:val="1"/>
          <w:numId w:val="2"/>
        </w:numPr>
        <w:ind w:left="567" w:hanging="283"/>
        <w:jc w:val="both"/>
        <w:rPr>
          <w:rFonts w:asciiTheme="minorHAnsi" w:hAnsiTheme="minorHAnsi" w:cstheme="minorHAnsi"/>
          <w:b/>
          <w:bCs/>
          <w:sz w:val="18"/>
          <w:szCs w:val="18"/>
        </w:rPr>
      </w:pPr>
      <w:r w:rsidRPr="00A54554">
        <w:rPr>
          <w:rFonts w:asciiTheme="minorHAnsi" w:hAnsiTheme="minorHAnsi" w:cstheme="minorHAnsi"/>
          <w:b/>
          <w:bCs/>
          <w:sz w:val="18"/>
          <w:szCs w:val="18"/>
        </w:rPr>
        <w:lastRenderedPageBreak/>
        <w:t>BACKGROUND NOISE</w:t>
      </w:r>
    </w:p>
    <w:p w14:paraId="55FEA928"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Background noise (BN) in the case study area was primarily dominated by the frequency of 250Hz, indicating that most noise around the mosque was generated by vehicles, as vehicles typically produce low-frequency sounds </w:t>
      </w:r>
      <w:sdt>
        <w:sdtPr>
          <w:rPr>
            <w:rFonts w:asciiTheme="majorHAnsi" w:eastAsia="Times New Roman" w:hAnsiTheme="majorHAnsi" w:cstheme="majorHAnsi"/>
            <w:sz w:val="20"/>
            <w:szCs w:val="20"/>
            <w:lang w:val="en-US" w:eastAsia="ko-KR"/>
          </w:rPr>
          <w:id w:val="781692555"/>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Yan13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[33]</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According to Othman </w:t>
      </w:r>
      <w:sdt>
        <w:sdtPr>
          <w:rPr>
            <w:rFonts w:asciiTheme="majorHAnsi" w:eastAsia="Times New Roman" w:hAnsiTheme="majorHAnsi" w:cstheme="majorHAnsi"/>
            <w:sz w:val="20"/>
            <w:szCs w:val="20"/>
            <w:lang w:val="en-US" w:eastAsia="ko-KR"/>
          </w:rPr>
          <w:id w:val="-1577508188"/>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Oth16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[16]</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the background noise level has a significant impact on the comfort of worshipers. However, despite the vehicle noise, the BN levels in both models remained within the NC standard for places of worship, specifically NC 30 </w:t>
      </w:r>
      <w:sdt>
        <w:sdtPr>
          <w:rPr>
            <w:rFonts w:asciiTheme="majorHAnsi" w:eastAsia="Times New Roman" w:hAnsiTheme="majorHAnsi" w:cstheme="majorHAnsi"/>
            <w:sz w:val="20"/>
            <w:szCs w:val="20"/>
            <w:lang w:val="en-US" w:eastAsia="ko-KR"/>
          </w:rPr>
          <w:id w:val="2081087709"/>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Lon06 \l 14345  \m Abd031</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[23, 27]</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This low level of BN also resulted in a high signal-to-noise ratio (SNR) within the mosque. SNR measures the ratio between the desired main sound and interfering noise, and a higher SNR signifies better sound quality </w:t>
      </w:r>
      <w:sdt>
        <w:sdtPr>
          <w:rPr>
            <w:rFonts w:asciiTheme="majorHAnsi" w:eastAsia="Times New Roman" w:hAnsiTheme="majorHAnsi" w:cstheme="majorHAnsi"/>
            <w:sz w:val="20"/>
            <w:szCs w:val="20"/>
            <w:lang w:val="en-US" w:eastAsia="ko-KR"/>
          </w:rPr>
          <w:id w:val="1985045482"/>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Lau14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[34]</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In simpler terms, lower BN contributed to improved sound quality inside the mosque.</w:t>
      </w:r>
    </w:p>
    <w:p w14:paraId="25AC4145"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The low BN levels in the case study area were attributed to external and internal factors. Externally, the distance from the mosque to the roads and the surrounding vegetation were two potential factors that could impact BN levels </w:t>
      </w:r>
      <w:sdt>
        <w:sdtPr>
          <w:rPr>
            <w:rFonts w:asciiTheme="majorHAnsi" w:eastAsia="Times New Roman" w:hAnsiTheme="majorHAnsi" w:cstheme="majorHAnsi"/>
            <w:sz w:val="20"/>
            <w:szCs w:val="20"/>
            <w:lang w:val="en-US" w:eastAsia="ko-KR"/>
          </w:rPr>
          <w:id w:val="-1811167801"/>
          <w:citation/>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eastAsia="ko-KR"/>
            </w:rPr>
            <w:instrText xml:space="preserve"> CITATION Wid70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eastAsia="ko-KR"/>
            </w:rPr>
            <w:t>[35]</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In addition to being relatively far from the road area, a significant amount of vegetation separates the sound sources from the Masjid UI area. Previous studies show that vegetation can reduce BN levels </w:t>
      </w:r>
      <w:sdt>
        <w:sdtPr>
          <w:rPr>
            <w:rFonts w:asciiTheme="majorHAnsi" w:eastAsia="Times New Roman" w:hAnsiTheme="majorHAnsi" w:cstheme="majorHAnsi"/>
            <w:sz w:val="20"/>
            <w:szCs w:val="20"/>
            <w:lang w:val="en-US" w:eastAsia="ko-KR"/>
          </w:rPr>
          <w:id w:val="-699627568"/>
          <w:citation/>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eastAsia="ko-KR"/>
            </w:rPr>
            <w:instrText xml:space="preserve"> CITATION Wid70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eastAsia="ko-KR"/>
            </w:rPr>
            <w:t>[35]</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According to Ow </w:t>
      </w:r>
      <w:sdt>
        <w:sdtPr>
          <w:rPr>
            <w:rFonts w:asciiTheme="majorHAnsi" w:eastAsia="Times New Roman" w:hAnsiTheme="majorHAnsi" w:cstheme="majorHAnsi"/>
            <w:sz w:val="20"/>
            <w:szCs w:val="20"/>
            <w:lang w:val="en-US" w:eastAsia="ko-KR"/>
          </w:rPr>
          <w:id w:val="242604354"/>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CITATION OwL17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[36]</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vegetation with a depth of 5 meters may reduce BN by 9-11 </w:t>
      </w:r>
      <w:proofErr w:type="spellStart"/>
      <w:r w:rsidRPr="00A54554">
        <w:rPr>
          <w:rFonts w:asciiTheme="majorHAnsi" w:eastAsia="Times New Roman" w:hAnsiTheme="majorHAnsi" w:cstheme="majorHAnsi"/>
          <w:sz w:val="20"/>
          <w:szCs w:val="20"/>
          <w:lang w:val="en-US" w:eastAsia="ko-KR"/>
        </w:rPr>
        <w:t>dB.</w:t>
      </w:r>
      <w:proofErr w:type="spellEnd"/>
      <w:r w:rsidRPr="00A54554">
        <w:rPr>
          <w:rFonts w:asciiTheme="majorHAnsi" w:eastAsia="Times New Roman" w:hAnsiTheme="majorHAnsi" w:cstheme="majorHAnsi"/>
          <w:sz w:val="20"/>
          <w:szCs w:val="20"/>
          <w:lang w:val="en-US" w:eastAsia="ko-KR"/>
        </w:rPr>
        <w:t xml:space="preserve"> Although not by a significant margin, these two factors could contribute to the reduction of BN levels in the mosque.</w:t>
      </w:r>
    </w:p>
    <w:p w14:paraId="5C50B075"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Internally, the material of the mosque's corridor walls influenced the BN levels. The corridor walls of Masjid UI are entirely made of red bricks. Granzotto </w:t>
      </w:r>
      <w:sdt>
        <w:sdtPr>
          <w:rPr>
            <w:rFonts w:asciiTheme="majorHAnsi" w:eastAsia="Times New Roman" w:hAnsiTheme="majorHAnsi" w:cstheme="majorHAnsi"/>
            <w:sz w:val="20"/>
            <w:szCs w:val="20"/>
            <w:lang w:val="en-US" w:eastAsia="ko-KR"/>
          </w:rPr>
          <w:id w:val="-709720435"/>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Gra20 \l 1033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[37]</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found that red brick walls can reduce sound intensity by 40-45 dB for low-frequency sound, such as vehicle noise, which is the primary noise source around the mosque. Utilizing red brick walls means the case study object had a significant BN reduction factor. The combined BN reduction resulting from both external and internal conditions in the mosque led to low BN levels, which had minimal impact on its acoustic conditions.</w:t>
      </w:r>
    </w:p>
    <w:p w14:paraId="1E8E61C8" w14:textId="77777777" w:rsidR="00A54554" w:rsidRPr="00A54554" w:rsidRDefault="00A54554" w:rsidP="00A54554">
      <w:pPr>
        <w:ind w:left="283" w:firstLine="284"/>
        <w:jc w:val="both"/>
        <w:rPr>
          <w:rFonts w:asciiTheme="majorHAnsi" w:eastAsia="Times New Roman" w:hAnsiTheme="majorHAnsi" w:cstheme="majorHAnsi"/>
          <w:b/>
          <w:iCs/>
          <w:sz w:val="20"/>
          <w:szCs w:val="20"/>
          <w:lang w:val="en-US" w:eastAsia="ko-KR"/>
        </w:rPr>
      </w:pPr>
    </w:p>
    <w:p w14:paraId="5749F100" w14:textId="77777777" w:rsidR="00A54554" w:rsidRPr="00A54554" w:rsidRDefault="00A54554" w:rsidP="00A54554">
      <w:pPr>
        <w:ind w:left="283" w:firstLine="1"/>
        <w:jc w:val="both"/>
        <w:rPr>
          <w:rFonts w:asciiTheme="minorHAnsi" w:eastAsia="Times New Roman" w:hAnsiTheme="minorHAnsi" w:cstheme="minorHAnsi"/>
          <w:b/>
          <w:sz w:val="18"/>
          <w:szCs w:val="18"/>
          <w:lang w:val="en-US" w:eastAsia="ko-KR"/>
        </w:rPr>
      </w:pPr>
      <w:r w:rsidRPr="00A54554">
        <w:rPr>
          <w:rFonts w:asciiTheme="minorHAnsi" w:eastAsia="Times New Roman" w:hAnsiTheme="minorHAnsi" w:cstheme="minorHAnsi"/>
          <w:b/>
          <w:sz w:val="18"/>
          <w:szCs w:val="18"/>
          <w:lang w:val="en-US" w:eastAsia="ko-KR"/>
        </w:rPr>
        <w:t>D. SOUND PRESSURE LEVEL</w:t>
      </w:r>
    </w:p>
    <w:p w14:paraId="4AAF6172"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With a standard deviation of SPL distribution horizontally below 3 dBA, both case study models, serving as places of worship, exhibit excellent sound coverage </w:t>
      </w:r>
      <w:sdt>
        <w:sdtPr>
          <w:rPr>
            <w:rFonts w:asciiTheme="majorHAnsi" w:eastAsia="Times New Roman" w:hAnsiTheme="majorHAnsi" w:cstheme="majorHAnsi"/>
            <w:sz w:val="20"/>
            <w:szCs w:val="20"/>
            <w:lang w:val="en-US" w:eastAsia="ko-KR"/>
          </w:rPr>
          <w:id w:val="1214378712"/>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Lon06 \l 14345  \m Aki16</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[23, 32]</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One aspect to note is that the vertical SPL distribution exceeding the standard should not be a concern, as there are no worshippers on the upper levels of the mosque, given that the mosque is only two stories high. A key factor contributing to this excellent sound coverage is the fact that the loudspeakers are positioned close to the worshippers and evenly distributed throughout the mosque, thereby enhancing the signal-to-noise ratio (SNR) </w:t>
      </w:r>
      <w:sdt>
        <w:sdtPr>
          <w:rPr>
            <w:rFonts w:asciiTheme="majorHAnsi" w:eastAsia="Times New Roman" w:hAnsiTheme="majorHAnsi" w:cstheme="majorHAnsi"/>
            <w:sz w:val="20"/>
            <w:szCs w:val="20"/>
            <w:lang w:val="en-US" w:eastAsia="ko-KR"/>
          </w:rPr>
          <w:id w:val="-1665387144"/>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Lon06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[23]</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Furthermore, the mosque's geometry features a square floor plan, which is an optimal shape for creating uniform sound distribution </w:t>
      </w:r>
      <w:sdt>
        <w:sdtPr>
          <w:rPr>
            <w:rFonts w:asciiTheme="majorHAnsi" w:eastAsia="Times New Roman" w:hAnsiTheme="majorHAnsi" w:cstheme="majorHAnsi"/>
            <w:sz w:val="20"/>
            <w:szCs w:val="20"/>
            <w:lang w:val="en-US" w:eastAsia="ko-KR"/>
          </w:rPr>
          <w:id w:val="-203405301"/>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Abd03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[18]</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With good sound coverage, it means that the case study mosque has fulfilled one of the expected qualities for the comfort of worshippers </w:t>
      </w:r>
      <w:sdt>
        <w:sdtPr>
          <w:rPr>
            <w:rFonts w:asciiTheme="majorHAnsi" w:eastAsia="Times New Roman" w:hAnsiTheme="majorHAnsi" w:cstheme="majorHAnsi"/>
            <w:sz w:val="20"/>
            <w:szCs w:val="20"/>
            <w:lang w:val="en-US" w:eastAsia="ko-KR"/>
          </w:rPr>
          <w:id w:val="816387945"/>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Oth16 \l 14345  \m Lon06</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[16, 23]</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w:t>
      </w:r>
    </w:p>
    <w:p w14:paraId="1D9CAC2C" w14:textId="77777777" w:rsid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Additionally, the use of reflective materials and the enclosed condition of the space result in model MUI-B having a higher SPL than model MUI-A </w:t>
      </w:r>
      <w:sdt>
        <w:sdtPr>
          <w:rPr>
            <w:rFonts w:asciiTheme="majorHAnsi" w:eastAsia="Times New Roman" w:hAnsiTheme="majorHAnsi" w:cstheme="majorHAnsi"/>
            <w:sz w:val="20"/>
            <w:szCs w:val="20"/>
            <w:lang w:val="en-US" w:eastAsia="ko-KR"/>
          </w:rPr>
          <w:id w:val="-1767680026"/>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How17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[17]</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However, the difference is insignificant due to the good sound coverage, with all models and scenarios exhibiting below 1.5 dBA of SPL standard deviation (see Table 4). Furthermore, room occupancy has a significant impact on the intensity and distribution pattern of SPL. </w:t>
      </w:r>
      <w:proofErr w:type="spellStart"/>
      <w:r w:rsidRPr="00A54554">
        <w:rPr>
          <w:rFonts w:asciiTheme="majorHAnsi" w:eastAsia="Times New Roman" w:hAnsiTheme="majorHAnsi" w:cstheme="majorHAnsi"/>
          <w:sz w:val="20"/>
          <w:szCs w:val="20"/>
          <w:lang w:val="en-US" w:eastAsia="ko-KR"/>
        </w:rPr>
        <w:t>Elkhateeb</w:t>
      </w:r>
      <w:proofErr w:type="spellEnd"/>
      <w:r w:rsidRPr="00A54554">
        <w:rPr>
          <w:rFonts w:asciiTheme="majorHAnsi" w:eastAsia="Times New Roman" w:hAnsiTheme="majorHAnsi" w:cstheme="majorHAnsi"/>
          <w:sz w:val="20"/>
          <w:szCs w:val="20"/>
          <w:lang w:val="en-US" w:eastAsia="ko-KR"/>
        </w:rPr>
        <w:t xml:space="preserve"> </w:t>
      </w:r>
      <w:sdt>
        <w:sdtPr>
          <w:rPr>
            <w:rFonts w:asciiTheme="majorHAnsi" w:eastAsia="Times New Roman" w:hAnsiTheme="majorHAnsi" w:cstheme="majorHAnsi"/>
            <w:sz w:val="20"/>
            <w:szCs w:val="20"/>
            <w:lang w:val="en-US" w:eastAsia="ko-KR"/>
          </w:rPr>
          <w:id w:val="-1729909601"/>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Elk15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[38]</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explains that the density of worshippers during prayer is 0.8 m² per worshipper, with a distance of 1.2m between rows. Humans are strong sound absorbers in all positions of prayer, with absorption coefficients ranging from 0.54 to 0.7 at mid-frequency when worshiping on a carpet </w:t>
      </w:r>
      <w:sdt>
        <w:sdtPr>
          <w:rPr>
            <w:rFonts w:asciiTheme="majorHAnsi" w:eastAsia="Times New Roman" w:hAnsiTheme="majorHAnsi" w:cstheme="majorHAnsi"/>
            <w:sz w:val="20"/>
            <w:szCs w:val="20"/>
            <w:lang w:val="en-US" w:eastAsia="ko-KR"/>
          </w:rPr>
          <w:id w:val="-1139330565"/>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Mos21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[39]</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This means that when prayer occurs in a full scenario, the sound intensity is slightly lower than in the half-full scenario due to the sound being absorbed by more worshippers </w:t>
      </w:r>
      <w:sdt>
        <w:sdtPr>
          <w:rPr>
            <w:rFonts w:asciiTheme="majorHAnsi" w:eastAsia="Times New Roman" w:hAnsiTheme="majorHAnsi" w:cstheme="majorHAnsi"/>
            <w:sz w:val="20"/>
            <w:szCs w:val="20"/>
            <w:lang w:val="en-US" w:eastAsia="ko-KR"/>
          </w:rPr>
          <w:id w:val="1406722564"/>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CITATION Elk15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[38]</w:t>
          </w:r>
          <w:r w:rsidRPr="00A54554">
            <w:rPr>
              <w:rFonts w:asciiTheme="majorHAnsi" w:eastAsia="Times New Roman" w:hAnsiTheme="majorHAnsi" w:cstheme="majorHAnsi"/>
              <w:sz w:val="20"/>
              <w:szCs w:val="20"/>
              <w:lang w:eastAsia="ko-KR"/>
            </w:rPr>
            <w:fldChar w:fldCharType="end"/>
          </w:r>
        </w:sdtContent>
      </w:sdt>
    </w:p>
    <w:p w14:paraId="1021AA6F" w14:textId="77777777" w:rsidR="00A54554" w:rsidRDefault="00A54554" w:rsidP="00A54554">
      <w:pPr>
        <w:ind w:left="283" w:firstLine="284"/>
        <w:jc w:val="both"/>
        <w:rPr>
          <w:rFonts w:asciiTheme="majorHAnsi" w:eastAsia="Times New Roman" w:hAnsiTheme="majorHAnsi" w:cstheme="majorHAnsi"/>
          <w:sz w:val="20"/>
          <w:szCs w:val="20"/>
          <w:lang w:val="en-US" w:eastAsia="ko-KR"/>
        </w:rPr>
      </w:pPr>
    </w:p>
    <w:p w14:paraId="21A10FF6" w14:textId="77777777" w:rsidR="00A54554" w:rsidRPr="00A54554" w:rsidRDefault="00A54554" w:rsidP="00A54554">
      <w:pPr>
        <w:numPr>
          <w:ilvl w:val="0"/>
          <w:numId w:val="5"/>
        </w:numPr>
        <w:ind w:left="567" w:hanging="283"/>
        <w:jc w:val="both"/>
        <w:rPr>
          <w:rFonts w:asciiTheme="minorHAnsi" w:eastAsia="Times New Roman" w:hAnsiTheme="minorHAnsi" w:cstheme="minorHAnsi"/>
          <w:b/>
          <w:sz w:val="18"/>
          <w:szCs w:val="18"/>
          <w:lang w:val="en-US" w:eastAsia="ko-KR"/>
        </w:rPr>
      </w:pPr>
      <w:r w:rsidRPr="00A54554">
        <w:rPr>
          <w:rFonts w:asciiTheme="minorHAnsi" w:eastAsia="Times New Roman" w:hAnsiTheme="minorHAnsi" w:cstheme="minorHAnsi"/>
          <w:b/>
          <w:sz w:val="18"/>
          <w:szCs w:val="18"/>
          <w:lang w:val="en-US" w:eastAsia="ko-KR"/>
        </w:rPr>
        <w:t>REVERBERATION TIME</w:t>
      </w:r>
    </w:p>
    <w:p w14:paraId="3AEE2543"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Reverberation time (RT) at a frequency of 250 Hz varies in each scenario compared to other frequencies. This is because the materials' average absorption coefficient values at a frequency of 250 Hz are low. Hence, the materials do not absorb sound effectively at this frequency</w:t>
      </w:r>
      <w:sdt>
        <w:sdtPr>
          <w:rPr>
            <w:rFonts w:asciiTheme="majorHAnsi" w:eastAsia="Times New Roman" w:hAnsiTheme="majorHAnsi" w:cstheme="majorHAnsi"/>
            <w:sz w:val="20"/>
            <w:szCs w:val="20"/>
            <w:lang w:val="en-US" w:eastAsia="ko-KR"/>
          </w:rPr>
          <w:id w:val="-1170562609"/>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Mos13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 xml:space="preserve"> [19]</w:t>
          </w:r>
          <w:r w:rsidRPr="00A54554">
            <w:rPr>
              <w:rFonts w:asciiTheme="majorHAnsi" w:eastAsia="Times New Roman" w:hAnsiTheme="majorHAnsi" w:cstheme="majorHAnsi"/>
              <w:sz w:val="20"/>
              <w:szCs w:val="20"/>
              <w:lang w:val="en-US" w:eastAsia="ko-KR"/>
            </w:rPr>
            <w:fldChar w:fldCharType="end"/>
          </w:r>
        </w:sdtContent>
      </w:sdt>
      <w:r w:rsidRPr="00A54554">
        <w:rPr>
          <w:rFonts w:asciiTheme="majorHAnsi" w:eastAsia="Times New Roman" w:hAnsiTheme="majorHAnsi" w:cstheme="majorHAnsi"/>
          <w:sz w:val="20"/>
          <w:szCs w:val="20"/>
          <w:lang w:val="en-US" w:eastAsia="ko-KR"/>
        </w:rPr>
        <w:t xml:space="preserve">. As a result, sound tends to reflect around the room impacting reverberation during worship. Male voices, such as those of the imam and preacher in the mosque, typically have low-frequency components in the 90-200 Hz </w:t>
      </w:r>
      <w:sdt>
        <w:sdtPr>
          <w:rPr>
            <w:rFonts w:asciiTheme="majorHAnsi" w:eastAsia="Times New Roman" w:hAnsiTheme="majorHAnsi" w:cstheme="majorHAnsi"/>
            <w:sz w:val="20"/>
            <w:szCs w:val="20"/>
            <w:lang w:val="en-US" w:eastAsia="ko-KR"/>
          </w:rPr>
          <w:id w:val="-508288166"/>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Raf21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[40]</w:t>
          </w:r>
          <w:r w:rsidRPr="00A54554">
            <w:rPr>
              <w:rFonts w:asciiTheme="majorHAnsi" w:eastAsia="Times New Roman" w:hAnsiTheme="majorHAnsi" w:cstheme="majorHAnsi"/>
              <w:sz w:val="20"/>
              <w:szCs w:val="20"/>
              <w:lang w:val="en-US" w:eastAsia="ko-KR"/>
            </w:rPr>
            <w:fldChar w:fldCharType="end"/>
          </w:r>
          <w:r w:rsidRPr="00A54554">
            <w:rPr>
              <w:rFonts w:asciiTheme="majorHAnsi" w:eastAsia="Times New Roman" w:hAnsiTheme="majorHAnsi" w:cstheme="majorHAnsi"/>
              <w:sz w:val="20"/>
              <w:szCs w:val="20"/>
              <w:lang w:val="en-US" w:eastAsia="ko-KR"/>
            </w:rPr>
            <w:t>. Hence,</w:t>
          </w:r>
        </w:sdtContent>
      </w:sdt>
      <w:r w:rsidRPr="00A54554">
        <w:rPr>
          <w:rFonts w:asciiTheme="majorHAnsi" w:eastAsia="Times New Roman" w:hAnsiTheme="majorHAnsi" w:cstheme="majorHAnsi"/>
          <w:sz w:val="20"/>
          <w:szCs w:val="20"/>
          <w:lang w:val="en-US" w:eastAsia="ko-KR"/>
        </w:rPr>
        <w:t xml:space="preserve"> the RT value at 250 Hz represents the reverberation that occurs during prayer.</w:t>
      </w:r>
    </w:p>
    <w:p w14:paraId="5281B4F6" w14:textId="5D184D76" w:rsid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As observed in the distribution of SPL, the RT values decrease as the number of worshippers increases </w:t>
      </w:r>
      <w:sdt>
        <w:sdtPr>
          <w:rPr>
            <w:rFonts w:asciiTheme="majorHAnsi" w:eastAsia="Times New Roman" w:hAnsiTheme="majorHAnsi" w:cstheme="majorHAnsi"/>
            <w:sz w:val="20"/>
            <w:szCs w:val="20"/>
            <w:lang w:val="en-US" w:eastAsia="ko-KR"/>
          </w:rPr>
          <w:id w:val="-647279909"/>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Mos21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[39]</w:t>
          </w:r>
          <w:r w:rsidRPr="00A54554">
            <w:rPr>
              <w:rFonts w:asciiTheme="majorHAnsi" w:eastAsia="Times New Roman" w:hAnsiTheme="majorHAnsi" w:cstheme="majorHAnsi"/>
              <w:sz w:val="20"/>
              <w:szCs w:val="20"/>
              <w:lang w:val="en-US" w:eastAsia="ko-KR"/>
            </w:rPr>
            <w:fldChar w:fldCharType="end"/>
          </w:r>
        </w:sdtContent>
      </w:sdt>
      <w:r w:rsidRPr="00A54554">
        <w:rPr>
          <w:rFonts w:asciiTheme="majorHAnsi" w:eastAsia="Times New Roman" w:hAnsiTheme="majorHAnsi" w:cstheme="majorHAnsi"/>
          <w:sz w:val="20"/>
          <w:szCs w:val="20"/>
          <w:lang w:val="en-US" w:eastAsia="ko-KR"/>
        </w:rPr>
        <w:t>. Sound becomes less likely to reflect around in a crowded room, resulting in RT values that are not significantly different in the full scenario for both mosque models.</w:t>
      </w:r>
    </w:p>
    <w:p w14:paraId="33D4A8BF" w14:textId="77777777" w:rsidR="00A54554" w:rsidRDefault="00A54554" w:rsidP="00A54554">
      <w:pPr>
        <w:ind w:left="283" w:firstLine="284"/>
        <w:jc w:val="both"/>
        <w:rPr>
          <w:rFonts w:asciiTheme="majorHAnsi" w:eastAsia="Times New Roman" w:hAnsiTheme="majorHAnsi" w:cstheme="majorHAnsi"/>
          <w:sz w:val="20"/>
          <w:szCs w:val="20"/>
          <w:lang w:val="en-US"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54554" w14:paraId="47DA2A0C" w14:textId="77777777" w:rsidTr="00426E0F">
        <w:tc>
          <w:tcPr>
            <w:tcW w:w="9060" w:type="dxa"/>
          </w:tcPr>
          <w:p w14:paraId="459045F3" w14:textId="77777777" w:rsidR="00A54554" w:rsidRDefault="00A54554" w:rsidP="00A54554">
            <w:pPr>
              <w:jc w:val="center"/>
              <w:rPr>
                <w:rFonts w:asciiTheme="majorHAnsi" w:eastAsia="Times New Roman" w:hAnsiTheme="majorHAnsi" w:cstheme="majorHAnsi"/>
                <w:sz w:val="20"/>
                <w:szCs w:val="20"/>
                <w:lang w:val="en-US" w:eastAsia="ko-KR"/>
              </w:rPr>
            </w:pPr>
            <w:r>
              <w:rPr>
                <w:noProof/>
              </w:rPr>
              <w:lastRenderedPageBreak/>
              <w:drawing>
                <wp:inline distT="0" distB="0" distL="0" distR="0" wp14:anchorId="3AF7D165" wp14:editId="5028EA6E">
                  <wp:extent cx="2635250" cy="2635250"/>
                  <wp:effectExtent l="0" t="0" r="0" b="0"/>
                  <wp:docPr id="43" name="image36.png"/>
                  <wp:cNvGraphicFramePr/>
                  <a:graphic xmlns:a="http://schemas.openxmlformats.org/drawingml/2006/main">
                    <a:graphicData uri="http://schemas.openxmlformats.org/drawingml/2006/picture">
                      <pic:pic xmlns:pic="http://schemas.openxmlformats.org/drawingml/2006/picture">
                        <pic:nvPicPr>
                          <pic:cNvPr id="43" name="image36.png"/>
                          <pic:cNvPicPr/>
                        </pic:nvPicPr>
                        <pic:blipFill>
                          <a:blip r:embed="rId52" cstate="screen">
                            <a:extLst>
                              <a:ext uri="{28A0092B-C50C-407E-A947-70E740481C1C}">
                                <a14:useLocalDpi xmlns:a14="http://schemas.microsoft.com/office/drawing/2010/main" val="0"/>
                              </a:ext>
                            </a:extLst>
                          </a:blip>
                          <a:srcRect l="35559" t="36857" r="37003" b="16123"/>
                          <a:stretch>
                            <a:fillRect/>
                          </a:stretch>
                        </pic:blipFill>
                        <pic:spPr>
                          <a:xfrm>
                            <a:off x="0" y="0"/>
                            <a:ext cx="2635250" cy="2635250"/>
                          </a:xfrm>
                          <a:prstGeom prst="rect">
                            <a:avLst/>
                          </a:prstGeom>
                        </pic:spPr>
                      </pic:pic>
                    </a:graphicData>
                  </a:graphic>
                </wp:inline>
              </w:drawing>
            </w:r>
          </w:p>
          <w:p w14:paraId="7D94930C" w14:textId="203561DB" w:rsidR="00A54554" w:rsidRDefault="00A54554" w:rsidP="00A54554">
            <w:pPr>
              <w:jc w:val="center"/>
              <w:rPr>
                <w:rFonts w:asciiTheme="majorHAnsi" w:eastAsia="Times New Roman" w:hAnsiTheme="majorHAnsi" w:cstheme="majorHAnsi"/>
                <w:sz w:val="20"/>
                <w:szCs w:val="20"/>
                <w:lang w:val="en-US" w:eastAsia="ko-KR"/>
              </w:rPr>
            </w:pPr>
          </w:p>
        </w:tc>
      </w:tr>
      <w:tr w:rsidR="00A54554" w:rsidRPr="00A54554" w14:paraId="6BB9D0D2" w14:textId="77777777" w:rsidTr="00426E0F">
        <w:tc>
          <w:tcPr>
            <w:tcW w:w="9060" w:type="dxa"/>
          </w:tcPr>
          <w:p w14:paraId="178BDD69" w14:textId="0449FC28" w:rsidR="00A54554" w:rsidRPr="00A54554" w:rsidRDefault="00A54554" w:rsidP="00A54554">
            <w:pPr>
              <w:jc w:val="center"/>
              <w:rPr>
                <w:rFonts w:asciiTheme="majorHAnsi" w:eastAsia="Times New Roman" w:hAnsiTheme="majorHAnsi" w:cstheme="majorHAnsi"/>
                <w:sz w:val="16"/>
                <w:szCs w:val="16"/>
                <w:lang w:val="en-US" w:eastAsia="ko-KR"/>
              </w:rPr>
            </w:pPr>
            <w:r w:rsidRPr="00A54554">
              <w:rPr>
                <w:rFonts w:asciiTheme="majorHAnsi" w:eastAsia="Times New Roman" w:hAnsiTheme="majorHAnsi" w:cstheme="majorHAnsi"/>
                <w:sz w:val="16"/>
                <w:szCs w:val="16"/>
                <w:lang w:eastAsia="ko-KR"/>
              </w:rPr>
              <w:t xml:space="preserve">Figure 13. The diagram compares SA/V for each geometry. </w:t>
            </w:r>
            <w:sdt>
              <w:sdtPr>
                <w:rPr>
                  <w:rFonts w:asciiTheme="majorHAnsi" w:eastAsia="Times New Roman" w:hAnsiTheme="majorHAnsi" w:cstheme="majorHAnsi"/>
                  <w:sz w:val="16"/>
                  <w:szCs w:val="16"/>
                  <w:lang w:eastAsia="ko-KR"/>
                </w:rPr>
                <w:id w:val="-155072454"/>
              </w:sdtPr>
              <w:sdtContent>
                <w:r w:rsidRPr="00A54554">
                  <w:rPr>
                    <w:rFonts w:asciiTheme="majorHAnsi" w:eastAsia="Times New Roman" w:hAnsiTheme="majorHAnsi" w:cstheme="majorHAnsi"/>
                    <w:sz w:val="16"/>
                    <w:szCs w:val="16"/>
                    <w:lang w:eastAsia="ko-KR"/>
                  </w:rPr>
                  <w:fldChar w:fldCharType="begin"/>
                </w:r>
                <w:r w:rsidRPr="00A54554">
                  <w:rPr>
                    <w:rFonts w:asciiTheme="majorHAnsi" w:eastAsia="Times New Roman" w:hAnsiTheme="majorHAnsi" w:cstheme="majorHAnsi"/>
                    <w:sz w:val="16"/>
                    <w:szCs w:val="16"/>
                    <w:lang w:eastAsia="ko-KR"/>
                  </w:rPr>
                  <w:instrText xml:space="preserve"> CITATION Mos13 \l 14345 </w:instrText>
                </w:r>
                <w:r w:rsidRPr="00A54554">
                  <w:rPr>
                    <w:rFonts w:asciiTheme="majorHAnsi" w:eastAsia="Times New Roman" w:hAnsiTheme="majorHAnsi" w:cstheme="majorHAnsi"/>
                    <w:sz w:val="16"/>
                    <w:szCs w:val="16"/>
                    <w:lang w:eastAsia="ko-KR"/>
                  </w:rPr>
                  <w:fldChar w:fldCharType="separate"/>
                </w:r>
                <w:r w:rsidRPr="00A54554">
                  <w:rPr>
                    <w:rFonts w:asciiTheme="majorHAnsi" w:eastAsia="Times New Roman" w:hAnsiTheme="majorHAnsi" w:cstheme="majorHAnsi"/>
                    <w:sz w:val="16"/>
                    <w:szCs w:val="16"/>
                    <w:lang w:eastAsia="ko-KR"/>
                  </w:rPr>
                  <w:t>[19]</w:t>
                </w:r>
                <w:r w:rsidRPr="00A54554">
                  <w:rPr>
                    <w:rFonts w:asciiTheme="majorHAnsi" w:eastAsia="Times New Roman" w:hAnsiTheme="majorHAnsi" w:cstheme="majorHAnsi"/>
                    <w:sz w:val="16"/>
                    <w:szCs w:val="16"/>
                    <w:lang w:val="en-US" w:eastAsia="ko-KR"/>
                  </w:rPr>
                  <w:fldChar w:fldCharType="end"/>
                </w:r>
              </w:sdtContent>
            </w:sdt>
          </w:p>
        </w:tc>
      </w:tr>
    </w:tbl>
    <w:p w14:paraId="27706A09" w14:textId="77777777" w:rsidR="00A54554" w:rsidRDefault="00A54554" w:rsidP="00A54554">
      <w:pPr>
        <w:ind w:left="283" w:firstLine="284"/>
        <w:jc w:val="both"/>
        <w:rPr>
          <w:rFonts w:asciiTheme="majorHAnsi" w:eastAsia="Times New Roman" w:hAnsiTheme="majorHAnsi" w:cstheme="majorHAnsi"/>
          <w:sz w:val="20"/>
          <w:szCs w:val="20"/>
          <w:lang w:val="en-US" w:eastAsia="ko-KR"/>
        </w:rPr>
      </w:pPr>
    </w:p>
    <w:p w14:paraId="4010A5A2" w14:textId="12A28566" w:rsidR="00A54554" w:rsidRDefault="00A54554" w:rsidP="00A54554">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eastAsia="ko-KR"/>
        </w:rPr>
        <w:t xml:space="preserve">Next, the Reverberation Time (RT) in both mosque simulation models is relatively small and corresponds to the standards presented in Table 4 </w:t>
      </w:r>
      <w:sdt>
        <w:sdtPr>
          <w:rPr>
            <w:rFonts w:asciiTheme="majorHAnsi" w:eastAsia="Times New Roman" w:hAnsiTheme="majorHAnsi" w:cstheme="majorHAnsi"/>
            <w:sz w:val="20"/>
            <w:szCs w:val="20"/>
            <w:lang w:eastAsia="ko-KR"/>
          </w:rPr>
          <w:id w:val="358172740"/>
          <w:citation/>
        </w:sdtPr>
        <w:sdtContent>
          <w:r w:rsidRPr="00A54554">
            <w:rPr>
              <w:rFonts w:asciiTheme="majorHAnsi" w:eastAsia="Times New Roman" w:hAnsiTheme="majorHAnsi" w:cstheme="majorHAnsi"/>
              <w:sz w:val="20"/>
              <w:szCs w:val="20"/>
              <w:lang w:eastAsia="ko-KR"/>
            </w:rPr>
            <w:fldChar w:fldCharType="begin"/>
          </w:r>
          <w:r w:rsidRPr="00A54554">
            <w:rPr>
              <w:rFonts w:asciiTheme="majorHAnsi" w:eastAsia="Times New Roman" w:hAnsiTheme="majorHAnsi" w:cstheme="majorHAnsi"/>
              <w:sz w:val="20"/>
              <w:szCs w:val="20"/>
              <w:lang w:eastAsia="ko-KR"/>
            </w:rPr>
            <w:instrText xml:space="preserve"> CITATION Mos13 \l 14345 </w:instrText>
          </w:r>
          <w:r w:rsidRPr="00A54554">
            <w:rPr>
              <w:rFonts w:asciiTheme="majorHAnsi" w:eastAsia="Times New Roman" w:hAnsiTheme="majorHAnsi" w:cstheme="majorHAnsi"/>
              <w:sz w:val="20"/>
              <w:szCs w:val="20"/>
              <w:lang w:eastAsia="ko-KR"/>
            </w:rPr>
            <w:fldChar w:fldCharType="separate"/>
          </w:r>
          <w:r w:rsidRPr="00A54554">
            <w:rPr>
              <w:rFonts w:asciiTheme="majorHAnsi" w:eastAsia="Times New Roman" w:hAnsiTheme="majorHAnsi" w:cstheme="majorHAnsi"/>
              <w:sz w:val="20"/>
              <w:szCs w:val="20"/>
              <w:lang w:eastAsia="ko-KR"/>
            </w:rPr>
            <w:t>[19]</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eastAsia="ko-KR"/>
        </w:rPr>
        <w:t xml:space="preserve">. In a previous study conducted in enclosed mosques, the RT value usually exceeded 1 second </w:t>
      </w:r>
      <w:sdt>
        <w:sdtPr>
          <w:rPr>
            <w:rFonts w:asciiTheme="majorHAnsi" w:eastAsia="Times New Roman" w:hAnsiTheme="majorHAnsi" w:cstheme="majorHAnsi"/>
            <w:sz w:val="20"/>
            <w:szCs w:val="20"/>
            <w:lang w:eastAsia="ko-KR"/>
          </w:rPr>
          <w:id w:val="-1819865093"/>
        </w:sdtPr>
        <w:sdtContent>
          <w:r w:rsidRPr="00A54554">
            <w:rPr>
              <w:rFonts w:asciiTheme="majorHAnsi" w:eastAsia="Times New Roman" w:hAnsiTheme="majorHAnsi" w:cstheme="majorHAnsi"/>
              <w:sz w:val="20"/>
              <w:szCs w:val="20"/>
              <w:lang w:eastAsia="ko-KR"/>
            </w:rPr>
            <w:fldChar w:fldCharType="begin"/>
          </w:r>
          <w:r w:rsidRPr="00A54554">
            <w:rPr>
              <w:rFonts w:asciiTheme="majorHAnsi" w:eastAsia="Times New Roman" w:hAnsiTheme="majorHAnsi" w:cstheme="majorHAnsi" w:hint="eastAsia"/>
              <w:sz w:val="20"/>
              <w:szCs w:val="20"/>
              <w:lang w:val="zh-CN" w:eastAsia="ko-KR"/>
            </w:rPr>
            <w:instrText xml:space="preserve"> CITATION Abd031 \l 14345 </w:instrText>
          </w:r>
          <w:r w:rsidRPr="00A54554">
            <w:rPr>
              <w:rFonts w:asciiTheme="majorHAnsi" w:eastAsia="Times New Roman" w:hAnsiTheme="majorHAnsi" w:cstheme="majorHAnsi"/>
              <w:sz w:val="20"/>
              <w:szCs w:val="20"/>
              <w:lang w:eastAsia="ko-KR"/>
            </w:rPr>
            <w:fldChar w:fldCharType="separate"/>
          </w:r>
          <w:r w:rsidRPr="00A54554">
            <w:rPr>
              <w:rFonts w:asciiTheme="majorHAnsi" w:eastAsia="Times New Roman" w:hAnsiTheme="majorHAnsi" w:cstheme="majorHAnsi" w:hint="eastAsia"/>
              <w:sz w:val="20"/>
              <w:szCs w:val="20"/>
              <w:lang w:val="zh-CN" w:eastAsia="ko-KR"/>
            </w:rPr>
            <w:t>[27]</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eastAsia="ko-KR"/>
        </w:rPr>
        <w:t>. In contrast, in the case study, the highest RT value reaches only 0.53 seconds at a frequency of 250 Hz. The low RT value is due to the roof design of Masjid UI, which is not a dome but a pyramidal roof (</w:t>
      </w:r>
      <w:proofErr w:type="spellStart"/>
      <w:r w:rsidRPr="00A54554">
        <w:rPr>
          <w:rFonts w:asciiTheme="majorHAnsi" w:eastAsia="Times New Roman" w:hAnsiTheme="majorHAnsi" w:cstheme="majorHAnsi"/>
          <w:i/>
          <w:iCs/>
          <w:sz w:val="20"/>
          <w:szCs w:val="20"/>
          <w:lang w:eastAsia="ko-KR"/>
        </w:rPr>
        <w:t>tajug</w:t>
      </w:r>
      <w:proofErr w:type="spellEnd"/>
      <w:r w:rsidRPr="00A54554">
        <w:rPr>
          <w:rFonts w:asciiTheme="majorHAnsi" w:eastAsia="Times New Roman" w:hAnsiTheme="majorHAnsi" w:cstheme="majorHAnsi"/>
          <w:i/>
          <w:iCs/>
          <w:sz w:val="20"/>
          <w:szCs w:val="20"/>
          <w:lang w:eastAsia="ko-KR"/>
        </w:rPr>
        <w:t>/</w:t>
      </w:r>
      <w:proofErr w:type="spellStart"/>
      <w:r w:rsidRPr="00A54554">
        <w:rPr>
          <w:rFonts w:asciiTheme="majorHAnsi" w:eastAsia="Times New Roman" w:hAnsiTheme="majorHAnsi" w:cstheme="majorHAnsi"/>
          <w:i/>
          <w:iCs/>
          <w:sz w:val="20"/>
          <w:szCs w:val="20"/>
          <w:lang w:eastAsia="ko-KR"/>
        </w:rPr>
        <w:t>limasan</w:t>
      </w:r>
      <w:proofErr w:type="spellEnd"/>
      <w:r w:rsidRPr="00A54554">
        <w:rPr>
          <w:rFonts w:asciiTheme="majorHAnsi" w:eastAsia="Times New Roman" w:hAnsiTheme="majorHAnsi" w:cstheme="majorHAnsi"/>
          <w:sz w:val="20"/>
          <w:szCs w:val="20"/>
          <w:lang w:eastAsia="ko-KR"/>
        </w:rPr>
        <w:t xml:space="preserve">). Ismail </w:t>
      </w:r>
      <w:sdt>
        <w:sdtPr>
          <w:rPr>
            <w:rFonts w:asciiTheme="majorHAnsi" w:eastAsia="Times New Roman" w:hAnsiTheme="majorHAnsi" w:cstheme="majorHAnsi"/>
            <w:sz w:val="20"/>
            <w:szCs w:val="20"/>
            <w:lang w:eastAsia="ko-KR"/>
          </w:rPr>
          <w:id w:val="1933549910"/>
        </w:sdtPr>
        <w:sdtContent>
          <w:r w:rsidRPr="00A54554">
            <w:rPr>
              <w:rFonts w:asciiTheme="majorHAnsi" w:eastAsia="Times New Roman" w:hAnsiTheme="majorHAnsi" w:cstheme="majorHAnsi"/>
              <w:sz w:val="20"/>
              <w:szCs w:val="20"/>
              <w:lang w:eastAsia="ko-KR"/>
            </w:rPr>
            <w:fldChar w:fldCharType="begin"/>
          </w:r>
          <w:r w:rsidRPr="00A54554">
            <w:rPr>
              <w:rFonts w:asciiTheme="majorHAnsi" w:eastAsia="Times New Roman" w:hAnsiTheme="majorHAnsi" w:cstheme="majorHAnsi"/>
              <w:sz w:val="20"/>
              <w:szCs w:val="20"/>
              <w:lang w:eastAsia="ko-KR"/>
            </w:rPr>
            <w:instrText xml:space="preserve"> CITATION Mos13 \l 14345 </w:instrText>
          </w:r>
          <w:r w:rsidRPr="00A54554">
            <w:rPr>
              <w:rFonts w:asciiTheme="majorHAnsi" w:eastAsia="Times New Roman" w:hAnsiTheme="majorHAnsi" w:cstheme="majorHAnsi"/>
              <w:sz w:val="20"/>
              <w:szCs w:val="20"/>
              <w:lang w:eastAsia="ko-KR"/>
            </w:rPr>
            <w:fldChar w:fldCharType="separate"/>
          </w:r>
          <w:r w:rsidRPr="00A54554">
            <w:rPr>
              <w:rFonts w:asciiTheme="majorHAnsi" w:eastAsia="Times New Roman" w:hAnsiTheme="majorHAnsi" w:cstheme="majorHAnsi"/>
              <w:sz w:val="20"/>
              <w:szCs w:val="20"/>
              <w:lang w:eastAsia="ko-KR"/>
            </w:rPr>
            <w:t>[19]</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eastAsia="ko-KR"/>
        </w:rPr>
        <w:t xml:space="preserve"> explained that a roof's ratio of surface area to volume (SA/V) affects its absorption capabilities. The lower the SA/V ratio, the lower the absorption (Fig. 13). The roof of the study object is a pyramidal roof (a truncated octahedron) with a relatively high SA/V compared to the typical dome-shaped mosque roof </w:t>
      </w:r>
      <w:sdt>
        <w:sdtPr>
          <w:rPr>
            <w:rFonts w:asciiTheme="majorHAnsi" w:eastAsia="Times New Roman" w:hAnsiTheme="majorHAnsi" w:cstheme="majorHAnsi"/>
            <w:sz w:val="20"/>
            <w:szCs w:val="20"/>
            <w:lang w:eastAsia="ko-KR"/>
          </w:rPr>
          <w:id w:val="-2145953848"/>
        </w:sdtPr>
        <w:sdtContent>
          <w:r w:rsidRPr="00A54554">
            <w:rPr>
              <w:rFonts w:asciiTheme="majorHAnsi" w:eastAsia="Times New Roman" w:hAnsiTheme="majorHAnsi" w:cstheme="majorHAnsi"/>
              <w:sz w:val="20"/>
              <w:szCs w:val="20"/>
              <w:lang w:eastAsia="ko-KR"/>
            </w:rPr>
            <w:fldChar w:fldCharType="begin"/>
          </w:r>
          <w:r w:rsidRPr="00A54554">
            <w:rPr>
              <w:rFonts w:asciiTheme="majorHAnsi" w:eastAsia="Times New Roman" w:hAnsiTheme="majorHAnsi" w:cstheme="majorHAnsi"/>
              <w:sz w:val="20"/>
              <w:szCs w:val="20"/>
              <w:lang w:eastAsia="ko-KR"/>
            </w:rPr>
            <w:instrText xml:space="preserve"> CITATION Mos13 \l 14345 </w:instrText>
          </w:r>
          <w:r w:rsidRPr="00A54554">
            <w:rPr>
              <w:rFonts w:asciiTheme="majorHAnsi" w:eastAsia="Times New Roman" w:hAnsiTheme="majorHAnsi" w:cstheme="majorHAnsi"/>
              <w:sz w:val="20"/>
              <w:szCs w:val="20"/>
              <w:lang w:eastAsia="ko-KR"/>
            </w:rPr>
            <w:fldChar w:fldCharType="separate"/>
          </w:r>
          <w:r w:rsidRPr="00A54554">
            <w:rPr>
              <w:rFonts w:asciiTheme="majorHAnsi" w:eastAsia="Times New Roman" w:hAnsiTheme="majorHAnsi" w:cstheme="majorHAnsi"/>
              <w:sz w:val="20"/>
              <w:szCs w:val="20"/>
              <w:lang w:eastAsia="ko-KR"/>
            </w:rPr>
            <w:t>[19]</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eastAsia="ko-KR"/>
        </w:rPr>
        <w:t>. This implies that the pyramidal roof has greater absorption, resulting in a lower RT in the mosque compared to a dome-shaped roof.</w:t>
      </w:r>
    </w:p>
    <w:p w14:paraId="761199F8" w14:textId="77777777" w:rsidR="00A54554" w:rsidRDefault="00A54554" w:rsidP="00A54554">
      <w:pPr>
        <w:ind w:left="283" w:firstLine="284"/>
        <w:jc w:val="both"/>
        <w:rPr>
          <w:rFonts w:asciiTheme="majorHAnsi" w:eastAsia="Times New Roman" w:hAnsiTheme="majorHAnsi" w:cstheme="majorHAnsi"/>
          <w:sz w:val="20"/>
          <w:szCs w:val="20"/>
          <w:lang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54554" w14:paraId="4A161158" w14:textId="77777777" w:rsidTr="00426E0F">
        <w:tc>
          <w:tcPr>
            <w:tcW w:w="9060" w:type="dxa"/>
          </w:tcPr>
          <w:p w14:paraId="2E2444A5" w14:textId="77777777" w:rsidR="00A54554" w:rsidRDefault="00A54554" w:rsidP="00A54554">
            <w:pPr>
              <w:jc w:val="center"/>
              <w:rPr>
                <w:rFonts w:asciiTheme="majorHAnsi" w:eastAsia="Times New Roman" w:hAnsiTheme="majorHAnsi" w:cstheme="majorHAnsi"/>
                <w:sz w:val="20"/>
                <w:szCs w:val="20"/>
                <w:lang w:eastAsia="ko-KR"/>
              </w:rPr>
            </w:pPr>
            <w:r>
              <w:rPr>
                <w:noProof/>
              </w:rPr>
              <w:drawing>
                <wp:inline distT="0" distB="0" distL="0" distR="0" wp14:anchorId="5411E384" wp14:editId="4D522A1A">
                  <wp:extent cx="3560445" cy="1822450"/>
                  <wp:effectExtent l="0" t="0" r="1905" b="6350"/>
                  <wp:docPr id="17037823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82357" name="Picture 10"/>
                          <pic:cNvPicPr>
                            <a:picLocks noChangeAspect="1"/>
                          </pic:cNvPicPr>
                        </pic:nvPicPr>
                        <pic:blipFill>
                          <a:blip r:embed="rId53" cstate="screen"/>
                          <a:srcRect t="5103" b="3911"/>
                          <a:stretch>
                            <a:fillRect/>
                          </a:stretch>
                        </pic:blipFill>
                        <pic:spPr>
                          <a:xfrm>
                            <a:off x="0" y="0"/>
                            <a:ext cx="3560445" cy="1822450"/>
                          </a:xfrm>
                          <a:prstGeom prst="rect">
                            <a:avLst/>
                          </a:prstGeom>
                          <a:ln>
                            <a:noFill/>
                          </a:ln>
                        </pic:spPr>
                      </pic:pic>
                    </a:graphicData>
                  </a:graphic>
                </wp:inline>
              </w:drawing>
            </w:r>
          </w:p>
          <w:p w14:paraId="093825FD" w14:textId="36ED98F6" w:rsidR="00A54554" w:rsidRDefault="00A54554" w:rsidP="00A54554">
            <w:pPr>
              <w:jc w:val="center"/>
              <w:rPr>
                <w:rFonts w:asciiTheme="majorHAnsi" w:eastAsia="Times New Roman" w:hAnsiTheme="majorHAnsi" w:cstheme="majorHAnsi"/>
                <w:sz w:val="20"/>
                <w:szCs w:val="20"/>
                <w:lang w:eastAsia="ko-KR"/>
              </w:rPr>
            </w:pPr>
          </w:p>
        </w:tc>
      </w:tr>
      <w:tr w:rsidR="00A54554" w:rsidRPr="00A54554" w14:paraId="787F463F" w14:textId="77777777" w:rsidTr="00426E0F">
        <w:tc>
          <w:tcPr>
            <w:tcW w:w="9060" w:type="dxa"/>
          </w:tcPr>
          <w:p w14:paraId="4BA44887" w14:textId="61E6713F" w:rsidR="00A54554" w:rsidRPr="00A54554" w:rsidRDefault="00A54554" w:rsidP="00A54554">
            <w:pPr>
              <w:jc w:val="center"/>
              <w:rPr>
                <w:rFonts w:asciiTheme="majorHAnsi" w:eastAsia="Times New Roman" w:hAnsiTheme="majorHAnsi" w:cstheme="majorHAnsi"/>
                <w:sz w:val="16"/>
                <w:szCs w:val="16"/>
                <w:lang w:eastAsia="ko-KR"/>
              </w:rPr>
            </w:pPr>
            <w:r w:rsidRPr="00A54554">
              <w:rPr>
                <w:rFonts w:asciiTheme="majorHAnsi" w:eastAsia="Times New Roman" w:hAnsiTheme="majorHAnsi" w:cstheme="majorHAnsi"/>
                <w:sz w:val="16"/>
                <w:szCs w:val="16"/>
                <w:lang w:val="en-US" w:eastAsia="ko-KR"/>
              </w:rPr>
              <w:t xml:space="preserve">Figure 14. Sound reflection within the interior space of Masjid UI </w:t>
            </w:r>
          </w:p>
        </w:tc>
      </w:tr>
    </w:tbl>
    <w:p w14:paraId="470E9B76" w14:textId="77777777" w:rsidR="00A54554" w:rsidRDefault="00A54554" w:rsidP="00A54554">
      <w:pPr>
        <w:ind w:left="283" w:firstLine="284"/>
        <w:jc w:val="both"/>
        <w:rPr>
          <w:rFonts w:asciiTheme="majorHAnsi" w:eastAsia="Times New Roman" w:hAnsiTheme="majorHAnsi" w:cstheme="majorHAnsi"/>
          <w:sz w:val="20"/>
          <w:szCs w:val="20"/>
          <w:lang w:eastAsia="ko-KR"/>
        </w:rPr>
      </w:pPr>
    </w:p>
    <w:p w14:paraId="2CF01D58" w14:textId="6A396061" w:rsidR="00A54554" w:rsidRDefault="00A54554" w:rsidP="00A54554">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eastAsia="ko-KR"/>
        </w:rPr>
        <w:t xml:space="preserve">Moreover, the loudspeakers are directed towards the central area, which lacks walls, as well as towards the carpet and the worshippers, both of which act as sound absorbers </w:t>
      </w:r>
      <w:sdt>
        <w:sdtPr>
          <w:rPr>
            <w:rFonts w:asciiTheme="majorHAnsi" w:eastAsia="Times New Roman" w:hAnsiTheme="majorHAnsi" w:cstheme="majorHAnsi"/>
            <w:sz w:val="20"/>
            <w:szCs w:val="20"/>
            <w:lang w:eastAsia="ko-KR"/>
          </w:rPr>
          <w:id w:val="1468865346"/>
        </w:sdtPr>
        <w:sdtContent>
          <w:r w:rsidRPr="00A54554">
            <w:rPr>
              <w:rFonts w:asciiTheme="majorHAnsi" w:eastAsia="Times New Roman" w:hAnsiTheme="majorHAnsi" w:cstheme="majorHAnsi"/>
              <w:sz w:val="20"/>
              <w:szCs w:val="20"/>
              <w:lang w:eastAsia="ko-KR"/>
            </w:rPr>
            <w:fldChar w:fldCharType="begin"/>
          </w:r>
          <w:r w:rsidRPr="00A54554">
            <w:rPr>
              <w:rFonts w:asciiTheme="majorHAnsi" w:eastAsia="Times New Roman" w:hAnsiTheme="majorHAnsi" w:cstheme="majorHAnsi"/>
              <w:sz w:val="20"/>
              <w:szCs w:val="20"/>
              <w:lang w:eastAsia="ko-KR"/>
            </w:rPr>
            <w:instrText xml:space="preserve"> CITATION Mos13 \l 14345  \m Mos21</w:instrText>
          </w:r>
          <w:r w:rsidRPr="00A54554">
            <w:rPr>
              <w:rFonts w:asciiTheme="majorHAnsi" w:eastAsia="Times New Roman" w:hAnsiTheme="majorHAnsi" w:cstheme="majorHAnsi"/>
              <w:sz w:val="20"/>
              <w:szCs w:val="20"/>
              <w:lang w:eastAsia="ko-KR"/>
            </w:rPr>
            <w:fldChar w:fldCharType="separate"/>
          </w:r>
          <w:r w:rsidRPr="00A54554">
            <w:rPr>
              <w:rFonts w:asciiTheme="majorHAnsi" w:eastAsia="Times New Roman" w:hAnsiTheme="majorHAnsi" w:cstheme="majorHAnsi"/>
              <w:sz w:val="20"/>
              <w:szCs w:val="20"/>
              <w:lang w:eastAsia="ko-KR"/>
            </w:rPr>
            <w:t>[19, 39]</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eastAsia="ko-KR"/>
        </w:rPr>
        <w:t>. This arrangement minimizes sound reflections within the room (Fig. 14). By positioning the loudspeakers in this manner, the areas of the ceiling that could potentially reflect sound do not produce significant sound reflections, resulting in low RT values in both mosque models</w:t>
      </w:r>
      <w:r>
        <w:rPr>
          <w:rFonts w:asciiTheme="majorHAnsi" w:eastAsia="Times New Roman" w:hAnsiTheme="majorHAnsi" w:cstheme="majorHAnsi"/>
          <w:sz w:val="20"/>
          <w:szCs w:val="20"/>
          <w:lang w:eastAsia="ko-KR"/>
        </w:rPr>
        <w:t>.</w:t>
      </w:r>
    </w:p>
    <w:p w14:paraId="6DC58132" w14:textId="77777777" w:rsidR="00A54554" w:rsidRDefault="00A54554" w:rsidP="00A54554">
      <w:pPr>
        <w:ind w:left="283" w:firstLine="284"/>
        <w:jc w:val="both"/>
        <w:rPr>
          <w:rFonts w:asciiTheme="majorHAnsi" w:eastAsia="Times New Roman" w:hAnsiTheme="majorHAnsi" w:cstheme="majorHAnsi"/>
          <w:sz w:val="20"/>
          <w:szCs w:val="20"/>
          <w:lang w:eastAsia="ko-KR"/>
        </w:rPr>
      </w:pPr>
    </w:p>
    <w:p w14:paraId="5DE1C1B8" w14:textId="77777777" w:rsidR="00A54554" w:rsidRPr="00A54554" w:rsidRDefault="00A54554" w:rsidP="00A54554">
      <w:pPr>
        <w:numPr>
          <w:ilvl w:val="0"/>
          <w:numId w:val="6"/>
        </w:numPr>
        <w:ind w:left="567" w:hanging="283"/>
        <w:jc w:val="both"/>
        <w:rPr>
          <w:rFonts w:asciiTheme="minorHAnsi" w:eastAsia="Times New Roman" w:hAnsiTheme="minorHAnsi" w:cstheme="minorHAnsi"/>
          <w:b/>
          <w:sz w:val="18"/>
          <w:szCs w:val="18"/>
          <w:lang w:val="en-US" w:eastAsia="ko-KR"/>
        </w:rPr>
      </w:pPr>
      <w:r w:rsidRPr="00A54554">
        <w:rPr>
          <w:rFonts w:asciiTheme="minorHAnsi" w:eastAsia="Times New Roman" w:hAnsiTheme="minorHAnsi" w:cstheme="minorHAnsi"/>
          <w:b/>
          <w:sz w:val="18"/>
          <w:szCs w:val="18"/>
          <w:lang w:val="en-US" w:eastAsia="ko-KR"/>
        </w:rPr>
        <w:t>SPEECH TRANSMISSION INDEX</w:t>
      </w:r>
    </w:p>
    <w:p w14:paraId="38D19F90"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The IEC standard released in 2011 explains that STI values above 0.75 fall into the "excellent" category, representing the highest level of intelligibility </w:t>
      </w:r>
      <w:sdt>
        <w:sdtPr>
          <w:rPr>
            <w:rFonts w:asciiTheme="majorHAnsi" w:eastAsia="Times New Roman" w:hAnsiTheme="majorHAnsi" w:cstheme="majorHAnsi"/>
            <w:sz w:val="20"/>
            <w:szCs w:val="20"/>
            <w:lang w:val="en-US" w:eastAsia="ko-KR"/>
          </w:rPr>
          <w:id w:val="-130180440"/>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Int11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[26]</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All STI values in both simulation models fall into this category, indicating that the mosques have high STI performance (see Table 4). The high STI values in both models are partly due to the background noise (BN) level in the study area, which complies with the standard, i.e., NC 30 </w:t>
      </w:r>
      <w:sdt>
        <w:sdtPr>
          <w:rPr>
            <w:rFonts w:asciiTheme="majorHAnsi" w:eastAsia="Times New Roman" w:hAnsiTheme="majorHAnsi" w:cstheme="majorHAnsi"/>
            <w:sz w:val="20"/>
            <w:szCs w:val="20"/>
            <w:lang w:val="en-US" w:eastAsia="ko-KR"/>
          </w:rPr>
          <w:id w:val="-244036527"/>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Lon06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[23]</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minimizing its effect on STI.</w:t>
      </w:r>
    </w:p>
    <w:p w14:paraId="5CE32A7B"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lastRenderedPageBreak/>
        <w:t xml:space="preserve">In addition to BN, the distribution of SPL in both mosque models also plays a supporting role. Due to the good sound coverage in the mosques, the signal-to-noise ratio (SNR) becomes high </w:t>
      </w:r>
      <w:sdt>
        <w:sdtPr>
          <w:rPr>
            <w:rFonts w:asciiTheme="majorHAnsi" w:eastAsia="Times New Roman" w:hAnsiTheme="majorHAnsi" w:cstheme="majorHAnsi"/>
            <w:sz w:val="20"/>
            <w:szCs w:val="20"/>
            <w:lang w:val="en-US" w:eastAsia="ko-KR"/>
          </w:rPr>
          <w:id w:val="1569612197"/>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Lon06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[23]</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This is further supported by the low BN values, resulting in a higher SNR because BN is a divisor in the SNR formula </w:t>
      </w:r>
      <w:sdt>
        <w:sdtPr>
          <w:rPr>
            <w:rFonts w:asciiTheme="majorHAnsi" w:eastAsia="Times New Roman" w:hAnsiTheme="majorHAnsi" w:cstheme="majorHAnsi"/>
            <w:sz w:val="20"/>
            <w:szCs w:val="20"/>
            <w:lang w:val="en-US" w:eastAsia="ko-KR"/>
          </w:rPr>
          <w:id w:val="146952141"/>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Ada19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[41]</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In the formula for calculating STI, SNR is one of the variables, and when its value increases, STI also increases </w:t>
      </w:r>
      <w:sdt>
        <w:sdtPr>
          <w:rPr>
            <w:rFonts w:asciiTheme="majorHAnsi" w:eastAsia="Times New Roman" w:hAnsiTheme="majorHAnsi" w:cstheme="majorHAnsi"/>
            <w:sz w:val="20"/>
            <w:szCs w:val="20"/>
            <w:lang w:val="en-US" w:eastAsia="ko-KR"/>
          </w:rPr>
          <w:id w:val="1553888948"/>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Lau14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[34]</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This leads to high STI values in both mosque models.</w:t>
      </w:r>
    </w:p>
    <w:p w14:paraId="11E1A25A"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Reverberation time also affects STI. STI in closed mosques is lower than in open mosques because sound reflects more inside closed spaces, increasing RT and affecting sound clarity </w:t>
      </w:r>
      <w:sdt>
        <w:sdtPr>
          <w:rPr>
            <w:rFonts w:asciiTheme="majorHAnsi" w:eastAsia="Times New Roman" w:hAnsiTheme="majorHAnsi" w:cstheme="majorHAnsi"/>
            <w:sz w:val="20"/>
            <w:szCs w:val="20"/>
            <w:lang w:val="en-US" w:eastAsia="ko-KR"/>
          </w:rPr>
          <w:id w:val="556900206"/>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Mos13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[19]</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However, the difference in STI remains small, because STI remains above the value of 0.8, which is classified as high STI according to the 2011 IEC standard  </w:t>
      </w:r>
      <w:sdt>
        <w:sdtPr>
          <w:rPr>
            <w:rFonts w:asciiTheme="majorHAnsi" w:eastAsia="Times New Roman" w:hAnsiTheme="majorHAnsi" w:cstheme="majorHAnsi"/>
            <w:sz w:val="20"/>
            <w:szCs w:val="20"/>
            <w:lang w:val="en-US" w:eastAsia="ko-KR"/>
          </w:rPr>
          <w:id w:val="-1264455890"/>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Int11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[26]</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w:t>
      </w:r>
    </w:p>
    <w:p w14:paraId="181E1F3B" w14:textId="77777777" w:rsidR="00A54554" w:rsidRPr="00A54554" w:rsidRDefault="00A54554" w:rsidP="00A54554">
      <w:pPr>
        <w:ind w:left="283" w:firstLine="284"/>
        <w:jc w:val="both"/>
        <w:rPr>
          <w:rFonts w:asciiTheme="majorHAnsi" w:eastAsia="Times New Roman" w:hAnsiTheme="majorHAnsi" w:cstheme="majorHAnsi"/>
          <w:sz w:val="20"/>
          <w:szCs w:val="20"/>
          <w:lang w:val="en-US" w:eastAsia="ko-KR"/>
        </w:rPr>
      </w:pPr>
      <w:r w:rsidRPr="00A54554">
        <w:rPr>
          <w:rFonts w:asciiTheme="majorHAnsi" w:eastAsia="Times New Roman" w:hAnsiTheme="majorHAnsi" w:cstheme="majorHAnsi"/>
          <w:sz w:val="20"/>
          <w:szCs w:val="20"/>
          <w:lang w:val="en-US" w:eastAsia="ko-KR"/>
        </w:rPr>
        <w:t xml:space="preserve">Worshipper occupancy, which affects the SPL and RT values, creates a consistent relationship with STI. The higher the number of worshippers within the mosque, the higher the STI value </w:t>
      </w:r>
      <w:sdt>
        <w:sdtPr>
          <w:rPr>
            <w:rFonts w:asciiTheme="majorHAnsi" w:eastAsia="Times New Roman" w:hAnsiTheme="majorHAnsi" w:cstheme="majorHAnsi"/>
            <w:sz w:val="20"/>
            <w:szCs w:val="20"/>
            <w:lang w:val="en-US" w:eastAsia="ko-KR"/>
          </w:rPr>
          <w:id w:val="408823562"/>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Elk15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[38]</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This relationship is important because mosques are typically not used empty but with worshippers. When prayers are conducted, scenarios such as half-full or full occur more often. This causes the STI to consistently increase when the space is used for prayers, to the extent that MUI-A and MUI-B have equivalent STI values when the mosque is fully occupied. However, the STI is still influenced by the level of spatial openness, as overall, STI in MUI-A is slightly higher than in MUI-B, especially when both are empty.</w:t>
      </w:r>
    </w:p>
    <w:p w14:paraId="372089E8" w14:textId="56A0C751" w:rsidR="00A54554" w:rsidRDefault="00A54554" w:rsidP="00A54554">
      <w:pPr>
        <w:ind w:left="283" w:firstLine="284"/>
        <w:jc w:val="both"/>
        <w:rPr>
          <w:rFonts w:asciiTheme="majorHAnsi" w:eastAsia="Times New Roman" w:hAnsiTheme="majorHAnsi" w:cstheme="majorHAnsi"/>
          <w:sz w:val="20"/>
          <w:szCs w:val="20"/>
          <w:lang w:eastAsia="ko-KR"/>
        </w:rPr>
      </w:pPr>
      <w:r w:rsidRPr="00A54554">
        <w:rPr>
          <w:rFonts w:asciiTheme="majorHAnsi" w:eastAsia="Times New Roman" w:hAnsiTheme="majorHAnsi" w:cstheme="majorHAnsi"/>
          <w:sz w:val="20"/>
          <w:szCs w:val="20"/>
          <w:lang w:val="en-US" w:eastAsia="ko-KR"/>
        </w:rPr>
        <w:t xml:space="preserve">Furthermore, it is noteworthy that within the context of worship in mosques, particularly during Friday sermons (khutbah), a high Speech Transmission Index (STI) is required. According to </w:t>
      </w:r>
      <w:proofErr w:type="spellStart"/>
      <w:r w:rsidRPr="00A54554">
        <w:rPr>
          <w:rFonts w:asciiTheme="majorHAnsi" w:eastAsia="Times New Roman" w:hAnsiTheme="majorHAnsi" w:cstheme="majorHAnsi"/>
          <w:sz w:val="20"/>
          <w:szCs w:val="20"/>
          <w:lang w:val="en-US" w:eastAsia="ko-KR"/>
        </w:rPr>
        <w:t>Elkhateeb</w:t>
      </w:r>
      <w:proofErr w:type="spellEnd"/>
      <w:r w:rsidRPr="00A54554">
        <w:rPr>
          <w:rFonts w:asciiTheme="majorHAnsi" w:eastAsia="Times New Roman" w:hAnsiTheme="majorHAnsi" w:cstheme="majorHAnsi"/>
          <w:sz w:val="20"/>
          <w:szCs w:val="20"/>
          <w:lang w:val="en-US" w:eastAsia="ko-KR"/>
        </w:rPr>
        <w:t xml:space="preserve"> et al. </w:t>
      </w:r>
      <w:sdt>
        <w:sdtPr>
          <w:rPr>
            <w:rFonts w:asciiTheme="majorHAnsi" w:eastAsia="Times New Roman" w:hAnsiTheme="majorHAnsi" w:cstheme="majorHAnsi"/>
            <w:sz w:val="20"/>
            <w:szCs w:val="20"/>
            <w:lang w:val="en-US" w:eastAsia="ko-KR"/>
          </w:rPr>
          <w:id w:val="-493884871"/>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Elk15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[38]</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Quranic recitation has a relatively slow word-per-second rate during prayers, making it acceptable to have some reverberation. In fact, according to </w:t>
      </w:r>
      <w:proofErr w:type="spellStart"/>
      <w:r w:rsidRPr="00A54554">
        <w:rPr>
          <w:rFonts w:asciiTheme="majorHAnsi" w:eastAsia="Times New Roman" w:hAnsiTheme="majorHAnsi" w:cstheme="majorHAnsi"/>
          <w:sz w:val="20"/>
          <w:szCs w:val="20"/>
          <w:lang w:val="en-US" w:eastAsia="ko-KR"/>
        </w:rPr>
        <w:t>Elkhateeb</w:t>
      </w:r>
      <w:proofErr w:type="spellEnd"/>
      <w:r w:rsidRPr="00A54554">
        <w:rPr>
          <w:rFonts w:asciiTheme="majorHAnsi" w:eastAsia="Times New Roman" w:hAnsiTheme="majorHAnsi" w:cstheme="majorHAnsi"/>
          <w:sz w:val="20"/>
          <w:szCs w:val="20"/>
          <w:lang w:val="en-US" w:eastAsia="ko-KR"/>
        </w:rPr>
        <w:t xml:space="preserve"> and Ismail </w:t>
      </w:r>
      <w:sdt>
        <w:sdtPr>
          <w:rPr>
            <w:rFonts w:asciiTheme="majorHAnsi" w:eastAsia="Times New Roman" w:hAnsiTheme="majorHAnsi" w:cstheme="majorHAnsi"/>
            <w:sz w:val="20"/>
            <w:szCs w:val="20"/>
            <w:lang w:val="en-US" w:eastAsia="ko-KR"/>
          </w:rPr>
          <w:id w:val="-1153217569"/>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Elk07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[42]</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 xml:space="preserve">, reverberation during prayers can enhance the sense of devotion. However, this differs for the sermon (khutbah), which has a relatively fast word-per-second rate. Therefore, excessive reverberation should be avoided in the sermon space to ensure the speaker's voice is heard clearly </w:t>
      </w:r>
      <w:sdt>
        <w:sdtPr>
          <w:rPr>
            <w:rFonts w:asciiTheme="majorHAnsi" w:eastAsia="Times New Roman" w:hAnsiTheme="majorHAnsi" w:cstheme="majorHAnsi"/>
            <w:sz w:val="20"/>
            <w:szCs w:val="20"/>
            <w:lang w:val="en-US" w:eastAsia="ko-KR"/>
          </w:rPr>
          <w:id w:val="553505878"/>
        </w:sdtPr>
        <w:sdtContent>
          <w:r w:rsidRPr="00A54554">
            <w:rPr>
              <w:rFonts w:asciiTheme="majorHAnsi" w:eastAsia="Times New Roman" w:hAnsiTheme="majorHAnsi" w:cstheme="majorHAnsi"/>
              <w:sz w:val="20"/>
              <w:szCs w:val="20"/>
              <w:lang w:val="en-US" w:eastAsia="ko-KR"/>
            </w:rPr>
            <w:fldChar w:fldCharType="begin"/>
          </w:r>
          <w:r w:rsidRPr="00A54554">
            <w:rPr>
              <w:rFonts w:asciiTheme="majorHAnsi" w:eastAsia="Times New Roman" w:hAnsiTheme="majorHAnsi" w:cstheme="majorHAnsi"/>
              <w:sz w:val="20"/>
              <w:szCs w:val="20"/>
              <w:lang w:val="en-US" w:eastAsia="ko-KR"/>
            </w:rPr>
            <w:instrText xml:space="preserve"> CITATION Elk15 \l 14345 </w:instrText>
          </w:r>
          <w:r w:rsidRPr="00A54554">
            <w:rPr>
              <w:rFonts w:asciiTheme="majorHAnsi" w:eastAsia="Times New Roman" w:hAnsiTheme="majorHAnsi" w:cstheme="majorHAnsi"/>
              <w:sz w:val="20"/>
              <w:szCs w:val="20"/>
              <w:lang w:val="en-US" w:eastAsia="ko-KR"/>
            </w:rPr>
            <w:fldChar w:fldCharType="separate"/>
          </w:r>
          <w:r w:rsidRPr="00A54554">
            <w:rPr>
              <w:rFonts w:asciiTheme="majorHAnsi" w:eastAsia="Times New Roman" w:hAnsiTheme="majorHAnsi" w:cstheme="majorHAnsi"/>
              <w:sz w:val="20"/>
              <w:szCs w:val="20"/>
              <w:lang w:val="en-US" w:eastAsia="ko-KR"/>
            </w:rPr>
            <w:t>[38]</w:t>
          </w:r>
          <w:r w:rsidRPr="00A54554">
            <w:rPr>
              <w:rFonts w:asciiTheme="majorHAnsi" w:eastAsia="Times New Roman" w:hAnsiTheme="majorHAnsi" w:cstheme="majorHAnsi"/>
              <w:sz w:val="20"/>
              <w:szCs w:val="20"/>
              <w:lang w:eastAsia="ko-KR"/>
            </w:rPr>
            <w:fldChar w:fldCharType="end"/>
          </w:r>
        </w:sdtContent>
      </w:sdt>
      <w:r w:rsidRPr="00A54554">
        <w:rPr>
          <w:rFonts w:asciiTheme="majorHAnsi" w:eastAsia="Times New Roman" w:hAnsiTheme="majorHAnsi" w:cstheme="majorHAnsi"/>
          <w:sz w:val="20"/>
          <w:szCs w:val="20"/>
          <w:lang w:val="en-US" w:eastAsia="ko-KR"/>
        </w:rPr>
        <w:t>.</w:t>
      </w:r>
    </w:p>
    <w:p w14:paraId="0E2CB459" w14:textId="77777777" w:rsidR="00A54554" w:rsidRDefault="00A54554" w:rsidP="00A54554">
      <w:pPr>
        <w:ind w:left="283" w:firstLine="284"/>
        <w:jc w:val="both"/>
        <w:rPr>
          <w:rFonts w:asciiTheme="majorHAnsi" w:eastAsia="Times New Roman" w:hAnsiTheme="majorHAnsi" w:cstheme="majorHAnsi"/>
          <w:sz w:val="20"/>
          <w:szCs w:val="20"/>
          <w:lang w:eastAsia="ko-KR"/>
        </w:rPr>
      </w:pPr>
    </w:p>
    <w:p w14:paraId="4397BC75" w14:textId="60F21234"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3A99FE43" w14:textId="22EDFAE6" w:rsidR="00A54554" w:rsidRDefault="00A54554" w:rsidP="00426E0F">
      <w:pPr>
        <w:ind w:firstLine="284"/>
        <w:jc w:val="both"/>
        <w:rPr>
          <w:rFonts w:asciiTheme="majorHAnsi" w:hAnsiTheme="majorHAnsi" w:cstheme="majorHAnsi"/>
          <w:sz w:val="20"/>
          <w:szCs w:val="20"/>
        </w:rPr>
      </w:pPr>
      <w:r w:rsidRPr="00A54554">
        <w:rPr>
          <w:rFonts w:asciiTheme="majorHAnsi" w:hAnsiTheme="majorHAnsi" w:cstheme="majorHAnsi"/>
          <w:sz w:val="20"/>
          <w:szCs w:val="20"/>
        </w:rPr>
        <w:t>This study demonstrates that mosques with open designs exhibit slightly higher speech intelligibility levels than those with closed designs, although the difference is not particularly significant. Generally, prayer in mosques involves worshippers who act as sound absorbers, which helps enhance speech intelligibility, especially if the initial acoustic quality of the mosque is poor. The simulation models in this research support the previously established theory that employing roofs with a large surface area-to-volume ratio and placing loudspeakers in appropriate locations can evenly distribute sound throughout the space, thereby improving speech intelligibility. However, although this study proves that whether a mosque is open or closed does not significantly impact speech intelligibility, this conclusion may not generalize to mosques with different volumes, geometries, and loudspeaker placements. Thus, the most effective approach is to incorporate acoustic considerations into the mosque's initial design process to ensure excellent acoustic quality.</w:t>
      </w:r>
    </w:p>
    <w:p w14:paraId="2087E75F" w14:textId="77777777" w:rsidR="00426E0F" w:rsidRDefault="00426E0F" w:rsidP="00426E0F">
      <w:pPr>
        <w:ind w:firstLine="284"/>
        <w:jc w:val="both"/>
        <w:rPr>
          <w:rFonts w:asciiTheme="majorHAnsi" w:hAnsiTheme="majorHAnsi" w:cstheme="majorHAnsi"/>
          <w:sz w:val="20"/>
          <w:szCs w:val="20"/>
        </w:rPr>
      </w:pPr>
    </w:p>
    <w:p w14:paraId="5E66DD1C" w14:textId="48563BD6"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05E17960" w14:textId="77777777" w:rsidR="00A54554" w:rsidRDefault="00A54554" w:rsidP="00536D0C">
      <w:pPr>
        <w:ind w:firstLine="284"/>
        <w:jc w:val="both"/>
        <w:rPr>
          <w:rFonts w:asciiTheme="majorHAnsi" w:hAnsiTheme="majorHAnsi" w:cstheme="majorHAnsi"/>
          <w:sz w:val="20"/>
          <w:szCs w:val="20"/>
        </w:rPr>
      </w:pPr>
      <w:r w:rsidRPr="00A54554">
        <w:rPr>
          <w:rFonts w:asciiTheme="majorHAnsi" w:hAnsiTheme="majorHAnsi" w:cstheme="majorHAnsi"/>
          <w:sz w:val="20"/>
          <w:szCs w:val="20"/>
        </w:rPr>
        <w:t>This research was made possible with the support of the Indonesia Endowment Fund for Education (LPDP), under the Ministry of Finance of the Republic of Indonesia, through Grant Identification Number 202404220201478</w:t>
      </w:r>
      <w:r>
        <w:rPr>
          <w:rFonts w:asciiTheme="majorHAnsi" w:hAnsiTheme="majorHAnsi" w:cstheme="majorHAnsi"/>
          <w:sz w:val="20"/>
          <w:szCs w:val="20"/>
        </w:rPr>
        <w:t>.</w:t>
      </w:r>
    </w:p>
    <w:p w14:paraId="2536EE23" w14:textId="77777777" w:rsidR="00502594" w:rsidRDefault="00502594" w:rsidP="00554438">
      <w:pPr>
        <w:jc w:val="both"/>
        <w:rPr>
          <w:rFonts w:asciiTheme="minorHAnsi" w:hAnsiTheme="minorHAnsi" w:cstheme="minorHAnsi"/>
          <w:b/>
          <w:bCs/>
        </w:rPr>
      </w:pPr>
    </w:p>
    <w:p w14:paraId="4272776B" w14:textId="7FE106FB"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525736C8" w14:textId="315C413A" w:rsidR="00A54554" w:rsidRDefault="00477FC8" w:rsidP="00426E0F">
      <w:pPr>
        <w:widowControl w:val="0"/>
        <w:autoSpaceDE w:val="0"/>
        <w:autoSpaceDN w:val="0"/>
        <w:adjustRightInd w:val="0"/>
        <w:ind w:left="283"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p>
    <w:tbl>
      <w:tblPr>
        <w:tblW w:w="5000" w:type="pct"/>
        <w:tblCellSpacing w:w="15" w:type="dxa"/>
        <w:tblLook w:val="04A0" w:firstRow="1" w:lastRow="0" w:firstColumn="1" w:lastColumn="0" w:noHBand="0" w:noVBand="1"/>
      </w:tblPr>
      <w:tblGrid>
        <w:gridCol w:w="9070"/>
      </w:tblGrid>
      <w:tr w:rsidR="00A54554" w:rsidRPr="00A54554" w14:paraId="27E10D6E" w14:textId="77777777">
        <w:trPr>
          <w:tblCellSpacing w:w="15" w:type="dxa"/>
        </w:trPr>
        <w:tc>
          <w:tcPr>
            <w:tcW w:w="4268" w:type="pct"/>
            <w:tcMar>
              <w:top w:w="15" w:type="dxa"/>
              <w:left w:w="15" w:type="dxa"/>
              <w:bottom w:w="15" w:type="dxa"/>
              <w:right w:w="15" w:type="dxa"/>
            </w:tcMar>
            <w:hideMark/>
          </w:tcPr>
          <w:p w14:paraId="76DD6E65"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Pew Research Center, "The Future of World Religions: Population Growth Projections, 2010-2050," Pew Research Center, 2 April 2015. [Online]. Available: https://www.pewresearch.org/religion/2015/04/02/religious-projections-2010-2050/. [Accessed 7 July 2024].</w:t>
            </w:r>
          </w:p>
        </w:tc>
      </w:tr>
      <w:tr w:rsidR="00A54554" w:rsidRPr="00A54554" w14:paraId="78BDA024" w14:textId="77777777">
        <w:trPr>
          <w:tblCellSpacing w:w="15" w:type="dxa"/>
        </w:trPr>
        <w:tc>
          <w:tcPr>
            <w:tcW w:w="4268" w:type="pct"/>
            <w:tcMar>
              <w:top w:w="15" w:type="dxa"/>
              <w:left w:w="15" w:type="dxa"/>
              <w:bottom w:w="15" w:type="dxa"/>
              <w:right w:w="15" w:type="dxa"/>
            </w:tcMar>
            <w:hideMark/>
          </w:tcPr>
          <w:p w14:paraId="7FCD0ECC"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J. M. Nejad, H. Azemati and A. S. H. Abad, "Investigating Sacred Architectural Values of Traditional Mosques Based on the Improvement of Spiritual Design Quality in the Architecture of Modern Mosques (Case Study: Traditional Mosques in Iran)," </w:t>
            </w:r>
            <w:r w:rsidRPr="00A54554">
              <w:rPr>
                <w:rFonts w:asciiTheme="majorHAnsi" w:hAnsiTheme="majorHAnsi" w:cstheme="majorHAnsi"/>
                <w:i/>
                <w:iCs/>
                <w:noProof/>
                <w:sz w:val="20"/>
                <w:szCs w:val="28"/>
                <w:lang w:val="en-US"/>
              </w:rPr>
              <w:t xml:space="preserve">Int. J. Architect. Eng. Urban Plan, </w:t>
            </w:r>
            <w:r w:rsidRPr="00A54554">
              <w:rPr>
                <w:rFonts w:asciiTheme="majorHAnsi" w:hAnsiTheme="majorHAnsi" w:cstheme="majorHAnsi"/>
                <w:noProof/>
                <w:sz w:val="20"/>
                <w:szCs w:val="28"/>
                <w:lang w:val="en-US"/>
              </w:rPr>
              <w:t xml:space="preserve">vol. 29, no. 1, pp. 47-59, 2019. </w:t>
            </w:r>
          </w:p>
        </w:tc>
      </w:tr>
      <w:tr w:rsidR="00A54554" w:rsidRPr="00A54554" w14:paraId="57BB6D6B" w14:textId="77777777">
        <w:trPr>
          <w:tblCellSpacing w:w="15" w:type="dxa"/>
        </w:trPr>
        <w:tc>
          <w:tcPr>
            <w:tcW w:w="4268" w:type="pct"/>
            <w:tcMar>
              <w:top w:w="15" w:type="dxa"/>
              <w:left w:w="15" w:type="dxa"/>
              <w:bottom w:w="15" w:type="dxa"/>
              <w:right w:w="15" w:type="dxa"/>
            </w:tcMar>
            <w:hideMark/>
          </w:tcPr>
          <w:p w14:paraId="018CA45B" w14:textId="77777777" w:rsidR="00426E0F" w:rsidRDefault="00A54554" w:rsidP="00426E0F">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R. S. M. Haerdy and H. E. Kusuma, "The Relationship Between Mosque Characteristics, Activities, and Perceptions of Spiritual Values," </w:t>
            </w:r>
            <w:r w:rsidRPr="00A54554">
              <w:rPr>
                <w:rFonts w:asciiTheme="majorHAnsi" w:hAnsiTheme="majorHAnsi" w:cstheme="majorHAnsi"/>
                <w:i/>
                <w:iCs/>
                <w:noProof/>
                <w:sz w:val="20"/>
                <w:szCs w:val="28"/>
                <w:lang w:val="en-US"/>
              </w:rPr>
              <w:t xml:space="preserve">Journal of Islamic Architecture, </w:t>
            </w:r>
            <w:r w:rsidRPr="00A54554">
              <w:rPr>
                <w:rFonts w:asciiTheme="majorHAnsi" w:hAnsiTheme="majorHAnsi" w:cstheme="majorHAnsi"/>
                <w:noProof/>
                <w:sz w:val="20"/>
                <w:szCs w:val="28"/>
                <w:lang w:val="en-US"/>
              </w:rPr>
              <w:t>vol. 7, no. 1, pp. 19-27, 2022. DOI: https://doi.org/10.18860/jia.v7i1.1308</w:t>
            </w:r>
          </w:p>
          <w:p w14:paraId="0C047AF7" w14:textId="77777777" w:rsidR="00426E0F" w:rsidRDefault="00426E0F" w:rsidP="00426E0F">
            <w:pPr>
              <w:pStyle w:val="ListParagraph"/>
              <w:widowControl w:val="0"/>
              <w:autoSpaceDE w:val="0"/>
              <w:autoSpaceDN w:val="0"/>
              <w:adjustRightInd w:val="0"/>
              <w:spacing w:before="20" w:after="20"/>
              <w:ind w:left="709"/>
              <w:jc w:val="both"/>
              <w:rPr>
                <w:rFonts w:asciiTheme="majorHAnsi" w:hAnsiTheme="majorHAnsi" w:cstheme="majorHAnsi"/>
                <w:noProof/>
                <w:sz w:val="20"/>
                <w:szCs w:val="28"/>
                <w:lang w:val="en-US"/>
              </w:rPr>
            </w:pPr>
          </w:p>
          <w:p w14:paraId="1DB584FC" w14:textId="45957454" w:rsidR="00426E0F" w:rsidRPr="00426E0F" w:rsidRDefault="00426E0F" w:rsidP="00426E0F">
            <w:pPr>
              <w:pStyle w:val="ListParagraph"/>
              <w:widowControl w:val="0"/>
              <w:autoSpaceDE w:val="0"/>
              <w:autoSpaceDN w:val="0"/>
              <w:adjustRightInd w:val="0"/>
              <w:spacing w:before="20" w:after="20"/>
              <w:ind w:left="709"/>
              <w:jc w:val="both"/>
              <w:rPr>
                <w:rFonts w:asciiTheme="majorHAnsi" w:hAnsiTheme="majorHAnsi" w:cstheme="majorHAnsi"/>
                <w:noProof/>
                <w:sz w:val="20"/>
                <w:szCs w:val="28"/>
                <w:lang w:val="en-US"/>
              </w:rPr>
            </w:pPr>
          </w:p>
        </w:tc>
      </w:tr>
      <w:tr w:rsidR="00A54554" w:rsidRPr="00A54554" w14:paraId="56463F16" w14:textId="77777777">
        <w:trPr>
          <w:tblCellSpacing w:w="15" w:type="dxa"/>
        </w:trPr>
        <w:tc>
          <w:tcPr>
            <w:tcW w:w="4268" w:type="pct"/>
            <w:tcMar>
              <w:top w:w="15" w:type="dxa"/>
              <w:left w:w="15" w:type="dxa"/>
              <w:bottom w:w="15" w:type="dxa"/>
              <w:right w:w="15" w:type="dxa"/>
            </w:tcMar>
            <w:hideMark/>
          </w:tcPr>
          <w:p w14:paraId="4C6192B6"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lastRenderedPageBreak/>
              <w:t xml:space="preserve">M. S. Barliana, "Perkembangan arsitektur masjid: Suatu bentuk transformasi dan ruang," </w:t>
            </w:r>
            <w:r w:rsidRPr="00A54554">
              <w:rPr>
                <w:rFonts w:asciiTheme="majorHAnsi" w:hAnsiTheme="majorHAnsi" w:cstheme="majorHAnsi"/>
                <w:i/>
                <w:iCs/>
                <w:noProof/>
                <w:sz w:val="20"/>
                <w:szCs w:val="28"/>
                <w:lang w:val="en-US"/>
              </w:rPr>
              <w:t xml:space="preserve">HISTORIA, </w:t>
            </w:r>
            <w:r w:rsidRPr="00A54554">
              <w:rPr>
                <w:rFonts w:asciiTheme="majorHAnsi" w:hAnsiTheme="majorHAnsi" w:cstheme="majorHAnsi"/>
                <w:noProof/>
                <w:sz w:val="20"/>
                <w:szCs w:val="28"/>
                <w:lang w:val="en-US"/>
              </w:rPr>
              <w:t xml:space="preserve">vol. 9, no. 2, 2008. </w:t>
            </w:r>
          </w:p>
        </w:tc>
      </w:tr>
      <w:tr w:rsidR="00A54554" w:rsidRPr="00A54554" w14:paraId="70410467" w14:textId="77777777">
        <w:trPr>
          <w:tblCellSpacing w:w="15" w:type="dxa"/>
        </w:trPr>
        <w:tc>
          <w:tcPr>
            <w:tcW w:w="4268" w:type="pct"/>
            <w:tcMar>
              <w:top w:w="15" w:type="dxa"/>
              <w:left w:w="15" w:type="dxa"/>
              <w:bottom w:w="15" w:type="dxa"/>
              <w:right w:w="15" w:type="dxa"/>
            </w:tcMar>
            <w:hideMark/>
          </w:tcPr>
          <w:p w14:paraId="5FEF0934"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I. A. F. I. Wirakusumah, "The dynamics of meaning in mosque architecture: A study of old and modern mosques in West Java Indonesia. Case study: Sang Cipta Rasa Mosque-Cirebon and Salman Mosque-Bandung," </w:t>
            </w:r>
            <w:r w:rsidRPr="00A54554">
              <w:rPr>
                <w:rFonts w:asciiTheme="majorHAnsi" w:hAnsiTheme="majorHAnsi" w:cstheme="majorHAnsi"/>
                <w:i/>
                <w:iCs/>
                <w:noProof/>
                <w:sz w:val="20"/>
                <w:szCs w:val="28"/>
                <w:lang w:val="en-US"/>
              </w:rPr>
              <w:t xml:space="preserve">ARTEKS; Jurnal Teknik Arsitektur, </w:t>
            </w:r>
            <w:r w:rsidRPr="00A54554">
              <w:rPr>
                <w:rFonts w:asciiTheme="majorHAnsi" w:hAnsiTheme="majorHAnsi" w:cstheme="majorHAnsi"/>
                <w:noProof/>
                <w:sz w:val="20"/>
                <w:szCs w:val="28"/>
                <w:lang w:val="en-US"/>
              </w:rPr>
              <w:t>vol. 7, no. 1, pp. 143-154, 2022. DOI: https://doi.org/10.30822/arteks.v7i1.1457</w:t>
            </w:r>
          </w:p>
        </w:tc>
      </w:tr>
      <w:tr w:rsidR="00A54554" w:rsidRPr="00A54554" w14:paraId="48CB60EC" w14:textId="77777777">
        <w:trPr>
          <w:tblCellSpacing w:w="15" w:type="dxa"/>
        </w:trPr>
        <w:tc>
          <w:tcPr>
            <w:tcW w:w="4268" w:type="pct"/>
            <w:tcMar>
              <w:top w:w="15" w:type="dxa"/>
              <w:left w:w="15" w:type="dxa"/>
              <w:bottom w:w="15" w:type="dxa"/>
              <w:right w:w="15" w:type="dxa"/>
            </w:tcMar>
            <w:hideMark/>
          </w:tcPr>
          <w:p w14:paraId="0952CE92"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M. Frishman and H.-U. Khan, </w:t>
            </w:r>
            <w:r w:rsidRPr="00A54554">
              <w:rPr>
                <w:rFonts w:asciiTheme="majorHAnsi" w:hAnsiTheme="majorHAnsi" w:cstheme="majorHAnsi"/>
                <w:i/>
                <w:iCs/>
                <w:noProof/>
                <w:sz w:val="20"/>
                <w:szCs w:val="28"/>
                <w:lang w:val="en-US"/>
              </w:rPr>
              <w:t>The mosque: History, architectural development &amp; regional diversity new ed edition</w:t>
            </w:r>
            <w:r w:rsidRPr="00A54554">
              <w:rPr>
                <w:rFonts w:asciiTheme="majorHAnsi" w:hAnsiTheme="majorHAnsi" w:cstheme="majorHAnsi"/>
                <w:noProof/>
                <w:sz w:val="20"/>
                <w:szCs w:val="28"/>
                <w:lang w:val="en-US"/>
              </w:rPr>
              <w:t xml:space="preserve">, New York: Thames &amp; Hudson Ltd., 2002. </w:t>
            </w:r>
          </w:p>
        </w:tc>
      </w:tr>
      <w:tr w:rsidR="00A54554" w:rsidRPr="00A54554" w14:paraId="1475B083" w14:textId="77777777">
        <w:trPr>
          <w:tblCellSpacing w:w="15" w:type="dxa"/>
        </w:trPr>
        <w:tc>
          <w:tcPr>
            <w:tcW w:w="4268" w:type="pct"/>
            <w:tcMar>
              <w:top w:w="15" w:type="dxa"/>
              <w:left w:w="15" w:type="dxa"/>
              <w:bottom w:w="15" w:type="dxa"/>
              <w:right w:w="15" w:type="dxa"/>
            </w:tcMar>
            <w:hideMark/>
          </w:tcPr>
          <w:p w14:paraId="3D522C2E"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R. T. Novita, L. H. Sari and A. Ariatsyah, "An Appraisal of Indoor Thermal Comfort In A Naturally-Ventilated Modified Old Mosque in Banda Aceh, Indonesia," </w:t>
            </w:r>
            <w:r w:rsidRPr="00A54554">
              <w:rPr>
                <w:rFonts w:asciiTheme="majorHAnsi" w:hAnsiTheme="majorHAnsi" w:cstheme="majorHAnsi"/>
                <w:i/>
                <w:iCs/>
                <w:noProof/>
                <w:sz w:val="20"/>
                <w:szCs w:val="28"/>
                <w:lang w:val="en-US"/>
              </w:rPr>
              <w:t xml:space="preserve">Journal of Islamic Architecture, </w:t>
            </w:r>
            <w:r w:rsidRPr="00A54554">
              <w:rPr>
                <w:rFonts w:asciiTheme="majorHAnsi" w:hAnsiTheme="majorHAnsi" w:cstheme="majorHAnsi"/>
                <w:noProof/>
                <w:sz w:val="20"/>
                <w:szCs w:val="28"/>
                <w:lang w:val="en-US"/>
              </w:rPr>
              <w:t>vol. 7, no. 3, pp. 364-370, 2023. DOI: https://doi.org/10.18860/jia.v7i3.17131</w:t>
            </w:r>
          </w:p>
        </w:tc>
      </w:tr>
      <w:tr w:rsidR="00A54554" w:rsidRPr="00A54554" w14:paraId="0855B13C" w14:textId="77777777">
        <w:trPr>
          <w:tblCellSpacing w:w="15" w:type="dxa"/>
        </w:trPr>
        <w:tc>
          <w:tcPr>
            <w:tcW w:w="4268" w:type="pct"/>
            <w:tcMar>
              <w:top w:w="15" w:type="dxa"/>
              <w:left w:w="15" w:type="dxa"/>
              <w:bottom w:w="15" w:type="dxa"/>
              <w:right w:w="15" w:type="dxa"/>
            </w:tcMar>
            <w:hideMark/>
          </w:tcPr>
          <w:p w14:paraId="0201563A"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N. Utaberta, K. A. Kosman and A. S. M. Tazilan, "Tipologi Reka Bentuk Masjid Tradisional di Indonesia," </w:t>
            </w:r>
            <w:r w:rsidRPr="00A54554">
              <w:rPr>
                <w:rFonts w:asciiTheme="majorHAnsi" w:hAnsiTheme="majorHAnsi" w:cstheme="majorHAnsi"/>
                <w:i/>
                <w:iCs/>
                <w:noProof/>
                <w:sz w:val="20"/>
                <w:szCs w:val="28"/>
                <w:lang w:val="en-US"/>
              </w:rPr>
              <w:t xml:space="preserve">International Journal of the Malay World and Civilisation, </w:t>
            </w:r>
            <w:r w:rsidRPr="00A54554">
              <w:rPr>
                <w:rFonts w:asciiTheme="majorHAnsi" w:hAnsiTheme="majorHAnsi" w:cstheme="majorHAnsi"/>
                <w:noProof/>
                <w:sz w:val="20"/>
                <w:szCs w:val="28"/>
                <w:lang w:val="en-US"/>
              </w:rPr>
              <w:t xml:space="preserve">vol. 27, no. 2, pp. 229-245, 2009. </w:t>
            </w:r>
          </w:p>
        </w:tc>
      </w:tr>
      <w:tr w:rsidR="00A54554" w:rsidRPr="00A54554" w14:paraId="0A6FB25D" w14:textId="77777777">
        <w:trPr>
          <w:tblCellSpacing w:w="15" w:type="dxa"/>
        </w:trPr>
        <w:tc>
          <w:tcPr>
            <w:tcW w:w="4268" w:type="pct"/>
            <w:tcMar>
              <w:top w:w="15" w:type="dxa"/>
              <w:left w:w="15" w:type="dxa"/>
              <w:bottom w:w="15" w:type="dxa"/>
              <w:right w:w="15" w:type="dxa"/>
            </w:tcMar>
            <w:hideMark/>
          </w:tcPr>
          <w:p w14:paraId="5A7D0D2F"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K. Rad, M. Zarei, H. R. Pourghasemi and J. P. Tiefenbacher, "The COVID-19 crisis and its consequences for global warming and climate change," </w:t>
            </w:r>
            <w:r w:rsidRPr="00A54554">
              <w:rPr>
                <w:rFonts w:asciiTheme="majorHAnsi" w:hAnsiTheme="majorHAnsi" w:cstheme="majorHAnsi"/>
                <w:i/>
                <w:iCs/>
                <w:noProof/>
                <w:sz w:val="20"/>
                <w:szCs w:val="28"/>
                <w:lang w:val="en-US"/>
              </w:rPr>
              <w:t xml:space="preserve">Computers in Earth and Environmental Sciences, </w:t>
            </w:r>
            <w:r w:rsidRPr="00A54554">
              <w:rPr>
                <w:rFonts w:asciiTheme="majorHAnsi" w:hAnsiTheme="majorHAnsi" w:cstheme="majorHAnsi"/>
                <w:noProof/>
                <w:sz w:val="20"/>
                <w:szCs w:val="28"/>
                <w:lang w:val="en-US"/>
              </w:rPr>
              <w:t>pp. 377-385, 2022. Doi:  https://doi.org/10.1016/B978-0-323-89861-4.00006-3</w:t>
            </w:r>
          </w:p>
        </w:tc>
      </w:tr>
      <w:tr w:rsidR="00A54554" w:rsidRPr="00A54554" w14:paraId="5DF05690" w14:textId="77777777">
        <w:trPr>
          <w:tblCellSpacing w:w="15" w:type="dxa"/>
        </w:trPr>
        <w:tc>
          <w:tcPr>
            <w:tcW w:w="4268" w:type="pct"/>
            <w:tcMar>
              <w:top w:w="15" w:type="dxa"/>
              <w:left w:w="15" w:type="dxa"/>
              <w:bottom w:w="15" w:type="dxa"/>
              <w:right w:w="15" w:type="dxa"/>
            </w:tcMar>
            <w:hideMark/>
          </w:tcPr>
          <w:p w14:paraId="7A1A4C5C"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P. Romano, E. Prataviera, L. Carnieletto, J. Vivian, M. Zinzi and A. Zarrella, "Assessment of the Urban Heat Island Impact on Building Energy Performance at District Level with the EUReCA Platform," </w:t>
            </w:r>
            <w:r w:rsidRPr="00A54554">
              <w:rPr>
                <w:rFonts w:asciiTheme="majorHAnsi" w:hAnsiTheme="majorHAnsi" w:cstheme="majorHAnsi"/>
                <w:i/>
                <w:iCs/>
                <w:noProof/>
                <w:sz w:val="20"/>
                <w:szCs w:val="28"/>
                <w:lang w:val="en-US"/>
              </w:rPr>
              <w:t xml:space="preserve">Climate, </w:t>
            </w:r>
            <w:r w:rsidRPr="00A54554">
              <w:rPr>
                <w:rFonts w:asciiTheme="majorHAnsi" w:hAnsiTheme="majorHAnsi" w:cstheme="majorHAnsi"/>
                <w:noProof/>
                <w:sz w:val="20"/>
                <w:szCs w:val="28"/>
                <w:lang w:val="en-US"/>
              </w:rPr>
              <w:t>vol. 9, no. 3, p. 48, 2021. Doi: https://doi.org/10.3390/cli9030048</w:t>
            </w:r>
          </w:p>
        </w:tc>
      </w:tr>
      <w:tr w:rsidR="00A54554" w:rsidRPr="00A54554" w14:paraId="6FB81337" w14:textId="77777777">
        <w:trPr>
          <w:tblCellSpacing w:w="15" w:type="dxa"/>
        </w:trPr>
        <w:tc>
          <w:tcPr>
            <w:tcW w:w="4268" w:type="pct"/>
            <w:tcMar>
              <w:top w:w="15" w:type="dxa"/>
              <w:left w:w="15" w:type="dxa"/>
              <w:bottom w:w="15" w:type="dxa"/>
              <w:right w:w="15" w:type="dxa"/>
            </w:tcMar>
            <w:hideMark/>
          </w:tcPr>
          <w:p w14:paraId="6835B6F0"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D. P. Sari, "A Review of How Building Mitigates the Urban Heat Island in Indonesia and Tropical Cities," </w:t>
            </w:r>
            <w:r w:rsidRPr="00A54554">
              <w:rPr>
                <w:rFonts w:asciiTheme="majorHAnsi" w:hAnsiTheme="majorHAnsi" w:cstheme="majorHAnsi"/>
                <w:i/>
                <w:iCs/>
                <w:noProof/>
                <w:sz w:val="20"/>
                <w:szCs w:val="28"/>
                <w:lang w:val="en-US"/>
              </w:rPr>
              <w:t xml:space="preserve">Earth, </w:t>
            </w:r>
            <w:r w:rsidRPr="00A54554">
              <w:rPr>
                <w:rFonts w:asciiTheme="majorHAnsi" w:hAnsiTheme="majorHAnsi" w:cstheme="majorHAnsi"/>
                <w:noProof/>
                <w:sz w:val="20"/>
                <w:szCs w:val="28"/>
                <w:lang w:val="en-US"/>
              </w:rPr>
              <w:t>vol. 2, no. 3, pp. 653-666, 2021. DOI: https://doi.org/10.3390/earth2030038</w:t>
            </w:r>
          </w:p>
        </w:tc>
      </w:tr>
      <w:tr w:rsidR="00A54554" w:rsidRPr="00A54554" w14:paraId="60CA2DA2" w14:textId="77777777">
        <w:trPr>
          <w:tblCellSpacing w:w="15" w:type="dxa"/>
        </w:trPr>
        <w:tc>
          <w:tcPr>
            <w:tcW w:w="4268" w:type="pct"/>
            <w:tcMar>
              <w:top w:w="15" w:type="dxa"/>
              <w:left w:w="15" w:type="dxa"/>
              <w:bottom w:w="15" w:type="dxa"/>
              <w:right w:w="15" w:type="dxa"/>
            </w:tcMar>
            <w:hideMark/>
          </w:tcPr>
          <w:p w14:paraId="03C612C1"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D. Susanto, G.A.F. Rahayu "Daylight Analysis in Low-Cost Apartments in Jakarta," in </w:t>
            </w:r>
            <w:r w:rsidRPr="00A54554">
              <w:rPr>
                <w:rFonts w:asciiTheme="majorHAnsi" w:hAnsiTheme="majorHAnsi" w:cstheme="majorHAnsi"/>
                <w:i/>
                <w:iCs/>
                <w:noProof/>
                <w:sz w:val="20"/>
                <w:szCs w:val="28"/>
                <w:lang w:val="en-US"/>
              </w:rPr>
              <w:t>2018 2nd International Conference on Smart Grid and Smart Cities (ICSGSC)</w:t>
            </w:r>
            <w:r w:rsidRPr="00A54554">
              <w:rPr>
                <w:rFonts w:asciiTheme="majorHAnsi" w:hAnsiTheme="majorHAnsi" w:cstheme="majorHAnsi"/>
                <w:noProof/>
                <w:sz w:val="20"/>
                <w:szCs w:val="28"/>
                <w:lang w:val="en-US"/>
              </w:rPr>
              <w:t xml:space="preserve">, Kuala Lumpur, 2018. </w:t>
            </w:r>
          </w:p>
        </w:tc>
      </w:tr>
      <w:tr w:rsidR="00A54554" w:rsidRPr="00A54554" w14:paraId="52C70587" w14:textId="77777777">
        <w:trPr>
          <w:tblCellSpacing w:w="15" w:type="dxa"/>
        </w:trPr>
        <w:tc>
          <w:tcPr>
            <w:tcW w:w="4268" w:type="pct"/>
            <w:tcMar>
              <w:top w:w="15" w:type="dxa"/>
              <w:left w:w="15" w:type="dxa"/>
              <w:bottom w:w="15" w:type="dxa"/>
              <w:right w:w="15" w:type="dxa"/>
            </w:tcMar>
            <w:hideMark/>
          </w:tcPr>
          <w:p w14:paraId="68EEC09B" w14:textId="77777777" w:rsid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S. Torresin, R. Albatici, F. Aletta, F. Babich, T. Oberman and J. Kang, "Acoustic Design Criteria in Naturally Ventilated Residential Buildings: New Research Perspectives by Applying the Indoor Soundscape Approach," </w:t>
            </w:r>
            <w:r w:rsidRPr="00A54554">
              <w:rPr>
                <w:rFonts w:asciiTheme="majorHAnsi" w:hAnsiTheme="majorHAnsi" w:cstheme="majorHAnsi"/>
                <w:i/>
                <w:iCs/>
                <w:noProof/>
                <w:sz w:val="20"/>
                <w:szCs w:val="28"/>
                <w:lang w:val="en-US"/>
              </w:rPr>
              <w:t xml:space="preserve">Applied Sciences, </w:t>
            </w:r>
            <w:r w:rsidRPr="00A54554">
              <w:rPr>
                <w:rFonts w:asciiTheme="majorHAnsi" w:hAnsiTheme="majorHAnsi" w:cstheme="majorHAnsi"/>
                <w:noProof/>
                <w:sz w:val="20"/>
                <w:szCs w:val="28"/>
                <w:lang w:val="en-US"/>
              </w:rPr>
              <w:t xml:space="preserve">vol. 9, no. 24, 2019. DOI: https://doi.org/10.3390/app9245401. </w:t>
            </w:r>
          </w:p>
          <w:p w14:paraId="4745908B" w14:textId="77777777" w:rsidR="00A54554" w:rsidRPr="00A54554" w:rsidRDefault="00A54554" w:rsidP="00A54554">
            <w:pPr>
              <w:pStyle w:val="ListParagraph"/>
              <w:widowControl w:val="0"/>
              <w:autoSpaceDE w:val="0"/>
              <w:autoSpaceDN w:val="0"/>
              <w:adjustRightInd w:val="0"/>
              <w:spacing w:before="20" w:after="20"/>
              <w:ind w:left="709"/>
              <w:jc w:val="both"/>
              <w:rPr>
                <w:rFonts w:asciiTheme="majorHAnsi" w:hAnsiTheme="majorHAnsi" w:cstheme="majorHAnsi"/>
                <w:noProof/>
                <w:sz w:val="20"/>
                <w:szCs w:val="28"/>
                <w:lang w:val="en-US"/>
              </w:rPr>
            </w:pPr>
          </w:p>
        </w:tc>
      </w:tr>
      <w:tr w:rsidR="00A54554" w:rsidRPr="00A54554" w14:paraId="086971E8" w14:textId="77777777">
        <w:trPr>
          <w:tblCellSpacing w:w="15" w:type="dxa"/>
        </w:trPr>
        <w:tc>
          <w:tcPr>
            <w:tcW w:w="4268" w:type="pct"/>
            <w:tcMar>
              <w:top w:w="15" w:type="dxa"/>
              <w:left w:w="15" w:type="dxa"/>
              <w:bottom w:w="15" w:type="dxa"/>
              <w:right w:w="15" w:type="dxa"/>
            </w:tcMar>
            <w:hideMark/>
          </w:tcPr>
          <w:p w14:paraId="382BEE80"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E. Azar, W. O’Brien, S. Carlucci, T. Hong, A. Sonta, J. Kim, M. S. Andargie, T. Abuimara, M. E. Asmar, R. K. Jain, M. M. Ouf, F. Tahmasebi and J. Zhou, "Simulation-aided occupant-centric building design: A critical review of tools, methods, and applications," </w:t>
            </w:r>
            <w:r w:rsidRPr="00A54554">
              <w:rPr>
                <w:rFonts w:asciiTheme="majorHAnsi" w:hAnsiTheme="majorHAnsi" w:cstheme="majorHAnsi"/>
                <w:i/>
                <w:iCs/>
                <w:noProof/>
                <w:sz w:val="20"/>
                <w:szCs w:val="28"/>
                <w:lang w:val="en-US"/>
              </w:rPr>
              <w:t xml:space="preserve">Energy and Buildings, </w:t>
            </w:r>
            <w:r w:rsidRPr="00A54554">
              <w:rPr>
                <w:rFonts w:asciiTheme="majorHAnsi" w:hAnsiTheme="majorHAnsi" w:cstheme="majorHAnsi"/>
                <w:noProof/>
                <w:sz w:val="20"/>
                <w:szCs w:val="28"/>
                <w:lang w:val="en-US"/>
              </w:rPr>
              <w:t xml:space="preserve">vol. 224, 2020. DOI: https://doi.org/10.1016/j.enbuild.2020.110292 . </w:t>
            </w:r>
          </w:p>
        </w:tc>
      </w:tr>
      <w:tr w:rsidR="00A54554" w:rsidRPr="00A54554" w14:paraId="472F5055" w14:textId="77777777">
        <w:trPr>
          <w:tblCellSpacing w:w="15" w:type="dxa"/>
        </w:trPr>
        <w:tc>
          <w:tcPr>
            <w:tcW w:w="4268" w:type="pct"/>
            <w:tcMar>
              <w:top w:w="15" w:type="dxa"/>
              <w:left w:w="15" w:type="dxa"/>
              <w:bottom w:w="15" w:type="dxa"/>
              <w:right w:w="15" w:type="dxa"/>
            </w:tcMar>
            <w:hideMark/>
          </w:tcPr>
          <w:p w14:paraId="504376BF"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N.-G. Vardaxis, D. Bard and K. P. Waye, "Review of acoustic comfort evaluation in dwellings—part I: Associations of acoustic field data to subjective responses from building surveys," </w:t>
            </w:r>
            <w:r w:rsidRPr="00A54554">
              <w:rPr>
                <w:rFonts w:asciiTheme="majorHAnsi" w:hAnsiTheme="majorHAnsi" w:cstheme="majorHAnsi"/>
                <w:i/>
                <w:iCs/>
                <w:noProof/>
                <w:sz w:val="20"/>
                <w:szCs w:val="28"/>
                <w:lang w:val="en-US"/>
              </w:rPr>
              <w:t xml:space="preserve">Building Acoustic, </w:t>
            </w:r>
            <w:r w:rsidRPr="00A54554">
              <w:rPr>
                <w:rFonts w:asciiTheme="majorHAnsi" w:hAnsiTheme="majorHAnsi" w:cstheme="majorHAnsi"/>
                <w:noProof/>
                <w:sz w:val="20"/>
                <w:szCs w:val="28"/>
                <w:lang w:val="en-US"/>
              </w:rPr>
              <w:t>vol. 25, no. 4, pp. 151-171, 2018.DOI: https://doi.org/10.1177/1351010X18762687</w:t>
            </w:r>
          </w:p>
        </w:tc>
      </w:tr>
      <w:tr w:rsidR="00A54554" w:rsidRPr="00A54554" w14:paraId="425DCD79" w14:textId="77777777">
        <w:trPr>
          <w:tblCellSpacing w:w="15" w:type="dxa"/>
        </w:trPr>
        <w:tc>
          <w:tcPr>
            <w:tcW w:w="4268" w:type="pct"/>
            <w:tcMar>
              <w:top w:w="15" w:type="dxa"/>
              <w:left w:w="15" w:type="dxa"/>
              <w:bottom w:w="15" w:type="dxa"/>
              <w:right w:w="15" w:type="dxa"/>
            </w:tcMar>
            <w:hideMark/>
          </w:tcPr>
          <w:p w14:paraId="7D29A9A3"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R. Othman, C. M. Harith, N. Ibrahim and S. S. Ahmad, "The importance of acoustic design in the mosques towards the worshipers’ comfort," </w:t>
            </w:r>
            <w:r w:rsidRPr="00A54554">
              <w:rPr>
                <w:rFonts w:asciiTheme="majorHAnsi" w:hAnsiTheme="majorHAnsi" w:cstheme="majorHAnsi"/>
                <w:i/>
                <w:iCs/>
                <w:noProof/>
                <w:sz w:val="20"/>
                <w:szCs w:val="28"/>
                <w:lang w:val="en-US"/>
              </w:rPr>
              <w:t xml:space="preserve">Procedia - Social and Behavioral Sciences, </w:t>
            </w:r>
            <w:r w:rsidRPr="00A54554">
              <w:rPr>
                <w:rFonts w:asciiTheme="majorHAnsi" w:hAnsiTheme="majorHAnsi" w:cstheme="majorHAnsi"/>
                <w:noProof/>
                <w:sz w:val="20"/>
                <w:szCs w:val="28"/>
                <w:lang w:val="en-US"/>
              </w:rPr>
              <w:t>vol. 234, pp. 45-54, 2016. DOI: https://doi.org/10.1016/j.sbspro.2016.10.218</w:t>
            </w:r>
          </w:p>
        </w:tc>
      </w:tr>
      <w:tr w:rsidR="00A54554" w:rsidRPr="00A54554" w14:paraId="5C8854F9" w14:textId="77777777">
        <w:trPr>
          <w:tblCellSpacing w:w="15" w:type="dxa"/>
        </w:trPr>
        <w:tc>
          <w:tcPr>
            <w:tcW w:w="4268" w:type="pct"/>
            <w:tcMar>
              <w:top w:w="15" w:type="dxa"/>
              <w:left w:w="15" w:type="dxa"/>
              <w:bottom w:w="15" w:type="dxa"/>
              <w:right w:w="15" w:type="dxa"/>
            </w:tcMar>
            <w:hideMark/>
          </w:tcPr>
          <w:p w14:paraId="23A06D28"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D. M. Howard and J. A. S. Angus, </w:t>
            </w:r>
            <w:r w:rsidRPr="00A54554">
              <w:rPr>
                <w:rFonts w:asciiTheme="majorHAnsi" w:hAnsiTheme="majorHAnsi" w:cstheme="majorHAnsi"/>
                <w:i/>
                <w:iCs/>
                <w:noProof/>
                <w:sz w:val="20"/>
                <w:szCs w:val="28"/>
                <w:lang w:val="en-US"/>
              </w:rPr>
              <w:t>Acoustics and psychoacoustics (5th ed.),</w:t>
            </w:r>
            <w:r w:rsidRPr="00A54554">
              <w:rPr>
                <w:rFonts w:asciiTheme="majorHAnsi" w:hAnsiTheme="majorHAnsi" w:cstheme="majorHAnsi"/>
                <w:noProof/>
                <w:sz w:val="20"/>
                <w:szCs w:val="28"/>
                <w:lang w:val="en-US"/>
              </w:rPr>
              <w:t xml:space="preserve"> New York: Routledge, 2017. </w:t>
            </w:r>
          </w:p>
        </w:tc>
      </w:tr>
      <w:tr w:rsidR="00A54554" w:rsidRPr="00A54554" w14:paraId="674AEEE6" w14:textId="77777777">
        <w:trPr>
          <w:tblCellSpacing w:w="15" w:type="dxa"/>
        </w:trPr>
        <w:tc>
          <w:tcPr>
            <w:tcW w:w="4268" w:type="pct"/>
            <w:tcMar>
              <w:top w:w="15" w:type="dxa"/>
              <w:left w:w="15" w:type="dxa"/>
              <w:bottom w:w="15" w:type="dxa"/>
              <w:right w:w="15" w:type="dxa"/>
            </w:tcMar>
            <w:hideMark/>
          </w:tcPr>
          <w:p w14:paraId="7530AC32"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A. Abdou, "Comparison of the acoustical performance of mosque geometry using computer model studies," in </w:t>
            </w:r>
            <w:r w:rsidRPr="00A54554">
              <w:rPr>
                <w:rFonts w:asciiTheme="majorHAnsi" w:hAnsiTheme="majorHAnsi" w:cstheme="majorHAnsi"/>
                <w:i/>
                <w:iCs/>
                <w:noProof/>
                <w:sz w:val="20"/>
                <w:szCs w:val="28"/>
                <w:lang w:val="en-US"/>
              </w:rPr>
              <w:t>Eighth International IBPSA Conference</w:t>
            </w:r>
            <w:r w:rsidRPr="00A54554">
              <w:rPr>
                <w:rFonts w:asciiTheme="majorHAnsi" w:hAnsiTheme="majorHAnsi" w:cstheme="majorHAnsi"/>
                <w:noProof/>
                <w:sz w:val="20"/>
                <w:szCs w:val="28"/>
                <w:lang w:val="en-US"/>
              </w:rPr>
              <w:t xml:space="preserve">, Eindhoven, The Netherlands, 2003. </w:t>
            </w:r>
          </w:p>
        </w:tc>
      </w:tr>
      <w:tr w:rsidR="00A54554" w:rsidRPr="00A54554" w14:paraId="049CFD27" w14:textId="77777777">
        <w:trPr>
          <w:tblCellSpacing w:w="15" w:type="dxa"/>
        </w:trPr>
        <w:tc>
          <w:tcPr>
            <w:tcW w:w="4268" w:type="pct"/>
            <w:tcMar>
              <w:top w:w="15" w:type="dxa"/>
              <w:left w:w="15" w:type="dxa"/>
              <w:bottom w:w="15" w:type="dxa"/>
              <w:right w:w="15" w:type="dxa"/>
            </w:tcMar>
            <w:hideMark/>
          </w:tcPr>
          <w:p w14:paraId="40BBEDC2"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M. R. Ismail, "A paramteric investigation of the acoustical performance of contemporary mosques," </w:t>
            </w:r>
            <w:r w:rsidRPr="00A54554">
              <w:rPr>
                <w:rFonts w:asciiTheme="majorHAnsi" w:hAnsiTheme="majorHAnsi" w:cstheme="majorHAnsi"/>
                <w:i/>
                <w:iCs/>
                <w:noProof/>
                <w:sz w:val="20"/>
                <w:szCs w:val="28"/>
                <w:lang w:val="en-US"/>
              </w:rPr>
              <w:t xml:space="preserve">Frontiers of Architectural Research, </w:t>
            </w:r>
            <w:r w:rsidRPr="00A54554">
              <w:rPr>
                <w:rFonts w:asciiTheme="majorHAnsi" w:hAnsiTheme="majorHAnsi" w:cstheme="majorHAnsi"/>
                <w:noProof/>
                <w:sz w:val="20"/>
                <w:szCs w:val="28"/>
                <w:lang w:val="en-US"/>
              </w:rPr>
              <w:t>vol. 2, no. 1, pp. 30-41, 2013. DOI:  https://doi.org/10.1016/j.foar.2012.11.002</w:t>
            </w:r>
          </w:p>
        </w:tc>
      </w:tr>
      <w:tr w:rsidR="00A54554" w:rsidRPr="00A54554" w14:paraId="7A7E7063" w14:textId="77777777">
        <w:trPr>
          <w:tblCellSpacing w:w="15" w:type="dxa"/>
        </w:trPr>
        <w:tc>
          <w:tcPr>
            <w:tcW w:w="4268" w:type="pct"/>
            <w:tcMar>
              <w:top w:w="15" w:type="dxa"/>
              <w:left w:w="15" w:type="dxa"/>
              <w:bottom w:w="15" w:type="dxa"/>
              <w:right w:w="15" w:type="dxa"/>
            </w:tcMar>
            <w:hideMark/>
          </w:tcPr>
          <w:p w14:paraId="15A87432"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S. A. Ibrahim and S. A. Hasan, "Acoustical Environment of the Al-Rabat Concert Hall in Baghdad," </w:t>
            </w:r>
            <w:r w:rsidRPr="00A54554">
              <w:rPr>
                <w:rFonts w:asciiTheme="majorHAnsi" w:hAnsiTheme="majorHAnsi" w:cstheme="majorHAnsi"/>
                <w:i/>
                <w:iCs/>
                <w:noProof/>
                <w:sz w:val="20"/>
                <w:szCs w:val="28"/>
                <w:lang w:val="en-US"/>
              </w:rPr>
              <w:t xml:space="preserve">Civil and Environmental Research, </w:t>
            </w:r>
            <w:r w:rsidRPr="00A54554">
              <w:rPr>
                <w:rFonts w:asciiTheme="majorHAnsi" w:hAnsiTheme="majorHAnsi" w:cstheme="majorHAnsi"/>
                <w:noProof/>
                <w:sz w:val="20"/>
                <w:szCs w:val="28"/>
                <w:lang w:val="en-US"/>
              </w:rPr>
              <w:t xml:space="preserve">vol. 6, no. 4, 2014. </w:t>
            </w:r>
          </w:p>
        </w:tc>
      </w:tr>
      <w:tr w:rsidR="00A54554" w:rsidRPr="00A54554" w14:paraId="29CD89AF" w14:textId="77777777">
        <w:trPr>
          <w:tblCellSpacing w:w="15" w:type="dxa"/>
        </w:trPr>
        <w:tc>
          <w:tcPr>
            <w:tcW w:w="4268" w:type="pct"/>
            <w:tcMar>
              <w:top w:w="15" w:type="dxa"/>
              <w:left w:w="15" w:type="dxa"/>
              <w:bottom w:w="15" w:type="dxa"/>
              <w:right w:w="15" w:type="dxa"/>
            </w:tcMar>
            <w:hideMark/>
          </w:tcPr>
          <w:p w14:paraId="5FAA7814"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M. Ermann, </w:t>
            </w:r>
            <w:r w:rsidRPr="00A54554">
              <w:rPr>
                <w:rFonts w:asciiTheme="majorHAnsi" w:hAnsiTheme="majorHAnsi" w:cstheme="majorHAnsi"/>
                <w:i/>
                <w:iCs/>
                <w:noProof/>
                <w:sz w:val="20"/>
                <w:szCs w:val="28"/>
                <w:lang w:val="en-US"/>
              </w:rPr>
              <w:t>Architectural acoustics illustrated</w:t>
            </w:r>
            <w:r w:rsidRPr="00A54554">
              <w:rPr>
                <w:rFonts w:asciiTheme="majorHAnsi" w:hAnsiTheme="majorHAnsi" w:cstheme="majorHAnsi"/>
                <w:noProof/>
                <w:sz w:val="20"/>
                <w:szCs w:val="28"/>
                <w:lang w:val="en-US"/>
              </w:rPr>
              <w:t xml:space="preserve">, New Jersey: John Wiley &amp; Sons, Inc., 2015. </w:t>
            </w:r>
          </w:p>
        </w:tc>
      </w:tr>
      <w:tr w:rsidR="00A54554" w:rsidRPr="00A54554" w14:paraId="08FFF637" w14:textId="77777777">
        <w:trPr>
          <w:tblCellSpacing w:w="15" w:type="dxa"/>
        </w:trPr>
        <w:tc>
          <w:tcPr>
            <w:tcW w:w="4268" w:type="pct"/>
            <w:tcMar>
              <w:top w:w="15" w:type="dxa"/>
              <w:left w:w="15" w:type="dxa"/>
              <w:bottom w:w="15" w:type="dxa"/>
              <w:right w:w="15" w:type="dxa"/>
            </w:tcMar>
            <w:hideMark/>
          </w:tcPr>
          <w:p w14:paraId="4D27C010"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Jayanti and W. Widyarko, "Fast fashion synthetic fabric waste as an alternative noise absorbent material," in </w:t>
            </w:r>
            <w:r w:rsidRPr="00A54554">
              <w:rPr>
                <w:rFonts w:asciiTheme="majorHAnsi" w:hAnsiTheme="majorHAnsi" w:cstheme="majorHAnsi"/>
                <w:i/>
                <w:iCs/>
                <w:noProof/>
                <w:sz w:val="20"/>
                <w:szCs w:val="28"/>
                <w:lang w:val="en-US"/>
              </w:rPr>
              <w:t xml:space="preserve">AIP Conference Proceedings, </w:t>
            </w:r>
            <w:r w:rsidRPr="00A54554">
              <w:rPr>
                <w:rFonts w:asciiTheme="majorHAnsi" w:hAnsiTheme="majorHAnsi" w:cstheme="majorHAnsi"/>
                <w:noProof/>
                <w:sz w:val="20"/>
                <w:szCs w:val="28"/>
                <w:lang w:val="en-US"/>
              </w:rPr>
              <w:t>Vol. 2376</w:t>
            </w:r>
            <w:r w:rsidRPr="00A54554">
              <w:rPr>
                <w:rFonts w:asciiTheme="majorHAnsi" w:hAnsiTheme="majorHAnsi" w:cstheme="majorHAnsi"/>
                <w:i/>
                <w:iCs/>
                <w:noProof/>
                <w:sz w:val="20"/>
                <w:szCs w:val="28"/>
                <w:lang w:val="en-US"/>
              </w:rPr>
              <w:t xml:space="preserve">, </w:t>
            </w:r>
            <w:r w:rsidRPr="00A54554">
              <w:rPr>
                <w:rFonts w:asciiTheme="majorHAnsi" w:hAnsiTheme="majorHAnsi" w:cstheme="majorHAnsi"/>
                <w:noProof/>
                <w:sz w:val="20"/>
                <w:szCs w:val="28"/>
                <w:lang w:val="en-US"/>
              </w:rPr>
              <w:t>2021</w:t>
            </w:r>
            <w:r w:rsidRPr="00A54554">
              <w:rPr>
                <w:rFonts w:asciiTheme="majorHAnsi" w:hAnsiTheme="majorHAnsi" w:cstheme="majorHAnsi"/>
                <w:i/>
                <w:iCs/>
                <w:noProof/>
                <w:sz w:val="20"/>
                <w:szCs w:val="28"/>
                <w:lang w:val="en-US"/>
              </w:rPr>
              <w:t xml:space="preserve">. </w:t>
            </w:r>
            <w:r w:rsidRPr="00A54554">
              <w:rPr>
                <w:rFonts w:asciiTheme="majorHAnsi" w:hAnsiTheme="majorHAnsi" w:cstheme="majorHAnsi"/>
                <w:noProof/>
                <w:sz w:val="20"/>
                <w:szCs w:val="28"/>
                <w:lang w:val="en-US"/>
              </w:rPr>
              <w:t xml:space="preserve">DOI: https://doi.org/10.1063/5.0063595. </w:t>
            </w:r>
          </w:p>
        </w:tc>
      </w:tr>
      <w:tr w:rsidR="00A54554" w:rsidRPr="00A54554" w14:paraId="208373C6" w14:textId="77777777">
        <w:trPr>
          <w:tblCellSpacing w:w="15" w:type="dxa"/>
        </w:trPr>
        <w:tc>
          <w:tcPr>
            <w:tcW w:w="4268" w:type="pct"/>
            <w:tcMar>
              <w:top w:w="15" w:type="dxa"/>
              <w:left w:w="15" w:type="dxa"/>
              <w:bottom w:w="15" w:type="dxa"/>
              <w:right w:w="15" w:type="dxa"/>
            </w:tcMar>
            <w:hideMark/>
          </w:tcPr>
          <w:p w14:paraId="5E954BA2"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M. Long, </w:t>
            </w:r>
            <w:r w:rsidRPr="00A54554">
              <w:rPr>
                <w:rFonts w:asciiTheme="majorHAnsi" w:hAnsiTheme="majorHAnsi" w:cstheme="majorHAnsi"/>
                <w:i/>
                <w:iCs/>
                <w:noProof/>
                <w:sz w:val="20"/>
                <w:szCs w:val="28"/>
                <w:lang w:val="en-US"/>
              </w:rPr>
              <w:t>Architectural acoustics</w:t>
            </w:r>
            <w:r w:rsidRPr="00A54554">
              <w:rPr>
                <w:rFonts w:asciiTheme="majorHAnsi" w:hAnsiTheme="majorHAnsi" w:cstheme="majorHAnsi"/>
                <w:noProof/>
                <w:sz w:val="20"/>
                <w:szCs w:val="28"/>
                <w:lang w:val="en-US"/>
              </w:rPr>
              <w:t xml:space="preserve">, Burlington, MA: Elsevier Academic Press, 2006. </w:t>
            </w:r>
          </w:p>
        </w:tc>
      </w:tr>
      <w:tr w:rsidR="00A54554" w:rsidRPr="00A54554" w14:paraId="2666368C" w14:textId="77777777">
        <w:trPr>
          <w:tblCellSpacing w:w="15" w:type="dxa"/>
        </w:trPr>
        <w:tc>
          <w:tcPr>
            <w:tcW w:w="4268" w:type="pct"/>
            <w:tcMar>
              <w:top w:w="15" w:type="dxa"/>
              <w:left w:w="15" w:type="dxa"/>
              <w:bottom w:w="15" w:type="dxa"/>
              <w:right w:w="15" w:type="dxa"/>
            </w:tcMar>
            <w:hideMark/>
          </w:tcPr>
          <w:p w14:paraId="6DFD3850"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lastRenderedPageBreak/>
              <w:t>C. E. Mediastika,</w:t>
            </w:r>
            <w:r w:rsidRPr="00A54554">
              <w:rPr>
                <w:rFonts w:asciiTheme="majorHAnsi" w:hAnsiTheme="majorHAnsi" w:cstheme="majorHAnsi"/>
                <w:i/>
                <w:iCs/>
                <w:noProof/>
                <w:sz w:val="20"/>
                <w:szCs w:val="28"/>
                <w:lang w:val="en-US"/>
              </w:rPr>
              <w:t xml:space="preserve"> Akustika bangunan: Prinsip-prinsip dan penerapannya di Indonesia</w:t>
            </w:r>
            <w:r w:rsidRPr="00A54554">
              <w:rPr>
                <w:rFonts w:asciiTheme="majorHAnsi" w:hAnsiTheme="majorHAnsi" w:cstheme="majorHAnsi"/>
                <w:noProof/>
                <w:sz w:val="20"/>
                <w:szCs w:val="28"/>
                <w:lang w:val="en-US"/>
              </w:rPr>
              <w:t xml:space="preserve">, Jakarta: Penerbit Erlangga, 2005. </w:t>
            </w:r>
          </w:p>
        </w:tc>
      </w:tr>
      <w:tr w:rsidR="00A54554" w:rsidRPr="00A54554" w14:paraId="5E19FBF6" w14:textId="77777777">
        <w:trPr>
          <w:tblCellSpacing w:w="15" w:type="dxa"/>
        </w:trPr>
        <w:tc>
          <w:tcPr>
            <w:tcW w:w="4268" w:type="pct"/>
            <w:tcMar>
              <w:top w:w="15" w:type="dxa"/>
              <w:left w:w="15" w:type="dxa"/>
              <w:bottom w:w="15" w:type="dxa"/>
              <w:right w:w="15" w:type="dxa"/>
            </w:tcMar>
            <w:hideMark/>
          </w:tcPr>
          <w:p w14:paraId="3A475879"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NTI Audio, "Speech Intelligibility STI," December 2020. [Online]. Available: https://www.nti-audio.com/en/applications/evacuation-systems/speech-intelligibility-stipa. [Accessed 18 April 2023].</w:t>
            </w:r>
          </w:p>
        </w:tc>
      </w:tr>
      <w:tr w:rsidR="00A54554" w:rsidRPr="00A54554" w14:paraId="3661AA21" w14:textId="77777777">
        <w:trPr>
          <w:tblCellSpacing w:w="15" w:type="dxa"/>
        </w:trPr>
        <w:tc>
          <w:tcPr>
            <w:tcW w:w="4268" w:type="pct"/>
            <w:tcMar>
              <w:top w:w="15" w:type="dxa"/>
              <w:left w:w="15" w:type="dxa"/>
              <w:bottom w:w="15" w:type="dxa"/>
              <w:right w:w="15" w:type="dxa"/>
            </w:tcMar>
            <w:hideMark/>
          </w:tcPr>
          <w:p w14:paraId="25E3FCB0"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International Electrotechnical Commission, "IEC 60268-16:2011 - Part 16: Objective rating of speech intelligibility by speech transmission index," 28 June 2011. [Online]. Available: https://webstore.iec.ch/publication/1214. [Accessed 2 May 2023].</w:t>
            </w:r>
          </w:p>
        </w:tc>
      </w:tr>
      <w:tr w:rsidR="00A54554" w:rsidRPr="00A54554" w14:paraId="36971F77" w14:textId="77777777">
        <w:trPr>
          <w:tblCellSpacing w:w="15" w:type="dxa"/>
        </w:trPr>
        <w:tc>
          <w:tcPr>
            <w:tcW w:w="4268" w:type="pct"/>
            <w:tcMar>
              <w:top w:w="15" w:type="dxa"/>
              <w:left w:w="15" w:type="dxa"/>
              <w:bottom w:w="15" w:type="dxa"/>
              <w:right w:w="15" w:type="dxa"/>
            </w:tcMar>
            <w:hideMark/>
          </w:tcPr>
          <w:p w14:paraId="5BC884AF"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A. Abdou, "Measurement of acoustical characteristics of mosques in Saudi Arabia," </w:t>
            </w:r>
            <w:r w:rsidRPr="00A54554">
              <w:rPr>
                <w:rFonts w:asciiTheme="majorHAnsi" w:hAnsiTheme="majorHAnsi" w:cstheme="majorHAnsi"/>
                <w:i/>
                <w:iCs/>
                <w:noProof/>
                <w:sz w:val="20"/>
                <w:szCs w:val="28"/>
                <w:lang w:val="en-US"/>
              </w:rPr>
              <w:t xml:space="preserve">The Journal of the Acoustical Society of America, </w:t>
            </w:r>
            <w:r w:rsidRPr="00A54554">
              <w:rPr>
                <w:rFonts w:asciiTheme="majorHAnsi" w:hAnsiTheme="majorHAnsi" w:cstheme="majorHAnsi"/>
                <w:noProof/>
                <w:sz w:val="20"/>
                <w:szCs w:val="28"/>
                <w:lang w:val="en-US"/>
              </w:rPr>
              <w:t>vol. 113, no. 3, 2003. DOI:  https://doi.org/10.1121/1.1531982</w:t>
            </w:r>
          </w:p>
        </w:tc>
      </w:tr>
      <w:tr w:rsidR="00A54554" w:rsidRPr="00A54554" w14:paraId="13436802" w14:textId="77777777">
        <w:trPr>
          <w:tblCellSpacing w:w="15" w:type="dxa"/>
        </w:trPr>
        <w:tc>
          <w:tcPr>
            <w:tcW w:w="4268" w:type="pct"/>
            <w:tcMar>
              <w:top w:w="15" w:type="dxa"/>
              <w:left w:w="15" w:type="dxa"/>
              <w:bottom w:w="15" w:type="dxa"/>
              <w:right w:w="15" w:type="dxa"/>
            </w:tcMar>
            <w:hideMark/>
          </w:tcPr>
          <w:p w14:paraId="5E9EF5AA"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Masjid Ukhuwah Islamiyah, "Tajuk Masjid: Sambutan Ketua Pelaksana Masjid Ukhuwah Islamiyah UI Depok," </w:t>
            </w:r>
            <w:r w:rsidRPr="00A54554">
              <w:rPr>
                <w:rFonts w:asciiTheme="majorHAnsi" w:hAnsiTheme="majorHAnsi" w:cstheme="majorHAnsi"/>
                <w:i/>
                <w:iCs/>
                <w:noProof/>
                <w:sz w:val="20"/>
                <w:szCs w:val="28"/>
                <w:lang w:val="en-US"/>
              </w:rPr>
              <w:t>Masjid Ukhuwah Islamiyah</w:t>
            </w:r>
            <w:r w:rsidRPr="00A54554">
              <w:rPr>
                <w:rFonts w:asciiTheme="majorHAnsi" w:hAnsiTheme="majorHAnsi" w:cstheme="majorHAnsi"/>
                <w:noProof/>
                <w:sz w:val="20"/>
                <w:szCs w:val="28"/>
                <w:lang w:val="en-US"/>
              </w:rPr>
              <w:t>, 17 March 2021. [Online]. Available: https://mesjidui.ui.ac.id/tajuk-masjid/. [Accessed 29 August 2023].</w:t>
            </w:r>
          </w:p>
        </w:tc>
      </w:tr>
      <w:tr w:rsidR="00A54554" w:rsidRPr="00A54554" w14:paraId="578B0FAF" w14:textId="77777777">
        <w:trPr>
          <w:tblCellSpacing w:w="15" w:type="dxa"/>
        </w:trPr>
        <w:tc>
          <w:tcPr>
            <w:tcW w:w="4268" w:type="pct"/>
            <w:tcMar>
              <w:top w:w="15" w:type="dxa"/>
              <w:left w:w="15" w:type="dxa"/>
              <w:bottom w:w="15" w:type="dxa"/>
              <w:right w:w="15" w:type="dxa"/>
            </w:tcMar>
            <w:hideMark/>
          </w:tcPr>
          <w:p w14:paraId="1BF9C1C3"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J. Huyan, C. Ramkissoon, M. Laka and S. Gaskin, "Assessing the Usefulness of Mobile Apps for Noise Management in Occupational Health and Safety: Quantitative Measurement and Expert Elicitation Study," </w:t>
            </w:r>
            <w:r w:rsidRPr="00A54554">
              <w:rPr>
                <w:rFonts w:asciiTheme="majorHAnsi" w:hAnsiTheme="majorHAnsi" w:cstheme="majorHAnsi"/>
                <w:i/>
                <w:iCs/>
                <w:noProof/>
                <w:sz w:val="20"/>
                <w:szCs w:val="28"/>
                <w:lang w:val="en-US"/>
              </w:rPr>
              <w:t xml:space="preserve">JMIR mHealth and uHealth, </w:t>
            </w:r>
            <w:r w:rsidRPr="00A54554">
              <w:rPr>
                <w:rFonts w:asciiTheme="majorHAnsi" w:hAnsiTheme="majorHAnsi" w:cstheme="majorHAnsi"/>
                <w:noProof/>
                <w:sz w:val="20"/>
                <w:szCs w:val="28"/>
                <w:lang w:val="en-US"/>
              </w:rPr>
              <w:t>vol. 11, 2023. DOI: 10.2196/46846</w:t>
            </w:r>
          </w:p>
        </w:tc>
      </w:tr>
      <w:tr w:rsidR="00A54554" w:rsidRPr="00A54554" w14:paraId="5DAFD32D" w14:textId="77777777">
        <w:trPr>
          <w:tblCellSpacing w:w="15" w:type="dxa"/>
        </w:trPr>
        <w:tc>
          <w:tcPr>
            <w:tcW w:w="4268" w:type="pct"/>
            <w:tcMar>
              <w:top w:w="15" w:type="dxa"/>
              <w:left w:w="15" w:type="dxa"/>
              <w:bottom w:w="15" w:type="dxa"/>
              <w:right w:w="15" w:type="dxa"/>
            </w:tcMar>
            <w:hideMark/>
          </w:tcPr>
          <w:p w14:paraId="0CE58F1C"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S. Kimihiro, S. Fumiaki and O. Akira, "Use of mobile devices with multifunctional sound level measurement applications: Some experiences for urban acoustics education in primary and secondary schools," </w:t>
            </w:r>
            <w:r w:rsidRPr="00A54554">
              <w:rPr>
                <w:rFonts w:asciiTheme="majorHAnsi" w:hAnsiTheme="majorHAnsi" w:cstheme="majorHAnsi"/>
                <w:i/>
                <w:iCs/>
                <w:noProof/>
                <w:sz w:val="20"/>
                <w:szCs w:val="28"/>
                <w:lang w:val="en-US"/>
              </w:rPr>
              <w:t xml:space="preserve">Urban Sci., </w:t>
            </w:r>
            <w:r w:rsidRPr="00A54554">
              <w:rPr>
                <w:rFonts w:asciiTheme="majorHAnsi" w:hAnsiTheme="majorHAnsi" w:cstheme="majorHAnsi"/>
                <w:noProof/>
                <w:sz w:val="20"/>
                <w:szCs w:val="28"/>
                <w:lang w:val="en-US"/>
              </w:rPr>
              <w:t>vol. 3, no. 4, 2019. DOI:  https://doi.org/10.3390/urbansci3040111</w:t>
            </w:r>
          </w:p>
        </w:tc>
      </w:tr>
      <w:tr w:rsidR="00A54554" w:rsidRPr="00A54554" w14:paraId="279E0331" w14:textId="77777777">
        <w:trPr>
          <w:tblCellSpacing w:w="15" w:type="dxa"/>
        </w:trPr>
        <w:tc>
          <w:tcPr>
            <w:tcW w:w="4268" w:type="pct"/>
            <w:tcMar>
              <w:top w:w="15" w:type="dxa"/>
              <w:left w:w="15" w:type="dxa"/>
              <w:bottom w:w="15" w:type="dxa"/>
              <w:right w:w="15" w:type="dxa"/>
            </w:tcMar>
            <w:hideMark/>
          </w:tcPr>
          <w:p w14:paraId="3D45536B"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Fohhn, "Fohhn Designer," Fohhn, 27 March 2020. [Online]. Available: https://www.fohhn.com/en/products/fohhn-designer. [Accessed 2 May 2023].</w:t>
            </w:r>
          </w:p>
        </w:tc>
      </w:tr>
      <w:tr w:rsidR="00A54554" w:rsidRPr="00A54554" w14:paraId="70F18E48" w14:textId="77777777">
        <w:trPr>
          <w:tblCellSpacing w:w="15" w:type="dxa"/>
        </w:trPr>
        <w:tc>
          <w:tcPr>
            <w:tcW w:w="4268" w:type="pct"/>
            <w:tcMar>
              <w:top w:w="15" w:type="dxa"/>
              <w:left w:w="15" w:type="dxa"/>
              <w:bottom w:w="15" w:type="dxa"/>
              <w:right w:w="15" w:type="dxa"/>
            </w:tcMar>
            <w:hideMark/>
          </w:tcPr>
          <w:p w14:paraId="73ED480A"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H. A. Akil and B. Basuki, "ROOM ACOUSTIC IMPROVEMENT FOR OPENING AND CLOSING CEREMONIES ON TRAINING COURSE THROUGH RENOVATION AT PUSBINDIKLAT LIPI," </w:t>
            </w:r>
            <w:r w:rsidRPr="00A54554">
              <w:rPr>
                <w:rFonts w:asciiTheme="majorHAnsi" w:hAnsiTheme="majorHAnsi" w:cstheme="majorHAnsi"/>
                <w:i/>
                <w:iCs/>
                <w:noProof/>
                <w:sz w:val="20"/>
                <w:szCs w:val="28"/>
                <w:lang w:val="en-US"/>
              </w:rPr>
              <w:t xml:space="preserve">Jurnal Instrumentasi , </w:t>
            </w:r>
            <w:r w:rsidRPr="00A54554">
              <w:rPr>
                <w:rFonts w:asciiTheme="majorHAnsi" w:hAnsiTheme="majorHAnsi" w:cstheme="majorHAnsi"/>
                <w:noProof/>
                <w:sz w:val="20"/>
                <w:szCs w:val="28"/>
                <w:lang w:val="en-US"/>
              </w:rPr>
              <w:t xml:space="preserve">vol. 40, no. 1, pp. 29-41, 2016. </w:t>
            </w:r>
          </w:p>
        </w:tc>
      </w:tr>
      <w:tr w:rsidR="00A54554" w:rsidRPr="00A54554" w14:paraId="6F5F04FF" w14:textId="77777777">
        <w:trPr>
          <w:tblCellSpacing w:w="15" w:type="dxa"/>
        </w:trPr>
        <w:tc>
          <w:tcPr>
            <w:tcW w:w="4268" w:type="pct"/>
            <w:tcMar>
              <w:top w:w="15" w:type="dxa"/>
              <w:left w:w="15" w:type="dxa"/>
              <w:bottom w:w="15" w:type="dxa"/>
              <w:right w:w="15" w:type="dxa"/>
            </w:tcMar>
            <w:hideMark/>
          </w:tcPr>
          <w:p w14:paraId="7CC916E8" w14:textId="77777777" w:rsid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Y. Liu, Y. B. Jia, X. J. Zhang, Z. C. Liu, Y. C. Ren and B. Yang, "Noise Test and Analysis of Automobile Engine," </w:t>
            </w:r>
            <w:r w:rsidRPr="00A54554">
              <w:rPr>
                <w:rFonts w:asciiTheme="majorHAnsi" w:hAnsiTheme="majorHAnsi" w:cstheme="majorHAnsi"/>
                <w:i/>
                <w:iCs/>
                <w:noProof/>
                <w:sz w:val="20"/>
                <w:szCs w:val="28"/>
                <w:lang w:val="en-US"/>
              </w:rPr>
              <w:t xml:space="preserve">Applied Mechanics and Materials, </w:t>
            </w:r>
            <w:r w:rsidRPr="00A54554">
              <w:rPr>
                <w:rFonts w:asciiTheme="majorHAnsi" w:hAnsiTheme="majorHAnsi" w:cstheme="majorHAnsi"/>
                <w:noProof/>
                <w:sz w:val="20"/>
                <w:szCs w:val="28"/>
                <w:lang w:val="en-US"/>
              </w:rPr>
              <w:t>vol. 307, pp. 196-199, 2013. DOI:  https://doi.org/10.4028/www.scientific.net/AMM.307.196</w:t>
            </w:r>
          </w:p>
          <w:p w14:paraId="7DEC5AA9" w14:textId="77777777" w:rsidR="00A54554" w:rsidRPr="00A54554" w:rsidRDefault="00A54554" w:rsidP="00A54554">
            <w:pPr>
              <w:pStyle w:val="ListParagraph"/>
              <w:widowControl w:val="0"/>
              <w:autoSpaceDE w:val="0"/>
              <w:autoSpaceDN w:val="0"/>
              <w:adjustRightInd w:val="0"/>
              <w:spacing w:before="20" w:after="20"/>
              <w:ind w:left="709"/>
              <w:jc w:val="both"/>
              <w:rPr>
                <w:rFonts w:asciiTheme="majorHAnsi" w:hAnsiTheme="majorHAnsi" w:cstheme="majorHAnsi"/>
                <w:noProof/>
                <w:sz w:val="20"/>
                <w:szCs w:val="28"/>
                <w:lang w:val="en-US"/>
              </w:rPr>
            </w:pPr>
          </w:p>
        </w:tc>
      </w:tr>
      <w:tr w:rsidR="00A54554" w:rsidRPr="00A54554" w14:paraId="268877D3" w14:textId="77777777">
        <w:trPr>
          <w:tblCellSpacing w:w="15" w:type="dxa"/>
        </w:trPr>
        <w:tc>
          <w:tcPr>
            <w:tcW w:w="4268" w:type="pct"/>
            <w:tcMar>
              <w:top w:w="15" w:type="dxa"/>
              <w:left w:w="15" w:type="dxa"/>
              <w:bottom w:w="15" w:type="dxa"/>
              <w:right w:w="15" w:type="dxa"/>
            </w:tcMar>
            <w:hideMark/>
          </w:tcPr>
          <w:p w14:paraId="2B4F915D" w14:textId="7CA82201"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L. Galbrun and K. Kitapci, "Accuracy of speech transmission index predictions based on the reverberation time and signal-to-noise ratio," </w:t>
            </w:r>
            <w:r w:rsidRPr="00A54554">
              <w:rPr>
                <w:rFonts w:asciiTheme="majorHAnsi" w:hAnsiTheme="majorHAnsi" w:cstheme="majorHAnsi"/>
                <w:i/>
                <w:iCs/>
                <w:noProof/>
                <w:sz w:val="20"/>
                <w:szCs w:val="28"/>
                <w:lang w:val="en-US"/>
              </w:rPr>
              <w:t xml:space="preserve">Applied Acoustics, </w:t>
            </w:r>
            <w:r w:rsidRPr="00A54554">
              <w:rPr>
                <w:rFonts w:asciiTheme="majorHAnsi" w:hAnsiTheme="majorHAnsi" w:cstheme="majorHAnsi"/>
                <w:noProof/>
                <w:sz w:val="20"/>
                <w:szCs w:val="28"/>
                <w:lang w:val="en-US"/>
              </w:rPr>
              <w:t xml:space="preserve">vol. 81, pp. 1-14, 2014. </w:t>
            </w:r>
          </w:p>
        </w:tc>
      </w:tr>
      <w:tr w:rsidR="00A54554" w:rsidRPr="00A54554" w14:paraId="5C546EBF" w14:textId="77777777">
        <w:trPr>
          <w:tblCellSpacing w:w="15" w:type="dxa"/>
        </w:trPr>
        <w:tc>
          <w:tcPr>
            <w:tcW w:w="4268" w:type="pct"/>
            <w:tcMar>
              <w:top w:w="15" w:type="dxa"/>
              <w:left w:w="15" w:type="dxa"/>
              <w:bottom w:w="15" w:type="dxa"/>
              <w:right w:w="15" w:type="dxa"/>
            </w:tcMar>
            <w:hideMark/>
          </w:tcPr>
          <w:p w14:paraId="5C69A7BA"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W. Widyarko, "The Acoustic quality of Sekolah Alam Classroom (Case: Sekolah Alam Bandung)," </w:t>
            </w:r>
            <w:r w:rsidRPr="00A54554">
              <w:rPr>
                <w:rFonts w:asciiTheme="majorHAnsi" w:hAnsiTheme="majorHAnsi" w:cstheme="majorHAnsi"/>
                <w:i/>
                <w:iCs/>
                <w:noProof/>
                <w:sz w:val="20"/>
                <w:szCs w:val="28"/>
                <w:lang w:val="en-US"/>
              </w:rPr>
              <w:t xml:space="preserve">International Journal on Livable Space, </w:t>
            </w:r>
            <w:r w:rsidRPr="00A54554">
              <w:rPr>
                <w:rFonts w:asciiTheme="majorHAnsi" w:hAnsiTheme="majorHAnsi" w:cstheme="majorHAnsi"/>
                <w:noProof/>
                <w:sz w:val="20"/>
                <w:szCs w:val="28"/>
                <w:lang w:val="en-US"/>
              </w:rPr>
              <w:t xml:space="preserve">vol. 5, no. 1, p. 33–40, 2020. </w:t>
            </w:r>
          </w:p>
        </w:tc>
      </w:tr>
      <w:tr w:rsidR="00A54554" w:rsidRPr="00A54554" w14:paraId="0B84FD3B" w14:textId="77777777">
        <w:trPr>
          <w:tblCellSpacing w:w="15" w:type="dxa"/>
        </w:trPr>
        <w:tc>
          <w:tcPr>
            <w:tcW w:w="4268" w:type="pct"/>
            <w:tcMar>
              <w:top w:w="15" w:type="dxa"/>
              <w:left w:w="15" w:type="dxa"/>
              <w:bottom w:w="15" w:type="dxa"/>
              <w:right w:w="15" w:type="dxa"/>
            </w:tcMar>
            <w:hideMark/>
          </w:tcPr>
          <w:p w14:paraId="2E298FF9"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L. F. Ow and S. Ghosh, "Urban cities and road traffic noise: Reduction through vegetation," </w:t>
            </w:r>
            <w:r w:rsidRPr="00A54554">
              <w:rPr>
                <w:rFonts w:asciiTheme="majorHAnsi" w:hAnsiTheme="majorHAnsi" w:cstheme="majorHAnsi"/>
                <w:i/>
                <w:iCs/>
                <w:noProof/>
                <w:sz w:val="20"/>
                <w:szCs w:val="28"/>
                <w:lang w:val="en-US"/>
              </w:rPr>
              <w:t xml:space="preserve">Applied Acoustics, </w:t>
            </w:r>
            <w:r w:rsidRPr="00A54554">
              <w:rPr>
                <w:rFonts w:asciiTheme="majorHAnsi" w:hAnsiTheme="majorHAnsi" w:cstheme="majorHAnsi"/>
                <w:noProof/>
                <w:sz w:val="20"/>
                <w:szCs w:val="28"/>
                <w:lang w:val="en-US"/>
              </w:rPr>
              <w:t>vol. 120, pp. 15-20, 2017. DOI: https://doi.org/10.1016/j.apacoust.2017.01.007</w:t>
            </w:r>
          </w:p>
        </w:tc>
      </w:tr>
      <w:tr w:rsidR="00A54554" w:rsidRPr="00A54554" w14:paraId="21F4A058" w14:textId="77777777">
        <w:trPr>
          <w:tblCellSpacing w:w="15" w:type="dxa"/>
        </w:trPr>
        <w:tc>
          <w:tcPr>
            <w:tcW w:w="4268" w:type="pct"/>
            <w:tcMar>
              <w:top w:w="15" w:type="dxa"/>
              <w:left w:w="15" w:type="dxa"/>
              <w:bottom w:w="15" w:type="dxa"/>
              <w:right w:w="15" w:type="dxa"/>
            </w:tcMar>
            <w:hideMark/>
          </w:tcPr>
          <w:p w14:paraId="07F375A3"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N. Granzotto, A. D. Bella and E. A. Piana, "Prediction of the sound reduction index of clay hollow brick walls," </w:t>
            </w:r>
            <w:r w:rsidRPr="00A54554">
              <w:rPr>
                <w:rFonts w:asciiTheme="majorHAnsi" w:hAnsiTheme="majorHAnsi" w:cstheme="majorHAnsi"/>
                <w:i/>
                <w:iCs/>
                <w:noProof/>
                <w:sz w:val="20"/>
                <w:szCs w:val="28"/>
                <w:lang w:val="en-US"/>
              </w:rPr>
              <w:t xml:space="preserve">Building Acoustics, </w:t>
            </w:r>
            <w:r w:rsidRPr="00A54554">
              <w:rPr>
                <w:rFonts w:asciiTheme="majorHAnsi" w:hAnsiTheme="majorHAnsi" w:cstheme="majorHAnsi"/>
                <w:noProof/>
                <w:sz w:val="20"/>
                <w:szCs w:val="28"/>
                <w:lang w:val="en-US"/>
              </w:rPr>
              <w:t>vol. 27, no. 2, pp. 1-14, 2020. DOI:  https://doi.org/10.1177/1351010X20903144</w:t>
            </w:r>
          </w:p>
        </w:tc>
      </w:tr>
      <w:tr w:rsidR="00A54554" w:rsidRPr="00A54554" w14:paraId="7162BBD0" w14:textId="77777777">
        <w:trPr>
          <w:tblCellSpacing w:w="15" w:type="dxa"/>
        </w:trPr>
        <w:tc>
          <w:tcPr>
            <w:tcW w:w="4268" w:type="pct"/>
            <w:tcMar>
              <w:top w:w="15" w:type="dxa"/>
              <w:left w:w="15" w:type="dxa"/>
              <w:bottom w:w="15" w:type="dxa"/>
              <w:right w:w="15" w:type="dxa"/>
            </w:tcMar>
            <w:hideMark/>
          </w:tcPr>
          <w:p w14:paraId="40B8174D"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Elkhateeb, A. Adas, M. Attia and Y. Balila, "The acoustics of masjids, why they differ from the classical speech rooms," in </w:t>
            </w:r>
            <w:r w:rsidRPr="00A54554">
              <w:rPr>
                <w:rFonts w:asciiTheme="majorHAnsi" w:hAnsiTheme="majorHAnsi" w:cstheme="majorHAnsi"/>
                <w:i/>
                <w:iCs/>
                <w:noProof/>
                <w:sz w:val="20"/>
                <w:szCs w:val="28"/>
                <w:lang w:val="en-US"/>
              </w:rPr>
              <w:t>Conference: The 22nd International Congress on Sound and Vibration</w:t>
            </w:r>
            <w:r w:rsidRPr="00A54554">
              <w:rPr>
                <w:rFonts w:asciiTheme="majorHAnsi" w:hAnsiTheme="majorHAnsi" w:cstheme="majorHAnsi"/>
                <w:noProof/>
                <w:sz w:val="20"/>
                <w:szCs w:val="28"/>
                <w:lang w:val="en-US"/>
              </w:rPr>
              <w:t xml:space="preserve">, Florence, 2015. </w:t>
            </w:r>
          </w:p>
        </w:tc>
      </w:tr>
      <w:tr w:rsidR="00A54554" w:rsidRPr="00A54554" w14:paraId="756B62B5" w14:textId="77777777">
        <w:trPr>
          <w:tblCellSpacing w:w="15" w:type="dxa"/>
        </w:trPr>
        <w:tc>
          <w:tcPr>
            <w:tcW w:w="4268" w:type="pct"/>
            <w:tcMar>
              <w:top w:w="15" w:type="dxa"/>
              <w:left w:w="15" w:type="dxa"/>
              <w:bottom w:w="15" w:type="dxa"/>
              <w:right w:w="15" w:type="dxa"/>
            </w:tcMar>
            <w:hideMark/>
          </w:tcPr>
          <w:p w14:paraId="73CC0868"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M. Sabbagh and A. Elkhateeb, "Effect of body posture on sound absorption by human subjects," </w:t>
            </w:r>
            <w:r w:rsidRPr="00A54554">
              <w:rPr>
                <w:rFonts w:asciiTheme="majorHAnsi" w:hAnsiTheme="majorHAnsi" w:cstheme="majorHAnsi"/>
                <w:i/>
                <w:iCs/>
                <w:noProof/>
                <w:sz w:val="20"/>
                <w:szCs w:val="28"/>
                <w:lang w:val="en-US"/>
              </w:rPr>
              <w:t xml:space="preserve">Applied Acoustics, </w:t>
            </w:r>
            <w:r w:rsidRPr="00A54554">
              <w:rPr>
                <w:rFonts w:asciiTheme="majorHAnsi" w:hAnsiTheme="majorHAnsi" w:cstheme="majorHAnsi"/>
                <w:noProof/>
                <w:sz w:val="20"/>
                <w:szCs w:val="28"/>
                <w:lang w:val="en-US"/>
              </w:rPr>
              <w:t>vol. 183, 2021. DOI: https://doi.org/10.1016/j.apacoust.2021.108317</w:t>
            </w:r>
          </w:p>
        </w:tc>
      </w:tr>
      <w:tr w:rsidR="00A54554" w:rsidRPr="00A54554" w14:paraId="0225D37B" w14:textId="77777777">
        <w:trPr>
          <w:tblCellSpacing w:w="15" w:type="dxa"/>
        </w:trPr>
        <w:tc>
          <w:tcPr>
            <w:tcW w:w="4268" w:type="pct"/>
            <w:tcMar>
              <w:top w:w="15" w:type="dxa"/>
              <w:left w:w="15" w:type="dxa"/>
              <w:bottom w:w="15" w:type="dxa"/>
              <w:right w:w="15" w:type="dxa"/>
            </w:tcMar>
            <w:hideMark/>
          </w:tcPr>
          <w:p w14:paraId="33B6AD5F"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R. C. Oliveira, A. C. Gama and M. D. Magalhaes, "Fundamental Voice Frequency: Acoustic, Electroglottographic, and Accelerometer Measurement in Individuals With and Without Vocal Alteration," </w:t>
            </w:r>
            <w:r w:rsidRPr="00A54554">
              <w:rPr>
                <w:rFonts w:asciiTheme="majorHAnsi" w:hAnsiTheme="majorHAnsi" w:cstheme="majorHAnsi"/>
                <w:i/>
                <w:iCs/>
                <w:noProof/>
                <w:sz w:val="20"/>
                <w:szCs w:val="28"/>
                <w:lang w:val="en-US"/>
              </w:rPr>
              <w:t xml:space="preserve">Journal of Voice, </w:t>
            </w:r>
            <w:r w:rsidRPr="00A54554">
              <w:rPr>
                <w:rFonts w:asciiTheme="majorHAnsi" w:hAnsiTheme="majorHAnsi" w:cstheme="majorHAnsi"/>
                <w:noProof/>
                <w:sz w:val="20"/>
                <w:szCs w:val="28"/>
                <w:lang w:val="en-US"/>
              </w:rPr>
              <w:t>vol. 35, no. 2, pp. 174-180, 2021. DOI: https://doi.org/10.1016/j.jvoice.2019.08.004</w:t>
            </w:r>
          </w:p>
        </w:tc>
      </w:tr>
      <w:tr w:rsidR="00A54554" w:rsidRPr="00A54554" w14:paraId="1F270D37" w14:textId="77777777">
        <w:trPr>
          <w:tblCellSpacing w:w="15" w:type="dxa"/>
        </w:trPr>
        <w:tc>
          <w:tcPr>
            <w:tcW w:w="4268" w:type="pct"/>
            <w:tcMar>
              <w:top w:w="15" w:type="dxa"/>
              <w:left w:w="15" w:type="dxa"/>
              <w:bottom w:w="15" w:type="dxa"/>
              <w:right w:w="15" w:type="dxa"/>
            </w:tcMar>
            <w:hideMark/>
          </w:tcPr>
          <w:p w14:paraId="002ED17B" w14:textId="317D767E"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Weisser and J. M. Buchholz, "Conversational speech levels and signal-to-noise ratios in realistic acoustic conditions," </w:t>
            </w:r>
            <w:r w:rsidRPr="00A54554">
              <w:rPr>
                <w:rFonts w:asciiTheme="majorHAnsi" w:hAnsiTheme="majorHAnsi" w:cstheme="majorHAnsi"/>
                <w:i/>
                <w:iCs/>
                <w:noProof/>
                <w:sz w:val="20"/>
                <w:szCs w:val="28"/>
                <w:lang w:val="en-US"/>
              </w:rPr>
              <w:t xml:space="preserve">The Journal of the Acoustical Society of America , </w:t>
            </w:r>
            <w:r w:rsidRPr="00A54554">
              <w:rPr>
                <w:rFonts w:asciiTheme="majorHAnsi" w:hAnsiTheme="majorHAnsi" w:cstheme="majorHAnsi"/>
                <w:noProof/>
                <w:sz w:val="20"/>
                <w:szCs w:val="28"/>
                <w:lang w:val="en-US"/>
              </w:rPr>
              <w:t xml:space="preserve">vol. 145, p. 349, 2019. </w:t>
            </w:r>
          </w:p>
        </w:tc>
      </w:tr>
      <w:tr w:rsidR="00A54554" w:rsidRPr="00A54554" w14:paraId="0E933996" w14:textId="77777777">
        <w:trPr>
          <w:tblCellSpacing w:w="15" w:type="dxa"/>
        </w:trPr>
        <w:tc>
          <w:tcPr>
            <w:tcW w:w="4268" w:type="pct"/>
            <w:tcMar>
              <w:top w:w="15" w:type="dxa"/>
              <w:left w:w="15" w:type="dxa"/>
              <w:bottom w:w="15" w:type="dxa"/>
              <w:right w:w="15" w:type="dxa"/>
            </w:tcMar>
            <w:hideMark/>
          </w:tcPr>
          <w:p w14:paraId="3832C3ED" w14:textId="77777777" w:rsidR="00A54554" w:rsidRPr="00A54554" w:rsidRDefault="00A54554" w:rsidP="00A54554">
            <w:pPr>
              <w:pStyle w:val="ListParagraph"/>
              <w:widowControl w:val="0"/>
              <w:numPr>
                <w:ilvl w:val="0"/>
                <w:numId w:val="7"/>
              </w:numPr>
              <w:autoSpaceDE w:val="0"/>
              <w:autoSpaceDN w:val="0"/>
              <w:adjustRightInd w:val="0"/>
              <w:spacing w:before="20" w:after="20"/>
              <w:ind w:left="709" w:hanging="425"/>
              <w:jc w:val="both"/>
              <w:rPr>
                <w:rFonts w:asciiTheme="majorHAnsi" w:hAnsiTheme="majorHAnsi" w:cstheme="majorHAnsi"/>
                <w:noProof/>
                <w:sz w:val="20"/>
                <w:szCs w:val="28"/>
                <w:lang w:val="en-US"/>
              </w:rPr>
            </w:pPr>
            <w:r w:rsidRPr="00A54554">
              <w:rPr>
                <w:rFonts w:asciiTheme="majorHAnsi" w:hAnsiTheme="majorHAnsi" w:cstheme="majorHAnsi"/>
                <w:noProof/>
                <w:sz w:val="20"/>
                <w:szCs w:val="28"/>
                <w:lang w:val="en-US"/>
              </w:rPr>
              <w:t xml:space="preserve">A. Elkhateeb and M. R. Ismail, "Sound from the past: The acoustics of Sultan Hassan Mosque and Madrasa," </w:t>
            </w:r>
            <w:r w:rsidRPr="00A54554">
              <w:rPr>
                <w:rFonts w:asciiTheme="majorHAnsi" w:hAnsiTheme="majorHAnsi" w:cstheme="majorHAnsi"/>
                <w:i/>
                <w:iCs/>
                <w:noProof/>
                <w:sz w:val="20"/>
                <w:szCs w:val="28"/>
                <w:lang w:val="en-US"/>
              </w:rPr>
              <w:t xml:space="preserve">Building acoustics, </w:t>
            </w:r>
            <w:r w:rsidRPr="00A54554">
              <w:rPr>
                <w:rFonts w:asciiTheme="majorHAnsi" w:hAnsiTheme="majorHAnsi" w:cstheme="majorHAnsi"/>
                <w:noProof/>
                <w:sz w:val="20"/>
                <w:szCs w:val="28"/>
                <w:lang w:val="en-US"/>
              </w:rPr>
              <w:t>vol. 14, no. 2, pp. 109-132, 2007. DOI: https://doi.org/10.1260/135101007781448037</w:t>
            </w:r>
          </w:p>
        </w:tc>
      </w:tr>
    </w:tbl>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26E0F">
      <w:headerReference w:type="even" r:id="rId54"/>
      <w:headerReference w:type="default" r:id="rId55"/>
      <w:footerReference w:type="even" r:id="rId56"/>
      <w:footerReference w:type="default" r:id="rId57"/>
      <w:footerReference w:type="first" r:id="rId58"/>
      <w:pgSz w:w="11906" w:h="16838" w:code="9"/>
      <w:pgMar w:top="1418" w:right="1418" w:bottom="1418" w:left="1418" w:header="709" w:footer="709" w:gutter="0"/>
      <w:pgNumType w:start="99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7E87E" w14:textId="77777777" w:rsidR="00FD2D6D" w:rsidRDefault="00FD2D6D" w:rsidP="001101DA">
      <w:r>
        <w:separator/>
      </w:r>
    </w:p>
  </w:endnote>
  <w:endnote w:type="continuationSeparator" w:id="0">
    <w:p w14:paraId="594ED544" w14:textId="77777777" w:rsidR="00FD2D6D" w:rsidRDefault="00FD2D6D"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AB05B91"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26E0F">
          <w:rPr>
            <w:sz w:val="16"/>
            <w:szCs w:val="16"/>
          </w:rPr>
          <w:t>8</w:t>
        </w:r>
        <w:r w:rsidRPr="00920627">
          <w:rPr>
            <w:sz w:val="16"/>
            <w:szCs w:val="16"/>
          </w:rPr>
          <w:t>(4), December 202</w:t>
        </w:r>
        <w:r w:rsidR="00426E0F">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BF14237" w:rsidR="001101DA" w:rsidRPr="00920627" w:rsidRDefault="00920627" w:rsidP="00920627">
        <w:pPr>
          <w:pStyle w:val="Footer"/>
          <w:jc w:val="right"/>
          <w:rPr>
            <w:sz w:val="16"/>
            <w:szCs w:val="16"/>
          </w:rPr>
        </w:pPr>
        <w:r w:rsidRPr="00920627">
          <w:rPr>
            <w:sz w:val="16"/>
            <w:szCs w:val="16"/>
          </w:rPr>
          <w:t xml:space="preserve">Journal of Islamic Architecture </w:t>
        </w:r>
        <w:r w:rsidR="00426E0F">
          <w:rPr>
            <w:sz w:val="16"/>
            <w:szCs w:val="16"/>
          </w:rPr>
          <w:t>8</w:t>
        </w:r>
        <w:r w:rsidRPr="00920627">
          <w:rPr>
            <w:sz w:val="16"/>
            <w:szCs w:val="16"/>
          </w:rPr>
          <w:t>(4), December 202</w:t>
        </w:r>
        <w:r w:rsidR="00426E0F">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99DCA" w14:textId="77777777" w:rsidR="00FD2D6D" w:rsidRDefault="00FD2D6D" w:rsidP="001101DA">
      <w:r>
        <w:separator/>
      </w:r>
    </w:p>
  </w:footnote>
  <w:footnote w:type="continuationSeparator" w:id="0">
    <w:p w14:paraId="285E1B62" w14:textId="77777777" w:rsidR="00FD2D6D" w:rsidRDefault="00FD2D6D"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9B49379" w:rsidR="001101DA" w:rsidRPr="001101DA" w:rsidRDefault="00435ACF" w:rsidP="001101DA">
    <w:pPr>
      <w:pStyle w:val="Header"/>
      <w:rPr>
        <w:sz w:val="16"/>
        <w:szCs w:val="16"/>
      </w:rPr>
    </w:pPr>
    <w:r w:rsidRPr="00435ACF">
      <w:rPr>
        <w:sz w:val="16"/>
        <w:szCs w:val="16"/>
      </w:rPr>
      <w:t>Uncovering the Influence of Mosque Openness on Speech Intelligibility: A Simulation Study</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D6DA743" w:rsidR="001101DA" w:rsidRPr="001101DA" w:rsidRDefault="00435ACF" w:rsidP="001101DA">
    <w:pPr>
      <w:pStyle w:val="Header"/>
      <w:jc w:val="right"/>
      <w:rPr>
        <w:sz w:val="16"/>
        <w:szCs w:val="16"/>
      </w:rPr>
    </w:pPr>
    <w:r w:rsidRPr="00435ACF">
      <w:rPr>
        <w:sz w:val="16"/>
        <w:szCs w:val="16"/>
      </w:rPr>
      <w:t xml:space="preserve">Muhammad Harish Heruputra, </w:t>
    </w:r>
    <w:proofErr w:type="spellStart"/>
    <w:r w:rsidRPr="00435ACF">
      <w:rPr>
        <w:sz w:val="16"/>
        <w:szCs w:val="16"/>
      </w:rPr>
      <w:t>Widyarko</w:t>
    </w:r>
    <w:proofErr w:type="spellEnd"/>
    <w:r w:rsidRPr="00435ACF">
      <w:rPr>
        <w:sz w:val="16"/>
        <w:szCs w:val="16"/>
      </w:rPr>
      <w:t xml:space="preserve"> </w:t>
    </w:r>
    <w:proofErr w:type="spellStart"/>
    <w:r w:rsidRPr="00435ACF">
      <w:rPr>
        <w:sz w:val="16"/>
        <w:szCs w:val="16"/>
      </w:rPr>
      <w:t>Widyarko</w:t>
    </w:r>
    <w:proofErr w:type="spellEnd"/>
    <w:r w:rsidRPr="00435ACF">
      <w:rPr>
        <w:sz w:val="16"/>
        <w:szCs w:val="16"/>
      </w:rPr>
      <w:t xml:space="preserve">, </w:t>
    </w:r>
    <w:proofErr w:type="spellStart"/>
    <w:r w:rsidRPr="00435ACF">
      <w:rPr>
        <w:sz w:val="16"/>
        <w:szCs w:val="16"/>
      </w:rPr>
      <w:t>Dalhar</w:t>
    </w:r>
    <w:proofErr w:type="spellEnd"/>
    <w:r w:rsidRPr="00435ACF">
      <w:rPr>
        <w:sz w:val="16"/>
        <w:szCs w:val="16"/>
      </w:rPr>
      <w:t xml:space="preserve"> Susanto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7E1D"/>
    <w:multiLevelType w:val="hybridMultilevel"/>
    <w:tmpl w:val="E2567F9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A312CB0"/>
    <w:multiLevelType w:val="hybridMultilevel"/>
    <w:tmpl w:val="5A641BD2"/>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3777422"/>
    <w:multiLevelType w:val="hybridMultilevel"/>
    <w:tmpl w:val="FA2620D2"/>
    <w:lvl w:ilvl="0" w:tplc="CFB6035E">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42D06CD"/>
    <w:multiLevelType w:val="hybridMultilevel"/>
    <w:tmpl w:val="CE262BF4"/>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61B40A70"/>
    <w:multiLevelType w:val="hybridMultilevel"/>
    <w:tmpl w:val="1806142E"/>
    <w:lvl w:ilvl="0" w:tplc="39944E3A">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 w15:restartNumberingAfterBreak="0">
    <w:nsid w:val="65386981"/>
    <w:multiLevelType w:val="hybridMultilevel"/>
    <w:tmpl w:val="9CA85A2C"/>
    <w:lvl w:ilvl="0" w:tplc="E63AD9B6">
      <w:start w:val="6"/>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3867194">
    <w:abstractNumId w:val="3"/>
  </w:num>
  <w:num w:numId="2" w16cid:durableId="937251435">
    <w:abstractNumId w:val="1"/>
  </w:num>
  <w:num w:numId="3" w16cid:durableId="615983696">
    <w:abstractNumId w:val="0"/>
  </w:num>
  <w:num w:numId="4" w16cid:durableId="3152314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142918">
    <w:abstractNumId w:val="2"/>
  </w:num>
  <w:num w:numId="6" w16cid:durableId="1460567237">
    <w:abstractNumId w:val="6"/>
  </w:num>
  <w:num w:numId="7" w16cid:durableId="1623270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0090"/>
    <w:rsid w:val="000C509F"/>
    <w:rsid w:val="001036A8"/>
    <w:rsid w:val="001101DA"/>
    <w:rsid w:val="001179F0"/>
    <w:rsid w:val="001D1905"/>
    <w:rsid w:val="001D517C"/>
    <w:rsid w:val="001E33E6"/>
    <w:rsid w:val="00221499"/>
    <w:rsid w:val="00227156"/>
    <w:rsid w:val="002676BA"/>
    <w:rsid w:val="00283372"/>
    <w:rsid w:val="002D1CEA"/>
    <w:rsid w:val="00330A7A"/>
    <w:rsid w:val="003C0164"/>
    <w:rsid w:val="00417EF0"/>
    <w:rsid w:val="00426E0F"/>
    <w:rsid w:val="00435ACF"/>
    <w:rsid w:val="00464461"/>
    <w:rsid w:val="00477FC8"/>
    <w:rsid w:val="004C7CB9"/>
    <w:rsid w:val="00502594"/>
    <w:rsid w:val="00536D0C"/>
    <w:rsid w:val="00554438"/>
    <w:rsid w:val="005E66A5"/>
    <w:rsid w:val="00605B4D"/>
    <w:rsid w:val="006C55A1"/>
    <w:rsid w:val="00727ABB"/>
    <w:rsid w:val="00745A2A"/>
    <w:rsid w:val="007771EC"/>
    <w:rsid w:val="0079305C"/>
    <w:rsid w:val="007B2C0D"/>
    <w:rsid w:val="007C62F4"/>
    <w:rsid w:val="008535AE"/>
    <w:rsid w:val="00863131"/>
    <w:rsid w:val="00883F54"/>
    <w:rsid w:val="008D73E0"/>
    <w:rsid w:val="00920392"/>
    <w:rsid w:val="00920627"/>
    <w:rsid w:val="00926CF7"/>
    <w:rsid w:val="00944AD0"/>
    <w:rsid w:val="009E6DE8"/>
    <w:rsid w:val="00A055B3"/>
    <w:rsid w:val="00A54554"/>
    <w:rsid w:val="00A927D2"/>
    <w:rsid w:val="00AC1C31"/>
    <w:rsid w:val="00AC4F01"/>
    <w:rsid w:val="00AD43B0"/>
    <w:rsid w:val="00B4275B"/>
    <w:rsid w:val="00B45E75"/>
    <w:rsid w:val="00BE2239"/>
    <w:rsid w:val="00C26026"/>
    <w:rsid w:val="00CB6F5A"/>
    <w:rsid w:val="00CD2BCD"/>
    <w:rsid w:val="00CE135F"/>
    <w:rsid w:val="00D132AE"/>
    <w:rsid w:val="00D57761"/>
    <w:rsid w:val="00D869DB"/>
    <w:rsid w:val="00E4204D"/>
    <w:rsid w:val="00E774EE"/>
    <w:rsid w:val="00E837BE"/>
    <w:rsid w:val="00FD2D6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dalhar.susanto@ui.ac.id"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oter" Target="footer2.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B8723-4C17-4503-8C1D-F2ED53D5D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14</Pages>
  <Words>6729</Words>
  <Characters>38357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2025-11-27T08:29:00Z</dcterms:created>
  <dcterms:modified xsi:type="dcterms:W3CDTF">2025-11-29T07:01:00Z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