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5630F264" w:rsidR="00C26026" w:rsidRPr="004C7CB9" w:rsidRDefault="00973FEA" w:rsidP="00C26026">
            <w:pPr>
              <w:jc w:val="both"/>
              <w:rPr>
                <w:rFonts w:asciiTheme="minorHAnsi" w:hAnsiTheme="minorHAnsi" w:cstheme="minorHAnsi"/>
                <w:b/>
                <w:sz w:val="26"/>
                <w:szCs w:val="26"/>
              </w:rPr>
            </w:pPr>
            <w:r w:rsidRPr="00973FEA">
              <w:rPr>
                <w:rFonts w:asciiTheme="minorHAnsi" w:hAnsiTheme="minorHAnsi" w:cstheme="minorHAnsi"/>
                <w:b/>
                <w:sz w:val="28"/>
                <w:szCs w:val="28"/>
              </w:rPr>
              <w:t xml:space="preserve">ISLAMIC ARCHITECTURE FRAMEWORK: MENTIFACT, SOCIOFACT AND ARTIFACT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5F02CE2C" w:rsidR="00D869DB" w:rsidRPr="004C7CB9" w:rsidRDefault="00973FEA">
            <w:pPr>
              <w:rPr>
                <w:rFonts w:asciiTheme="minorHAnsi" w:hAnsiTheme="minorHAnsi" w:cstheme="minorHAnsi"/>
              </w:rPr>
            </w:pPr>
            <w:r w:rsidRPr="00973FEA">
              <w:rPr>
                <w:rFonts w:asciiTheme="minorHAnsi" w:hAnsiTheme="minorHAnsi" w:cstheme="minorHAnsi"/>
              </w:rPr>
              <w:t xml:space="preserve">Farid </w:t>
            </w:r>
            <w:proofErr w:type="spellStart"/>
            <w:r w:rsidRPr="00973FEA">
              <w:rPr>
                <w:rFonts w:asciiTheme="minorHAnsi" w:hAnsiTheme="minorHAnsi" w:cstheme="minorHAnsi"/>
              </w:rPr>
              <w:t>Nazaruddin</w:t>
            </w:r>
            <w:r w:rsidRPr="00973FEA">
              <w:rPr>
                <w:rFonts w:asciiTheme="minorHAnsi" w:hAnsiTheme="minorHAnsi" w:cstheme="minorHAnsi"/>
                <w:vertAlign w:val="superscript"/>
              </w:rPr>
              <w:t>a</w:t>
            </w:r>
            <w:proofErr w:type="spellEnd"/>
            <w:r w:rsidRPr="00973FEA">
              <w:rPr>
                <w:rFonts w:asciiTheme="minorHAnsi" w:hAnsiTheme="minorHAnsi" w:cstheme="minorHAnsi"/>
                <w:vertAlign w:val="superscript"/>
              </w:rPr>
              <w:t>*</w:t>
            </w:r>
            <w:r w:rsidRPr="00973FEA">
              <w:rPr>
                <w:rFonts w:asciiTheme="minorHAnsi" w:hAnsiTheme="minorHAnsi" w:cstheme="minorHAnsi"/>
              </w:rPr>
              <w:t xml:space="preserve">, Aldrin Yusuf </w:t>
            </w:r>
            <w:proofErr w:type="spellStart"/>
            <w:r w:rsidRPr="00973FEA">
              <w:rPr>
                <w:rFonts w:asciiTheme="minorHAnsi" w:hAnsiTheme="minorHAnsi" w:cstheme="minorHAnsi"/>
              </w:rPr>
              <w:t>Firmansyah</w:t>
            </w:r>
            <w:r w:rsidRPr="00973FEA">
              <w:rPr>
                <w:rFonts w:asciiTheme="minorHAnsi" w:hAnsiTheme="minorHAnsi" w:cstheme="minorHAnsi"/>
                <w:vertAlign w:val="superscript"/>
              </w:rPr>
              <w:t>a</w:t>
            </w:r>
            <w:proofErr w:type="spellEnd"/>
            <w:r w:rsidRPr="00973FEA">
              <w:rPr>
                <w:rFonts w:asciiTheme="minorHAnsi" w:hAnsiTheme="minorHAnsi" w:cstheme="minorHAnsi"/>
              </w:rPr>
              <w:t xml:space="preserve">, Harida </w:t>
            </w:r>
            <w:proofErr w:type="spellStart"/>
            <w:r w:rsidRPr="00973FEA">
              <w:rPr>
                <w:rFonts w:asciiTheme="minorHAnsi" w:hAnsiTheme="minorHAnsi" w:cstheme="minorHAnsi"/>
              </w:rPr>
              <w:t>Samudro</w:t>
            </w:r>
            <w:r w:rsidRPr="00973FEA">
              <w:rPr>
                <w:rFonts w:asciiTheme="minorHAnsi" w:hAnsiTheme="minorHAnsi" w:cstheme="minorHAnsi"/>
                <w:vertAlign w:val="superscript"/>
              </w:rPr>
              <w:t>a</w:t>
            </w:r>
            <w:proofErr w:type="spellEnd"/>
            <w:r w:rsidRPr="00973FEA">
              <w:rPr>
                <w:rFonts w:asciiTheme="minorHAnsi" w:hAnsiTheme="minorHAnsi" w:cstheme="minorHAnsi"/>
              </w:rPr>
              <w:t xml:space="preserve">, Prima </w:t>
            </w:r>
            <w:proofErr w:type="spellStart"/>
            <w:r w:rsidRPr="00973FEA">
              <w:rPr>
                <w:rFonts w:asciiTheme="minorHAnsi" w:hAnsiTheme="minorHAnsi" w:cstheme="minorHAnsi"/>
              </w:rPr>
              <w:t>Kurniawaty</w:t>
            </w:r>
            <w:r w:rsidRPr="00973FEA">
              <w:rPr>
                <w:rFonts w:asciiTheme="minorHAnsi" w:hAnsiTheme="minorHAnsi" w:cstheme="minorHAnsi"/>
                <w:vertAlign w:val="superscript"/>
              </w:rPr>
              <w:t>a</w:t>
            </w:r>
            <w:proofErr w:type="spellEnd"/>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4600FEB8" w:rsidR="00973FEA" w:rsidRPr="00973FEA" w:rsidRDefault="00973FEA" w:rsidP="00973FEA">
            <w:pPr>
              <w:rPr>
                <w:sz w:val="18"/>
                <w:szCs w:val="18"/>
              </w:rPr>
            </w:pPr>
            <w:proofErr w:type="spellStart"/>
            <w:r w:rsidRPr="00973FEA">
              <w:rPr>
                <w:sz w:val="18"/>
                <w:szCs w:val="18"/>
                <w:vertAlign w:val="superscript"/>
              </w:rPr>
              <w:t>a</w:t>
            </w:r>
            <w:r w:rsidRPr="00973FEA">
              <w:rPr>
                <w:sz w:val="18"/>
                <w:szCs w:val="18"/>
              </w:rPr>
              <w:t>Universitas</w:t>
            </w:r>
            <w:proofErr w:type="spellEnd"/>
            <w:r w:rsidRPr="00973FEA">
              <w:rPr>
                <w:sz w:val="18"/>
                <w:szCs w:val="18"/>
              </w:rPr>
              <w:t xml:space="preserve"> Islam Negeri Maulana Malik Ibrahim, Malang, Jawa Timur, Indonesia</w:t>
            </w:r>
          </w:p>
          <w:p w14:paraId="4B54932F" w14:textId="2417E325" w:rsidR="00D869DB" w:rsidRPr="004C7CB9" w:rsidRDefault="00D869DB" w:rsidP="00D869DB">
            <w:r w:rsidRPr="004C7CB9">
              <w:rPr>
                <w:sz w:val="18"/>
                <w:szCs w:val="18"/>
              </w:rPr>
              <w:t xml:space="preserve">*Corresponding Author: </w:t>
            </w:r>
            <w:r w:rsidR="00973FEA" w:rsidRPr="00973FEA">
              <w:rPr>
                <w:sz w:val="18"/>
                <w:szCs w:val="18"/>
              </w:rPr>
              <w:t>farid.nazaruddin@uin-malang.ac.id</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00FFF4A3"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973FEA">
              <w:rPr>
                <w:rFonts w:asciiTheme="majorHAnsi" w:hAnsiTheme="majorHAnsi" w:cstheme="majorHAnsi"/>
                <w:sz w:val="18"/>
                <w:szCs w:val="18"/>
              </w:rPr>
              <w:t xml:space="preserve"> 8</w:t>
            </w:r>
          </w:p>
          <w:p w14:paraId="5F8B2097" w14:textId="2966276E"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973FEA">
              <w:rPr>
                <w:rFonts w:asciiTheme="majorHAnsi" w:hAnsiTheme="majorHAnsi" w:cstheme="majorHAnsi"/>
                <w:sz w:val="18"/>
                <w:szCs w:val="18"/>
              </w:rPr>
              <w:t xml:space="preserve"> 3</w:t>
            </w:r>
          </w:p>
          <w:p w14:paraId="1727970E" w14:textId="16F53990"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973FEA">
              <w:rPr>
                <w:rFonts w:asciiTheme="majorHAnsi" w:hAnsiTheme="majorHAnsi" w:cstheme="majorHAnsi"/>
                <w:sz w:val="18"/>
                <w:szCs w:val="18"/>
              </w:rPr>
              <w:t xml:space="preserve"> </w:t>
            </w:r>
            <w:r w:rsidR="00BE5A68">
              <w:rPr>
                <w:rFonts w:asciiTheme="majorHAnsi" w:hAnsiTheme="majorHAnsi" w:cstheme="majorHAnsi"/>
                <w:sz w:val="18"/>
                <w:szCs w:val="18"/>
              </w:rPr>
              <w:t>737</w:t>
            </w:r>
            <w:r w:rsidR="0034114F">
              <w:rPr>
                <w:rFonts w:asciiTheme="majorHAnsi" w:hAnsiTheme="majorHAnsi" w:cstheme="majorHAnsi"/>
                <w:sz w:val="18"/>
                <w:szCs w:val="18"/>
              </w:rPr>
              <w:t>-750</w:t>
            </w:r>
          </w:p>
          <w:p w14:paraId="42AC331B" w14:textId="58953121"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973FEA" w:rsidRPr="00973FEA">
              <w:rPr>
                <w:rFonts w:asciiTheme="majorHAnsi" w:hAnsiTheme="majorHAnsi" w:cstheme="majorHAnsi"/>
                <w:sz w:val="18"/>
                <w:szCs w:val="18"/>
              </w:rPr>
              <w:t>October 19</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2023</w:t>
            </w:r>
          </w:p>
          <w:p w14:paraId="63316A40" w14:textId="17450B1E"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973FEA" w:rsidRPr="00973FEA">
              <w:rPr>
                <w:rFonts w:asciiTheme="majorHAnsi" w:hAnsiTheme="majorHAnsi" w:cstheme="majorHAnsi"/>
                <w:sz w:val="18"/>
                <w:szCs w:val="18"/>
              </w:rPr>
              <w:t>February 25</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973FEA">
              <w:rPr>
                <w:rFonts w:asciiTheme="majorHAnsi" w:hAnsiTheme="majorHAnsi" w:cstheme="majorHAnsi"/>
                <w:sz w:val="18"/>
                <w:szCs w:val="18"/>
              </w:rPr>
              <w:t>4</w:t>
            </w:r>
          </w:p>
          <w:p w14:paraId="6068623C" w14:textId="3430C126"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973FEA">
              <w:rPr>
                <w:rFonts w:asciiTheme="majorHAnsi" w:hAnsiTheme="majorHAnsi" w:cstheme="majorHAnsi"/>
                <w:sz w:val="18"/>
                <w:szCs w:val="18"/>
              </w:rPr>
              <w:t xml:space="preserve">June </w:t>
            </w:r>
            <w:r w:rsidRPr="004C7CB9">
              <w:rPr>
                <w:rFonts w:asciiTheme="majorHAnsi" w:hAnsiTheme="majorHAnsi" w:cstheme="majorHAnsi"/>
                <w:sz w:val="18"/>
                <w:szCs w:val="18"/>
              </w:rPr>
              <w:t>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973FEA">
              <w:rPr>
                <w:rFonts w:asciiTheme="majorHAnsi" w:hAnsiTheme="majorHAnsi" w:cstheme="majorHAnsi"/>
                <w:sz w:val="18"/>
                <w:szCs w:val="18"/>
              </w:rPr>
              <w:t>5</w:t>
            </w:r>
          </w:p>
          <w:p w14:paraId="78EB1E49" w14:textId="79D929D9"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973FEA" w:rsidRPr="00973FEA">
              <w:rPr>
                <w:rFonts w:asciiTheme="majorHAnsi" w:hAnsiTheme="majorHAnsi" w:cstheme="majorHAnsi"/>
                <w:sz w:val="18"/>
                <w:szCs w:val="18"/>
              </w:rPr>
              <w:t>10.18860/</w:t>
            </w:r>
            <w:proofErr w:type="gramStart"/>
            <w:r w:rsidR="00973FEA" w:rsidRPr="00973FEA">
              <w:rPr>
                <w:rFonts w:asciiTheme="majorHAnsi" w:hAnsiTheme="majorHAnsi" w:cstheme="majorHAnsi"/>
                <w:sz w:val="18"/>
                <w:szCs w:val="18"/>
              </w:rPr>
              <w:t>jia.v</w:t>
            </w:r>
            <w:proofErr w:type="gramEnd"/>
            <w:r w:rsidR="00973FEA" w:rsidRPr="00973FEA">
              <w:rPr>
                <w:rFonts w:asciiTheme="majorHAnsi" w:hAnsiTheme="majorHAnsi" w:cstheme="majorHAnsi"/>
                <w:sz w:val="18"/>
                <w:szCs w:val="18"/>
              </w:rPr>
              <w:t>8i3.23861</w:t>
            </w:r>
          </w:p>
        </w:tc>
        <w:tc>
          <w:tcPr>
            <w:tcW w:w="5671" w:type="dxa"/>
          </w:tcPr>
          <w:p w14:paraId="71F9B2A6" w14:textId="77777777" w:rsidR="00973FEA" w:rsidRDefault="00973FEA" w:rsidP="001D517C">
            <w:pPr>
              <w:jc w:val="both"/>
              <w:rPr>
                <w:rFonts w:asciiTheme="majorHAnsi" w:hAnsiTheme="majorHAnsi" w:cstheme="majorHAnsi"/>
                <w:sz w:val="18"/>
                <w:szCs w:val="18"/>
                <w:u w:val="single"/>
              </w:rPr>
            </w:pPr>
            <w:r w:rsidRPr="001964A8">
              <w:rPr>
                <w:rFonts w:asciiTheme="majorHAnsi" w:hAnsiTheme="majorHAnsi" w:cstheme="majorHAnsi"/>
                <w:sz w:val="18"/>
                <w:szCs w:val="18"/>
              </w:rPr>
              <w:t xml:space="preserve">This paper aims to fill existing gaps by presenting a comprehensive framework that encompasses various aspects of Islamic Architecture and its formation. Grounded in the paradigm that Islamic Architecture is a physical manifestation of culture rooted in Islamic values, this study structures the understanding of Islamic architecture through a cultural framework, incorporating </w:t>
            </w:r>
            <w:proofErr w:type="spellStart"/>
            <w:r w:rsidRPr="001964A8">
              <w:rPr>
                <w:rFonts w:asciiTheme="majorHAnsi" w:hAnsiTheme="majorHAnsi" w:cstheme="majorHAnsi"/>
                <w:sz w:val="18"/>
                <w:szCs w:val="18"/>
              </w:rPr>
              <w:t>mentifacts</w:t>
            </w:r>
            <w:proofErr w:type="spellEnd"/>
            <w:r w:rsidRPr="001964A8">
              <w:rPr>
                <w:rFonts w:asciiTheme="majorHAnsi" w:hAnsiTheme="majorHAnsi" w:cstheme="majorHAnsi"/>
                <w:sz w:val="18"/>
                <w:szCs w:val="18"/>
              </w:rPr>
              <w:t xml:space="preserve">, </w:t>
            </w:r>
            <w:proofErr w:type="spellStart"/>
            <w:r w:rsidRPr="001964A8">
              <w:rPr>
                <w:rFonts w:asciiTheme="majorHAnsi" w:hAnsiTheme="majorHAnsi" w:cstheme="majorHAnsi"/>
                <w:sz w:val="18"/>
                <w:szCs w:val="18"/>
              </w:rPr>
              <w:t>sociofacts</w:t>
            </w:r>
            <w:proofErr w:type="spellEnd"/>
            <w:r w:rsidRPr="001964A8">
              <w:rPr>
                <w:rFonts w:asciiTheme="majorHAnsi" w:hAnsiTheme="majorHAnsi" w:cstheme="majorHAnsi"/>
                <w:sz w:val="18"/>
                <w:szCs w:val="18"/>
              </w:rPr>
              <w:t xml:space="preserve">, and artifacts. Drawing from classical Islamic sources and contemporary writings, this qualitative study employs a deductive approach to thematic analysis, categorizing sources into three main categories: </w:t>
            </w:r>
            <w:proofErr w:type="spellStart"/>
            <w:r w:rsidRPr="001964A8">
              <w:rPr>
                <w:rFonts w:asciiTheme="majorHAnsi" w:hAnsiTheme="majorHAnsi" w:cstheme="majorHAnsi"/>
                <w:sz w:val="18"/>
                <w:szCs w:val="18"/>
              </w:rPr>
              <w:t>mentifact</w:t>
            </w:r>
            <w:proofErr w:type="spellEnd"/>
            <w:r w:rsidRPr="001964A8">
              <w:rPr>
                <w:rFonts w:asciiTheme="majorHAnsi" w:hAnsiTheme="majorHAnsi" w:cstheme="majorHAnsi"/>
                <w:sz w:val="18"/>
                <w:szCs w:val="18"/>
              </w:rPr>
              <w:t xml:space="preserve">, </w:t>
            </w:r>
            <w:proofErr w:type="spellStart"/>
            <w:r w:rsidRPr="001964A8">
              <w:rPr>
                <w:rFonts w:asciiTheme="majorHAnsi" w:hAnsiTheme="majorHAnsi" w:cstheme="majorHAnsi"/>
                <w:sz w:val="18"/>
                <w:szCs w:val="18"/>
              </w:rPr>
              <w:t>sociofact</w:t>
            </w:r>
            <w:proofErr w:type="spellEnd"/>
            <w:r w:rsidRPr="001964A8">
              <w:rPr>
                <w:rFonts w:asciiTheme="majorHAnsi" w:hAnsiTheme="majorHAnsi" w:cstheme="majorHAnsi"/>
                <w:sz w:val="18"/>
                <w:szCs w:val="18"/>
              </w:rPr>
              <w:t>, and artifact.</w:t>
            </w:r>
            <w:r>
              <w:rPr>
                <w:rFonts w:asciiTheme="majorHAnsi" w:hAnsiTheme="majorHAnsi" w:cstheme="majorHAnsi"/>
                <w:sz w:val="18"/>
                <w:szCs w:val="18"/>
              </w:rPr>
              <w:t xml:space="preserve"> </w:t>
            </w:r>
            <w:r w:rsidRPr="001964A8">
              <w:rPr>
                <w:rFonts w:asciiTheme="majorHAnsi" w:hAnsiTheme="majorHAnsi" w:cstheme="majorHAnsi"/>
                <w:sz w:val="18"/>
                <w:szCs w:val="18"/>
              </w:rPr>
              <w:t xml:space="preserve">The study </w:t>
            </w:r>
            <w:r w:rsidRPr="00C50696">
              <w:rPr>
                <w:rFonts w:asciiTheme="majorHAnsi" w:hAnsiTheme="majorHAnsi" w:cstheme="majorHAnsi"/>
                <w:sz w:val="18"/>
                <w:szCs w:val="18"/>
                <w:u w:val="single"/>
              </w:rPr>
              <w:t>highlights</w:t>
            </w:r>
            <w:r w:rsidRPr="001964A8">
              <w:rPr>
                <w:rFonts w:asciiTheme="majorHAnsi" w:hAnsiTheme="majorHAnsi" w:cstheme="majorHAnsi"/>
                <w:sz w:val="18"/>
                <w:szCs w:val="18"/>
              </w:rPr>
              <w:t xml:space="preserve"> the suitability of this framework for assessing the philosophical foundation of Islamic Architecture,</w:t>
            </w:r>
            <w:r>
              <w:rPr>
                <w:rFonts w:asciiTheme="majorHAnsi" w:hAnsiTheme="majorHAnsi" w:cstheme="majorHAnsi"/>
                <w:sz w:val="18"/>
                <w:szCs w:val="18"/>
              </w:rPr>
              <w:t xml:space="preserve"> </w:t>
            </w:r>
            <w:r w:rsidRPr="008738E4">
              <w:rPr>
                <w:rFonts w:asciiTheme="majorHAnsi" w:hAnsiTheme="majorHAnsi" w:cstheme="majorHAnsi"/>
                <w:sz w:val="18"/>
                <w:szCs w:val="18"/>
                <w:u w:val="single"/>
              </w:rPr>
              <w:t>which is directly rooted</w:t>
            </w:r>
            <w:r>
              <w:rPr>
                <w:rFonts w:asciiTheme="majorHAnsi" w:hAnsiTheme="majorHAnsi" w:cstheme="majorHAnsi"/>
                <w:sz w:val="18"/>
                <w:szCs w:val="18"/>
              </w:rPr>
              <w:t xml:space="preserve"> in the teachings of </w:t>
            </w:r>
            <w:r w:rsidRPr="008738E4">
              <w:rPr>
                <w:rFonts w:asciiTheme="majorHAnsi" w:hAnsiTheme="majorHAnsi" w:cstheme="majorHAnsi"/>
                <w:sz w:val="18"/>
                <w:szCs w:val="18"/>
                <w:u w:val="single"/>
              </w:rPr>
              <w:t>the Quran and Hadith</w:t>
            </w:r>
            <w:r w:rsidRPr="001964A8">
              <w:rPr>
                <w:rFonts w:asciiTheme="majorHAnsi" w:hAnsiTheme="majorHAnsi" w:cstheme="majorHAnsi"/>
                <w:sz w:val="18"/>
                <w:szCs w:val="18"/>
              </w:rPr>
              <w:t xml:space="preserve">, </w:t>
            </w:r>
            <w:r w:rsidRPr="008738E4">
              <w:rPr>
                <w:rFonts w:asciiTheme="majorHAnsi" w:hAnsiTheme="majorHAnsi" w:cstheme="majorHAnsi"/>
                <w:sz w:val="18"/>
                <w:szCs w:val="18"/>
                <w:u w:val="single"/>
              </w:rPr>
              <w:t>and extends to</w:t>
            </w:r>
            <w:r w:rsidRPr="001964A8">
              <w:rPr>
                <w:rFonts w:asciiTheme="majorHAnsi" w:hAnsiTheme="majorHAnsi" w:cstheme="majorHAnsi"/>
                <w:sz w:val="18"/>
                <w:szCs w:val="18"/>
              </w:rPr>
              <w:t xml:space="preserve"> its pragmatic dimension. </w:t>
            </w:r>
            <w:r w:rsidRPr="008738E4">
              <w:rPr>
                <w:rFonts w:asciiTheme="majorHAnsi" w:hAnsiTheme="majorHAnsi" w:cstheme="majorHAnsi"/>
                <w:sz w:val="18"/>
                <w:szCs w:val="18"/>
                <w:u w:val="single"/>
              </w:rPr>
              <w:t xml:space="preserve">Notably, as emphasized in the </w:t>
            </w:r>
            <w:proofErr w:type="spellStart"/>
            <w:r w:rsidRPr="008738E4">
              <w:rPr>
                <w:rFonts w:asciiTheme="majorHAnsi" w:hAnsiTheme="majorHAnsi" w:cstheme="majorHAnsi"/>
                <w:sz w:val="18"/>
                <w:szCs w:val="18"/>
                <w:u w:val="single"/>
              </w:rPr>
              <w:t>mentifact</w:t>
            </w:r>
            <w:proofErr w:type="spellEnd"/>
            <w:r w:rsidRPr="008738E4">
              <w:rPr>
                <w:rFonts w:asciiTheme="majorHAnsi" w:hAnsiTheme="majorHAnsi" w:cstheme="majorHAnsi"/>
                <w:sz w:val="18"/>
                <w:szCs w:val="18"/>
                <w:u w:val="single"/>
              </w:rPr>
              <w:t xml:space="preserve"> category, Islamic architecture highlights the idealism</w:t>
            </w:r>
            <w:r w:rsidRPr="001964A8">
              <w:rPr>
                <w:rFonts w:asciiTheme="majorHAnsi" w:hAnsiTheme="majorHAnsi" w:cstheme="majorHAnsi"/>
                <w:sz w:val="18"/>
                <w:szCs w:val="18"/>
              </w:rPr>
              <w:t xml:space="preserve"> that architects, builders, and building owners should uphold. The </w:t>
            </w:r>
            <w:proofErr w:type="spellStart"/>
            <w:r w:rsidRPr="001964A8">
              <w:rPr>
                <w:rFonts w:asciiTheme="majorHAnsi" w:hAnsiTheme="majorHAnsi" w:cstheme="majorHAnsi"/>
                <w:sz w:val="18"/>
                <w:szCs w:val="18"/>
              </w:rPr>
              <w:t>sociofact</w:t>
            </w:r>
            <w:proofErr w:type="spellEnd"/>
            <w:r w:rsidRPr="001964A8">
              <w:rPr>
                <w:rFonts w:asciiTheme="majorHAnsi" w:hAnsiTheme="majorHAnsi" w:cstheme="majorHAnsi"/>
                <w:sz w:val="18"/>
                <w:szCs w:val="18"/>
              </w:rPr>
              <w:t xml:space="preserve"> category accentuates the strong emphasis on the social impact of Islamic Architecture. Simultaneously, in the artifact category, architectural design is expected to embody Islamic characteristics while respecting local contexts. This framework can also be applied to evaluate the priority and developmental stages of Islamic architecture. Furthermore, the study emphasizes that these foundational principles evolve to create architectural beauty imbued with a distinct character and a sense of identi</w:t>
            </w:r>
            <w:r>
              <w:rPr>
                <w:rFonts w:asciiTheme="majorHAnsi" w:hAnsiTheme="majorHAnsi" w:cstheme="majorHAnsi"/>
                <w:sz w:val="18"/>
                <w:szCs w:val="18"/>
              </w:rPr>
              <w:t xml:space="preserve">ty rooted in Islamic values. </w:t>
            </w:r>
            <w:r w:rsidRPr="008738E4">
              <w:rPr>
                <w:rFonts w:asciiTheme="majorHAnsi" w:hAnsiTheme="majorHAnsi" w:cstheme="majorHAnsi"/>
                <w:sz w:val="18"/>
                <w:szCs w:val="18"/>
                <w:u w:val="single"/>
              </w:rPr>
              <w:t>Thus</w:t>
            </w:r>
            <w:r w:rsidRPr="001964A8">
              <w:rPr>
                <w:rFonts w:asciiTheme="majorHAnsi" w:hAnsiTheme="majorHAnsi" w:cstheme="majorHAnsi"/>
                <w:sz w:val="18"/>
                <w:szCs w:val="18"/>
              </w:rPr>
              <w:t xml:space="preserve">, this framework provides a comprehensive tool for understanding, evaluating, and advancing Islamic architecture </w:t>
            </w:r>
            <w:r w:rsidRPr="00787580">
              <w:rPr>
                <w:rFonts w:asciiTheme="majorHAnsi" w:hAnsiTheme="majorHAnsi" w:cstheme="majorHAnsi"/>
                <w:sz w:val="18"/>
                <w:szCs w:val="18"/>
                <w:u w:val="single"/>
              </w:rPr>
              <w:t>from the philosophical to practical aspects.</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7B685714" w:rsidR="001D517C" w:rsidRPr="004C7CB9" w:rsidRDefault="00973FEA" w:rsidP="001D517C">
            <w:pPr>
              <w:jc w:val="both"/>
              <w:rPr>
                <w:rFonts w:asciiTheme="majorHAnsi" w:hAnsiTheme="majorHAnsi" w:cstheme="majorHAnsi"/>
                <w:sz w:val="18"/>
                <w:szCs w:val="18"/>
                <w:lang w:val="en-US"/>
              </w:rPr>
            </w:pPr>
            <w:r w:rsidRPr="00973FEA">
              <w:rPr>
                <w:rFonts w:asciiTheme="majorHAnsi" w:hAnsiTheme="majorHAnsi" w:cstheme="majorHAnsi"/>
                <w:sz w:val="18"/>
                <w:szCs w:val="18"/>
                <w:lang w:val="en-US"/>
              </w:rPr>
              <w:t>Architecture; Cultural; Framework; Islamic; Philosophical; Pragmatic</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2523A873"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4D24E701" w14:textId="77777777" w:rsidR="00973FEA" w:rsidRPr="00973FEA" w:rsidRDefault="00973FEA" w:rsidP="00973FEA">
      <w:pPr>
        <w:widowControl w:val="0"/>
        <w:ind w:firstLine="284"/>
        <w:jc w:val="both"/>
        <w:rPr>
          <w:rFonts w:cstheme="minorHAnsi"/>
          <w:sz w:val="20"/>
          <w:szCs w:val="20"/>
        </w:rPr>
      </w:pPr>
      <w:r w:rsidRPr="00973FEA">
        <w:rPr>
          <w:rFonts w:cstheme="minorHAnsi"/>
          <w:sz w:val="20"/>
          <w:szCs w:val="20"/>
        </w:rPr>
        <w:t xml:space="preserve">Numerous definitions have surfaced regarding the concept and application of Islamic architecture. A common misconception involves reducing it solely to its physical manifestations. Islamic architecture goes beyond mere stylistic differences </w:t>
      </w:r>
      <w:r w:rsidRPr="00973FEA">
        <w:rPr>
          <w:rFonts w:cstheme="minorHAnsi"/>
          <w:sz w:val="20"/>
          <w:szCs w:val="20"/>
        </w:rPr>
        <w:fldChar w:fldCharType="begin"/>
      </w:r>
      <w:r w:rsidRPr="00973FEA">
        <w:rPr>
          <w:rFonts w:cstheme="minorHAnsi"/>
          <w:sz w:val="20"/>
          <w:szCs w:val="20"/>
        </w:rPr>
        <w:instrText xml:space="preserve"> ADDIN ZOTERO_ITEM CSL_CITATION {"citationID":"LLa1fkfv","properties":{"formattedCitation":"[1], [2], [3]","plainCitation":"[1], [2], [3]","noteIndex":0},"citationItems":[{"id":3700,"uris":["http://zotero.org/users/local/Rj7jaPwM/items/YBNADNN9"],"itemData":{"id":3700,"type":"article-journal","container-title":"Majallat al-Majmaʿ al-ʿIlmi al-Masri","DOI":"10.21608/jfnile.2015.88419","ISSN":"2682-4779","issue":"90","journalAbbreviation":"Majallat al-Majmaʿ al-ʿIlmi al-Masri","language":"en","page":"21-61","source":"DOI.org (Crossref)","title":"Islamic Concepts of Building and Architecture","volume":"90","author":[{"family":"Azab","given":"Khaled"}],"issued":{"date-parts":[["2015",5,1]]}}},{"id":"QCoNWly0/VAwvpbWP","uris":["http://zotero.org/users/local/Rj7jaPwM/items/V9RGZ8TU"],"itemData":{"id":3735,"type":"book","edition":"0","ISBN":"978-1-136-85131-5","language":"en","note":"DOI: 10.4324/9781315028767","publisher":"Routledge","source":"DOI.org (Crossref)","title":"Understanding Islamic Architecture","URL":"https://www.taylorfrancis.com/books/9781136851315","author":[{"family":"Petruccioli","given":"Attilo"},{"family":"Pirani","given":"Khalil K."}],"accessed":{"date-parts":[["2023",10,16]]},"issued":{"date-parts":[["2013",9,13]]}}},{"id":3460,"uris":["http://zotero.org/users/local/Rj7jaPwM/items/GC8HW4QW"],"itemData":{"id":3460,"type":"article-journal","abstract":"The main problem of the theory in the arena of islamic architecture is affected by some of its Western thoughts, and stereotyping the islamic architecture according to Western thoughts; this leads to the breakdown of the foundations in the islamic architecture. It is a myth that islamic architecture is subjected to the influence from foreign architectures. This paper will highlight the dialectical concept of islamic architecture or muslim buildings and the areas of recognition in islamic architecture. It will also widen the knowledge in the characteristics of each point in time according to the stages of islamic architecture from the prophetic age moving through the architecture outside the city of Medina, the Caliphs, the Umayyad, Abbasid, and architectural models by spatial and time periods, taking Iraq as the example to explain how the Islam influents on architecture and vice versa.","container-title":"Journal of Islamic Architecture","DOI":"10.18860/jia.v2i2.2202","ISSN":"2356-4644, 2086-2636","issue":"2","journalAbbreviation":"JIA","language":"en","source":"DOI.org (Crossref)","title":"Architecture in The Islamic Civilization: Muslim Building or Islamic Architecture","title-short":"ARCHITECTURE IN THE ISLAMIC CIVILIZATION","URL":"http://ejournal.uin-malang.ac.id/index.php/JIA/article/view/2202","volume":"2","author":[{"family":"Yassin","given":"Ayat Ali"},{"family":"Utaberta","given":"Dr. Nangkula"}],"accessed":{"date-parts":[["2023",9,18]]},"issued":{"date-parts":[["2012",12,28]]}}}],"schema":"https://github.com/citation-style-language/schema/raw/master/csl-citation.json"}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[1], [2], [3]</w:t>
      </w:r>
      <w:r w:rsidRPr="00973FEA">
        <w:rPr>
          <w:rFonts w:cstheme="minorHAnsi"/>
          <w:sz w:val="20"/>
          <w:szCs w:val="20"/>
        </w:rPr>
        <w:fldChar w:fldCharType="end"/>
      </w:r>
      <w:r w:rsidRPr="00973FEA">
        <w:rPr>
          <w:rFonts w:cstheme="minorHAnsi"/>
          <w:sz w:val="20"/>
          <w:szCs w:val="20"/>
        </w:rPr>
        <w:t xml:space="preserve">, transcending geographical and cultural boundaries </w:t>
      </w:r>
      <w:r w:rsidRPr="00973FEA">
        <w:rPr>
          <w:rFonts w:cstheme="minorHAnsi"/>
          <w:sz w:val="20"/>
          <w:szCs w:val="20"/>
        </w:rPr>
        <w:fldChar w:fldCharType="begin"/>
      </w:r>
      <w:r w:rsidRPr="00973FEA">
        <w:rPr>
          <w:rFonts w:cstheme="minorHAnsi"/>
          <w:sz w:val="20"/>
          <w:szCs w:val="20"/>
        </w:rPr>
        <w:instrText xml:space="preserve"> ADDIN ZOTERO_ITEM CSL_CITATION {"citationID":"D3al0RNF","properties":{"formattedCitation":"[4]","plainCitation":"[4]","noteIndex":0},"citationItems":[{"id":3676,"uris":["http://zotero.org/users/local/Rj7jaPwM/items/DFTFY3SL"],"itemData":{"id":3676,"type":"article-journal","container-title":"The Journal of Aesthetics and Art Criticism","issue":"1,","language":"en","page":"69-75","source":"Zotero","title":"Islamic Aesthetics: An Alternative Way to Knowledge","volume":"65","author":[{"family":"Erzen","given":"Jale Nejdet"}],"issued":{"date-parts":[["2007"]]}}}],"schema":"https://github.com/citation-style-language/schema/raw/master/csl-citation.json"}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[4]</w:t>
      </w:r>
      <w:r w:rsidRPr="00973FEA">
        <w:rPr>
          <w:rFonts w:cstheme="minorHAnsi"/>
          <w:sz w:val="20"/>
          <w:szCs w:val="20"/>
        </w:rPr>
        <w:fldChar w:fldCharType="end"/>
      </w:r>
      <w:r w:rsidRPr="00973FEA">
        <w:rPr>
          <w:rFonts w:cstheme="minorHAnsi"/>
          <w:sz w:val="20"/>
          <w:szCs w:val="20"/>
        </w:rPr>
        <w:t xml:space="preserve"> and history </w:t>
      </w:r>
      <w:r w:rsidRPr="00973FEA">
        <w:rPr>
          <w:rFonts w:cstheme="minorHAnsi"/>
          <w:sz w:val="20"/>
          <w:szCs w:val="20"/>
        </w:rPr>
        <w:fldChar w:fldCharType="begin"/>
      </w:r>
      <w:r w:rsidRPr="00973FEA">
        <w:rPr>
          <w:rFonts w:cstheme="minorHAnsi"/>
          <w:sz w:val="20"/>
          <w:szCs w:val="20"/>
        </w:rPr>
        <w:instrText xml:space="preserve"> ADDIN ZOTERO_ITEM CSL_CITATION {"citationID":"s68Iodhj","properties":{"formattedCitation":"[5]","plainCitation":"[5]","noteIndex":0},"citationItems":[{"id":3683,"uris":["http://zotero.org/users/local/Rj7jaPwM/items/CV29HQ4C"],"itemData":{"id":3683,"type":"article-journal","container-title":"Journal of Art Historiography","issue":"1","language":"en","source":"Zotero","title":"What is Islamic architecture anyway?","volume":"6","author":[{"family":"Rabbat","given":"Nasser"}],"issued":{"date-parts":[["2012"]]}}}],"schema":"https://github.com/citation-style-language/schema/raw/master/csl-citation.json"}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[5]</w:t>
      </w:r>
      <w:r w:rsidRPr="00973FEA">
        <w:rPr>
          <w:rFonts w:cstheme="minorHAnsi"/>
          <w:sz w:val="20"/>
          <w:szCs w:val="20"/>
        </w:rPr>
        <w:fldChar w:fldCharType="end"/>
      </w:r>
      <w:r w:rsidRPr="00973FEA">
        <w:rPr>
          <w:rFonts w:cstheme="minorHAnsi"/>
          <w:sz w:val="20"/>
          <w:szCs w:val="20"/>
        </w:rPr>
        <w:t>. It is not limited to the Arab world or exclusively crafted by Middle Eastern individuals.</w:t>
      </w:r>
    </w:p>
    <w:p w14:paraId="1BBEF2ED" w14:textId="77777777" w:rsidR="00973FEA" w:rsidRPr="00973FEA" w:rsidRDefault="00973FEA" w:rsidP="00973FEA">
      <w:pPr>
        <w:widowControl w:val="0"/>
        <w:ind w:firstLine="284"/>
        <w:jc w:val="both"/>
        <w:rPr>
          <w:rFonts w:cstheme="minorHAnsi"/>
          <w:sz w:val="20"/>
          <w:szCs w:val="20"/>
        </w:rPr>
      </w:pPr>
      <w:r w:rsidRPr="00973FEA">
        <w:rPr>
          <w:rFonts w:cstheme="minorHAnsi"/>
          <w:sz w:val="20"/>
          <w:szCs w:val="20"/>
        </w:rPr>
        <w:t xml:space="preserve">Islamic architecture harmonizes with its context while staying true to the teachings of the Quran and Hadith </w:t>
      </w:r>
      <w:r w:rsidRPr="00973FEA">
        <w:rPr>
          <w:rFonts w:cstheme="minorHAnsi"/>
          <w:sz w:val="20"/>
          <w:szCs w:val="20"/>
        </w:rPr>
        <w:fldChar w:fldCharType="begin"/>
      </w:r>
      <w:r w:rsidRPr="00973FEA">
        <w:rPr>
          <w:rFonts w:cstheme="minorHAnsi"/>
          <w:sz w:val="20"/>
          <w:szCs w:val="20"/>
        </w:rPr>
        <w:instrText xml:space="preserve"> ADDIN ZOTERO_ITEM CSL_CITATION {"citationID":"hzMJDe13","properties":{"formattedCitation":"[3], [6], [7], [8]","plainCitation":"[3], [6], [7], [8]","noteIndex":0},"citationItems":[{"id":3460,"uris":["http://zotero.org/users/local/Rj7jaPwM/items/GC8HW4QW"],"itemData":{"id":3460,"type":"article-journal","abstract":"The main problem of the theory in the arena of islamic architecture is affected by some of its Western thoughts, and stereotyping the islamic architecture according to Western thoughts; this leads to the breakdown of the foundations in the islamic architecture. It is a myth that islamic architecture is subjected to the influence from foreign architectures. This paper will highlight the dialectical concept of islamic architecture or muslim buildings and the areas of recognition in islamic architecture. It will also widen the knowledge in the characteristics of each point in time according to the stages of islamic architecture from the prophetic age moving through the architecture outside the city of Medina, the Caliphs, the Umayyad, Abbasid, and architectural models by spatial and time periods, taking Iraq as the example to explain how the Islam influents on architecture and vice versa.","container-title":"Journal of Islamic Architecture","DOI":"10.18860/jia.v2i2.2202","ISSN":"2356-4644, 2086-2636","issue":"2","journalAbbreviation":"JIA","language":"en","source":"DOI.org (Crossref)","title":"Architecture in The Islamic Civilization: Muslim Building or Islamic Architecture","title-short":"ARCHITECTURE IN THE ISLAMIC CIVILIZATION","URL":"http://ejournal.uin-malang.ac.id/index.php/JIA/article/view/2202","volume":"2","author":[{"family":"Yassin","given":"Ayat Ali"},{"family":"Utaberta","given":"Dr. Nangkula"}],"accessed":{"date-parts":[["2023",9,18]]},"issued":{"date-parts":[["2012",12,28]]}}},{"id":3494,"uris":["http://zotero.org/users/local/Rj7jaPwM/items/LR92RJFR"],"itemData":{"id":3494,"type":"article-journal","abstract":"This paper discusses the concept of al-wasatiyyah and some of its implications for correctly perceiving the phenomenon of Islamic built environment. The paper concludes that although those implications are rather indirect and implicit in nature, the relationship between the two, i.e. al-wasatiyyah and Islamic built environment, is very strong and reciprocal. Since they have much in common, and since they exert a considerable influence on each other’s ultimate actualisation, the concepts of al-wasatiyyah and Islamic built environment should be brought much closer to each other in reviving and unifying the Muslim community. The discussion in this paper focuses on the universality and flexibility of Islamic built environment; how a delicate balance between the form and function in Islamic built environment ought to be established; and avoiding vices, which are most often associated with built environment and which are caused by extravagant and excessive tendencies. The nature of the paper is conceptual rather than empirical, featuring a qualitative methodology that combines the descriptive and analytical methods.","container-title":"Pertanika Journal of Social Sciences &amp; Humanities","issue":"4","language":"en","source":"Zotero","title":"Al-Wasatiyyah and Some of its Implications for Islamic Built Environment","volume":"23","author":[{"family":"Omer","given":"Spahic"}],"issued":{"date-parts":[["2015"]]}}},{"id":3654,"uris":["http://zotero.org/users/local/Rj7jaPwM/items/UAQ6J5GL"],"itemData":{"id":3654,"type":"article-journal","container-title":"Architectural History","DOI":"10.2307/1568797","ISSN":"0066622X","journalAbbreviation":"Architectural History","language":"en","page":"1","source":"DOI.org (Crossref)","title":"Studying Islamic Architecture: Challenges and Perspectives","title-short":"Studying Islamic Architecture","volume":"46","author":[{"family":"Hillenbrand","given":"Robert"}],"issued":{"date-parts":[["2003"]]}}},{"id":3755,"uris":["http://zotero.org/users/local/Rj7jaPwM/items/UNJ5ZJU4"],"itemData":{"id":3755,"type":"book","call-number":"HT147.5 .H35 1986","event-place":"London","ISBN":"978-0-7103-0094-2","language":"en","number-of-pages":"192","publisher":"New York : KPI","publisher-place":"London","source":"Library of Congress ISBN","title":"Arabic-Islamic cities: building and planning principles","title-short":"Arabic-Islamic cities","author":[{"family":"Hakim","given":"Besim S."}],"issued":{"date-parts":[["1986"]]}}}],"schema":"https://github.com/citation-style-language/schema/raw/master/csl-citation.json"}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[3], [6], [7], [8]</w:t>
      </w:r>
      <w:r w:rsidRPr="00973FEA">
        <w:rPr>
          <w:rFonts w:cstheme="minorHAnsi"/>
          <w:sz w:val="20"/>
          <w:szCs w:val="20"/>
        </w:rPr>
        <w:fldChar w:fldCharType="end"/>
      </w:r>
      <w:r w:rsidRPr="00973FEA">
        <w:rPr>
          <w:rFonts w:cstheme="minorHAnsi"/>
          <w:sz w:val="20"/>
          <w:szCs w:val="20"/>
        </w:rPr>
        <w:t xml:space="preserve">. It adheres to the values prescribed by Islamic law </w:t>
      </w:r>
      <w:r w:rsidRPr="00973FEA">
        <w:rPr>
          <w:rFonts w:cstheme="minorHAnsi"/>
          <w:sz w:val="20"/>
          <w:szCs w:val="20"/>
        </w:rPr>
        <w:fldChar w:fldCharType="begin"/>
      </w:r>
      <w:r w:rsidRPr="00973FEA">
        <w:rPr>
          <w:rFonts w:cstheme="minorHAnsi"/>
          <w:sz w:val="20"/>
          <w:szCs w:val="20"/>
        </w:rPr>
        <w:instrText xml:space="preserve"> ADDIN ZOTERO_ITEM CSL_CITATION {"citationID":"7nhMWrtQ","properties":{"formattedCitation":"[9]","plainCitation":"[9]","noteIndex":0},"citationItems":[{"id":3673,"uris":["http://zotero.org/users/local/Rj7jaPwM/items/M5T3J68N"],"itemData":{"id":3673,"type":"paper-conference","DOI":"10.2495/IHA160051","event-place":"Valencia, Spain","event-title":"ISLAMIC HERITAGE ARCHITECTURE AND ART 2016","language":"en","page":"49-59","publisher-place":"Valencia, Spain","source":"DOI.org (Crossref)","title":"Islamic architecture: between moulding and flexibility","title-short":"Islamic architecture","URL":"http://library.witpress.com/viewpaper.asp?pcode=IHA16-005-1","author":[{"family":"Mahmoud","given":"M. F."},{"family":"Elbelkasy","given":"M. I."}],"accessed":{"date-parts":[["2023",10,16]]},"issued":{"date-parts":[["2016",5,17]]}}}],"schema":"https://github.com/citation-style-language/schema/raw/master/csl-citation.json"}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[9]</w:t>
      </w:r>
      <w:r w:rsidRPr="00973FEA">
        <w:rPr>
          <w:rFonts w:cstheme="minorHAnsi"/>
          <w:sz w:val="20"/>
          <w:szCs w:val="20"/>
        </w:rPr>
        <w:fldChar w:fldCharType="end"/>
      </w:r>
      <w:r w:rsidRPr="00973FEA">
        <w:rPr>
          <w:rFonts w:cstheme="minorHAnsi"/>
          <w:sz w:val="20"/>
          <w:szCs w:val="20"/>
        </w:rPr>
        <w:t xml:space="preserve">, encompassing its origin, historical development, ethos, worldview, doctrines, legal framework, and practices </w:t>
      </w:r>
      <w:r w:rsidRPr="00973FEA">
        <w:rPr>
          <w:rFonts w:cstheme="minorHAnsi"/>
          <w:sz w:val="20"/>
          <w:szCs w:val="20"/>
        </w:rPr>
        <w:fldChar w:fldCharType="begin"/>
      </w:r>
      <w:r w:rsidRPr="00973FEA">
        <w:rPr>
          <w:rFonts w:cstheme="minorHAnsi"/>
          <w:sz w:val="20"/>
          <w:szCs w:val="20"/>
        </w:rPr>
        <w:instrText xml:space="preserve"> ADDIN ZOTERO_ITEM CSL_CITATION {"citationID":"KywDxu5M","properties":{"formattedCitation":"[10]","plainCitation":"[10]","noteIndex":0},"citationItems":[{"id":3623,"uris":["http://zotero.org/users/local/Rj7jaPwM/items/4G6Y95SU"],"itemData":{"id":3623,"type":"article-journal","abstract":"The building of a mosque in this day and age is a great achievement of the Muslim community, particularly if the community is living in a non Muslim country. Technology has been the drive to improve construction method of early Muslim community that influence of values and perception towards Islam in the whole world until today. While appreciating the quantitative increase and aesthetic embellishments of many new urban mosques, several Muslim scholars, intellectuals and activists have expressed their concern and reservation regarding the function of these mosques in light of pristine world-view of Islam.","container-title":"Procedia - Social and Behavioral Sciences","DOI":"10.1016/j.sbspro.2012.07.027","ISSN":"18770428","journalAbbreviation":"Procedia - Social and Behavioral Sciences","language":"en","page":"293-303","source":"DOI.org (Crossref)","title":"Islamic Architecture Evolution: Perception and Behaviour","title-short":"Islamic Architecture Evolution","volume":"49","author":[{"family":"Taib","given":"Mohd Zafrullah Mohd"},{"family":"Rasdi","given":"Mohamad Tajuddin"}],"issued":{"date-parts":[["2012"]]}}}],"schema":"https://github.com/citation-style-language/schema/raw/master/csl-citation.json"}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[10]</w:t>
      </w:r>
      <w:r w:rsidRPr="00973FEA">
        <w:rPr>
          <w:rFonts w:cstheme="minorHAnsi"/>
          <w:sz w:val="20"/>
          <w:szCs w:val="20"/>
        </w:rPr>
        <w:fldChar w:fldCharType="end"/>
      </w:r>
      <w:r w:rsidRPr="00973FEA">
        <w:rPr>
          <w:rFonts w:cstheme="minorHAnsi"/>
          <w:sz w:val="20"/>
          <w:szCs w:val="20"/>
        </w:rPr>
        <w:t xml:space="preserve">. </w:t>
      </w:r>
      <w:r w:rsidRPr="00973FEA">
        <w:rPr>
          <w:rFonts w:cstheme="minorHAnsi"/>
          <w:sz w:val="20"/>
          <w:szCs w:val="20"/>
          <w:u w:val="single"/>
        </w:rPr>
        <w:t>It is</w:t>
      </w:r>
      <w:r w:rsidRPr="00973FEA">
        <w:rPr>
          <w:rFonts w:cstheme="minorHAnsi"/>
          <w:sz w:val="20"/>
          <w:szCs w:val="20"/>
        </w:rPr>
        <w:t xml:space="preserve"> crucial to differentiate between Islamic architecture and Arabic style architecture </w:t>
      </w:r>
      <w:r w:rsidRPr="00973FEA">
        <w:rPr>
          <w:rFonts w:cstheme="minorHAnsi"/>
          <w:sz w:val="20"/>
          <w:szCs w:val="20"/>
        </w:rPr>
        <w:fldChar w:fldCharType="begin"/>
      </w:r>
      <w:r w:rsidRPr="00973FEA">
        <w:rPr>
          <w:rFonts w:cstheme="minorHAnsi"/>
          <w:sz w:val="20"/>
          <w:szCs w:val="20"/>
        </w:rPr>
        <w:instrText xml:space="preserve"> ADDIN ZOTERO_ITEM CSL_CITATION {"citationID":"koj8BKNa","properties":{"formattedCitation":"[11]","plainCitation":"[11]","noteIndex":0},"citationItems":[{"id":3487,"uris":["http://zotero.org/users/local/Rj7jaPwM/items/WMY8T4JZ"],"itemData":{"id":3487,"type":"article-journal","abstract":"This paper explains the significance of erecting buildings in Islam. Four themes are discussed in the paper: 1) building as a basis of civilization, 2) building as an indispensable and creditable activity, 3) the Prophet Muhammad (pbuh) and building, and 4) avoiding vices in building. The paper concludes that in Islam erecting buildings is a very important enterprise, in that such signifies the creation of a physical locus of the daily individual, family and social activities of Muslims. Thus, the existence of Islamic built environment is essential for the realization of the divine purpose on earth. The chief duty that Islamic built environment performs is the facilitation of such a realization. While writing the paper, I have tried as much as possible to draw on the original sources that deal with the theme at hand, the most important of which, certainly, are the Holy Qur‟an and the authentic compilations of Prophet Muhammad‟s words and actions. Finally, the paper aims to enhance the awareness, both of the professionals and general readership, as to the importance of correctly conceptualizing, creating and using Islamic built environment. The approach in the paper is conceptual, rather than empirical.","container-title":"Journal of Islamic Architecture","DOI":"10.18860/jia.v2i3.2464","ISSN":"2356-4644, 2086-2636","issue":"3","journalAbbreviation":"JIA","language":"en","source":"DOI.org (Crossref)","title":"The Significance of Building Pursuits in Islam","URL":"http://ejournal.uin-malang.ac.id/index.php/JIA/article/view/2464","volume":"2","author":[{"family":"Omer","given":"Spahic"}],"accessed":{"date-parts":[["2023",9,28]]},"issued":{"date-parts":[["2014",2,20]]}}}],"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[11]</w:t>
      </w:r>
      <w:r w:rsidRPr="00973FEA">
        <w:rPr>
          <w:rFonts w:cstheme="minorHAnsi"/>
          <w:sz w:val="20"/>
          <w:szCs w:val="20"/>
        </w:rPr>
        <w:fldChar w:fldCharType="end"/>
      </w:r>
      <w:r w:rsidRPr="00973FEA">
        <w:rPr>
          <w:rFonts w:cstheme="minorHAnsi"/>
          <w:sz w:val="20"/>
          <w:szCs w:val="20"/>
        </w:rPr>
        <w:t>.</w:t>
      </w:r>
    </w:p>
    <w:p w14:paraId="077A2540" w14:textId="77777777" w:rsidR="00973FEA" w:rsidRDefault="00973FEA" w:rsidP="00973FEA">
      <w:pPr>
        <w:widowControl w:val="0"/>
        <w:ind w:firstLine="284"/>
        <w:jc w:val="both"/>
        <w:rPr>
          <w:rFonts w:cstheme="minorHAnsi"/>
          <w:sz w:val="20"/>
          <w:szCs w:val="20"/>
        </w:rPr>
      </w:pPr>
      <w:r w:rsidRPr="00973FEA">
        <w:rPr>
          <w:rFonts w:cstheme="minorHAnsi"/>
          <w:sz w:val="20"/>
          <w:szCs w:val="20"/>
        </w:rPr>
        <w:t xml:space="preserve">Concern arises when the theoretical framework of Islamic Architecture is misconstrued as synonymous with Muslim Architecture, influenced by functionalism ideologies. This misunderstanding results in a deviation from its foundational principles of comprehensiveness </w:t>
      </w:r>
      <w:r w:rsidRPr="00973FEA">
        <w:rPr>
          <w:rFonts w:cstheme="minorHAnsi"/>
          <w:sz w:val="20"/>
          <w:szCs w:val="20"/>
        </w:rPr>
        <w:fldChar w:fldCharType="begin"/>
      </w:r>
      <w:r w:rsidRPr="00973FEA">
        <w:rPr>
          <w:rFonts w:cstheme="minorHAnsi"/>
          <w:sz w:val="20"/>
          <w:szCs w:val="20"/>
        </w:rPr>
        <w:instrText xml:space="preserve"> ADDIN ZOTERO_ITEM CSL_CITATION {"citationID":"2UZthwYb","properties":{"formattedCitation":"[3], [12]","plainCitation":"[3], [12]","noteIndex":0},"citationItems":[{"id":3460,"uris":["http://zotero.org/users/local/Rj7jaPwM/items/GC8HW4QW"],"itemData":{"id":3460,"type":"article-journal","abstract":"The main problem of the theory in the arena of islamic architecture is affected by some of its Western thoughts, and stereotyping the islamic architecture according to Western thoughts; this leads to the breakdown of the foundations in the islamic architecture. It is a myth that islamic architecture is subjected to the influence from foreign architectures. This paper will highlight the dialectical concept of islamic architecture or muslim buildings and the areas of recognition in islamic architecture. It will also widen the knowledge in the characteristics of each point in time according to the stages of islamic architecture from the prophetic age moving through the architecture outside the city of Medina, the Caliphs, the Umayyad, Abbasid, and architectural models by spatial and time periods, taking Iraq as the example to explain how the Islam influents on architecture and vice versa.","container-title":"Journal of Islamic Architecture","DOI":"10.18860/jia.v2i2.2202","ISSN":"2356-4644, 2086-2636","issue":"2","journalAbbreviation":"JIA","language":"en","source":"DOI.org (Crossref)","title":"Architecture in The Islamic Civilization: Muslim Building or Islamic Architecture","title-short":"ARCHITECTURE IN THE ISLAMIC CIVILIZATION","URL":"http://ejournal.uin-malang.ac.id/index.php/JIA/article/view/2202","volume":"2","author":[{"family":"Yassin","given":"Ayat Ali"},{"family":"Utaberta","given":"Dr. Nangkula"}],"accessed":{"date-parts":[["2023",9,18]]},"issued":{"date-parts":[["2012",12,28]]}}},{"id":3789,"uris":["http://zotero.org/users/local/Rj7jaPwM/items/BPEX52JQ"],"itemData":{"id":3789,"type":"paper-conference","container-title":"UIA 2017 Seoul World Architects Congress","page":"34-41","title":"Does Islamic Architecture Reflect Islam (Faith)?","volume":"1","author":[{"family":"Ul Huq","given":"Masum"},{"family":"Haque2","given":"Afrina"}],"issued":{"date-parts":[["2017"]]}}}],"schema":"https://github.com/citation-style-language/schema/raw/master/csl-citation.json"}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[3], [12]</w:t>
      </w:r>
      <w:r w:rsidRPr="00973FEA">
        <w:rPr>
          <w:rFonts w:cstheme="minorHAnsi"/>
          <w:sz w:val="20"/>
          <w:szCs w:val="20"/>
        </w:rPr>
        <w:fldChar w:fldCharType="end"/>
      </w:r>
      <w:r w:rsidRPr="00973FEA">
        <w:rPr>
          <w:rFonts w:cstheme="minorHAnsi"/>
          <w:sz w:val="20"/>
          <w:szCs w:val="20"/>
        </w:rPr>
        <w:t xml:space="preserve">. It is </w:t>
      </w:r>
      <w:r w:rsidRPr="00973FEA">
        <w:rPr>
          <w:rFonts w:cstheme="minorHAnsi"/>
          <w:sz w:val="20"/>
          <w:szCs w:val="20"/>
          <w:u w:val="single"/>
        </w:rPr>
        <w:t>essential to note the distinction that</w:t>
      </w:r>
      <w:r w:rsidRPr="00973FEA">
        <w:rPr>
          <w:rFonts w:cstheme="minorHAnsi"/>
          <w:sz w:val="20"/>
          <w:szCs w:val="20"/>
        </w:rPr>
        <w:t xml:space="preserve"> Muslim Architecture focuses on structures built by Muslims, while Islamic Architecture encompasses a broader and deeper scope </w:t>
      </w:r>
      <w:r w:rsidRPr="00973FEA">
        <w:rPr>
          <w:rFonts w:cstheme="minorHAnsi"/>
          <w:sz w:val="20"/>
          <w:szCs w:val="20"/>
        </w:rPr>
        <w:fldChar w:fldCharType="begin"/>
      </w:r>
      <w:r w:rsidRPr="00973FEA">
        <w:rPr>
          <w:rFonts w:cstheme="minorHAnsi"/>
          <w:sz w:val="20"/>
          <w:szCs w:val="20"/>
        </w:rPr>
        <w:instrText xml:space="preserve"> ADDIN ZOTERO_ITEM CSL_CITATION {"citationID":"3UYT08wu","properties":{"formattedCitation":"[3], [13]","plainCitation":"[3], [13]","noteIndex":0},"citationItems":[{"id":3460,"uris":["http://zotero.org/users/local/Rj7jaPwM/items/GC8HW4QW"],"itemData":{"id":3460,"type":"article-journal","abstract":"The main problem of the theory in the arena of islamic architecture is affected by some of its Western thoughts, and stereotyping the islamic architecture according to Western thoughts; this leads to the breakdown of the foundations in the islamic architecture. It is a myth that islamic architecture is subjected to the influence from foreign architectures. This paper will highlight the dialectical concept of islamic architecture or muslim buildings and the areas of recognition in islamic architecture. It will also widen the knowledge in the characteristics of each point in time according to the stages of islamic architecture from the prophetic age moving through the architecture outside the city of Medina, the Caliphs, the Umayyad, Abbasid, and architectural models by spatial and time periods, taking Iraq as the example to explain how the Islam influents on architecture and vice versa.","container-title":"Journal of Islamic Architecture","DOI":"10.18860/jia.v2i2.2202","ISSN":"2356-4644, 2086-2636","issue":"2","journalAbbreviation":"JIA","language":"en","source":"DOI.org (Crossref)","title":"Architecture in The Islamic Civilization: Muslim Building or Islamic Architecture","title-short":"ARCHITECTURE IN THE ISLAMIC CIVILIZATION","URL":"http://ejournal.uin-malang.ac.id/index.php/JIA/article/view/2202","volume":"2","author":[{"family":"Yassin","given":"Ayat Ali"},{"family":"Utaberta","given":"Dr. Nangkula"}],"accessed":{"date-parts":[["2023",9,18]]},"issued":{"date-parts":[["2012",12,28]]}}},{"id":3667,"uris":["http://zotero.org/users/local/Rj7jaPwM/items/IKL4MIR2"],"itemData":{"id":3667,"type":"article-journal","abstract":"This paper represents the exploration of the transcendent soul of the Muslim architect and the spiritual impact of the Islamic architecture. It demonstrates that Islamic architecture is a sacred form of transmitting the Divine message, whichoriginates from the Spirit, surpasses time and space, and manifests itself in the physical world. In this sense, Islamic architecture isa perennial consequence ofan imagination which opens up the soul to certain possibilities of perceiving and understanding that are not available to the rational mind.The paper investigates examples from Islamic architectural tradition that engaged in the crystallization and expression of the mundus imaginalis, the realm where invisible realities become visible and corporeal entities are spiritualized. In order to examine the materialization of the world of symbols in architecture, the paper first addresses the crucial place of the Imaginal World in spiritual development of the Muslim architect and creation of the Islamic architecture. Italso demonstrates the fundamental aspects of the soul and characteristics of the Muslim architect in the frame of Islamic mysticism. Second, the paper discusses how Islamic architecture embodies and achieves the utmost degree of spirituality.","container-title":"Journal of Islamic Studies and Culture","DOI":"10.15640/jisc.v3n2a10","ISSN":"23335904, 23335912","issue":"2","journalAbbreviation":"JISC","language":"en","source":"DOI.org (Crossref)","title":"Transcendent Soul of the Muslim Architect and Spiritual Impact of the Islamic Architecture: Islamic Architecture and mundus imaginalis","title-short":"Transcendent Soul of the Muslim Architect and Spiritual Impact of the Islamic Architecture","URL":"http://jiscnet.com/vol-3-no-2-december-2015-abstract-10-jisc","volume":"3","author":[{"family":"Nasrollahi","given":"Fatemeh"}],"accessed":{"date-parts":[["2023",10,16]]},"issued":{"date-parts":[["2015"]]}}}],"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[3], [13]</w:t>
      </w:r>
      <w:r w:rsidRPr="00973FEA">
        <w:rPr>
          <w:rFonts w:cstheme="minorHAnsi"/>
          <w:sz w:val="20"/>
          <w:szCs w:val="20"/>
        </w:rPr>
        <w:fldChar w:fldCharType="end"/>
      </w:r>
      <w:r w:rsidRPr="00973FEA">
        <w:rPr>
          <w:rFonts w:cstheme="minorHAnsi"/>
          <w:sz w:val="20"/>
          <w:szCs w:val="20"/>
        </w:rPr>
        <w:t>.</w:t>
      </w:r>
    </w:p>
    <w:p w14:paraId="4B6EA2D9" w14:textId="77777777" w:rsidR="00F4380B" w:rsidRPr="00973FEA" w:rsidRDefault="00F4380B" w:rsidP="00973FEA">
      <w:pPr>
        <w:widowControl w:val="0"/>
        <w:ind w:firstLine="284"/>
        <w:jc w:val="both"/>
        <w:rPr>
          <w:rFonts w:cstheme="minorHAnsi"/>
          <w:sz w:val="20"/>
          <w:szCs w:val="20"/>
        </w:rPr>
      </w:pPr>
    </w:p>
    <w:p w14:paraId="73F3AFBC" w14:textId="77777777" w:rsidR="00973FEA" w:rsidRPr="00973FEA" w:rsidRDefault="00973FEA" w:rsidP="00973FEA">
      <w:pPr>
        <w:widowControl w:val="0"/>
        <w:ind w:firstLine="284"/>
        <w:jc w:val="both"/>
        <w:rPr>
          <w:rFonts w:cstheme="minorHAnsi"/>
          <w:sz w:val="20"/>
          <w:szCs w:val="20"/>
        </w:rPr>
      </w:pPr>
      <w:r w:rsidRPr="00973FEA">
        <w:rPr>
          <w:rFonts w:cstheme="minorHAnsi"/>
          <w:sz w:val="20"/>
          <w:szCs w:val="20"/>
        </w:rPr>
        <w:lastRenderedPageBreak/>
        <w:t xml:space="preserve">For instance, many Muslim architects adopt the principle of 'form follows function,' aligning </w:t>
      </w:r>
      <w:r w:rsidRPr="00973FEA">
        <w:rPr>
          <w:rFonts w:cstheme="minorHAnsi"/>
          <w:sz w:val="20"/>
          <w:szCs w:val="20"/>
          <w:u w:val="single"/>
        </w:rPr>
        <w:t>with practical aspect, financial aspect, or</w:t>
      </w:r>
      <w:r w:rsidRPr="00973FEA">
        <w:rPr>
          <w:rFonts w:cstheme="minorHAnsi"/>
          <w:sz w:val="20"/>
          <w:szCs w:val="20"/>
        </w:rPr>
        <w:t xml:space="preserve"> other considerations that shape their designs. However, as Muslims, an additional dimension should come into play—the Islamic philosophical (</w:t>
      </w:r>
      <w:proofErr w:type="spellStart"/>
      <w:r w:rsidRPr="00973FEA">
        <w:rPr>
          <w:rFonts w:cstheme="minorHAnsi"/>
          <w:i/>
          <w:iCs/>
          <w:sz w:val="20"/>
          <w:szCs w:val="20"/>
        </w:rPr>
        <w:t>aqidah</w:t>
      </w:r>
      <w:proofErr w:type="spellEnd"/>
      <w:r w:rsidRPr="00973FEA">
        <w:rPr>
          <w:rFonts w:cstheme="minorHAnsi"/>
          <w:sz w:val="20"/>
          <w:szCs w:val="20"/>
        </w:rPr>
        <w:t xml:space="preserve"> and </w:t>
      </w:r>
      <w:proofErr w:type="spellStart"/>
      <w:r w:rsidRPr="00973FEA">
        <w:rPr>
          <w:rFonts w:cstheme="minorHAnsi"/>
          <w:i/>
          <w:iCs/>
          <w:sz w:val="20"/>
          <w:szCs w:val="20"/>
        </w:rPr>
        <w:t>akhlaq</w:t>
      </w:r>
      <w:proofErr w:type="spellEnd"/>
      <w:r w:rsidRPr="00973FEA">
        <w:rPr>
          <w:rFonts w:cstheme="minorHAnsi"/>
          <w:sz w:val="20"/>
          <w:szCs w:val="20"/>
        </w:rPr>
        <w:t xml:space="preserve">) and </w:t>
      </w:r>
      <w:proofErr w:type="spellStart"/>
      <w:r w:rsidRPr="00973FEA">
        <w:rPr>
          <w:rFonts w:cstheme="minorHAnsi"/>
          <w:sz w:val="20"/>
          <w:szCs w:val="20"/>
        </w:rPr>
        <w:t>behavioral</w:t>
      </w:r>
      <w:proofErr w:type="spellEnd"/>
      <w:r w:rsidRPr="00973FEA">
        <w:rPr>
          <w:rFonts w:cstheme="minorHAnsi"/>
          <w:sz w:val="20"/>
          <w:szCs w:val="20"/>
        </w:rPr>
        <w:t xml:space="preserve"> perspective in Islamic Law (</w:t>
      </w:r>
      <w:proofErr w:type="spellStart"/>
      <w:r w:rsidRPr="00973FEA">
        <w:rPr>
          <w:rFonts w:cstheme="minorHAnsi"/>
          <w:i/>
          <w:iCs/>
          <w:sz w:val="20"/>
          <w:szCs w:val="20"/>
        </w:rPr>
        <w:t>fiqh</w:t>
      </w:r>
      <w:proofErr w:type="spellEnd"/>
      <w:r w:rsidRPr="00973FEA">
        <w:rPr>
          <w:rFonts w:cstheme="minorHAnsi"/>
          <w:sz w:val="20"/>
          <w:szCs w:val="20"/>
        </w:rPr>
        <w:t xml:space="preserve">), termed "Form Follows </w:t>
      </w:r>
      <w:r w:rsidRPr="00973FEA">
        <w:rPr>
          <w:rFonts w:cstheme="minorHAnsi"/>
          <w:i/>
          <w:sz w:val="20"/>
          <w:szCs w:val="20"/>
        </w:rPr>
        <w:t>Fiqh</w:t>
      </w:r>
      <w:r w:rsidRPr="00973FEA">
        <w:rPr>
          <w:rFonts w:cstheme="minorHAnsi"/>
          <w:sz w:val="20"/>
          <w:szCs w:val="20"/>
        </w:rPr>
        <w:t xml:space="preserve">" </w:t>
      </w:r>
      <w:r w:rsidRPr="00973FEA">
        <w:rPr>
          <w:rFonts w:cstheme="minorHAnsi"/>
          <w:sz w:val="20"/>
          <w:szCs w:val="20"/>
        </w:rPr>
        <w:fldChar w:fldCharType="begin"/>
      </w:r>
      <w:r w:rsidRPr="00973FEA">
        <w:rPr>
          <w:rFonts w:cstheme="minorHAnsi"/>
          <w:sz w:val="20"/>
          <w:szCs w:val="20"/>
        </w:rPr>
        <w:instrText xml:space="preserve"> ADDIN ZOTERO_ITEM CSL_CITATION {"citationID":"E5BZcuV0","properties":{"formattedCitation":"[14], [15]","plainCitation":"[14], [15]","noteIndex":0},"citationItems":[{"id":3695,"uris":["http://zotero.org/users/local/Rj7jaPwM/items/EQXE9443"],"itemData":{"id":3695,"type":"article-journal","abstract":"Architectural Jurisprudence is an important study in Islamic architecture that has not been much developed. Therefore it is necessary to have an in-depth study related to the reintegration of Islamic jurisprudence and architectural science as a total implementation of Islam. This study focuses on the nature, Islamic epistemology, and strategy of istinbath al ahkam fiqh architecture. This literature study research utilizes Azab’s thoughts (2012 &amp; 1997), Murobith (2018), and Zarkani (2006) in examining the nature and strategy of istinbath al-ahkam architectural fiqh and using the reasoning of the Islamic epistemology of Al Jabiri (1989) in studying the reasoning of the Islamic fiqh architectural epistemology. Azab’s opinion (2012 &amp; 1997), Murobith (2012), Zarkani (2006), and Al Jabiri (1989) were then combined as needed in making the theoretical foundation of architectural fiqh. The results of this study indicate that the nature of architectural fiqh includes definitions, objects of study, originators, and subjects of architectural fiqh. Architectural fiqh is a collection of various fiqh principles that result in the mobility of a city as an effect of contacting every member of the community, the tendency of building architectural forms, and various issues surrounding the building that are presented as a result of the collaboration of fiqh scholars with building practitioners and architecture as a fiqh legal fatwa based on the science of fiqh proposal . Meanwhile, the object of study is the integration of fiqh studies with architecture and building studies.The subject of the study of architecture fiqh is fiqh law as charging legal low or correlative law in the context of a building. Furthermore, the epistemology of Islam in architectural fiqh is part of the bayani reasoning method as well as burhani. Finally, the strategy of istinbath al ahkam fiqh architecture is the Koran, the sunnah nabawiyah, and the principles of fiqh.","container-title":"SHAHIH: Journal of Islamicate Multidisciplinary","DOI":"10.22515/shahih.v4i2.1867","ISSN":"2527-8126, 2527-8118","issue":"2","journalAbbreviation":"SJIM","language":"id","page":"151-169","source":"DOI.org (Crossref)","title":"Hakikat, Epistimologi Islam, dan Strategi Istinbath Al Ahkam Fikih Arsitektur","volume":"4","author":[{"family":"Yulianto","given":"Y"}],"issued":{"date-parts":[["2019",12,28]]}}},{"id":3697,"uris":["http://zotero.org/users/local/Rj7jaPwM/items/4PB3RIFB"],"itemData":{"id":3697,"type":"article-journal","container-title":"Historical Kan Periodical","DOI":"10.12816/0047296","ISSN":"20900449, 20900449","issue":"38","journalAbbreviation":"HKP","page":"64-72","source":"DOI.org (Crossref)","title":"l-Dārar ʿalā al-Masākin min khātir fiqh ʿimārati al-madā'in al-islāmiyya","volume":"10","author":[{"family":"Bin Hamu","given":"Mohammad"}],"issued":{"date-parts":[["2017",12]]}}}],"schema":"https://github.com/citation-style-language/schema/raw/master/csl-citation.json"}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[14], [15]</w:t>
      </w:r>
      <w:r w:rsidRPr="00973FEA">
        <w:rPr>
          <w:rFonts w:cstheme="minorHAnsi"/>
          <w:sz w:val="20"/>
          <w:szCs w:val="20"/>
        </w:rPr>
        <w:fldChar w:fldCharType="end"/>
      </w:r>
      <w:r w:rsidRPr="00973FEA">
        <w:rPr>
          <w:rFonts w:cstheme="minorHAnsi"/>
          <w:sz w:val="20"/>
          <w:szCs w:val="20"/>
        </w:rPr>
        <w:t xml:space="preserve">. These Islamic values govern nearly every aspect of a Muslim's life, including the realm of architecture and construction </w:t>
      </w:r>
      <w:r w:rsidRPr="00973FEA">
        <w:rPr>
          <w:rFonts w:cstheme="minorHAnsi"/>
          <w:sz w:val="20"/>
          <w:szCs w:val="20"/>
        </w:rPr>
        <w:fldChar w:fldCharType="begin"/>
      </w:r>
      <w:r w:rsidRPr="00973FEA">
        <w:rPr>
          <w:rFonts w:cstheme="minorHAnsi"/>
          <w:sz w:val="20"/>
          <w:szCs w:val="20"/>
        </w:rPr>
        <w:instrText xml:space="preserve"> ADDIN ZOTERO_ITEM CSL_CITATION {"citationID":"FfNpxuLn","properties":{"formattedCitation":"[1], [2]","plainCitation":"[1], [2]","noteIndex":0},"citationItems":[{"id":3700,"uris":["http://zotero.org/users/local/Rj7jaPwM/items/YBNADNN9"],"itemData":{"id":3700,"type":"article-journal","container-title":"Majallat al-Majmaʿ al-ʿIlmi al-Masri","DOI":"10.21608/jfnile.2015.88419","ISSN":"2682-4779","issue":"90","journalAbbreviation":"Majallat al-Majmaʿ al-ʿIlmi al-Masri","language":"en","page":"21-61","source":"DOI.org (Crossref)","title":"Islamic Concepts of Building and Architecture","volume":"90","author":[{"family":"Azab","given":"Khaled"}],"issued":{"date-parts":[["2015",5,1]]}}},{"id":"QCoNWly0/VAwvpbWP","uris":["http://zotero.org/users/local/Rj7jaPwM/items/V9RGZ8TU"],"itemData":{"id":"Y63foUey/W7BjZ65G","type":"book","edition":"0","ISBN":"978-1-136-85131-5","language":"en","note":"DOI: 10.4324/9781315028767","publisher":"Routledge","source":"DOI.org (Crossref)","title":"Understanding Islamic Architecture","URL":"https://www.taylorfrancis.com/books/9781136851315","author":[{"family":"Petruccioli","given":"Attilo"},{"family":"Pirani","given":"Khalil K."}],"accessed":{"date-parts":[["2023",10,16]]},"issued":{"date-parts":[["2013",9,13]]}}}],"schema":"https://github.com/citation-style-language/schema/raw/master/csl-citation.json"}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[1], [2]</w:t>
      </w:r>
      <w:r w:rsidRPr="00973FEA">
        <w:rPr>
          <w:rFonts w:cstheme="minorHAnsi"/>
          <w:sz w:val="20"/>
          <w:szCs w:val="20"/>
        </w:rPr>
        <w:fldChar w:fldCharType="end"/>
      </w:r>
      <w:r w:rsidRPr="00973FEA">
        <w:rPr>
          <w:rFonts w:cstheme="minorHAnsi"/>
          <w:sz w:val="20"/>
          <w:szCs w:val="20"/>
        </w:rPr>
        <w:t xml:space="preserve">. For Muslims, the study of architecture becomes a manifestation of their faith in Islam and a means to translate Islamic values into tangible architectural forms </w:t>
      </w:r>
      <w:r w:rsidRPr="00973FEA">
        <w:rPr>
          <w:rFonts w:cstheme="minorHAnsi"/>
          <w:sz w:val="20"/>
          <w:szCs w:val="20"/>
        </w:rPr>
        <w:fldChar w:fldCharType="begin"/>
      </w:r>
      <w:r w:rsidRPr="00973FEA">
        <w:rPr>
          <w:rFonts w:cstheme="minorHAnsi"/>
          <w:sz w:val="20"/>
          <w:szCs w:val="20"/>
        </w:rPr>
        <w:instrText xml:space="preserve"> ADDIN ZOTERO_ITEM CSL_CITATION {"citationID":"DF5T4t5Z","properties":{"formattedCitation":"[16]","plainCitation":"[16]","noteIndex":0},"citationItems":[{"id":3663,"uris":["http://zotero.org/users/local/Rj7jaPwM/items/CMJKIQFU"],"itemData":{"id":3663,"type":"article-journal","abstract":"Islamic architecture is part of the element of art produced by a group of people who love something beautiful in nature. In the Quran itself has stated that the beauty of something is no relation to love, faith and God. In this paper, the author felt compelled to see Islamic architecture according to the perspective of the Quran that pointed less existence of institutional building of the mosque as a symbol and a landmark of Muslims in the world. One of the main objectives in this writing was discussing the definition of the architecture in the debate of the concept, philosophy and goals of Islamic architecture itself and in the context of the human relationship with the Creator. In addition, this writing discusses the characteristics of Islamic architecture that became the foundation of a building. In this writing also, author is using qualitative methodology focusing on research on the analysis of documents and observations in the study to make it more effective. The study found that, Islamic architecture that can be seen through the mosque building which has distinctive features in architecture, complementing the exhibit uniqueness based on Islamic syariah.","container-title":"International Journal of Academic Research in Business and Social Sciences","DOI":"10.6007/IJARBSS/v7-i8/3254","ISSN":"2222-6990","issue":"8","journalAbbreviation":"IJARBSS","language":"en","page":"Pages 478-484","source":"DOI.org (Crossref)","title":"Architecture according to the Perspective of the Qur'an: An Evaluation","title-short":"Architecture according to the Perspective of the Qur'an","volume":"7","author":[{"family":"Ahmad","given":"Anisah Bahyah Hj"},{"family":"Mujani","given":"Wan Kamal"},{"family":"Othman","given":"Rosiah"}],"issued":{"date-parts":[["2017",9,27]]}}}],"schema":"https://github.com/citation-style-language/schema/raw/master/csl-citation.json"}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[16]</w:t>
      </w:r>
      <w:r w:rsidRPr="00973FEA">
        <w:rPr>
          <w:rFonts w:cstheme="minorHAnsi"/>
          <w:sz w:val="20"/>
          <w:szCs w:val="20"/>
        </w:rPr>
        <w:fldChar w:fldCharType="end"/>
      </w:r>
      <w:r w:rsidRPr="00973FEA">
        <w:rPr>
          <w:rFonts w:cstheme="minorHAnsi"/>
          <w:sz w:val="20"/>
          <w:szCs w:val="20"/>
        </w:rPr>
        <w:t xml:space="preserve">. Consequently, Islamic architecture should serve as the foundational basis for designs crafted by Muslim architects </w:t>
      </w:r>
      <w:r w:rsidRPr="00973FEA">
        <w:rPr>
          <w:rFonts w:cstheme="minorHAnsi"/>
          <w:sz w:val="20"/>
          <w:szCs w:val="20"/>
        </w:rPr>
        <w:fldChar w:fldCharType="begin"/>
      </w:r>
      <w:r w:rsidRPr="00973FEA">
        <w:rPr>
          <w:rFonts w:cstheme="minorHAnsi"/>
          <w:sz w:val="20"/>
          <w:szCs w:val="20"/>
        </w:rPr>
        <w:instrText xml:space="preserve"> ADDIN ZOTERO_ITEM CSL_CITATION {"citationID":"2mKMAGGM","properties":{"formattedCitation":"[7]","plainCitation":"[7]","noteIndex":0},"citationItems":[{"id":3654,"uris":["http://zotero.org/users/local/Rj7jaPwM/items/UAQ6J5GL"],"itemData":{"id":3654,"type":"article-journal","container-title":"Architectural History","DOI":"10.2307/1568797","ISSN":"0066622X","journalAbbreviation":"Architectural History","language":"en","page":"1","source":"DOI.org (Crossref)","title":"Studying Islamic Architecture: Challenges and Perspectives","title-short":"Studying Islamic Architecture","volume":"46","author":[{"family":"Hillenbrand","given":"Robert"}],"issued":{"date-parts":[["2003"]]}}}],"schema":"https://github.com/citation-style-language/schema/raw/master/csl-citation.json"}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[7]</w:t>
      </w:r>
      <w:r w:rsidRPr="00973FEA">
        <w:rPr>
          <w:rFonts w:cstheme="minorHAnsi"/>
          <w:sz w:val="20"/>
          <w:szCs w:val="20"/>
        </w:rPr>
        <w:fldChar w:fldCharType="end"/>
      </w:r>
      <w:r w:rsidRPr="00973FEA">
        <w:rPr>
          <w:rFonts w:cstheme="minorHAnsi"/>
          <w:sz w:val="20"/>
          <w:szCs w:val="20"/>
        </w:rPr>
        <w:t>.</w:t>
      </w:r>
    </w:p>
    <w:p w14:paraId="6B716098" w14:textId="77777777" w:rsidR="00973FEA" w:rsidRPr="00973FEA" w:rsidRDefault="00973FEA" w:rsidP="00973FEA">
      <w:pPr>
        <w:ind w:firstLine="284"/>
        <w:jc w:val="both"/>
        <w:rPr>
          <w:rFonts w:asciiTheme="majorHAnsi" w:hAnsiTheme="majorHAnsi" w:cstheme="majorHAnsi"/>
          <w:sz w:val="20"/>
          <w:szCs w:val="20"/>
          <w:lang w:val="id-ID"/>
        </w:rPr>
      </w:pPr>
      <w:r w:rsidRPr="00973FEA">
        <w:rPr>
          <w:rFonts w:cstheme="minorHAnsi"/>
          <w:sz w:val="20"/>
          <w:szCs w:val="20"/>
        </w:rPr>
        <w:t xml:space="preserve">The incorporation of these additional dimensions introduces substantial variations in the elements of Islamic architecture, making </w:t>
      </w:r>
      <w:r w:rsidRPr="00973FEA">
        <w:rPr>
          <w:rFonts w:cstheme="minorHAnsi"/>
          <w:sz w:val="20"/>
          <w:szCs w:val="20"/>
          <w:u w:val="single"/>
        </w:rPr>
        <w:t xml:space="preserve">its systematic structure </w:t>
      </w:r>
      <w:r w:rsidRPr="00973FEA">
        <w:rPr>
          <w:rFonts w:cstheme="minorHAnsi"/>
          <w:sz w:val="20"/>
          <w:szCs w:val="20"/>
        </w:rPr>
        <w:t>a notable challenge. Moreover, our current knowledge reveals a scarcity of a comprehensive general framework in this regard. This paper endeavours to fill this gap by aspiring to establish a foundational theoretical framework. It aims to offer a thorough understanding of Islamic Architecture, addressing the complexities arising from the diverse dimensions involved</w:t>
      </w:r>
    </w:p>
    <w:p w14:paraId="0F4BBD5D" w14:textId="77777777" w:rsidR="00973FEA" w:rsidRPr="00973FEA" w:rsidRDefault="00973FEA" w:rsidP="00973FEA">
      <w:pPr>
        <w:jc w:val="both"/>
        <w:rPr>
          <w:rFonts w:asciiTheme="majorHAnsi" w:hAnsiTheme="majorHAnsi" w:cstheme="majorHAnsi"/>
          <w:sz w:val="20"/>
          <w:szCs w:val="20"/>
        </w:rPr>
      </w:pPr>
    </w:p>
    <w:p w14:paraId="7FB58739" w14:textId="77777777" w:rsidR="00973FEA" w:rsidRPr="00973FEA" w:rsidRDefault="00973FEA" w:rsidP="00973FEA">
      <w:pPr>
        <w:pStyle w:val="Heading3"/>
      </w:pPr>
      <w:r w:rsidRPr="00973FEA">
        <w:t>FRAMEWORK: ARTIFACTS, SOCIOFACTS, MENTIFACTS</w:t>
      </w:r>
    </w:p>
    <w:p w14:paraId="7211995A" w14:textId="77777777" w:rsidR="00973FEA" w:rsidRPr="00973FEA" w:rsidRDefault="00973FEA" w:rsidP="00F4380B">
      <w:pPr>
        <w:widowControl w:val="0"/>
        <w:ind w:firstLine="284"/>
        <w:jc w:val="both"/>
        <w:rPr>
          <w:rFonts w:asciiTheme="majorHAnsi" w:hAnsiTheme="majorHAnsi" w:cstheme="majorHAnsi"/>
          <w:sz w:val="20"/>
          <w:szCs w:val="20"/>
        </w:rPr>
      </w:pPr>
      <w:r w:rsidRPr="00973FEA">
        <w:rPr>
          <w:rFonts w:asciiTheme="majorHAnsi" w:hAnsiTheme="majorHAnsi" w:cstheme="majorHAnsi"/>
          <w:sz w:val="20"/>
          <w:szCs w:val="20"/>
        </w:rPr>
        <w:t xml:space="preserve">Rapoport asserts that architecture and the built environment result from a fusion of theory and culture shaped by the consistent application of a system of rules </w:t>
      </w:r>
      <w:r w:rsidRPr="00973FEA">
        <w:rPr>
          <w:rFonts w:asciiTheme="majorHAnsi" w:hAnsiTheme="majorHAnsi" w:cstheme="majorHAnsi"/>
          <w:sz w:val="20"/>
          <w:szCs w:val="20"/>
        </w:rPr>
        <w:fldChar w:fldCharType="begin"/>
      </w:r>
      <w:r w:rsidRPr="00973FEA">
        <w:rPr>
          <w:rFonts w:asciiTheme="majorHAnsi" w:hAnsiTheme="majorHAnsi" w:cstheme="majorHAnsi"/>
          <w:sz w:val="20"/>
          <w:szCs w:val="20"/>
        </w:rPr>
        <w:instrText xml:space="preserve"> ADDIN ZOTERO_ITEM CSL_CITATION {"citationID":"NthvMG13","properties":{"formattedCitation":"[17]","plainCitation":"[17]","noteIndex":0},"citationItems":[{"id":3942,"uris":["http://zotero.org/users/local/Rj7jaPwM/items/ANL5MAAN"],"itemData":{"id":3942,"type":"article-journal","abstract":"In this article the study of housing (and other built environments) is located within the context of an explanatory theory of environment-behavior relations. The need for operational definitions and ‘dismantling’ as general approaches is emphasized. After defining housing, it is suggested that it is impossible to relate ‘culture’ (or ‘society’) to housing (or any built environment), because these concepts are too broad, general and abstract. More specific and concrete variables derived by dismantling ‘culture’ are then shown to be related easily to housing, housing choices and preferences, group differences, etc. The value of using popular and mass media, advertisements and the like in this process is emphasized.","container-title":"Housing, Theory and Society","DOI":"10.1080/140360900300108573","ISSN":"1403-6096, 1651-2278","issue":"4","journalAbbreviation":"Housing, Theory and Society","language":"en","page":"145-165","source":"DOI.org (Crossref)","title":"Theory, Culture and Housing","volume":"17","author":[{"family":"Rapoport","given":"Amos"}],"issued":{"date-parts":[["2000",11]]}}}],"schema":"https://github.com/citation-style-language/schema/raw/master/csl-citation.json"} </w:instrText>
      </w:r>
      <w:r w:rsidRPr="00973FEA">
        <w:rPr>
          <w:rFonts w:asciiTheme="majorHAnsi" w:hAnsiTheme="majorHAnsi" w:cstheme="majorHAnsi"/>
          <w:sz w:val="20"/>
          <w:szCs w:val="20"/>
        </w:rPr>
        <w:fldChar w:fldCharType="separate"/>
      </w:r>
      <w:r w:rsidRPr="00973FEA">
        <w:rPr>
          <w:rFonts w:asciiTheme="majorHAnsi" w:hAnsiTheme="majorHAnsi" w:cstheme="majorHAnsi"/>
          <w:sz w:val="20"/>
          <w:szCs w:val="20"/>
        </w:rPr>
        <w:t>[17]</w:t>
      </w:r>
      <w:r w:rsidRPr="00973FEA">
        <w:rPr>
          <w:rFonts w:asciiTheme="majorHAnsi" w:hAnsiTheme="majorHAnsi" w:cstheme="majorHAnsi"/>
          <w:sz w:val="20"/>
          <w:szCs w:val="20"/>
        </w:rPr>
        <w:fldChar w:fldCharType="end"/>
      </w:r>
      <w:r w:rsidRPr="00973FEA">
        <w:rPr>
          <w:rFonts w:asciiTheme="majorHAnsi" w:hAnsiTheme="majorHAnsi" w:cstheme="majorHAnsi"/>
          <w:sz w:val="20"/>
          <w:szCs w:val="20"/>
        </w:rPr>
        <w:t xml:space="preserve">. </w:t>
      </w:r>
      <w:r w:rsidRPr="00973FEA">
        <w:rPr>
          <w:rFonts w:asciiTheme="majorHAnsi" w:hAnsiTheme="majorHAnsi" w:cstheme="majorHAnsi"/>
          <w:sz w:val="20"/>
          <w:szCs w:val="20"/>
          <w:u w:val="single"/>
        </w:rPr>
        <w:t>It is</w:t>
      </w:r>
      <w:r w:rsidRPr="00973FEA">
        <w:rPr>
          <w:rFonts w:asciiTheme="majorHAnsi" w:hAnsiTheme="majorHAnsi" w:cstheme="majorHAnsi"/>
          <w:sz w:val="20"/>
          <w:szCs w:val="20"/>
        </w:rPr>
        <w:t xml:space="preserve"> </w:t>
      </w:r>
      <w:r w:rsidRPr="00973FEA">
        <w:rPr>
          <w:rFonts w:asciiTheme="majorHAnsi" w:hAnsiTheme="majorHAnsi" w:cstheme="majorHAnsi"/>
          <w:sz w:val="20"/>
          <w:szCs w:val="20"/>
          <w:u w:val="single"/>
        </w:rPr>
        <w:t>vital</w:t>
      </w:r>
      <w:r w:rsidRPr="00973FEA">
        <w:rPr>
          <w:rFonts w:asciiTheme="majorHAnsi" w:hAnsiTheme="majorHAnsi" w:cstheme="majorHAnsi"/>
          <w:sz w:val="20"/>
          <w:szCs w:val="20"/>
        </w:rPr>
        <w:t xml:space="preserve"> to note the distinction between culture and religion. R</w:t>
      </w:r>
      <w:r w:rsidRPr="00973FEA">
        <w:rPr>
          <w:rFonts w:asciiTheme="majorHAnsi" w:hAnsiTheme="majorHAnsi" w:cstheme="majorHAnsi"/>
          <w:sz w:val="20"/>
          <w:szCs w:val="20"/>
          <w:u w:val="single"/>
        </w:rPr>
        <w:t>eligion of</w:t>
      </w:r>
      <w:r w:rsidRPr="00973FEA">
        <w:rPr>
          <w:rFonts w:asciiTheme="majorHAnsi" w:hAnsiTheme="majorHAnsi" w:cstheme="majorHAnsi"/>
          <w:sz w:val="20"/>
          <w:szCs w:val="20"/>
        </w:rPr>
        <w:t xml:space="preserve">ten acts as a cultural identity marker, blurring the lines between the two </w:t>
      </w:r>
      <w:r w:rsidRPr="00973FEA">
        <w:rPr>
          <w:rFonts w:asciiTheme="majorHAnsi" w:hAnsiTheme="majorHAnsi" w:cstheme="majorHAnsi"/>
          <w:sz w:val="20"/>
          <w:szCs w:val="20"/>
        </w:rPr>
        <w:fldChar w:fldCharType="begin"/>
      </w:r>
      <w:r w:rsidRPr="00973FEA">
        <w:rPr>
          <w:rFonts w:asciiTheme="majorHAnsi" w:hAnsiTheme="majorHAnsi" w:cstheme="majorHAnsi"/>
          <w:sz w:val="20"/>
          <w:szCs w:val="20"/>
        </w:rPr>
        <w:instrText xml:space="preserve"> ADDIN ZOTERO_ITEM CSL_CITATION {"citationID":"qVAgBZq4","properties":{"formattedCitation":"[18]","plainCitation":"[18]","noteIndex":0},"citationItems":[{"id":4162,"uris":["http://zotero.org/users/local/Rj7jaPwM/items/Q7X8ICX4"],"itemData":{"id":4162,"type":"article-journal","abstract":"Religion and culture always exist in a close relation. Together with aesthetics and ethics, religion constitutes culture. As ethnicity becomes part of the related concepts, the relation with religion needs explanation. This article wants to emphasise that when studying religion, a  study of culture is necessary. This statement is argued from three positions: (1) cultural migrations occurring worldwide, (2) religion as cultural identity marker causing the borders between culture and religion to blur and (3) the location of religion within culture causing religion to act as custodian of culture. This results in a situation where any signs of animosity towards culture are interpreted as opposition towards religion. All three arguments necessitate studying ethnicity when studying religion.","container-title":"HTS Teologiese Studies / Theological Studies","DOI":"10.4102/hts.v73i1.3864","ISSN":"2072-8050, 0259-9422","issue":"1","journalAbbreviation":"HTS Teologiese Studies / Theological Studies","language":"en","page":"9 pages","source":"DOI.org (Crossref)","title":"Religion and culture: Revisiting a close relative","title-short":"Religion and culture","volume":"73","author":[{"family":"Beyers","given":"Jaco"}],"issued":{"date-parts":[["2017",2,28]]}}}],"schema":"https://github.com/citation-style-language/schema/raw/master/csl-citation.json"} </w:instrText>
      </w:r>
      <w:r w:rsidRPr="00973FEA">
        <w:rPr>
          <w:rFonts w:asciiTheme="majorHAnsi" w:hAnsiTheme="majorHAnsi" w:cstheme="majorHAnsi"/>
          <w:sz w:val="20"/>
          <w:szCs w:val="20"/>
        </w:rPr>
        <w:fldChar w:fldCharType="separate"/>
      </w:r>
      <w:r w:rsidRPr="00973FEA">
        <w:rPr>
          <w:rFonts w:asciiTheme="majorHAnsi" w:hAnsiTheme="majorHAnsi" w:cstheme="majorHAnsi"/>
          <w:sz w:val="20"/>
          <w:szCs w:val="20"/>
        </w:rPr>
        <w:t>[18]</w:t>
      </w:r>
      <w:r w:rsidRPr="00973FEA">
        <w:rPr>
          <w:rFonts w:asciiTheme="majorHAnsi" w:hAnsiTheme="majorHAnsi" w:cstheme="majorHAnsi"/>
          <w:sz w:val="20"/>
          <w:szCs w:val="20"/>
        </w:rPr>
        <w:fldChar w:fldCharType="end"/>
      </w:r>
      <w:r w:rsidRPr="00973FEA">
        <w:rPr>
          <w:rFonts w:asciiTheme="majorHAnsi" w:hAnsiTheme="majorHAnsi" w:cstheme="majorHAnsi"/>
          <w:sz w:val="20"/>
          <w:szCs w:val="20"/>
        </w:rPr>
        <w:t xml:space="preserve">. In the realm of Islamic architecture, scholars commonly agree that it is a manifestation of Islamic culture </w:t>
      </w:r>
      <w:r w:rsidRPr="00973FEA">
        <w:rPr>
          <w:rFonts w:asciiTheme="majorHAnsi" w:hAnsiTheme="majorHAnsi" w:cstheme="majorHAnsi"/>
          <w:sz w:val="20"/>
          <w:szCs w:val="20"/>
        </w:rPr>
        <w:fldChar w:fldCharType="begin"/>
      </w:r>
      <w:r w:rsidRPr="00973FEA">
        <w:rPr>
          <w:rFonts w:asciiTheme="majorHAnsi" w:hAnsiTheme="majorHAnsi" w:cstheme="majorHAnsi"/>
          <w:sz w:val="20"/>
          <w:szCs w:val="20"/>
        </w:rPr>
        <w:instrText xml:space="preserve"> ADDIN ZOTERO_ITEM CSL_CITATION {"citationID":"vIE2Ez17","properties":{"formattedCitation":"[5]","plainCitation":"[5]","noteIndex":0},"citationItems":[{"id":3683,"uris":["http://zotero.org/users/local/Rj7jaPwM/items/CV29HQ4C"],"itemData":{"id":3683,"type":"article-journal","container-title":"Journal of Art Historiography","issue":"1","language":"en","source":"Zotero","title":"What is Islamic architecture anyway?","volume":"6","author":[{"family":"Rabbat","given":"Nasser"}],"issued":{"date-parts":[["2012"]]}}}],"schema":"https://github.com/citation-style-language/schema/raw/master/csl-citation.json"} </w:instrText>
      </w:r>
      <w:r w:rsidRPr="00973FEA">
        <w:rPr>
          <w:rFonts w:asciiTheme="majorHAnsi" w:hAnsiTheme="majorHAnsi" w:cstheme="majorHAnsi"/>
          <w:sz w:val="20"/>
          <w:szCs w:val="20"/>
        </w:rPr>
        <w:fldChar w:fldCharType="separate"/>
      </w:r>
      <w:r w:rsidRPr="00973FEA">
        <w:rPr>
          <w:rFonts w:asciiTheme="majorHAnsi" w:hAnsiTheme="majorHAnsi" w:cstheme="majorHAnsi"/>
          <w:sz w:val="20"/>
          <w:szCs w:val="20"/>
        </w:rPr>
        <w:t>[5]</w:t>
      </w:r>
      <w:r w:rsidRPr="00973FEA">
        <w:rPr>
          <w:rFonts w:asciiTheme="majorHAnsi" w:hAnsiTheme="majorHAnsi" w:cstheme="majorHAnsi"/>
          <w:sz w:val="20"/>
          <w:szCs w:val="20"/>
        </w:rPr>
        <w:fldChar w:fldCharType="end"/>
      </w:r>
      <w:r w:rsidRPr="00973FEA">
        <w:rPr>
          <w:rFonts w:asciiTheme="majorHAnsi" w:hAnsiTheme="majorHAnsi" w:cstheme="majorHAnsi"/>
          <w:sz w:val="20"/>
          <w:szCs w:val="20"/>
        </w:rPr>
        <w:t xml:space="preserve">. To fully comprehend this architectural output, one must consider all the dimensions contributing to its creation </w:t>
      </w:r>
      <w:r w:rsidRPr="00973FEA">
        <w:rPr>
          <w:rFonts w:asciiTheme="majorHAnsi" w:hAnsiTheme="majorHAnsi" w:cstheme="majorHAnsi"/>
          <w:sz w:val="20"/>
          <w:szCs w:val="20"/>
        </w:rPr>
        <w:fldChar w:fldCharType="begin"/>
      </w:r>
      <w:r w:rsidRPr="00973FEA">
        <w:rPr>
          <w:rFonts w:asciiTheme="majorHAnsi" w:hAnsiTheme="majorHAnsi" w:cstheme="majorHAnsi"/>
          <w:sz w:val="20"/>
          <w:szCs w:val="20"/>
        </w:rPr>
        <w:instrText xml:space="preserve"> ADDIN ZOTERO_ITEM CSL_CITATION {"citationID":"KxwYrmZd","properties":{"formattedCitation":"[17]","plainCitation":"[17]","noteIndex":0},"citationItems":[{"id":3942,"uris":["http://zotero.org/users/local/Rj7jaPwM/items/ANL5MAAN"],"itemData":{"id":3942,"type":"article-journal","abstract":"In this article the study of housing (and other built environments) is located within the context of an explanatory theory of environment-behavior relations. The need for operational definitions and ‘dismantling’ as general approaches is emphasized. After defining housing, it is suggested that it is impossible to relate ‘culture’ (or ‘society’) to housing (or any built environment), because these concepts are too broad, general and abstract. More specific and concrete variables derived by dismantling ‘culture’ are then shown to be related easily to housing, housing choices and preferences, group differences, etc. The value of using popular and mass media, advertisements and the like in this process is emphasized.","container-title":"Housing, Theory and Society","DOI":"10.1080/140360900300108573","ISSN":"1403-6096, 1651-2278","issue":"4","journalAbbreviation":"Housing, Theory and Society","language":"en","page":"145-165","source":"DOI.org (Crossref)","title":"Theory, Culture and Housing","volume":"17","author":[{"family":"Rapoport","given":"Amos"}],"issued":{"date-parts":[["2000",11]]}}}],"schema":"https://github.com/citation-style-language/schema/raw/master/csl-citation.json"} </w:instrText>
      </w:r>
      <w:r w:rsidRPr="00973FEA">
        <w:rPr>
          <w:rFonts w:asciiTheme="majorHAnsi" w:hAnsiTheme="majorHAnsi" w:cstheme="majorHAnsi"/>
          <w:sz w:val="20"/>
          <w:szCs w:val="20"/>
        </w:rPr>
        <w:fldChar w:fldCharType="separate"/>
      </w:r>
      <w:r w:rsidRPr="00973FEA">
        <w:rPr>
          <w:rFonts w:asciiTheme="majorHAnsi" w:hAnsiTheme="majorHAnsi" w:cstheme="majorHAnsi"/>
          <w:sz w:val="20"/>
          <w:szCs w:val="20"/>
        </w:rPr>
        <w:t>[17]</w:t>
      </w:r>
      <w:r w:rsidRPr="00973FEA">
        <w:rPr>
          <w:rFonts w:asciiTheme="majorHAnsi" w:hAnsiTheme="majorHAnsi" w:cstheme="majorHAnsi"/>
          <w:sz w:val="20"/>
          <w:szCs w:val="20"/>
        </w:rPr>
        <w:fldChar w:fldCharType="end"/>
      </w:r>
      <w:r w:rsidRPr="00973FEA">
        <w:rPr>
          <w:rFonts w:asciiTheme="majorHAnsi" w:hAnsiTheme="majorHAnsi" w:cstheme="majorHAnsi"/>
          <w:sz w:val="20"/>
          <w:szCs w:val="20"/>
        </w:rPr>
        <w:t>. Consequently, Islamic architecture should not only be viewed as a product but also as a culture that actively shapes its form and essence.</w:t>
      </w:r>
    </w:p>
    <w:p w14:paraId="28351772" w14:textId="77777777" w:rsidR="00973FEA" w:rsidRPr="00973FEA" w:rsidRDefault="00973FEA" w:rsidP="00F4380B">
      <w:pPr>
        <w:widowControl w:val="0"/>
        <w:ind w:firstLine="284"/>
        <w:jc w:val="both"/>
        <w:rPr>
          <w:rFonts w:asciiTheme="majorHAnsi" w:hAnsiTheme="majorHAnsi" w:cstheme="majorHAnsi"/>
          <w:sz w:val="20"/>
          <w:szCs w:val="20"/>
        </w:rPr>
      </w:pPr>
      <w:r w:rsidRPr="00973FEA">
        <w:rPr>
          <w:rFonts w:asciiTheme="majorHAnsi" w:hAnsiTheme="majorHAnsi" w:cstheme="majorHAnsi"/>
          <w:sz w:val="20"/>
          <w:szCs w:val="20"/>
        </w:rPr>
        <w:t xml:space="preserve">Delving deeper into cultural exploration, this research adopts a socio-cultural framework that employs the science of culture, delineated into three dimensions: </w:t>
      </w:r>
      <w:proofErr w:type="spellStart"/>
      <w:r w:rsidRPr="00973FEA">
        <w:rPr>
          <w:rFonts w:asciiTheme="majorHAnsi" w:hAnsiTheme="majorHAnsi" w:cstheme="majorHAnsi"/>
          <w:sz w:val="20"/>
          <w:szCs w:val="20"/>
        </w:rPr>
        <w:t>mentifacts</w:t>
      </w:r>
      <w:proofErr w:type="spellEnd"/>
      <w:r w:rsidRPr="00973FEA">
        <w:rPr>
          <w:rFonts w:asciiTheme="majorHAnsi" w:hAnsiTheme="majorHAnsi" w:cstheme="majorHAnsi"/>
          <w:sz w:val="20"/>
          <w:szCs w:val="20"/>
        </w:rPr>
        <w:t xml:space="preserve">, </w:t>
      </w:r>
      <w:proofErr w:type="spellStart"/>
      <w:r w:rsidRPr="00973FEA">
        <w:rPr>
          <w:rFonts w:asciiTheme="majorHAnsi" w:hAnsiTheme="majorHAnsi" w:cstheme="majorHAnsi"/>
          <w:sz w:val="20"/>
          <w:szCs w:val="20"/>
        </w:rPr>
        <w:t>sociofacts</w:t>
      </w:r>
      <w:proofErr w:type="spellEnd"/>
      <w:r w:rsidRPr="00973FEA">
        <w:rPr>
          <w:rFonts w:asciiTheme="majorHAnsi" w:hAnsiTheme="majorHAnsi" w:cstheme="majorHAnsi"/>
          <w:sz w:val="20"/>
          <w:szCs w:val="20"/>
        </w:rPr>
        <w:t xml:space="preserve">, and artifacts </w:t>
      </w:r>
      <w:r w:rsidRPr="00973FEA">
        <w:rPr>
          <w:rFonts w:asciiTheme="majorHAnsi" w:hAnsiTheme="majorHAnsi" w:cstheme="majorHAnsi"/>
          <w:sz w:val="20"/>
          <w:szCs w:val="20"/>
        </w:rPr>
        <w:fldChar w:fldCharType="begin"/>
      </w:r>
      <w:r w:rsidRPr="00973FEA">
        <w:rPr>
          <w:rFonts w:asciiTheme="majorHAnsi" w:hAnsiTheme="majorHAnsi" w:cstheme="majorHAnsi"/>
          <w:sz w:val="20"/>
          <w:szCs w:val="20"/>
        </w:rPr>
        <w:instrText xml:space="preserve"> ADDIN ZOTERO_ITEM CSL_CITATION {"citationID":"AyBLKIis","properties":{"formattedCitation":"[19]","plainCitation":"[19]","noteIndex":0},"citationItems":[{"id":4167,"uris":["http://zotero.org/users/local/Rj7jaPwM/items/TU85MZMF"],"itemData":{"id":4167,"type":"book","abstract":"Examines critically the literature dealing with the concept of culture from the perspective of the philosophy and logic of science","event-place":"New York, NY","ISBN":"978-0-231-89827-0","language":"eng","note":"OCLC: 1100454095","publisher":"Columbia University Press","publisher-place":"New York, NY","source":"Open WorldCat","title":"Theoretical Anthropology","author":[{"family":"Bidney","given":"David"}],"issued":{"date-parts":[["1967"]]}}}],"schema":"https://github.com/citation-style-language/schema/raw/master/csl-citation.json"} </w:instrText>
      </w:r>
      <w:r w:rsidRPr="00973FEA">
        <w:rPr>
          <w:rFonts w:asciiTheme="majorHAnsi" w:hAnsiTheme="majorHAnsi" w:cstheme="majorHAnsi"/>
          <w:sz w:val="20"/>
          <w:szCs w:val="20"/>
        </w:rPr>
        <w:fldChar w:fldCharType="separate"/>
      </w:r>
      <w:r w:rsidRPr="00973FEA">
        <w:rPr>
          <w:rFonts w:asciiTheme="majorHAnsi" w:hAnsiTheme="majorHAnsi" w:cstheme="majorHAnsi"/>
          <w:sz w:val="20"/>
          <w:szCs w:val="20"/>
        </w:rPr>
        <w:t>[19]</w:t>
      </w:r>
      <w:r w:rsidRPr="00973FEA">
        <w:rPr>
          <w:rFonts w:asciiTheme="majorHAnsi" w:hAnsiTheme="majorHAnsi" w:cstheme="majorHAnsi"/>
          <w:sz w:val="20"/>
          <w:szCs w:val="20"/>
        </w:rPr>
        <w:fldChar w:fldCharType="end"/>
      </w:r>
      <w:r w:rsidRPr="00973FEA">
        <w:rPr>
          <w:rFonts w:asciiTheme="majorHAnsi" w:hAnsiTheme="majorHAnsi" w:cstheme="majorHAnsi"/>
          <w:sz w:val="20"/>
          <w:szCs w:val="20"/>
        </w:rPr>
        <w:t xml:space="preserve">. These dimensions align with Leslie White's conceptualization, encompassing science and symbols (an abstract collocation of ideas and cognition), man or the social group formed to execute ideas or goals, and civilization as a tangible mechanism for the systematic and efficient utilization of energy </w:t>
      </w:r>
      <w:r w:rsidRPr="00973FEA">
        <w:rPr>
          <w:rFonts w:asciiTheme="majorHAnsi" w:hAnsiTheme="majorHAnsi" w:cstheme="majorHAnsi"/>
          <w:sz w:val="20"/>
          <w:szCs w:val="20"/>
        </w:rPr>
        <w:fldChar w:fldCharType="begin"/>
      </w:r>
      <w:r w:rsidRPr="00973FEA">
        <w:rPr>
          <w:rFonts w:asciiTheme="majorHAnsi" w:hAnsiTheme="majorHAnsi" w:cstheme="majorHAnsi"/>
          <w:sz w:val="20"/>
          <w:szCs w:val="20"/>
        </w:rPr>
        <w:instrText xml:space="preserve"> ADDIN ZOTERO_ITEM CSL_CITATION {"citationID":"iaqFDEVd","properties":{"formattedCitation":"[20]","plainCitation":"[20]","noteIndex":0},"citationItems":[{"id":4161,"uris":["http://zotero.org/users/local/Rj7jaPwM/items/2EERN6K7"],"itemData":{"id":4161,"type":"book","ISBN":"978-0-343-25736-1","language":"en","publisher":"Creative Media Partners, LLC","source":"Zotero","title":"The Science of Culture, a Study of Man and Civilization","author":[{"family":"White","given":"Leslie A"}],"issued":{"date-parts":[["2018"]]}}}],"schema":"https://github.com/citation-style-language/schema/raw/master/csl-citation.json"} </w:instrText>
      </w:r>
      <w:r w:rsidRPr="00973FEA">
        <w:rPr>
          <w:rFonts w:asciiTheme="majorHAnsi" w:hAnsiTheme="majorHAnsi" w:cstheme="majorHAnsi"/>
          <w:sz w:val="20"/>
          <w:szCs w:val="20"/>
        </w:rPr>
        <w:fldChar w:fldCharType="separate"/>
      </w:r>
      <w:r w:rsidRPr="00973FEA">
        <w:rPr>
          <w:rFonts w:asciiTheme="majorHAnsi" w:hAnsiTheme="majorHAnsi" w:cstheme="majorHAnsi"/>
          <w:sz w:val="20"/>
          <w:szCs w:val="20"/>
        </w:rPr>
        <w:t>[20]</w:t>
      </w:r>
      <w:r w:rsidRPr="00973FEA">
        <w:rPr>
          <w:rFonts w:asciiTheme="majorHAnsi" w:hAnsiTheme="majorHAnsi" w:cstheme="majorHAnsi"/>
          <w:sz w:val="20"/>
          <w:szCs w:val="20"/>
        </w:rPr>
        <w:fldChar w:fldCharType="end"/>
      </w:r>
      <w:r w:rsidRPr="00973FEA">
        <w:rPr>
          <w:rFonts w:asciiTheme="majorHAnsi" w:hAnsiTheme="majorHAnsi" w:cstheme="majorHAnsi"/>
          <w:sz w:val="20"/>
          <w:szCs w:val="20"/>
        </w:rPr>
        <w:t xml:space="preserve">. The differentiation between artifacts, </w:t>
      </w:r>
      <w:proofErr w:type="spellStart"/>
      <w:r w:rsidRPr="00973FEA">
        <w:rPr>
          <w:rFonts w:asciiTheme="majorHAnsi" w:hAnsiTheme="majorHAnsi" w:cstheme="majorHAnsi"/>
          <w:sz w:val="20"/>
          <w:szCs w:val="20"/>
          <w:u w:val="single"/>
        </w:rPr>
        <w:t>mentifacts</w:t>
      </w:r>
      <w:proofErr w:type="spellEnd"/>
      <w:r w:rsidRPr="00973FEA">
        <w:rPr>
          <w:rFonts w:asciiTheme="majorHAnsi" w:hAnsiTheme="majorHAnsi" w:cstheme="majorHAnsi"/>
          <w:sz w:val="20"/>
          <w:szCs w:val="20"/>
        </w:rPr>
        <w:t xml:space="preserve">, and </w:t>
      </w:r>
      <w:proofErr w:type="spellStart"/>
      <w:r w:rsidRPr="00973FEA">
        <w:rPr>
          <w:rFonts w:asciiTheme="majorHAnsi" w:hAnsiTheme="majorHAnsi" w:cstheme="majorHAnsi"/>
          <w:sz w:val="20"/>
          <w:szCs w:val="20"/>
        </w:rPr>
        <w:t>sociofacts</w:t>
      </w:r>
      <w:proofErr w:type="spellEnd"/>
      <w:r w:rsidRPr="00973FEA">
        <w:rPr>
          <w:rFonts w:asciiTheme="majorHAnsi" w:hAnsiTheme="majorHAnsi" w:cstheme="majorHAnsi"/>
          <w:sz w:val="20"/>
          <w:szCs w:val="20"/>
        </w:rPr>
        <w:t xml:space="preserve"> traces back to Julien Huxley. </w:t>
      </w:r>
      <w:r w:rsidRPr="00973FEA">
        <w:rPr>
          <w:rFonts w:asciiTheme="majorHAnsi" w:hAnsiTheme="majorHAnsi" w:cstheme="majorHAnsi"/>
          <w:sz w:val="20"/>
          <w:szCs w:val="20"/>
          <w:u w:val="single"/>
        </w:rPr>
        <w:t xml:space="preserve">He </w:t>
      </w:r>
      <w:r w:rsidRPr="00973FEA">
        <w:rPr>
          <w:rFonts w:asciiTheme="majorHAnsi" w:hAnsiTheme="majorHAnsi" w:cstheme="majorHAnsi"/>
          <w:sz w:val="20"/>
          <w:szCs w:val="20"/>
        </w:rPr>
        <w:t xml:space="preserve">defined </w:t>
      </w:r>
      <w:proofErr w:type="spellStart"/>
      <w:r w:rsidRPr="00973FEA">
        <w:rPr>
          <w:rFonts w:asciiTheme="majorHAnsi" w:hAnsiTheme="majorHAnsi" w:cstheme="majorHAnsi"/>
          <w:sz w:val="20"/>
          <w:szCs w:val="20"/>
        </w:rPr>
        <w:t>sociofacts</w:t>
      </w:r>
      <w:proofErr w:type="spellEnd"/>
      <w:r w:rsidRPr="00973FEA">
        <w:rPr>
          <w:rFonts w:asciiTheme="majorHAnsi" w:hAnsiTheme="majorHAnsi" w:cstheme="majorHAnsi"/>
          <w:sz w:val="20"/>
          <w:szCs w:val="20"/>
        </w:rPr>
        <w:t xml:space="preserve"> as manifestations of social knowledge and integral components of culture, while </w:t>
      </w:r>
      <w:proofErr w:type="spellStart"/>
      <w:r w:rsidRPr="00973FEA">
        <w:rPr>
          <w:rFonts w:asciiTheme="majorHAnsi" w:hAnsiTheme="majorHAnsi" w:cstheme="majorHAnsi"/>
          <w:sz w:val="20"/>
          <w:szCs w:val="20"/>
        </w:rPr>
        <w:t>mentifacts</w:t>
      </w:r>
      <w:proofErr w:type="spellEnd"/>
      <w:r w:rsidRPr="00973FEA">
        <w:rPr>
          <w:rFonts w:asciiTheme="majorHAnsi" w:hAnsiTheme="majorHAnsi" w:cstheme="majorHAnsi"/>
          <w:sz w:val="20"/>
          <w:szCs w:val="20"/>
        </w:rPr>
        <w:t xml:space="preserve"> were considered personal mental constructs </w:t>
      </w:r>
      <w:r w:rsidRPr="00973FEA">
        <w:rPr>
          <w:rFonts w:asciiTheme="majorHAnsi" w:hAnsiTheme="majorHAnsi" w:cstheme="majorHAnsi"/>
          <w:sz w:val="20"/>
          <w:szCs w:val="20"/>
        </w:rPr>
        <w:fldChar w:fldCharType="begin"/>
      </w:r>
      <w:r w:rsidRPr="00973FEA">
        <w:rPr>
          <w:rFonts w:asciiTheme="majorHAnsi" w:hAnsiTheme="majorHAnsi" w:cstheme="majorHAnsi"/>
          <w:sz w:val="20"/>
          <w:szCs w:val="20"/>
        </w:rPr>
        <w:instrText xml:space="preserve"> ADDIN ZOTERO_ITEM CSL_CITATION {"citationID":"3Y1xUHGx","properties":{"formattedCitation":"[21]","plainCitation":"[21]","noteIndex":0},"citationItems":[{"id":3706,"uris":["http://zotero.org/users/local/Rj7jaPwM/items/Y6XPCZ24"],"itemData":{"id":3706,"type":"article-journal","container-title":"Yearbook of Anthropology","DOI":"10.1086/yearanth.0.3031134","ISSN":"1524-4555","journalAbbreviation":"Yearbook of Anthropology","language":"en","page":"2-25","source":"DOI.org (Crossref)","title":"Guest Editorial: Evolution, Cultural and Biological","title-short":"Guest Editorial","author":[{"family":"Huxley","given":"Julian S."}],"issued":{"date-parts":[["1955",1]]}}}],"schema":"https://github.com/citation-style-language/schema/raw/master/csl-citation.json"} </w:instrText>
      </w:r>
      <w:r w:rsidRPr="00973FEA">
        <w:rPr>
          <w:rFonts w:asciiTheme="majorHAnsi" w:hAnsiTheme="majorHAnsi" w:cstheme="majorHAnsi"/>
          <w:sz w:val="20"/>
          <w:szCs w:val="20"/>
        </w:rPr>
        <w:fldChar w:fldCharType="separate"/>
      </w:r>
      <w:r w:rsidRPr="00973FEA">
        <w:rPr>
          <w:rFonts w:asciiTheme="majorHAnsi" w:hAnsiTheme="majorHAnsi" w:cstheme="majorHAnsi"/>
          <w:sz w:val="20"/>
          <w:szCs w:val="20"/>
        </w:rPr>
        <w:t>[21]</w:t>
      </w:r>
      <w:r w:rsidRPr="00973FEA">
        <w:rPr>
          <w:rFonts w:asciiTheme="majorHAnsi" w:hAnsiTheme="majorHAnsi" w:cstheme="majorHAnsi"/>
          <w:sz w:val="20"/>
          <w:szCs w:val="20"/>
        </w:rPr>
        <w:fldChar w:fldCharType="end"/>
      </w:r>
      <w:r w:rsidRPr="00973FEA">
        <w:rPr>
          <w:rFonts w:asciiTheme="majorHAnsi" w:hAnsiTheme="majorHAnsi" w:cstheme="majorHAnsi"/>
          <w:sz w:val="20"/>
          <w:szCs w:val="20"/>
        </w:rPr>
        <w:t xml:space="preserve">. Ultimately, this cultural evolution culminates in the physical manifestations of civilization (artifact), with architecture being a notable component </w:t>
      </w:r>
      <w:r w:rsidRPr="00973FEA">
        <w:rPr>
          <w:rFonts w:asciiTheme="majorHAnsi" w:hAnsiTheme="majorHAnsi" w:cstheme="majorHAnsi"/>
          <w:sz w:val="20"/>
          <w:szCs w:val="20"/>
        </w:rPr>
        <w:fldChar w:fldCharType="begin"/>
      </w:r>
      <w:r w:rsidRPr="00973FEA">
        <w:rPr>
          <w:rFonts w:asciiTheme="majorHAnsi" w:hAnsiTheme="majorHAnsi" w:cstheme="majorHAnsi"/>
          <w:sz w:val="20"/>
          <w:szCs w:val="20"/>
        </w:rPr>
        <w:instrText xml:space="preserve"> ADDIN ZOTERO_ITEM CSL_CITATION {"citationID":"WGOE0Txp","properties":{"formattedCitation":"[21], [22]","plainCitation":"[21], [22]","noteIndex":0},"citationItems":[{"id":3706,"uris":["http://zotero.org/users/local/Rj7jaPwM/items/Y6XPCZ24"],"itemData":{"id":3706,"type":"article-journal","container-title":"Yearbook of Anthropology","DOI":"10.1086/yearanth.0.3031134","ISSN":"1524-4555","journalAbbreviation":"Yearbook of Anthropology","language":"en","page":"2-25","source":"DOI.org (Crossref)","title":"Guest Editorial: Evolution, Cultural and Biological","title-short":"Guest Editorial","author":[{"family":"Huxley","given":"Julian S."}],"issued":{"date-parts":[["1955",1]]}}},{"id":3705,"uris":["http://zotero.org/users/local/Rj7jaPwM/items/VZVV62AG"],"itemData":{"id":3705,"type":"chapter","abstract":"Knowledge is a cumulative succession of strategies developed by humans living in different natural and cultural environments in response to the pulsions of survival and transcendence. The objective of knowledge is to understand, to explain and to cope with selected facts and phenomena of reality, ideally reality as a whole. Mathematical modelling is such a strategy that deals with facts and phenomena. In this chapter, how knowledge is generated (cognition), how it is individually and socially organised (epistemology) and how it is expropriated by power structure, institutionalised and given back to the people who generated it through ﬁlters (politics) is discussed. These steps are treated in an integrated and holistic way.","container-title":"Mathematical Modelling in Education Research and Practice","event-place":"Cham","ISBN":"978-3-319-18271-1","language":"en","note":"collection-title: International Perspectives on the Teaching and Learning of Mathematical Modelling\nDOI: 10.1007/978-3-319-18272-8_2","page":"35-44","publisher":"Springer International Publishing","publisher-place":"Cham","source":"DOI.org (Crossref)","title":"Mathematical Modelling as a Strategy for Building-Up Systems of Knowledge in Different Cultural Environments","URL":"https://link.springer.com/10.1007/978-3-319-18272-8_2","editor":[{"family":"Stillman","given":"Gloria Ann"},{"family":"Blum","given":"Werner"},{"family":"Salett Biembengut","given":"Maria"}],"author":[{"family":"D’Ambrosio","given":"Ubiratan"}],"accessed":{"date-parts":[["2023",10,16]]},"issued":{"date-parts":[["2015"]]}}}],"schema":"https://github.com/citation-style-language/schema/raw/master/csl-citation.json"} </w:instrText>
      </w:r>
      <w:r w:rsidRPr="00973FEA">
        <w:rPr>
          <w:rFonts w:asciiTheme="majorHAnsi" w:hAnsiTheme="majorHAnsi" w:cstheme="majorHAnsi"/>
          <w:sz w:val="20"/>
          <w:szCs w:val="20"/>
        </w:rPr>
        <w:fldChar w:fldCharType="separate"/>
      </w:r>
      <w:r w:rsidRPr="00973FEA">
        <w:rPr>
          <w:rFonts w:asciiTheme="majorHAnsi" w:hAnsiTheme="majorHAnsi" w:cstheme="majorHAnsi"/>
          <w:sz w:val="20"/>
          <w:szCs w:val="20"/>
        </w:rPr>
        <w:t>[21], [22]</w:t>
      </w:r>
      <w:r w:rsidRPr="00973FEA">
        <w:rPr>
          <w:rFonts w:asciiTheme="majorHAnsi" w:hAnsiTheme="majorHAnsi" w:cstheme="majorHAnsi"/>
          <w:sz w:val="20"/>
          <w:szCs w:val="20"/>
        </w:rPr>
        <w:fldChar w:fldCharType="end"/>
      </w:r>
      <w:r w:rsidRPr="00973FEA">
        <w:rPr>
          <w:rFonts w:asciiTheme="majorHAnsi" w:hAnsiTheme="majorHAnsi" w:cstheme="majorHAnsi"/>
          <w:sz w:val="20"/>
          <w:szCs w:val="20"/>
        </w:rPr>
        <w:t xml:space="preserve">. </w:t>
      </w:r>
    </w:p>
    <w:p w14:paraId="3A844771" w14:textId="48585C3D" w:rsidR="00973FEA" w:rsidRPr="00973FEA" w:rsidRDefault="00973FEA" w:rsidP="00F4380B">
      <w:pPr>
        <w:ind w:firstLine="284"/>
        <w:jc w:val="both"/>
        <w:rPr>
          <w:rFonts w:asciiTheme="majorHAnsi" w:hAnsiTheme="majorHAnsi" w:cstheme="majorHAnsi"/>
          <w:sz w:val="20"/>
          <w:szCs w:val="20"/>
        </w:rPr>
      </w:pPr>
      <w:r w:rsidRPr="00973FEA">
        <w:rPr>
          <w:rFonts w:asciiTheme="majorHAnsi" w:hAnsiTheme="majorHAnsi" w:cstheme="majorHAnsi"/>
          <w:sz w:val="20"/>
          <w:szCs w:val="20"/>
        </w:rPr>
        <w:t xml:space="preserve">Because this journey also delves into the relationship between human beings as creations concerning Allah </w:t>
      </w:r>
      <w:r w:rsidRPr="00973FEA">
        <w:rPr>
          <w:rFonts w:asciiTheme="majorHAnsi" w:hAnsiTheme="majorHAnsi" w:cstheme="majorHAnsi"/>
          <w:sz w:val="20"/>
          <w:szCs w:val="20"/>
          <w:u w:val="single"/>
        </w:rPr>
        <w:t>as</w:t>
      </w:r>
      <w:r w:rsidRPr="00973FEA">
        <w:rPr>
          <w:rFonts w:asciiTheme="majorHAnsi" w:hAnsiTheme="majorHAnsi" w:cstheme="majorHAnsi"/>
          <w:sz w:val="20"/>
          <w:szCs w:val="20"/>
        </w:rPr>
        <w:t xml:space="preserve"> the Creator and their interactions with fellow humans and all of the </w:t>
      </w:r>
      <w:r w:rsidRPr="00973FEA">
        <w:rPr>
          <w:rFonts w:asciiTheme="majorHAnsi" w:hAnsiTheme="majorHAnsi" w:cstheme="majorHAnsi"/>
          <w:sz w:val="20"/>
          <w:szCs w:val="20"/>
          <w:u w:val="single"/>
        </w:rPr>
        <w:t>creations</w:t>
      </w:r>
      <w:r w:rsidRPr="00973FEA">
        <w:rPr>
          <w:rFonts w:asciiTheme="majorHAnsi" w:hAnsiTheme="majorHAnsi" w:cstheme="majorHAnsi"/>
          <w:sz w:val="20"/>
          <w:szCs w:val="20"/>
        </w:rPr>
        <w:t xml:space="preserve"> based on the Imam Ibn al-</w:t>
      </w:r>
      <w:r w:rsidRPr="00973FEA">
        <w:rPr>
          <w:rFonts w:asciiTheme="majorHAnsi" w:hAnsiTheme="majorHAnsi" w:cstheme="majorHAnsi"/>
          <w:sz w:val="20"/>
          <w:szCs w:val="20"/>
          <w:u w:val="single"/>
        </w:rPr>
        <w:t xml:space="preserve">Kathir’s </w:t>
      </w:r>
      <w:r w:rsidRPr="00973FEA">
        <w:rPr>
          <w:rFonts w:asciiTheme="majorHAnsi" w:hAnsiTheme="majorHAnsi" w:cstheme="majorHAnsi"/>
          <w:i/>
          <w:sz w:val="20"/>
          <w:szCs w:val="20"/>
          <w:u w:val="single"/>
        </w:rPr>
        <w:t>tafsir</w:t>
      </w:r>
      <w:r w:rsidRPr="00973FEA">
        <w:rPr>
          <w:rFonts w:asciiTheme="majorHAnsi" w:hAnsiTheme="majorHAnsi" w:cstheme="majorHAnsi"/>
          <w:sz w:val="20"/>
          <w:szCs w:val="20"/>
          <w:u w:val="single"/>
        </w:rPr>
        <w:t xml:space="preserve"> (interpretation) on the Quran, particularly Surah</w:t>
      </w:r>
      <w:r w:rsidRPr="00973FEA">
        <w:rPr>
          <w:rFonts w:asciiTheme="majorHAnsi" w:hAnsiTheme="majorHAnsi" w:cstheme="majorHAnsi"/>
          <w:sz w:val="20"/>
          <w:szCs w:val="20"/>
        </w:rPr>
        <w:t xml:space="preserve"> Ali ‘Imran (3: 110-112) </w:t>
      </w:r>
      <w:r w:rsidRPr="00973FEA">
        <w:rPr>
          <w:rFonts w:asciiTheme="majorHAnsi" w:hAnsiTheme="majorHAnsi" w:cstheme="majorHAnsi"/>
          <w:sz w:val="20"/>
          <w:szCs w:val="20"/>
        </w:rPr>
        <w:fldChar w:fldCharType="begin"/>
      </w:r>
      <w:r w:rsidRPr="00973FEA">
        <w:rPr>
          <w:rFonts w:asciiTheme="majorHAnsi" w:hAnsiTheme="majorHAnsi" w:cstheme="majorHAnsi"/>
          <w:sz w:val="20"/>
          <w:szCs w:val="20"/>
        </w:rPr>
        <w:instrText xml:space="preserve"> ADDIN ZOTERO_ITEM CSL_CITATION {"citationID":"kOvvZ9ec","properties":{"formattedCitation":"[23]","plainCitation":"[23]","noteIndex":0},"citationItems":[{"id":4718,"uris":["http://zotero.org/users/local/Rj7jaPwM/items/L446WLHK"],"itemData":{"id":4718,"type":"article-journal","abstract":"Kekuatan utama umat Islam dan kemuliaan mereka terletak kepada kerja dakwah yang dilakukan oleh umat Islam. Selaku khalifah Allah SWT di muka bumi ini setiap umat Islam mempunyai tanggungjawab dakwah dan amar makruf nahi mungkar ini pada setiap lapisan mana yang mereka berada. Kegagalan melaksanakannya merupakan satu kegagalan yang merosakkan kekuatan Islam dalam diri individu, keluarga, masyarakat, dan negara. Sedangkan pelaksanaannya pula menjadi kekuatan Islam dalam diri individu, keluarga, masyarakat, dan negara. Artikel ini menggunakan kaedah kajian kepustakaan untuk mengupas tafsiran ayat surah Ali ‘Imran (3: 104-112) daripada kitab tafsir turath Islam. Hasil dapatan menunjukkan bahawa terdapat tiga pengajaran pengajaran yang boleh diambil daripada perbincangan tafsiran ayat ini, iaitu dakwah adalah tugas umat Islam, umat Islam menjadi terbaik kerana dakwah, dan ahli kitab yang memeluk Islam. Kata Kunci: Amar makruf, nahi mungkar, dakwah, Nabi Muhammad, umat Muhammad.","language":"ms","source":"Zotero","title":"Dakwah Merupakan Kerja Utama Umat Islam: Surah Ali ‘Imran (3: 104-112)","author":[{"family":"Jasmi","given":"Kamarul Azmi"}],"issued":{"date-parts":[["2021"]]}}}],"schema":"https://github.com/citation-style-language/schema/raw/master/csl-citation.json"} </w:instrText>
      </w:r>
      <w:r w:rsidRPr="00973FEA">
        <w:rPr>
          <w:rFonts w:asciiTheme="majorHAnsi" w:hAnsiTheme="majorHAnsi" w:cstheme="majorHAnsi"/>
          <w:sz w:val="20"/>
          <w:szCs w:val="20"/>
        </w:rPr>
        <w:fldChar w:fldCharType="separate"/>
      </w:r>
      <w:r w:rsidRPr="00973FEA">
        <w:rPr>
          <w:rFonts w:asciiTheme="majorHAnsi" w:hAnsiTheme="majorHAnsi" w:cstheme="majorHAnsi"/>
          <w:sz w:val="20"/>
          <w:szCs w:val="20"/>
        </w:rPr>
        <w:t>[23]</w:t>
      </w:r>
      <w:r w:rsidRPr="00973FEA">
        <w:rPr>
          <w:rFonts w:asciiTheme="majorHAnsi" w:hAnsiTheme="majorHAnsi" w:cstheme="majorHAnsi"/>
          <w:sz w:val="20"/>
          <w:szCs w:val="20"/>
        </w:rPr>
        <w:fldChar w:fldCharType="end"/>
      </w:r>
      <w:r w:rsidRPr="00973FEA">
        <w:rPr>
          <w:rFonts w:asciiTheme="majorHAnsi" w:hAnsiTheme="majorHAnsi" w:cstheme="majorHAnsi"/>
          <w:sz w:val="20"/>
          <w:szCs w:val="20"/>
        </w:rPr>
        <w:t xml:space="preserve">. </w:t>
      </w:r>
      <w:r w:rsidRPr="00973FEA">
        <w:rPr>
          <w:rFonts w:asciiTheme="majorHAnsi" w:hAnsiTheme="majorHAnsi" w:cstheme="majorHAnsi"/>
          <w:sz w:val="20"/>
          <w:szCs w:val="20"/>
          <w:u w:val="single"/>
        </w:rPr>
        <w:t>We</w:t>
      </w:r>
      <w:r w:rsidRPr="00973FEA">
        <w:rPr>
          <w:rFonts w:asciiTheme="majorHAnsi" w:hAnsiTheme="majorHAnsi" w:cstheme="majorHAnsi"/>
          <w:sz w:val="20"/>
          <w:szCs w:val="20"/>
        </w:rPr>
        <w:t xml:space="preserve"> contend that this approach facilitates a nuanced examination of the cultural dimensions inherent in Islamic architecture, making it a fitting </w:t>
      </w:r>
      <w:r w:rsidRPr="00973FEA">
        <w:rPr>
          <w:rFonts w:asciiTheme="majorHAnsi" w:hAnsiTheme="majorHAnsi" w:cstheme="majorHAnsi"/>
          <w:sz w:val="20"/>
          <w:szCs w:val="20"/>
          <w:u w:val="single"/>
        </w:rPr>
        <w:t>structure</w:t>
      </w:r>
      <w:r w:rsidRPr="00973FEA">
        <w:rPr>
          <w:rFonts w:asciiTheme="majorHAnsi" w:hAnsiTheme="majorHAnsi" w:cstheme="majorHAnsi"/>
          <w:sz w:val="20"/>
          <w:szCs w:val="20"/>
        </w:rPr>
        <w:t xml:space="preserve"> for the literature review.</w:t>
      </w:r>
    </w:p>
    <w:p w14:paraId="1A5EF7E2" w14:textId="77777777" w:rsidR="00973FEA" w:rsidRDefault="00973FEA" w:rsidP="00973FEA">
      <w:pPr>
        <w:jc w:val="both"/>
        <w:rPr>
          <w:rFonts w:cstheme="minorHAnsi"/>
          <w:sz w:val="20"/>
          <w:szCs w:val="20"/>
        </w:rPr>
      </w:pPr>
    </w:p>
    <w:p w14:paraId="3C417B82" w14:textId="0289BE7B" w:rsidR="00973FEA" w:rsidRDefault="00973FEA" w:rsidP="00973FEA">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3218B8F2" w14:textId="77777777" w:rsidR="00973FEA" w:rsidRPr="00973FEA" w:rsidRDefault="00973FEA" w:rsidP="00973FEA">
      <w:pPr>
        <w:widowControl w:val="0"/>
        <w:ind w:firstLine="284"/>
        <w:jc w:val="both"/>
        <w:rPr>
          <w:rFonts w:cstheme="minorHAnsi"/>
          <w:sz w:val="20"/>
          <w:szCs w:val="20"/>
        </w:rPr>
      </w:pPr>
      <w:r w:rsidRPr="00973FEA">
        <w:rPr>
          <w:rFonts w:cstheme="minorHAnsi"/>
          <w:sz w:val="20"/>
          <w:szCs w:val="20"/>
        </w:rPr>
        <w:t>This qualitative study employed a deductive approach to thematic analysis, structuring a diverse range of literature, from classic to contemporary, using pre-existing categories (</w:t>
      </w:r>
      <w:proofErr w:type="spellStart"/>
      <w:r w:rsidRPr="00973FEA">
        <w:rPr>
          <w:rFonts w:cstheme="minorHAnsi"/>
          <w:sz w:val="20"/>
          <w:szCs w:val="20"/>
        </w:rPr>
        <w:t>mentifacts</w:t>
      </w:r>
      <w:proofErr w:type="spellEnd"/>
      <w:r w:rsidRPr="00973FEA">
        <w:rPr>
          <w:rFonts w:cstheme="minorHAnsi"/>
          <w:sz w:val="20"/>
          <w:szCs w:val="20"/>
        </w:rPr>
        <w:t xml:space="preserve">, </w:t>
      </w:r>
      <w:proofErr w:type="spellStart"/>
      <w:r w:rsidRPr="00973FEA">
        <w:rPr>
          <w:rFonts w:cstheme="minorHAnsi"/>
          <w:sz w:val="20"/>
          <w:szCs w:val="20"/>
        </w:rPr>
        <w:t>sociofacts</w:t>
      </w:r>
      <w:proofErr w:type="spellEnd"/>
      <w:r w:rsidRPr="00973FEA">
        <w:rPr>
          <w:rFonts w:cstheme="minorHAnsi"/>
          <w:sz w:val="20"/>
          <w:szCs w:val="20"/>
        </w:rPr>
        <w:t>, and artifacts). The deductive methodology utilized these established categories to create a robust framework for analysis, encompassing intellectual concepts (</w:t>
      </w:r>
      <w:proofErr w:type="spellStart"/>
      <w:r w:rsidRPr="00973FEA">
        <w:rPr>
          <w:rFonts w:cstheme="minorHAnsi"/>
          <w:sz w:val="20"/>
          <w:szCs w:val="20"/>
        </w:rPr>
        <w:t>mentifacts</w:t>
      </w:r>
      <w:proofErr w:type="spellEnd"/>
      <w:r w:rsidRPr="00973FEA">
        <w:rPr>
          <w:rFonts w:cstheme="minorHAnsi"/>
          <w:sz w:val="20"/>
          <w:szCs w:val="20"/>
        </w:rPr>
        <w:t>), social realities (</w:t>
      </w:r>
      <w:proofErr w:type="spellStart"/>
      <w:r w:rsidRPr="00973FEA">
        <w:rPr>
          <w:rFonts w:cstheme="minorHAnsi"/>
          <w:sz w:val="20"/>
          <w:szCs w:val="20"/>
        </w:rPr>
        <w:t>sociofacts</w:t>
      </w:r>
      <w:proofErr w:type="spellEnd"/>
      <w:r w:rsidRPr="00973FEA">
        <w:rPr>
          <w:rFonts w:cstheme="minorHAnsi"/>
          <w:sz w:val="20"/>
          <w:szCs w:val="20"/>
        </w:rPr>
        <w:t>), and physical manifestations (artifacts) influencing Islamic architecture.</w:t>
      </w:r>
    </w:p>
    <w:p w14:paraId="193349B8" w14:textId="77777777" w:rsidR="00973FEA" w:rsidRPr="00973FEA" w:rsidRDefault="00973FEA" w:rsidP="00973FEA">
      <w:pPr>
        <w:ind w:firstLine="284"/>
        <w:jc w:val="both"/>
        <w:rPr>
          <w:rFonts w:asciiTheme="majorHAnsi" w:hAnsiTheme="majorHAnsi" w:cstheme="majorHAnsi"/>
          <w:b/>
          <w:sz w:val="20"/>
          <w:szCs w:val="20"/>
          <w:lang w:val="id-ID"/>
        </w:rPr>
      </w:pPr>
      <w:r w:rsidRPr="00973FEA">
        <w:rPr>
          <w:rFonts w:cstheme="minorHAnsi"/>
          <w:sz w:val="20"/>
          <w:szCs w:val="20"/>
        </w:rPr>
        <w:t xml:space="preserve">By systematically applying these categories to the extensive literary corpus, the study ensured consistency and comparability across classical and contemporary sources. This approach facilitated the identification of recurring themes within each category, uncovering the interplay where </w:t>
      </w:r>
      <w:proofErr w:type="spellStart"/>
      <w:r w:rsidRPr="00973FEA">
        <w:rPr>
          <w:rFonts w:cstheme="minorHAnsi"/>
          <w:sz w:val="20"/>
          <w:szCs w:val="20"/>
        </w:rPr>
        <w:t>mentifacts</w:t>
      </w:r>
      <w:proofErr w:type="spellEnd"/>
      <w:r w:rsidRPr="00973FEA">
        <w:rPr>
          <w:rFonts w:cstheme="minorHAnsi"/>
          <w:sz w:val="20"/>
          <w:szCs w:val="20"/>
        </w:rPr>
        <w:t xml:space="preserve"> influenced </w:t>
      </w:r>
      <w:proofErr w:type="spellStart"/>
      <w:r w:rsidRPr="00973FEA">
        <w:rPr>
          <w:rFonts w:cstheme="minorHAnsi"/>
          <w:sz w:val="20"/>
          <w:szCs w:val="20"/>
        </w:rPr>
        <w:t>sociofacts</w:t>
      </w:r>
      <w:proofErr w:type="spellEnd"/>
      <w:r w:rsidRPr="00973FEA">
        <w:rPr>
          <w:rFonts w:cstheme="minorHAnsi"/>
          <w:sz w:val="20"/>
          <w:szCs w:val="20"/>
        </w:rPr>
        <w:t>, ultimately resulting in specific architectural artifacts. This structured approach not only organized a vast amount of literature but also allowed for the identification of deeper connections and patterns that a purely inductive analysis might have overlooked</w:t>
      </w:r>
    </w:p>
    <w:p w14:paraId="4075943A" w14:textId="77777777" w:rsidR="00973FEA" w:rsidRDefault="00973FEA" w:rsidP="00973FEA">
      <w:pPr>
        <w:jc w:val="both"/>
        <w:rPr>
          <w:rFonts w:asciiTheme="majorHAnsi" w:hAnsiTheme="majorHAnsi" w:cstheme="majorHAnsi"/>
          <w:sz w:val="20"/>
          <w:szCs w:val="20"/>
        </w:rPr>
      </w:pPr>
    </w:p>
    <w:p w14:paraId="44040CBB" w14:textId="41F9F5C5" w:rsidR="00973FEA" w:rsidRDefault="00973FEA" w:rsidP="00973FEA">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499A7184" w14:textId="654E5D15" w:rsidR="00973FEA" w:rsidRDefault="00973FEA" w:rsidP="00973FEA">
      <w:pPr>
        <w:pStyle w:val="ListParagraph"/>
        <w:numPr>
          <w:ilvl w:val="1"/>
          <w:numId w:val="2"/>
        </w:numPr>
        <w:ind w:left="567" w:hanging="284"/>
        <w:jc w:val="both"/>
        <w:rPr>
          <w:rFonts w:asciiTheme="minorHAnsi" w:hAnsiTheme="minorHAnsi" w:cstheme="minorHAnsi"/>
          <w:b/>
          <w:bCs/>
          <w:sz w:val="18"/>
          <w:szCs w:val="18"/>
        </w:rPr>
      </w:pPr>
      <w:r>
        <w:rPr>
          <w:rFonts w:asciiTheme="minorHAnsi" w:hAnsiTheme="minorHAnsi" w:cstheme="minorHAnsi"/>
          <w:b/>
          <w:bCs/>
          <w:sz w:val="18"/>
          <w:szCs w:val="18"/>
        </w:rPr>
        <w:t>RESULT</w:t>
      </w:r>
    </w:p>
    <w:p w14:paraId="3E9CE828" w14:textId="77777777" w:rsidR="00F4380B" w:rsidRDefault="00F4380B" w:rsidP="00F4380B">
      <w:pPr>
        <w:pStyle w:val="ListParagraph"/>
        <w:ind w:left="567"/>
        <w:jc w:val="both"/>
        <w:rPr>
          <w:rFonts w:asciiTheme="minorHAnsi" w:hAnsiTheme="minorHAnsi" w:cstheme="minorHAnsi"/>
          <w:b/>
          <w:bCs/>
          <w:sz w:val="18"/>
          <w:szCs w:val="18"/>
        </w:rPr>
      </w:pPr>
    </w:p>
    <w:p w14:paraId="086CA8C4" w14:textId="2C9A82E9" w:rsidR="00973FEA" w:rsidRPr="00973FEA" w:rsidRDefault="00973FEA" w:rsidP="00973FEA">
      <w:pPr>
        <w:pStyle w:val="ListParagraph"/>
        <w:numPr>
          <w:ilvl w:val="0"/>
          <w:numId w:val="3"/>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1. </w:t>
      </w:r>
      <w:r w:rsidRPr="00973FEA">
        <w:rPr>
          <w:rFonts w:asciiTheme="minorHAnsi" w:hAnsiTheme="minorHAnsi" w:cstheme="minorHAnsi"/>
          <w:b/>
          <w:bCs/>
          <w:sz w:val="18"/>
          <w:szCs w:val="18"/>
        </w:rPr>
        <w:t>OVERVIEW OF THE PHILOSOPHICAL FOUNDATIONS (MENTIFACT) OF ISLAMIC ARCHITECTURE</w:t>
      </w:r>
    </w:p>
    <w:p w14:paraId="6D5D96C0" w14:textId="77777777" w:rsidR="00973FEA" w:rsidRDefault="00973FEA" w:rsidP="00973FEA">
      <w:pPr>
        <w:widowControl w:val="0"/>
        <w:ind w:left="284" w:firstLine="283"/>
        <w:jc w:val="both"/>
        <w:rPr>
          <w:rFonts w:cstheme="minorHAnsi"/>
          <w:sz w:val="20"/>
          <w:szCs w:val="20"/>
        </w:rPr>
      </w:pPr>
      <w:r w:rsidRPr="001964A8">
        <w:rPr>
          <w:rFonts w:cstheme="minorHAnsi"/>
          <w:sz w:val="20"/>
          <w:szCs w:val="20"/>
        </w:rPr>
        <w:t xml:space="preserve">At </w:t>
      </w:r>
      <w:r w:rsidRPr="0043451E">
        <w:rPr>
          <w:rFonts w:cstheme="minorHAnsi"/>
          <w:sz w:val="20"/>
          <w:szCs w:val="20"/>
          <w:u w:val="single"/>
        </w:rPr>
        <w:t>the cor</w:t>
      </w:r>
      <w:r>
        <w:rPr>
          <w:rFonts w:cstheme="minorHAnsi"/>
          <w:sz w:val="20"/>
          <w:szCs w:val="20"/>
          <w:u w:val="single"/>
        </w:rPr>
        <w:t>e of Islam lies the belief that</w:t>
      </w:r>
      <w:r w:rsidRPr="0043451E">
        <w:rPr>
          <w:rFonts w:cstheme="minorHAnsi"/>
          <w:sz w:val="20"/>
          <w:szCs w:val="20"/>
          <w:u w:val="single"/>
        </w:rPr>
        <w:t xml:space="preserve"> Allah</w:t>
      </w:r>
      <w:r>
        <w:rPr>
          <w:rFonts w:cstheme="minorHAnsi"/>
          <w:sz w:val="20"/>
          <w:szCs w:val="20"/>
          <w:u w:val="single"/>
        </w:rPr>
        <w:t xml:space="preserve"> is</w:t>
      </w:r>
      <w:r w:rsidRPr="0043451E">
        <w:rPr>
          <w:rFonts w:cstheme="minorHAnsi"/>
          <w:sz w:val="20"/>
          <w:szCs w:val="20"/>
          <w:u w:val="single"/>
        </w:rPr>
        <w:t xml:space="preserve"> the one and only God, Muhammad is Hi</w:t>
      </w:r>
      <w:r>
        <w:rPr>
          <w:rFonts w:cstheme="minorHAnsi"/>
          <w:sz w:val="20"/>
          <w:szCs w:val="20"/>
          <w:u w:val="single"/>
        </w:rPr>
        <w:t>s last prophet, and He</w:t>
      </w:r>
      <w:r w:rsidRPr="0043451E">
        <w:rPr>
          <w:rFonts w:cstheme="minorHAnsi"/>
          <w:sz w:val="20"/>
          <w:szCs w:val="20"/>
          <w:u w:val="single"/>
        </w:rPr>
        <w:t xml:space="preserve"> gives all creations</w:t>
      </w:r>
      <w:r>
        <w:rPr>
          <w:rFonts w:cstheme="minorHAnsi"/>
          <w:sz w:val="20"/>
          <w:szCs w:val="20"/>
          <w:u w:val="single"/>
        </w:rPr>
        <w:t xml:space="preserve"> the</w:t>
      </w:r>
      <w:r w:rsidRPr="0043451E">
        <w:rPr>
          <w:rFonts w:cstheme="minorHAnsi"/>
          <w:sz w:val="20"/>
          <w:szCs w:val="20"/>
          <w:u w:val="single"/>
        </w:rPr>
        <w:t xml:space="preserve"> Quran and Hadith </w:t>
      </w:r>
      <w:r>
        <w:rPr>
          <w:rFonts w:cstheme="minorHAnsi"/>
          <w:sz w:val="20"/>
          <w:szCs w:val="20"/>
          <w:u w:val="single"/>
        </w:rPr>
        <w:t>as</w:t>
      </w:r>
      <w:r w:rsidRPr="0043451E">
        <w:rPr>
          <w:rFonts w:cstheme="minorHAnsi"/>
          <w:sz w:val="20"/>
          <w:szCs w:val="20"/>
          <w:u w:val="single"/>
        </w:rPr>
        <w:t xml:space="preserve"> guidance</w:t>
      </w:r>
      <w:r w:rsidRPr="001964A8">
        <w:rPr>
          <w:rFonts w:cstheme="minorHAnsi"/>
          <w:sz w:val="20"/>
          <w:szCs w:val="20"/>
        </w:rPr>
        <w:t xml:space="preserve">. This foundational belief evolves into a system comprising three fundamental principles of Islamic teachings. To be a devout Muslim, one must both study and adhere to these principles: </w:t>
      </w:r>
    </w:p>
    <w:p w14:paraId="3A6D4647" w14:textId="77777777" w:rsidR="00973FEA" w:rsidRPr="001964A8" w:rsidRDefault="00973FEA" w:rsidP="00973FEA">
      <w:pPr>
        <w:widowControl w:val="0"/>
        <w:ind w:left="284" w:firstLine="283"/>
        <w:jc w:val="both"/>
        <w:rPr>
          <w:rFonts w:cstheme="minorHAnsi"/>
          <w:sz w:val="20"/>
          <w:szCs w:val="20"/>
        </w:rPr>
      </w:pPr>
    </w:p>
    <w:p w14:paraId="0D2DD575" w14:textId="1B8B02FD" w:rsidR="00973FEA" w:rsidRPr="00973FEA" w:rsidRDefault="00973FEA" w:rsidP="00973FEA">
      <w:pPr>
        <w:pStyle w:val="ListParagraph"/>
        <w:widowControl w:val="0"/>
        <w:numPr>
          <w:ilvl w:val="0"/>
          <w:numId w:val="5"/>
        </w:numPr>
        <w:ind w:left="567" w:hanging="283"/>
        <w:jc w:val="both"/>
        <w:rPr>
          <w:rFonts w:asciiTheme="minorHAnsi" w:hAnsiTheme="minorHAnsi" w:cstheme="minorHAnsi"/>
          <w:b/>
          <w:bCs/>
          <w:sz w:val="18"/>
          <w:szCs w:val="18"/>
        </w:rPr>
      </w:pPr>
      <w:r w:rsidRPr="00973FEA">
        <w:rPr>
          <w:rFonts w:asciiTheme="minorHAnsi" w:hAnsiTheme="minorHAnsi" w:cstheme="minorHAnsi"/>
          <w:b/>
          <w:bCs/>
          <w:sz w:val="18"/>
          <w:szCs w:val="18"/>
        </w:rPr>
        <w:t>1. 1. Understanding Islamic faith and beliefs (</w:t>
      </w:r>
      <w:r w:rsidRPr="00973FEA">
        <w:rPr>
          <w:rFonts w:asciiTheme="minorHAnsi" w:hAnsiTheme="minorHAnsi" w:cstheme="minorHAnsi"/>
          <w:b/>
          <w:bCs/>
          <w:i/>
          <w:sz w:val="18"/>
          <w:szCs w:val="18"/>
        </w:rPr>
        <w:t>Aqidah</w:t>
      </w:r>
      <w:r w:rsidRPr="00973FEA">
        <w:rPr>
          <w:rFonts w:asciiTheme="minorHAnsi" w:hAnsiTheme="minorHAnsi" w:cstheme="minorHAnsi"/>
          <w:b/>
          <w:bCs/>
          <w:sz w:val="18"/>
          <w:szCs w:val="18"/>
        </w:rPr>
        <w:t>).</w:t>
      </w:r>
    </w:p>
    <w:p w14:paraId="32629DCE" w14:textId="77777777" w:rsidR="00973FEA" w:rsidRPr="001964A8" w:rsidRDefault="00973FEA" w:rsidP="00973FEA">
      <w:pPr>
        <w:widowControl w:val="0"/>
        <w:ind w:left="284" w:firstLine="283"/>
        <w:jc w:val="both"/>
        <w:rPr>
          <w:rFonts w:cstheme="minorHAnsi"/>
          <w:sz w:val="20"/>
          <w:szCs w:val="20"/>
        </w:rPr>
      </w:pPr>
      <w:r w:rsidRPr="001964A8">
        <w:rPr>
          <w:rFonts w:cstheme="minorHAnsi"/>
          <w:sz w:val="20"/>
          <w:szCs w:val="20"/>
        </w:rPr>
        <w:t>It serves as the primary goal of this knowledge. It entails delving deeper into the understanding</w:t>
      </w:r>
      <w:r>
        <w:rPr>
          <w:rFonts w:cstheme="minorHAnsi"/>
          <w:sz w:val="20"/>
          <w:szCs w:val="20"/>
        </w:rPr>
        <w:t xml:space="preserve"> of Allah as the only</w:t>
      </w:r>
      <w:r w:rsidRPr="001964A8">
        <w:rPr>
          <w:rFonts w:cstheme="minorHAnsi"/>
          <w:sz w:val="20"/>
          <w:szCs w:val="20"/>
        </w:rPr>
        <w:t xml:space="preserve"> </w:t>
      </w:r>
      <w:r w:rsidRPr="00573290">
        <w:rPr>
          <w:rFonts w:cstheme="minorHAnsi"/>
          <w:sz w:val="20"/>
          <w:szCs w:val="20"/>
          <w:u w:val="single"/>
        </w:rPr>
        <w:t>God</w:t>
      </w:r>
      <w:r w:rsidRPr="001964A8">
        <w:rPr>
          <w:rFonts w:cstheme="minorHAnsi"/>
          <w:sz w:val="20"/>
          <w:szCs w:val="20"/>
        </w:rPr>
        <w:t xml:space="preserve">, His angels, His Holy Books, </w:t>
      </w:r>
      <w:r>
        <w:rPr>
          <w:rFonts w:cstheme="minorHAnsi"/>
          <w:sz w:val="20"/>
          <w:szCs w:val="20"/>
        </w:rPr>
        <w:t xml:space="preserve">and </w:t>
      </w:r>
      <w:r w:rsidRPr="001964A8">
        <w:rPr>
          <w:rFonts w:cstheme="minorHAnsi"/>
          <w:sz w:val="20"/>
          <w:szCs w:val="20"/>
        </w:rPr>
        <w:t>His Prophets, and gaining insights into the concept of the Day of Judgment, as well as comprehending His divine decrees (</w:t>
      </w:r>
      <w:proofErr w:type="spellStart"/>
      <w:r w:rsidRPr="00D16CCA">
        <w:rPr>
          <w:rFonts w:cstheme="minorHAnsi"/>
          <w:i/>
          <w:iCs/>
          <w:sz w:val="20"/>
          <w:szCs w:val="20"/>
        </w:rPr>
        <w:t>Qadha</w:t>
      </w:r>
      <w:proofErr w:type="spellEnd"/>
      <w:r w:rsidRPr="001964A8">
        <w:rPr>
          <w:rFonts w:cstheme="minorHAnsi"/>
          <w:sz w:val="20"/>
          <w:szCs w:val="20"/>
        </w:rPr>
        <w:t xml:space="preserve"> and </w:t>
      </w:r>
      <w:r w:rsidRPr="00D16CCA">
        <w:rPr>
          <w:rFonts w:cstheme="minorHAnsi"/>
          <w:i/>
          <w:iCs/>
          <w:sz w:val="20"/>
          <w:szCs w:val="20"/>
        </w:rPr>
        <w:t>Qadar</w:t>
      </w:r>
      <w:r w:rsidRPr="001964A8">
        <w:rPr>
          <w:rFonts w:cstheme="minorHAnsi"/>
          <w:sz w:val="20"/>
          <w:szCs w:val="20"/>
        </w:rPr>
        <w:t xml:space="preserve">) </w:t>
      </w:r>
      <w:r w:rsidRPr="001964A8">
        <w:rPr>
          <w:rFonts w:cstheme="minorHAnsi"/>
          <w:sz w:val="20"/>
          <w:szCs w:val="20"/>
        </w:rPr>
        <w:fldChar w:fldCharType="begin"/>
      </w:r>
      <w:r w:rsidRPr="001964A8">
        <w:rPr>
          <w:rFonts w:cstheme="minorHAnsi"/>
          <w:sz w:val="20"/>
          <w:szCs w:val="20"/>
        </w:rPr>
        <w:instrText xml:space="preserve"> ADDIN ZOTERO_ITEM CSL_CITATION {"citationID":"socDXmHO","properties":{"formattedCitation":"[24]","plainCitation":"[24]","noteIndex":0},"citationItems":[{"id":3713,"uris":["http://zotero.org/users/local/Rj7jaPwM/items/D5GEKZZR"],"itemData":{"id":3713,"type":"book","event-place":"New Jersey USA","ISBN":"975-7388-32-7","language":"en","publisher":"The Light Inc.","publisher-place":"New Jersey USA","source":"Zotero","title":"The Essentials of the Islamic Faith","author":[{"family":"Gulen","given":"M Fethullah"}],"issued":{"date-parts":[["2005"]]}}}],"schema":"https://github.com/citation-style-language/schema/raw/master/csl-citation.json"}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[24]</w:t>
      </w:r>
      <w:r w:rsidRPr="001964A8">
        <w:rPr>
          <w:rFonts w:cstheme="minorHAnsi"/>
          <w:sz w:val="20"/>
          <w:szCs w:val="20"/>
        </w:rPr>
        <w:fldChar w:fldCharType="end"/>
      </w:r>
      <w:r w:rsidRPr="001964A8">
        <w:rPr>
          <w:rFonts w:cstheme="minorHAnsi"/>
          <w:sz w:val="20"/>
          <w:szCs w:val="20"/>
        </w:rPr>
        <w:t>. As deep as a faith, some assert that this faith should</w:t>
      </w:r>
      <w:r>
        <w:rPr>
          <w:rFonts w:cstheme="minorHAnsi"/>
          <w:sz w:val="20"/>
          <w:szCs w:val="20"/>
        </w:rPr>
        <w:t xml:space="preserve"> </w:t>
      </w:r>
      <w:r w:rsidRPr="00115AD0">
        <w:rPr>
          <w:rFonts w:cstheme="minorHAnsi"/>
          <w:sz w:val="20"/>
          <w:szCs w:val="20"/>
          <w:u w:val="single"/>
        </w:rPr>
        <w:t>be</w:t>
      </w:r>
      <w:r w:rsidRPr="001964A8">
        <w:rPr>
          <w:rFonts w:cstheme="minorHAnsi"/>
          <w:sz w:val="20"/>
          <w:szCs w:val="20"/>
        </w:rPr>
        <w:t xml:space="preserve"> manifested </w:t>
      </w:r>
      <w:r w:rsidRPr="00115AD0">
        <w:rPr>
          <w:rFonts w:cstheme="minorHAnsi"/>
          <w:sz w:val="20"/>
          <w:szCs w:val="20"/>
          <w:u w:val="single"/>
        </w:rPr>
        <w:t>deeply</w:t>
      </w:r>
      <w:r w:rsidRPr="001964A8">
        <w:rPr>
          <w:rFonts w:cstheme="minorHAnsi"/>
          <w:sz w:val="20"/>
          <w:szCs w:val="20"/>
        </w:rPr>
        <w:t xml:space="preserve"> through the spiritual realm </w:t>
      </w:r>
      <w:r w:rsidRPr="001964A8">
        <w:rPr>
          <w:rFonts w:cstheme="minorHAnsi"/>
          <w:sz w:val="20"/>
          <w:szCs w:val="20"/>
        </w:rPr>
        <w:fldChar w:fldCharType="begin"/>
      </w:r>
      <w:r w:rsidRPr="001964A8">
        <w:rPr>
          <w:rFonts w:cstheme="minorHAnsi"/>
          <w:sz w:val="20"/>
          <w:szCs w:val="20"/>
        </w:rPr>
        <w:instrText xml:space="preserve"> ADDIN ZOTERO_ITEM CSL_CITATION {"citationID":"r1cmskxJ","properties":{"formattedCitation":"[14]","plainCitation":"[14]","noteIndex":0},"citationItems":[{"id":3695,"uris":["http://zotero.org/users/local/Rj7jaPwM/items/EQXE9443"],"itemData":{"id":3695,"type":"article-journal","abstract":"Architectural Jurisprudence is an important study in Islamic architecture that has not been much developed. Therefore it is necessary to have an in-depth study related to the reintegration of Islamic jurisprudence and architectural science as a total implementation of Islam. This study focuses on the nature, Islamic epistemology, and strategy of istinbath al ahkam fiqh architecture. This literature study research utilizes Azab’s thoughts (2012 &amp; 1997), Murobith (2018), and Zarkani (2006) in examining the nature and strategy of istinbath al-ahkam architectural fiqh and using the reasoning of the Islamic epistemology of Al Jabiri (1989) in studying the reasoning of the Islamic fiqh architectural epistemology. Azab’s opinion (2012 &amp; 1997), Murobith (2012), Zarkani (2006), and Al Jabiri (1989) were then combined as needed in making the theoretical foundation of architectural fiqh. The results of this study indicate that the nature of architectural fiqh includes definitions, objects of study, originators, and subjects of architectural fiqh. Architectural fiqh is a collection of various fiqh principles that result in the mobility of a city as an effect of contacting every member of the community, the tendency of building architectural forms, and various issues surrounding the building that are presented as a result of the collaboration of fiqh scholars with building practitioners and architecture as a fiqh legal fatwa based on the science of fiqh proposal . Meanwhile, the object of study is the integration of fiqh studies with architecture and building studies.The subject of the study of architecture fiqh is fiqh law as charging legal low or correlative law in the context of a building. Furthermore, the epistemology of Islam in architectural fiqh is part of the bayani reasoning method as well as burhani. Finally, the strategy of istinbath al ahkam fiqh architecture is the Koran, the sunnah nabawiyah, and the principles of fiqh.","container-title":"SHAHIH: Journal of Islamicate Multidisciplinary","DOI":"10.22515/shahih.v4i2.1867","ISSN":"2527-8126, 2527-8118","issue":"2","journalAbbreviation":"SJIM","language":"id","page":"151-169","source":"DOI.org (Crossref)","title":"Hakikat, Epistimologi Islam, dan Strategi Istinbath Al Ahkam Fikih Arsitektur","volume":"4","author":[{"family":"Yulianto","given":"Y"}],"issued":{"date-parts":[["2019",12,28]]}}}],"schema":"https://github.com/citation-style-language/schema/raw/master/csl-citation.json"}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[14]</w:t>
      </w:r>
      <w:r w:rsidRPr="001964A8">
        <w:rPr>
          <w:rFonts w:cstheme="minorHAnsi"/>
          <w:sz w:val="20"/>
          <w:szCs w:val="20"/>
        </w:rPr>
        <w:fldChar w:fldCharType="end"/>
      </w:r>
      <w:r w:rsidRPr="001964A8">
        <w:rPr>
          <w:rFonts w:cstheme="minorHAnsi"/>
          <w:sz w:val="20"/>
          <w:szCs w:val="20"/>
        </w:rPr>
        <w:t>.</w:t>
      </w:r>
    </w:p>
    <w:p w14:paraId="0C4CB970" w14:textId="77777777" w:rsidR="00973FEA" w:rsidRPr="001964A8" w:rsidRDefault="00973FEA" w:rsidP="00973FEA">
      <w:pPr>
        <w:widowControl w:val="0"/>
        <w:ind w:left="284" w:firstLine="283"/>
        <w:jc w:val="both"/>
        <w:rPr>
          <w:rFonts w:cstheme="minorHAnsi"/>
          <w:sz w:val="20"/>
          <w:szCs w:val="20"/>
        </w:rPr>
      </w:pPr>
      <w:r w:rsidRPr="001964A8">
        <w:rPr>
          <w:rFonts w:cstheme="minorHAnsi"/>
          <w:sz w:val="20"/>
          <w:szCs w:val="20"/>
        </w:rPr>
        <w:t xml:space="preserve">The </w:t>
      </w:r>
      <w:r w:rsidRPr="00573290">
        <w:rPr>
          <w:rFonts w:cstheme="minorHAnsi"/>
          <w:sz w:val="20"/>
          <w:szCs w:val="20"/>
          <w:u w:val="single"/>
        </w:rPr>
        <w:t>Aqidah</w:t>
      </w:r>
      <w:r w:rsidRPr="001964A8">
        <w:rPr>
          <w:rFonts w:cstheme="minorHAnsi"/>
          <w:sz w:val="20"/>
          <w:szCs w:val="20"/>
        </w:rPr>
        <w:t xml:space="preserve"> of Islamic Architecture (</w:t>
      </w:r>
      <w:r w:rsidRPr="00D16CCA">
        <w:rPr>
          <w:rFonts w:cstheme="minorHAnsi"/>
          <w:i/>
          <w:iCs/>
          <w:sz w:val="20"/>
          <w:szCs w:val="20"/>
        </w:rPr>
        <w:t>al-</w:t>
      </w:r>
      <w:proofErr w:type="spellStart"/>
      <w:r w:rsidRPr="00D16CCA">
        <w:rPr>
          <w:rFonts w:cstheme="minorHAnsi"/>
          <w:i/>
          <w:iCs/>
          <w:sz w:val="20"/>
          <w:szCs w:val="20"/>
        </w:rPr>
        <w:t>Asasu</w:t>
      </w:r>
      <w:proofErr w:type="spellEnd"/>
      <w:r w:rsidRPr="00D16CCA">
        <w:rPr>
          <w:rFonts w:cstheme="minorHAnsi"/>
          <w:i/>
          <w:iCs/>
          <w:sz w:val="20"/>
          <w:szCs w:val="20"/>
        </w:rPr>
        <w:t xml:space="preserve"> </w:t>
      </w:r>
      <w:proofErr w:type="spellStart"/>
      <w:r w:rsidRPr="00D16CCA">
        <w:rPr>
          <w:rFonts w:cstheme="minorHAnsi"/>
          <w:i/>
          <w:iCs/>
          <w:sz w:val="20"/>
          <w:szCs w:val="20"/>
        </w:rPr>
        <w:t>Fī</w:t>
      </w:r>
      <w:proofErr w:type="spellEnd"/>
      <w:r w:rsidRPr="00D16CCA">
        <w:rPr>
          <w:rFonts w:cstheme="minorHAnsi"/>
          <w:i/>
          <w:iCs/>
          <w:sz w:val="20"/>
          <w:szCs w:val="20"/>
        </w:rPr>
        <w:t xml:space="preserve"> al-`</w:t>
      </w:r>
      <w:proofErr w:type="spellStart"/>
      <w:r w:rsidRPr="00D16CCA">
        <w:rPr>
          <w:rFonts w:cstheme="minorHAnsi"/>
          <w:i/>
          <w:iCs/>
          <w:sz w:val="20"/>
          <w:szCs w:val="20"/>
        </w:rPr>
        <w:t>Imāroti</w:t>
      </w:r>
      <w:proofErr w:type="spellEnd"/>
      <w:r w:rsidRPr="00D16CCA">
        <w:rPr>
          <w:rFonts w:cstheme="minorHAnsi"/>
          <w:i/>
          <w:iCs/>
          <w:sz w:val="20"/>
          <w:szCs w:val="20"/>
        </w:rPr>
        <w:t xml:space="preserve"> al-</w:t>
      </w:r>
      <w:proofErr w:type="spellStart"/>
      <w:r w:rsidRPr="00D16CCA">
        <w:rPr>
          <w:rFonts w:cstheme="minorHAnsi"/>
          <w:i/>
          <w:iCs/>
          <w:sz w:val="20"/>
          <w:szCs w:val="20"/>
        </w:rPr>
        <w:t>Islamiyyati</w:t>
      </w:r>
      <w:proofErr w:type="spellEnd"/>
      <w:r>
        <w:rPr>
          <w:rFonts w:cstheme="minorHAnsi"/>
          <w:sz w:val="20"/>
          <w:szCs w:val="20"/>
        </w:rPr>
        <w:t xml:space="preserve">) </w:t>
      </w:r>
      <w:r w:rsidRPr="00B46477">
        <w:rPr>
          <w:rFonts w:cstheme="minorHAnsi"/>
          <w:sz w:val="20"/>
          <w:szCs w:val="20"/>
          <w:u w:val="single"/>
        </w:rPr>
        <w:t>concerns</w:t>
      </w:r>
      <w:r w:rsidRPr="001964A8">
        <w:rPr>
          <w:rFonts w:cstheme="minorHAnsi"/>
          <w:sz w:val="20"/>
          <w:szCs w:val="20"/>
        </w:rPr>
        <w:t xml:space="preserve"> religiosity: </w:t>
      </w:r>
      <w:r w:rsidRPr="00573290">
        <w:rPr>
          <w:rFonts w:cstheme="minorHAnsi"/>
          <w:i/>
          <w:sz w:val="20"/>
          <w:szCs w:val="20"/>
        </w:rPr>
        <w:t>tawhid</w:t>
      </w:r>
      <w:r>
        <w:rPr>
          <w:rFonts w:cstheme="minorHAnsi"/>
          <w:sz w:val="20"/>
          <w:szCs w:val="20"/>
        </w:rPr>
        <w:t xml:space="preserve"> (a belief</w:t>
      </w:r>
      <w:r w:rsidRPr="001964A8">
        <w:rPr>
          <w:rFonts w:cstheme="minorHAnsi"/>
          <w:sz w:val="20"/>
          <w:szCs w:val="20"/>
        </w:rPr>
        <w:t xml:space="preserve"> </w:t>
      </w:r>
      <w:r w:rsidRPr="00B46477">
        <w:rPr>
          <w:rFonts w:cstheme="minorHAnsi"/>
          <w:sz w:val="20"/>
          <w:szCs w:val="20"/>
          <w:u w:val="single"/>
        </w:rPr>
        <w:t>that Allah is the only One God</w:t>
      </w:r>
      <w:r w:rsidRPr="001964A8">
        <w:rPr>
          <w:rFonts w:cstheme="minorHAnsi"/>
          <w:sz w:val="20"/>
          <w:szCs w:val="20"/>
        </w:rPr>
        <w:t xml:space="preserve">) and </w:t>
      </w:r>
      <w:r w:rsidRPr="00D16CCA">
        <w:rPr>
          <w:rFonts w:cstheme="minorHAnsi"/>
          <w:i/>
          <w:iCs/>
          <w:sz w:val="20"/>
          <w:szCs w:val="20"/>
        </w:rPr>
        <w:t>Taqwa</w:t>
      </w:r>
      <w:r>
        <w:rPr>
          <w:rFonts w:cstheme="minorHAnsi"/>
          <w:sz w:val="20"/>
          <w:szCs w:val="20"/>
        </w:rPr>
        <w:t xml:space="preserve"> (Pious) – </w:t>
      </w:r>
      <w:r w:rsidRPr="00D16CCA">
        <w:rPr>
          <w:rFonts w:cstheme="minorHAnsi"/>
          <w:i/>
          <w:iCs/>
          <w:sz w:val="20"/>
          <w:szCs w:val="20"/>
        </w:rPr>
        <w:t>ad-</w:t>
      </w:r>
      <w:proofErr w:type="spellStart"/>
      <w:r w:rsidRPr="00D16CCA">
        <w:rPr>
          <w:rFonts w:cstheme="minorHAnsi"/>
          <w:i/>
          <w:iCs/>
          <w:sz w:val="20"/>
          <w:szCs w:val="20"/>
        </w:rPr>
        <w:t>dīniyyatu</w:t>
      </w:r>
      <w:proofErr w:type="spellEnd"/>
      <w:r w:rsidRPr="00D16CCA">
        <w:rPr>
          <w:rFonts w:cstheme="minorHAnsi"/>
          <w:i/>
          <w:iCs/>
          <w:sz w:val="20"/>
          <w:szCs w:val="20"/>
        </w:rPr>
        <w:t>: at-</w:t>
      </w:r>
      <w:proofErr w:type="spellStart"/>
      <w:r w:rsidRPr="00D16CCA">
        <w:rPr>
          <w:rFonts w:cstheme="minorHAnsi"/>
          <w:i/>
          <w:iCs/>
          <w:sz w:val="20"/>
          <w:szCs w:val="20"/>
        </w:rPr>
        <w:t>tauhīdu</w:t>
      </w:r>
      <w:proofErr w:type="spellEnd"/>
      <w:r w:rsidRPr="001964A8">
        <w:rPr>
          <w:rFonts w:cstheme="minorHAnsi"/>
          <w:sz w:val="20"/>
          <w:szCs w:val="20"/>
        </w:rPr>
        <w:t xml:space="preserve"> </w:t>
      </w:r>
      <w:r w:rsidRPr="001964A8">
        <w:rPr>
          <w:rFonts w:cstheme="minorHAnsi"/>
          <w:sz w:val="20"/>
          <w:szCs w:val="20"/>
        </w:rPr>
        <w:fldChar w:fldCharType="begin"/>
      </w:r>
      <w:r w:rsidRPr="001964A8">
        <w:rPr>
          <w:rFonts w:cstheme="minorHAnsi"/>
          <w:sz w:val="20"/>
          <w:szCs w:val="20"/>
        </w:rPr>
        <w:instrText xml:space="preserve"> ADDIN ZOTERO_ITEM CSL_CITATION {"citationID":"UA26Nnwq","properties":{"formattedCitation":"[25]","plainCitation":"[25]","noteIndex":0},"citationItems":[{"id":3737,"uris":["http://zotero.org/users/local/Rj7jaPwM/items/YC5YIRFC"],"itemData":{"id":3737,"type":"book","abstract":"The importance of Islamic architecture and its characteristics in teaching curricula","event-place":"Riyadh","ISBN":"978-9981-26-257-7","language":"ara","note":"OCLC: 1103854242","publisher":"The Islamic Educational, Scientific and Cultural Organization","publisher-place":"Riyadh","source":"Open WorldCat","title":"Funūn al-ʿimārati al-islāmiyyati wa khaṣāʾiṣuhā fī manāhij at-taʿlīm","author":[{"family":"Bahnasi","given":"Afif"}],"issued":{"date-parts":[["2003"]]}}}],"schema":"https://github.com/citation-style-language/schema/raw/master/csl-citation.json"}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[25]</w:t>
      </w:r>
      <w:r w:rsidRPr="001964A8">
        <w:rPr>
          <w:rFonts w:cstheme="minorHAnsi"/>
          <w:sz w:val="20"/>
          <w:szCs w:val="20"/>
        </w:rPr>
        <w:fldChar w:fldCharType="end"/>
      </w:r>
      <w:r w:rsidRPr="001964A8">
        <w:rPr>
          <w:rFonts w:cstheme="minorHAnsi"/>
          <w:sz w:val="20"/>
          <w:szCs w:val="20"/>
        </w:rPr>
        <w:t xml:space="preserve">, </w:t>
      </w:r>
      <w:proofErr w:type="spellStart"/>
      <w:r w:rsidRPr="00D16CCA">
        <w:rPr>
          <w:rFonts w:cstheme="minorHAnsi"/>
          <w:i/>
          <w:iCs/>
          <w:sz w:val="20"/>
          <w:szCs w:val="20"/>
        </w:rPr>
        <w:t>wa</w:t>
      </w:r>
      <w:proofErr w:type="spellEnd"/>
      <w:r w:rsidRPr="00D16CCA">
        <w:rPr>
          <w:rFonts w:cstheme="minorHAnsi"/>
          <w:i/>
          <w:iCs/>
          <w:sz w:val="20"/>
          <w:szCs w:val="20"/>
        </w:rPr>
        <w:t xml:space="preserve"> at-</w:t>
      </w:r>
      <w:proofErr w:type="spellStart"/>
      <w:r w:rsidRPr="00D16CCA">
        <w:rPr>
          <w:rFonts w:cstheme="minorHAnsi"/>
          <w:i/>
          <w:iCs/>
          <w:sz w:val="20"/>
          <w:szCs w:val="20"/>
        </w:rPr>
        <w:t>takwā</w:t>
      </w:r>
      <w:proofErr w:type="spellEnd"/>
      <w:r w:rsidRPr="001964A8">
        <w:rPr>
          <w:rFonts w:cstheme="minorHAnsi"/>
          <w:sz w:val="20"/>
          <w:szCs w:val="20"/>
        </w:rPr>
        <w:t xml:space="preserve"> </w:t>
      </w:r>
      <w:r w:rsidRPr="001964A8">
        <w:rPr>
          <w:rFonts w:cstheme="minorHAnsi"/>
          <w:sz w:val="20"/>
          <w:szCs w:val="20"/>
        </w:rPr>
        <w:fldChar w:fldCharType="begin"/>
      </w:r>
      <w:r w:rsidRPr="001964A8">
        <w:rPr>
          <w:rFonts w:cstheme="minorHAnsi"/>
          <w:sz w:val="20"/>
          <w:szCs w:val="20"/>
        </w:rPr>
        <w:instrText xml:space="preserve"> ADDIN ZOTERO_ITEM CSL_CITATION {"citationID":"atucpqj6","properties":{"formattedCitation":"[26]","plainCitation":"[26]","noteIndex":0},"citationItems":[{"id":3739,"uris":["http://zotero.org/users/local/Rj7jaPwM/items/GE39ZVLY"],"itemData":{"id":3739,"type":"book","abstract":"Urbanism and structure in the perspective of Islam","event-place":"Kuwait","ISBN":"978-99906-678-1-3","language":"ara","note":"OCLC: 929567099","publisher":"Rawafid","publisher-place":"Kuwait","source":"Open WorldCat","title":"Al-ʿUmran wa al-Binyan fī Manẓūr al-Islām","author":[{"family":"Waziri","given":"Yahya"}],"issued":{"date-parts":[["2008"]]}}}],"schema":"https://github.com/citation-style-language/schema/raw/master/csl-citation.json"}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[26]</w:t>
      </w:r>
      <w:r w:rsidRPr="001964A8">
        <w:rPr>
          <w:rFonts w:cstheme="minorHAnsi"/>
          <w:sz w:val="20"/>
          <w:szCs w:val="20"/>
        </w:rPr>
        <w:fldChar w:fldCharType="end"/>
      </w:r>
      <w:r w:rsidRPr="001964A8">
        <w:rPr>
          <w:rFonts w:cstheme="minorHAnsi"/>
          <w:sz w:val="20"/>
          <w:szCs w:val="20"/>
        </w:rPr>
        <w:t xml:space="preserve">. </w:t>
      </w:r>
    </w:p>
    <w:p w14:paraId="7672A9BE" w14:textId="77777777" w:rsidR="00973FEA" w:rsidRPr="001964A8" w:rsidRDefault="00973FEA" w:rsidP="00973FEA">
      <w:pPr>
        <w:widowControl w:val="0"/>
        <w:ind w:left="284" w:firstLine="283"/>
        <w:jc w:val="both"/>
        <w:rPr>
          <w:rFonts w:cstheme="minorHAnsi"/>
          <w:sz w:val="20"/>
          <w:szCs w:val="20"/>
        </w:rPr>
      </w:pPr>
      <w:r w:rsidRPr="0060260F">
        <w:rPr>
          <w:rFonts w:cstheme="minorHAnsi"/>
          <w:i/>
          <w:sz w:val="20"/>
          <w:szCs w:val="20"/>
        </w:rPr>
        <w:t>Tawhid</w:t>
      </w:r>
      <w:r w:rsidRPr="001964A8">
        <w:rPr>
          <w:rFonts w:cstheme="minorHAnsi"/>
          <w:sz w:val="20"/>
          <w:szCs w:val="20"/>
        </w:rPr>
        <w:t xml:space="preserve"> is the first part of </w:t>
      </w:r>
      <w:r>
        <w:rPr>
          <w:rFonts w:cstheme="minorHAnsi"/>
          <w:sz w:val="20"/>
          <w:szCs w:val="20"/>
        </w:rPr>
        <w:t xml:space="preserve">the </w:t>
      </w:r>
      <w:r w:rsidRPr="00C4114C">
        <w:rPr>
          <w:rFonts w:cstheme="minorHAnsi"/>
          <w:sz w:val="20"/>
          <w:szCs w:val="20"/>
          <w:u w:val="single"/>
        </w:rPr>
        <w:t>Islamic Architecture’s</w:t>
      </w:r>
      <w:r w:rsidRPr="001964A8">
        <w:rPr>
          <w:rFonts w:cstheme="minorHAnsi"/>
          <w:sz w:val="20"/>
          <w:szCs w:val="20"/>
        </w:rPr>
        <w:t xml:space="preserve"> philosophical foundation </w:t>
      </w:r>
      <w:r w:rsidRPr="001964A8">
        <w:rPr>
          <w:rFonts w:cstheme="minorHAnsi"/>
          <w:sz w:val="20"/>
          <w:szCs w:val="20"/>
        </w:rPr>
        <w:fldChar w:fldCharType="begin"/>
      </w:r>
      <w:r w:rsidRPr="001964A8">
        <w:rPr>
          <w:rFonts w:cstheme="minorHAnsi"/>
          <w:sz w:val="20"/>
          <w:szCs w:val="20"/>
        </w:rPr>
        <w:instrText xml:space="preserve"> ADDIN ZOTERO_ITEM CSL_CITATION {"citationID":"C81piZ9c","properties":{"formattedCitation":"[25]","plainCitation":"[25]","noteIndex":0},"citationItems":[{"id":3737,"uris":["http://zotero.org/users/local/Rj7jaPwM/items/YC5YIRFC"],"itemData":{"id":3737,"type":"book","abstract":"The importance of Islamic architecture and its characteristics in teaching curricula","event-place":"Riyadh","ISBN":"978-9981-26-257-7","language":"ara","note":"OCLC: 1103854242","publisher":"The Islamic Educational, Scientific and Cultural Organization","publisher-place":"Riyadh","source":"Open WorldCat","title":"Funūn al-ʿimārati al-islāmiyyati wa khaṣāʾiṣuhā fī manāhij at-taʿlīm","author":[{"family":"Bahnasi","given":"Afif"}],"issued":{"date-parts":[["2003"]]}}}],"schema":"https://github.com/citation-style-language/schema/raw/master/csl-citation.json"}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[25]</w:t>
      </w:r>
      <w:r w:rsidRPr="001964A8">
        <w:rPr>
          <w:rFonts w:cstheme="minorHAnsi"/>
          <w:sz w:val="20"/>
          <w:szCs w:val="20"/>
        </w:rPr>
        <w:fldChar w:fldCharType="end"/>
      </w:r>
      <w:r w:rsidRPr="001964A8">
        <w:rPr>
          <w:rFonts w:cstheme="minorHAnsi"/>
          <w:sz w:val="20"/>
          <w:szCs w:val="20"/>
        </w:rPr>
        <w:t xml:space="preserve">. Within Islamic Architecture, </w:t>
      </w:r>
      <w:r w:rsidRPr="0060260F">
        <w:rPr>
          <w:rFonts w:cstheme="minorHAnsi"/>
          <w:i/>
          <w:sz w:val="20"/>
          <w:szCs w:val="20"/>
        </w:rPr>
        <w:t>Tawhid</w:t>
      </w:r>
      <w:r w:rsidRPr="001964A8">
        <w:rPr>
          <w:rFonts w:cstheme="minorHAnsi"/>
          <w:sz w:val="20"/>
          <w:szCs w:val="20"/>
        </w:rPr>
        <w:t xml:space="preserve"> stands as the primary and foundational philosophical concept </w:t>
      </w:r>
      <w:r w:rsidRPr="001964A8">
        <w:rPr>
          <w:rFonts w:cstheme="minorHAnsi"/>
          <w:sz w:val="20"/>
          <w:szCs w:val="20"/>
        </w:rPr>
        <w:fldChar w:fldCharType="begin"/>
      </w:r>
      <w:r w:rsidRPr="001964A8">
        <w:rPr>
          <w:rFonts w:cstheme="minorHAnsi"/>
          <w:sz w:val="20"/>
          <w:szCs w:val="20"/>
        </w:rPr>
        <w:instrText xml:space="preserve"> ADDIN ZOTERO_ITEM CSL_CITATION {"citationID":"wUgK2tqb","properties":{"formattedCitation":"[27]","plainCitation":"[27]","noteIndex":0},"citationItems":[{"id":3733,"uris":["http://zotero.org/users/local/Rj7jaPwM/items/EYDKFFI5"],"itemData":{"id":3733,"type":"article-journal","abstract":"This paper discusses the notion of God as the only Creator, exploring its main implications for conceptualising the identity and purpose of Islamic architecture. The paper concludes that the concept of God as the Creator represents the core of the Islamic doctrine of tawhid (God's Oneness and Uniqueness) which, in turn, presents Islamic architecture with its identity impressing it by its own mould. Buildings in Islam are conceived and erected only to serve God and the noble purpose of creation instituted by the Creator. Ascribing the terms \"creation\" and \"creators\" to human beings should always be conditional and metaphorical, not authentic or unqualified. Just as the Creator cannot become creation, similarly a creation cannot become a creator. Only against this backdrop, the role and objective of man on earth, and all his civilisational undertakings, including architecture, are to be viewed and assessed. The implications of this central Islamic tenet for Islamic architecture are studied under the sub-topics of the identity of Islamic architecture and the role of Islamic decorative arts.","container-title":"KEMANUSIAAN","issue":"1","language":"en","source":"Zotero","title":"God as the Only Creator: Some Implications for Conceptualising Islamic Architecture","volume":"22","author":[{"family":"Spahic","given":"Omer"}],"issued":{"date-parts":[["2015"]]}}}],"schema":"https://github.com/citation-style-language/schema/raw/master/csl-citation.json"}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[27]</w:t>
      </w:r>
      <w:r w:rsidRPr="001964A8">
        <w:rPr>
          <w:rFonts w:cstheme="minorHAnsi"/>
          <w:sz w:val="20"/>
          <w:szCs w:val="20"/>
        </w:rPr>
        <w:fldChar w:fldCharType="end"/>
      </w:r>
      <w:r w:rsidRPr="001964A8">
        <w:rPr>
          <w:rFonts w:cstheme="minorHAnsi"/>
          <w:sz w:val="20"/>
          <w:szCs w:val="20"/>
        </w:rPr>
        <w:t xml:space="preserve">. </w:t>
      </w:r>
      <w:r w:rsidRPr="0060260F">
        <w:rPr>
          <w:rFonts w:cstheme="minorHAnsi"/>
          <w:i/>
          <w:sz w:val="20"/>
          <w:szCs w:val="20"/>
        </w:rPr>
        <w:t>Tawhid</w:t>
      </w:r>
      <w:r w:rsidRPr="001964A8">
        <w:rPr>
          <w:rFonts w:cstheme="minorHAnsi"/>
          <w:sz w:val="20"/>
          <w:szCs w:val="20"/>
        </w:rPr>
        <w:t xml:space="preserve"> is so fundamental that one cannot truly live as a Muslim without it. Consequently, Muslim architects, building owners, workers, and all those involved in the architectural process must uphold and respect this philosophy at all times </w:t>
      </w:r>
      <w:r w:rsidRPr="001964A8">
        <w:rPr>
          <w:rFonts w:cstheme="minorHAnsi"/>
          <w:sz w:val="20"/>
          <w:szCs w:val="20"/>
        </w:rPr>
        <w:fldChar w:fldCharType="begin"/>
      </w:r>
      <w:r w:rsidRPr="001964A8">
        <w:rPr>
          <w:rFonts w:cstheme="minorHAnsi"/>
          <w:sz w:val="20"/>
          <w:szCs w:val="20"/>
        </w:rPr>
        <w:instrText xml:space="preserve"> ADDIN ZOTERO_ITEM CSL_CITATION {"citationID":"Ji5mYQMG","properties":{"formattedCitation":"[28]","plainCitation":"[28]","noteIndex":0},"citationItems":[{"id":3726,"uris":["http://zotero.org/users/local/Rj7jaPwM/items/VQSTYRDD"],"itemData":{"id":3726,"type":"article-journal","abstract":"This paper discusses the Islamic notion of tawhid (the Oneness of Allah) and its implications for Islamic architecture. The paper is divided into two major parts. Firstly, the meaning and significance of tawhid, as a cornerstone of the Islamic belief system, is presented. Secondly, tawhid’s most important implications for perceiving, creating and using Islamic architecture are explained. The paper seeks to enhance the awareness, both of the professionals and general readership, as to the centrality of the role of the concept of tawhid in correctly conceptualizing and practicing Islamic architecture. The nature of the paper, along with its content, methodology and conclusions, is conceptual and philosophical, rather than empirical. The paper concludes that Islamic architecture is an architecture that embodies the message of Islam. It both facilitates Muslims’ realization of the Islamic purpose and its divine principles on earth, and promotes a lifestyle generated by such a philosophy and principles. The implications of tawhid for Islamic architecture are ideological, rather than technical. Such is the profundity of the influence the concept of tawhid exerts on Islamic architecture – and on Islamic culture and civilization, in general – that it gives the latter its conspicuous soul and identity. Without the effect of tawhid, no architecture deserves to be dubbed ‘Islamic’.","container-title":"Journal of Architecture, Planning and Construction Management","issue":"2","language":"en","source":"Zotero","title":"Tawhid and Its Implications for Islamic Architecture","volume":"1","author":[{"family":"Omer","given":"Spahic"}],"issued":{"date-parts":[["2011"]]}}}],"schema":"https://github.com/citation-style-language/schema/raw/master/csl-citation.json"}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[28]</w:t>
      </w:r>
      <w:r w:rsidRPr="001964A8">
        <w:rPr>
          <w:rFonts w:cstheme="minorHAnsi"/>
          <w:sz w:val="20"/>
          <w:szCs w:val="20"/>
        </w:rPr>
        <w:fldChar w:fldCharType="end"/>
      </w:r>
      <w:r w:rsidRPr="001964A8">
        <w:rPr>
          <w:rFonts w:cstheme="minorHAnsi"/>
          <w:sz w:val="20"/>
          <w:szCs w:val="20"/>
        </w:rPr>
        <w:t xml:space="preserve">. Here, Islamic architecture is an expression of faith </w:t>
      </w:r>
      <w:r>
        <w:rPr>
          <w:rFonts w:cstheme="minorHAnsi"/>
          <w:sz w:val="20"/>
          <w:szCs w:val="20"/>
        </w:rPr>
        <w:t>in</w:t>
      </w:r>
      <w:r w:rsidRPr="001964A8">
        <w:rPr>
          <w:rFonts w:cstheme="minorHAnsi"/>
          <w:sz w:val="20"/>
          <w:szCs w:val="20"/>
        </w:rPr>
        <w:t xml:space="preserve"> the Greatness of Allah </w:t>
      </w:r>
      <w:r w:rsidRPr="001964A8">
        <w:rPr>
          <w:rFonts w:cstheme="minorHAnsi"/>
          <w:sz w:val="20"/>
          <w:szCs w:val="20"/>
        </w:rPr>
        <w:fldChar w:fldCharType="begin"/>
      </w:r>
      <w:r>
        <w:rPr>
          <w:rFonts w:cstheme="minorHAnsi"/>
          <w:sz w:val="20"/>
          <w:szCs w:val="20"/>
        </w:rPr>
        <w:instrText xml:space="preserve"> ADDIN ZOTERO_ITEM CSL_CITATION {"citationID":"xJz4EdTG","properties":{"formattedCitation":"[2]","plainCitation":"[2]","noteIndex":0},"citationItems":[{"id":"QCoNWly0/VAwvpbWP","uris":["http://zotero.org/users/local/Rj7jaPwM/items/V9RGZ8TU"],"itemData":{"id":3735,"type":"book","edition":"0","ISBN":"978-1-136-85131-5","language":"en","note":"DOI: 10.4324/9781315028767","publisher":"Routledge","source":"DOI.org (Crossref)","title":"Understanding Islamic Architecture","URL":"https://www.taylorfrancis.com/books/9781136851315","author":[{"family":"Petruccioli","given":"Attilo"},{"family":"Pirani","given":"Khalil K."}],"accessed":{"date-parts":[["2023",10,16]]},"issued":{"date-parts":[["2013",9,13]]}}}],"schema":"https://github.com/citation-style-language/schema/raw/master/csl-citation.json"}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[2]</w:t>
      </w:r>
      <w:r w:rsidRPr="001964A8">
        <w:rPr>
          <w:rFonts w:cstheme="minorHAnsi"/>
          <w:sz w:val="20"/>
          <w:szCs w:val="20"/>
        </w:rPr>
        <w:fldChar w:fldCharType="end"/>
      </w:r>
      <w:r w:rsidRPr="001964A8">
        <w:rPr>
          <w:rFonts w:cstheme="minorHAnsi"/>
          <w:sz w:val="20"/>
          <w:szCs w:val="20"/>
        </w:rPr>
        <w:t xml:space="preserve">. Beauty </w:t>
      </w:r>
      <w:r>
        <w:rPr>
          <w:rFonts w:cstheme="minorHAnsi"/>
          <w:sz w:val="20"/>
          <w:szCs w:val="20"/>
        </w:rPr>
        <w:t>i</w:t>
      </w:r>
      <w:r w:rsidRPr="001964A8">
        <w:rPr>
          <w:rFonts w:cstheme="minorHAnsi"/>
          <w:sz w:val="20"/>
          <w:szCs w:val="20"/>
        </w:rPr>
        <w:t>s</w:t>
      </w:r>
      <w:r>
        <w:rPr>
          <w:rFonts w:cstheme="minorHAnsi"/>
          <w:sz w:val="20"/>
          <w:szCs w:val="20"/>
        </w:rPr>
        <w:t xml:space="preserve"> </w:t>
      </w:r>
      <w:r w:rsidRPr="00EA44C5">
        <w:rPr>
          <w:rFonts w:cstheme="minorHAnsi"/>
          <w:sz w:val="20"/>
          <w:szCs w:val="20"/>
          <w:u w:val="single"/>
        </w:rPr>
        <w:t>a submission</w:t>
      </w:r>
      <w:r w:rsidRPr="001964A8">
        <w:rPr>
          <w:rFonts w:cstheme="minorHAnsi"/>
          <w:sz w:val="20"/>
          <w:szCs w:val="20"/>
        </w:rPr>
        <w:t xml:space="preserve"> to the Greatness of Allah. Moreover, the act of constructing a building can be considered a form of worship, following the example of Prophet Ibrahim, who built th</w:t>
      </w:r>
      <w:r>
        <w:rPr>
          <w:rFonts w:cstheme="minorHAnsi"/>
          <w:sz w:val="20"/>
          <w:szCs w:val="20"/>
        </w:rPr>
        <w:t xml:space="preserve">e Kaaba as mentioned in the </w:t>
      </w:r>
      <w:r w:rsidRPr="00FF2628">
        <w:rPr>
          <w:rFonts w:cstheme="minorHAnsi"/>
          <w:sz w:val="20"/>
          <w:szCs w:val="20"/>
          <w:u w:val="single"/>
        </w:rPr>
        <w:t>Quran</w:t>
      </w:r>
      <w:r w:rsidRPr="001964A8">
        <w:rPr>
          <w:rFonts w:cstheme="minorHAnsi"/>
          <w:sz w:val="20"/>
          <w:szCs w:val="20"/>
        </w:rPr>
        <w:t xml:space="preserve"> (Surah Al-Baqarah, 2:125–128). Ibn Kathir’s </w:t>
      </w:r>
      <w:r w:rsidRPr="0060260F">
        <w:rPr>
          <w:rFonts w:cstheme="minorHAnsi"/>
          <w:i/>
          <w:sz w:val="20"/>
          <w:szCs w:val="20"/>
        </w:rPr>
        <w:t>tafsir</w:t>
      </w:r>
      <w:r w:rsidRPr="001964A8">
        <w:rPr>
          <w:rFonts w:cstheme="minorHAnsi"/>
          <w:sz w:val="20"/>
          <w:szCs w:val="20"/>
        </w:rPr>
        <w:t xml:space="preserve"> on these verses emphasizes that architecture, in this context, is established by the command of Allah, supported by His divine power throughout the process, and completed with prayers for blessings upon the surrounding environment </w:t>
      </w:r>
      <w:r w:rsidRPr="001964A8">
        <w:rPr>
          <w:rFonts w:cstheme="minorHAnsi"/>
          <w:sz w:val="20"/>
          <w:szCs w:val="20"/>
        </w:rPr>
        <w:fldChar w:fldCharType="begin"/>
      </w:r>
      <w:r w:rsidRPr="001964A8">
        <w:rPr>
          <w:rFonts w:cstheme="minorHAnsi"/>
          <w:sz w:val="20"/>
          <w:szCs w:val="20"/>
        </w:rPr>
        <w:instrText xml:space="preserve"> ADDIN ZOTERO_ITEM CSL_CITATION {"citationID":"ESmuoXY1","properties":{"formattedCitation":"[29]","plainCitation":"[29]","noteIndex":0},"citationItems":[{"id":4726,"uris":["http://zotero.org/users/local/Rj7jaPwM/items/44S6ENZP"],"itemData":{"id":4726,"type":"book","edition":"2","event-place":"Riyadh","ISBN":"9960-892-71-9","language":"en","publisher":"Maktaba Dar-us-Salam","publisher-place":"Riyadh","title":"Tafsir Ibn Kathir","volume":"1-10","author":[{"family":"Kathir al-Dimashqi","given":"Imam Abu AL-Firda Ismail","non-dropping-particle":"ibn"}],"issued":{"date-parts":[["2003"]]}}}],"schema":"https://github.com/citation-style-language/schema/raw/master/csl-citation.json"}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[29]</w:t>
      </w:r>
      <w:r w:rsidRPr="001964A8">
        <w:rPr>
          <w:rFonts w:cstheme="minorHAnsi"/>
          <w:sz w:val="20"/>
          <w:szCs w:val="20"/>
        </w:rPr>
        <w:fldChar w:fldCharType="end"/>
      </w:r>
      <w:r w:rsidRPr="001964A8">
        <w:rPr>
          <w:rFonts w:cstheme="minorHAnsi"/>
          <w:sz w:val="20"/>
          <w:szCs w:val="20"/>
        </w:rPr>
        <w:t>.</w:t>
      </w:r>
    </w:p>
    <w:p w14:paraId="27E6D6BC" w14:textId="77777777" w:rsidR="00973FEA" w:rsidRDefault="00973FEA" w:rsidP="00973FEA">
      <w:pPr>
        <w:widowControl w:val="0"/>
        <w:ind w:left="284" w:firstLine="283"/>
        <w:jc w:val="both"/>
        <w:rPr>
          <w:rFonts w:cstheme="minorHAnsi"/>
          <w:sz w:val="20"/>
          <w:szCs w:val="20"/>
        </w:rPr>
      </w:pPr>
      <w:r w:rsidRPr="0060260F">
        <w:rPr>
          <w:rFonts w:cstheme="minorHAnsi"/>
          <w:i/>
          <w:sz w:val="20"/>
          <w:szCs w:val="20"/>
          <w:u w:val="single"/>
        </w:rPr>
        <w:t>Taqwa</w:t>
      </w:r>
      <w:r w:rsidRPr="001964A8">
        <w:rPr>
          <w:rFonts w:cstheme="minorHAnsi"/>
          <w:sz w:val="20"/>
          <w:szCs w:val="20"/>
        </w:rPr>
        <w:t xml:space="preserve"> is the second part. A heart that is in a heightened state of awareness of Allah's knowledge and presence is said to be practicing </w:t>
      </w:r>
      <w:proofErr w:type="spellStart"/>
      <w:r w:rsidRPr="00FF2628">
        <w:rPr>
          <w:rFonts w:cstheme="minorHAnsi"/>
          <w:i/>
          <w:sz w:val="20"/>
          <w:szCs w:val="20"/>
          <w:u w:val="single"/>
        </w:rPr>
        <w:t>taqwa</w:t>
      </w:r>
      <w:proofErr w:type="spellEnd"/>
      <w:r w:rsidRPr="001964A8">
        <w:rPr>
          <w:rFonts w:cstheme="minorHAnsi"/>
          <w:sz w:val="20"/>
          <w:szCs w:val="20"/>
        </w:rPr>
        <w:t>. This knowledge serves as a catalyst for doing good things and abstaining from actions that are again</w:t>
      </w:r>
      <w:r>
        <w:rPr>
          <w:rFonts w:cstheme="minorHAnsi"/>
          <w:sz w:val="20"/>
          <w:szCs w:val="20"/>
        </w:rPr>
        <w:t xml:space="preserve">st the law. Here, architecture </w:t>
      </w:r>
      <w:r w:rsidRPr="00FF2628">
        <w:rPr>
          <w:rFonts w:cstheme="minorHAnsi"/>
          <w:sz w:val="20"/>
          <w:szCs w:val="20"/>
          <w:u w:val="single"/>
        </w:rPr>
        <w:t>is</w:t>
      </w:r>
      <w:r w:rsidRPr="001964A8">
        <w:rPr>
          <w:rFonts w:cstheme="minorHAnsi"/>
          <w:sz w:val="20"/>
          <w:szCs w:val="20"/>
        </w:rPr>
        <w:t xml:space="preserve"> a form of devotion to Allah </w:t>
      </w:r>
      <w:r w:rsidRPr="001964A8">
        <w:rPr>
          <w:rFonts w:cstheme="minorHAnsi"/>
          <w:sz w:val="20"/>
          <w:szCs w:val="20"/>
        </w:rPr>
        <w:fldChar w:fldCharType="begin"/>
      </w:r>
      <w:r>
        <w:rPr>
          <w:rFonts w:cstheme="minorHAnsi"/>
          <w:sz w:val="20"/>
          <w:szCs w:val="20"/>
        </w:rPr>
        <w:instrText xml:space="preserve"> ADDIN ZOTERO_ITEM CSL_CITATION {"citationID":"mr19ELPY","properties":{"formattedCitation":"[2]","plainCitation":"[2]","noteIndex":0},"citationItems":[{"id":"QCoNWly0/VAwvpbWP","uris":["http://zotero.org/users/local/Rj7jaPwM/items/V9RGZ8TU"],"itemData":{"id":3735,"type":"book","edition":"0","ISBN":"978-1-136-85131-5","language":"en","note":"DOI: 10.4324/9781315028767","publisher":"Routledge","source":"DOI.org (Crossref)","title":"Understanding Islamic Architecture","URL":"https://www.taylorfrancis.com/books/9781136851315","author":[{"family":"Petruccioli","given":"Attilo"},{"family":"Pirani","given":"Khalil K."}],"accessed":{"date-parts":[["2023",10,16]]},"issued":{"date-parts":[["2013",9,13]]}}}],"schema":"https://github.com/citation-style-language/schema/raw/master/csl-citation.json"}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[2]</w:t>
      </w:r>
      <w:r w:rsidRPr="001964A8">
        <w:rPr>
          <w:rFonts w:cstheme="minorHAnsi"/>
          <w:sz w:val="20"/>
          <w:szCs w:val="20"/>
        </w:rPr>
        <w:fldChar w:fldCharType="end"/>
      </w:r>
      <w:r>
        <w:rPr>
          <w:rFonts w:cstheme="minorHAnsi"/>
          <w:sz w:val="20"/>
          <w:szCs w:val="20"/>
        </w:rPr>
        <w:t xml:space="preserve">. The </w:t>
      </w:r>
      <w:r w:rsidRPr="00FF2628">
        <w:rPr>
          <w:rFonts w:cstheme="minorHAnsi"/>
          <w:sz w:val="20"/>
          <w:szCs w:val="20"/>
          <w:u w:val="single"/>
        </w:rPr>
        <w:t>Quran</w:t>
      </w:r>
      <w:r w:rsidRPr="001964A8">
        <w:rPr>
          <w:rFonts w:cstheme="minorHAnsi"/>
          <w:sz w:val="20"/>
          <w:szCs w:val="20"/>
        </w:rPr>
        <w:t xml:space="preserve"> (Surah Al-</w:t>
      </w:r>
      <w:proofErr w:type="spellStart"/>
      <w:r w:rsidRPr="001964A8">
        <w:rPr>
          <w:rFonts w:cstheme="minorHAnsi"/>
          <w:sz w:val="20"/>
          <w:szCs w:val="20"/>
        </w:rPr>
        <w:t>Tawba</w:t>
      </w:r>
      <w:proofErr w:type="spellEnd"/>
      <w:r w:rsidRPr="001964A8">
        <w:rPr>
          <w:rFonts w:cstheme="minorHAnsi"/>
          <w:sz w:val="20"/>
          <w:szCs w:val="20"/>
        </w:rPr>
        <w:t xml:space="preserve">, 9:109) highlights this concept, and Ibn Kathir’s </w:t>
      </w:r>
      <w:r w:rsidRPr="0060260F">
        <w:rPr>
          <w:rFonts w:cstheme="minorHAnsi"/>
          <w:i/>
          <w:sz w:val="20"/>
          <w:szCs w:val="20"/>
        </w:rPr>
        <w:t>tafsir</w:t>
      </w:r>
      <w:r w:rsidRPr="001964A8">
        <w:rPr>
          <w:rFonts w:cstheme="minorHAnsi"/>
          <w:sz w:val="20"/>
          <w:szCs w:val="20"/>
        </w:rPr>
        <w:t xml:space="preserve"> interprets it as the foundational principle for constructing buildings in accordance with divine guidance </w:t>
      </w:r>
      <w:r w:rsidRPr="001964A8">
        <w:rPr>
          <w:rFonts w:cstheme="minorHAnsi"/>
          <w:sz w:val="20"/>
          <w:szCs w:val="20"/>
        </w:rPr>
        <w:fldChar w:fldCharType="begin"/>
      </w:r>
      <w:r w:rsidRPr="001964A8">
        <w:rPr>
          <w:rFonts w:cstheme="minorHAnsi"/>
          <w:sz w:val="20"/>
          <w:szCs w:val="20"/>
        </w:rPr>
        <w:instrText xml:space="preserve"> ADDIN ZOTERO_ITEM CSL_CITATION {"citationID":"So4ZrOrs","properties":{"formattedCitation":"[29]","plainCitation":"[29]","noteIndex":0},"citationItems":[{"id":4726,"uris":["http://zotero.org/users/local/Rj7jaPwM/items/44S6ENZP"],"itemData":{"id":4726,"type":"book","edition":"2","event-place":"Riyadh","ISBN":"9960-892-71-9","language":"en","publisher":"Maktaba Dar-us-Salam","publisher-place":"Riyadh","title":"Tafsir Ibn Kathir","volume":"1-10","author":[{"family":"Kathir al-Dimashqi","given":"Imam Abu AL-Firda Ismail","non-dropping-particle":"ibn"}],"issued":{"date-parts":[["2003"]]}}}],"schema":"https://github.com/citation-style-language/schema/raw/master/csl-citation.json"}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[29]</w:t>
      </w:r>
      <w:r w:rsidRPr="001964A8">
        <w:rPr>
          <w:rFonts w:cstheme="minorHAnsi"/>
          <w:sz w:val="20"/>
          <w:szCs w:val="20"/>
        </w:rPr>
        <w:fldChar w:fldCharType="end"/>
      </w:r>
      <w:r w:rsidRPr="001964A8">
        <w:rPr>
          <w:rFonts w:cstheme="minorHAnsi"/>
          <w:sz w:val="20"/>
          <w:szCs w:val="20"/>
        </w:rPr>
        <w:t>.</w:t>
      </w:r>
    </w:p>
    <w:p w14:paraId="5DC8B5C0" w14:textId="77777777" w:rsidR="00973FEA" w:rsidRPr="001964A8" w:rsidRDefault="00973FEA" w:rsidP="00973FEA">
      <w:pPr>
        <w:widowControl w:val="0"/>
        <w:ind w:left="284" w:firstLine="283"/>
        <w:jc w:val="both"/>
        <w:rPr>
          <w:rFonts w:cstheme="minorHAnsi"/>
          <w:sz w:val="20"/>
          <w:szCs w:val="20"/>
        </w:rPr>
      </w:pPr>
    </w:p>
    <w:p w14:paraId="77F15D37" w14:textId="1EB5BDA4" w:rsidR="00973FEA" w:rsidRPr="00973FEA" w:rsidRDefault="00973FEA" w:rsidP="00973FEA">
      <w:pPr>
        <w:pStyle w:val="ListParagraph"/>
        <w:widowControl w:val="0"/>
        <w:numPr>
          <w:ilvl w:val="0"/>
          <w:numId w:val="6"/>
        </w:numPr>
        <w:ind w:left="567" w:hanging="283"/>
        <w:jc w:val="both"/>
        <w:rPr>
          <w:rFonts w:asciiTheme="minorHAnsi" w:hAnsiTheme="minorHAnsi" w:cstheme="minorHAnsi"/>
          <w:b/>
          <w:bCs/>
          <w:sz w:val="18"/>
          <w:szCs w:val="18"/>
        </w:rPr>
      </w:pPr>
      <w:r w:rsidRPr="00973FEA">
        <w:rPr>
          <w:rFonts w:asciiTheme="minorHAnsi" w:hAnsiTheme="minorHAnsi" w:cstheme="minorHAnsi"/>
          <w:b/>
          <w:bCs/>
          <w:sz w:val="18"/>
          <w:szCs w:val="18"/>
        </w:rPr>
        <w:t>1. 2. The knowledge of spiritual actions that Muslims should engage in (</w:t>
      </w:r>
      <w:r w:rsidRPr="00973FEA">
        <w:rPr>
          <w:rFonts w:asciiTheme="minorHAnsi" w:hAnsiTheme="minorHAnsi" w:cstheme="minorHAnsi"/>
          <w:b/>
          <w:bCs/>
          <w:i/>
          <w:sz w:val="18"/>
          <w:szCs w:val="18"/>
        </w:rPr>
        <w:t>Akhlaq</w:t>
      </w:r>
      <w:r w:rsidRPr="00973FEA">
        <w:rPr>
          <w:rFonts w:asciiTheme="minorHAnsi" w:hAnsiTheme="minorHAnsi" w:cstheme="minorHAnsi"/>
          <w:b/>
          <w:bCs/>
          <w:sz w:val="18"/>
          <w:szCs w:val="18"/>
        </w:rPr>
        <w:t xml:space="preserve">) </w:t>
      </w:r>
    </w:p>
    <w:p w14:paraId="0191F85A" w14:textId="77777777" w:rsidR="00973FEA" w:rsidRPr="001964A8" w:rsidRDefault="00973FEA" w:rsidP="00973FEA">
      <w:pPr>
        <w:widowControl w:val="0"/>
        <w:ind w:left="284" w:firstLine="283"/>
        <w:jc w:val="both"/>
        <w:rPr>
          <w:rFonts w:cstheme="minorHAnsi"/>
          <w:sz w:val="20"/>
          <w:szCs w:val="20"/>
        </w:rPr>
      </w:pPr>
      <w:r w:rsidRPr="001964A8">
        <w:rPr>
          <w:rFonts w:cstheme="minorHAnsi"/>
          <w:sz w:val="20"/>
          <w:szCs w:val="20"/>
        </w:rPr>
        <w:t xml:space="preserve">It constitutes another essential aspect of Islamic teachings. This branch delves into the purification of the heart, mind, and soul, all of which ultimately lead to Allah as the central purpose of a Muslim's life </w:t>
      </w:r>
      <w:r w:rsidRPr="001964A8">
        <w:rPr>
          <w:rFonts w:cstheme="minorHAnsi"/>
          <w:sz w:val="20"/>
          <w:szCs w:val="20"/>
        </w:rPr>
        <w:fldChar w:fldCharType="begin"/>
      </w:r>
      <w:r w:rsidRPr="001964A8">
        <w:rPr>
          <w:rFonts w:cstheme="minorHAnsi"/>
          <w:sz w:val="20"/>
          <w:szCs w:val="20"/>
        </w:rPr>
        <w:instrText xml:space="preserve"> ADDIN ZOTERO_ITEM CSL_CITATION {"citationID":"i1AJUyJw","properties":{"formattedCitation":"[30], [30], [31], [31]","plainCitation":"[30], [30], [31], [31]","noteIndex":0},"citationItems":[{"id":3717,"uris":["http://zotero.org/users/local/Rj7jaPwM/items/GUNVBRH3"],"itemData":{"id":3717,"type":"chapter","container-title":"The Blackwell Companion to Religious Ethics","event-place":"Oxford, UK","ISBN":"978-0-470-99703-1","language":"en","note":"DOI: 10.1002/9780470997031.ch26","page":"237-243","publisher":"Blackwell Publishing Ltd","publisher-place":"Oxford, UK","source":"DOI.org (Crossref)","title":"Muslim Ethics?","URL":"https://onlinelibrary.wiley.com/doi/10.1002/9780470997031.ch26","editor":[{"family":"Schweiker","given":"William"}],"author":[{"family":"Moosa","given":"Ebrahim"}],"accessed":{"date-parts":[["2023",10,16]]},"issued":{"date-parts":[["2007",11,20]]}}},{"id":3717,"uris":["http://zotero.org/users/local/Rj7jaPwM/items/GUNVBRH3"],"itemData":{"id":3717,"type":"chapter","container-title":"The Blackwell Companion to Religious Ethics","event-place":"Oxford, UK","ISBN":"978-0-470-99703-1","language":"en","note":"DOI: 10.1002/9780470997031.ch26","page":"237-243","publisher":"Blackwell Publishing Ltd","publisher-place":"Oxford, UK","source":"DOI.org (Crossref)","title":"Muslim Ethics?","URL":"https://onlinelibrary.wiley.com/doi/10.1002/9780470997031.ch26","editor":[{"family":"Schweiker","given":"William"}],"author":[{"family":"Moosa","given":"Ebrahim"}],"accessed":{"date-parts":[["2023",10,16]]},"issued":{"date-parts":[["2007",11,20]]}}},{"id":3716,"uris":["http://zotero.org/users/local/Rj7jaPwM/items/ASKANE83"],"itemData":{"id":3716,"type":"article-journal","abstract":"This paper seeks to contribute to an understanding of the development of ethics in the contemporary Muslim world. The paper begins with a brief introduction of the terms \"ethics\" and \"morals\", and explains the basic terms used by Islamic scholars to elucidate them. The concept of change in new circumstances is explained briefly and finally the paper focuses on some recent attempts by Muslim scholars to address contemporary issues faced by Muslims in Europe and other parts of the world, such as medical ethics, citizenship and nationalities and copyright issues, vis-à-vis earlier concepts formulated by Muslim scholars.","container-title":"Journal of Moral Education","DOI":"10.1080/0305724970260403","ISSN":"0305-7240, 1465-3877","issue":"4","journalAbbreviation":"Journal of Moral Education","language":"en","page":"423-431","source":"DOI.org (Crossref)","title":"Ethics in Islam: key concepts and contemporary challenges","title-short":"Ethics in Islam","volume":"26","author":[{"family":"Siddiqui","given":"Ataullah"}],"issued":{"date-parts":[["1997",12]]}}},{"id":3716,"uris":["http://zotero.org/users/local/Rj7jaPwM/items/ASKANE83"],"itemData":{"id":3716,"type":"article-journal","abstract":"This paper seeks to contribute to an understanding of the development of ethics in the contemporary Muslim world. The paper begins with a brief introduction of the terms \"ethics\" and \"morals\", and explains the basic terms used by Islamic scholars to elucidate them. The concept of change in new circumstances is explained briefly and finally the paper focuses on some recent attempts by Muslim scholars to address contemporary issues faced by Muslims in Europe and other parts of the world, such as medical ethics, citizenship and nationalities and copyright issues, vis-à-vis earlier concepts formulated by Muslim scholars.","container-title":"Journal of Moral Education","DOI":"10.1080/0305724970260403","ISSN":"0305-7240, 1465-3877","issue":"4","journalAbbreviation":"Journal of Moral Education","language":"en","page":"423-431","source":"DOI.org (Crossref)","title":"Ethics in Islam: key concepts and contemporary challenges","title-short":"Ethics in Islam","volume":"26","author":[{"family":"Siddiqui","given":"Ataullah"}],"issued":{"date-parts":[["1997",12]]}}}],"schema":"https://github.com/citation-style-language/schema/raw/master/csl-citation.json"}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[30], [30], [31], [31]</w:t>
      </w:r>
      <w:r w:rsidRPr="001964A8">
        <w:rPr>
          <w:rFonts w:cstheme="minorHAnsi"/>
          <w:sz w:val="20"/>
          <w:szCs w:val="20"/>
        </w:rPr>
        <w:fldChar w:fldCharType="end"/>
      </w:r>
      <w:r w:rsidRPr="001964A8">
        <w:rPr>
          <w:rFonts w:cstheme="minorHAnsi"/>
          <w:sz w:val="20"/>
          <w:szCs w:val="20"/>
        </w:rPr>
        <w:t>.</w:t>
      </w:r>
    </w:p>
    <w:p w14:paraId="57F1416D" w14:textId="77777777" w:rsidR="00973FEA" w:rsidRPr="001964A8" w:rsidRDefault="00973FEA" w:rsidP="00973FEA">
      <w:pPr>
        <w:widowControl w:val="0"/>
        <w:ind w:left="284" w:firstLine="283"/>
        <w:jc w:val="both"/>
        <w:rPr>
          <w:rFonts w:cstheme="minorHAnsi"/>
          <w:sz w:val="20"/>
          <w:szCs w:val="20"/>
        </w:rPr>
      </w:pPr>
      <w:r w:rsidRPr="001964A8">
        <w:rPr>
          <w:rFonts w:cstheme="minorHAnsi"/>
          <w:sz w:val="20"/>
          <w:szCs w:val="20"/>
        </w:rPr>
        <w:t xml:space="preserve">The </w:t>
      </w:r>
      <w:proofErr w:type="spellStart"/>
      <w:r w:rsidRPr="00DA668A">
        <w:rPr>
          <w:rFonts w:cstheme="minorHAnsi"/>
          <w:i/>
          <w:sz w:val="20"/>
          <w:szCs w:val="20"/>
          <w:u w:val="single"/>
        </w:rPr>
        <w:t>akhlaq</w:t>
      </w:r>
      <w:proofErr w:type="spellEnd"/>
      <w:r w:rsidRPr="001964A8">
        <w:rPr>
          <w:rFonts w:cstheme="minorHAnsi"/>
          <w:sz w:val="20"/>
          <w:szCs w:val="20"/>
        </w:rPr>
        <w:t xml:space="preserve"> of Islamic Architecture is moderatism (</w:t>
      </w:r>
      <w:r w:rsidRPr="00D16CCA">
        <w:rPr>
          <w:rFonts w:cstheme="minorHAnsi"/>
          <w:i/>
          <w:iCs/>
          <w:sz w:val="20"/>
          <w:szCs w:val="20"/>
        </w:rPr>
        <w:t>al-</w:t>
      </w:r>
      <w:proofErr w:type="spellStart"/>
      <w:r w:rsidRPr="00D16CCA">
        <w:rPr>
          <w:rFonts w:cstheme="minorHAnsi"/>
          <w:i/>
          <w:iCs/>
          <w:sz w:val="20"/>
          <w:szCs w:val="20"/>
        </w:rPr>
        <w:t>wasaṭiyyah</w:t>
      </w:r>
      <w:proofErr w:type="spellEnd"/>
      <w:r w:rsidRPr="00D16CCA">
        <w:rPr>
          <w:rFonts w:cstheme="minorHAnsi"/>
          <w:i/>
          <w:iCs/>
          <w:sz w:val="20"/>
          <w:szCs w:val="20"/>
        </w:rPr>
        <w:t xml:space="preserve"> </w:t>
      </w:r>
      <w:proofErr w:type="spellStart"/>
      <w:r w:rsidRPr="00D16CCA">
        <w:rPr>
          <w:rFonts w:cstheme="minorHAnsi"/>
          <w:i/>
          <w:iCs/>
          <w:sz w:val="20"/>
          <w:szCs w:val="20"/>
        </w:rPr>
        <w:t>wa</w:t>
      </w:r>
      <w:proofErr w:type="spellEnd"/>
      <w:r w:rsidRPr="00D16CCA">
        <w:rPr>
          <w:rFonts w:cstheme="minorHAnsi"/>
          <w:i/>
          <w:iCs/>
          <w:sz w:val="20"/>
          <w:szCs w:val="20"/>
        </w:rPr>
        <w:t xml:space="preserve"> al-</w:t>
      </w:r>
      <w:proofErr w:type="spellStart"/>
      <w:r w:rsidRPr="00D16CCA">
        <w:rPr>
          <w:rFonts w:cstheme="minorHAnsi"/>
          <w:i/>
          <w:iCs/>
          <w:sz w:val="20"/>
          <w:szCs w:val="20"/>
        </w:rPr>
        <w:t>i`tidāliyyah</w:t>
      </w:r>
      <w:proofErr w:type="spellEnd"/>
      <w:r w:rsidRPr="001964A8">
        <w:rPr>
          <w:rFonts w:cstheme="minorHAnsi"/>
          <w:sz w:val="20"/>
          <w:szCs w:val="20"/>
        </w:rPr>
        <w:t xml:space="preserve">) </w:t>
      </w:r>
      <w:r w:rsidRPr="001964A8">
        <w:rPr>
          <w:rFonts w:cstheme="minorHAnsi"/>
          <w:sz w:val="20"/>
          <w:szCs w:val="20"/>
        </w:rPr>
        <w:fldChar w:fldCharType="begin"/>
      </w:r>
      <w:r w:rsidRPr="001964A8">
        <w:rPr>
          <w:rFonts w:cstheme="minorHAnsi"/>
          <w:sz w:val="20"/>
          <w:szCs w:val="20"/>
        </w:rPr>
        <w:instrText xml:space="preserve"> ADDIN ZOTERO_ITEM CSL_CITATION {"citationID":"DUUDm8Iz","properties":{"formattedCitation":"[25], [32]","plainCitation":"[25], [32]","noteIndex":0},"citationItems":[{"id":3737,"uris":["http://zotero.org/users/local/Rj7jaPwM/items/YC5YIRFC"],"itemData":{"id":3737,"type":"book","abstract":"The importance of Islamic architecture and its characteristics in teaching curricula","event-place":"Riyadh","ISBN":"978-9981-26-257-7","language":"ara","note":"OCLC: 1103854242","publisher":"The Islamic Educational, Scientific and Cultural Organization","publisher-place":"Riyadh","source":"Open WorldCat","title":"Funūn al-ʿimārati al-islāmiyyati wa khaṣāʾiṣuhā fī manāhij at-taʿlīm","author":[{"family":"Bahnasi","given":"Afif"}],"issued":{"date-parts":[["2003"]]}}},{"id":3743,"uris":["http://zotero.org/users/local/Rj7jaPwM/items/W9GWIKHU"],"itemData":{"id":3743,"type":"thesis","abstract":"The philosophy of Islamic moderation and abstraction in Islamic architecture\nCase study (Islamic decorative units)","event-place":"Nablus Palestine","genre":"Postgraduate","language":"ara","publisher":"An-Najah National University,","publisher-place":"Nablus Palestine","source":"Zotero","title":"Falsafatu al-Wasaṭiyyati al-Islāmiyyati wa at-Tajrīdi fī al-ʿImarōti al-Islāmiyyati Ḥālatan Dirāsiyyatan (al-Waḥdāt al-Zukhrafiyyati al-Islāmiyyati)","author":[{"family":"Al-Awawda","given":"Hassan Mahmoud Issa"}],"issued":{"date-parts":[["2009"]]}}}],"schema":"https://github.com/citation-style-language/schema/raw/master/csl-citation.json"}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[25], [32]</w:t>
      </w:r>
      <w:r w:rsidRPr="001964A8">
        <w:rPr>
          <w:rFonts w:cstheme="minorHAnsi"/>
          <w:sz w:val="20"/>
          <w:szCs w:val="20"/>
        </w:rPr>
        <w:fldChar w:fldCharType="end"/>
      </w:r>
      <w:r w:rsidRPr="001964A8">
        <w:rPr>
          <w:rFonts w:cstheme="minorHAnsi"/>
          <w:sz w:val="20"/>
          <w:szCs w:val="20"/>
        </w:rPr>
        <w:t>, and humanism (</w:t>
      </w:r>
      <w:proofErr w:type="spellStart"/>
      <w:r w:rsidRPr="00D16CCA">
        <w:rPr>
          <w:rFonts w:cstheme="minorHAnsi"/>
          <w:i/>
          <w:iCs/>
          <w:sz w:val="20"/>
          <w:szCs w:val="20"/>
        </w:rPr>
        <w:t>al-In¬sāni¬yyah</w:t>
      </w:r>
      <w:proofErr w:type="spellEnd"/>
      <w:r w:rsidRPr="001964A8">
        <w:rPr>
          <w:rFonts w:cstheme="minorHAnsi"/>
          <w:sz w:val="20"/>
          <w:szCs w:val="20"/>
        </w:rPr>
        <w:t xml:space="preserve">) </w:t>
      </w:r>
      <w:r w:rsidRPr="001964A8">
        <w:rPr>
          <w:rFonts w:cstheme="minorHAnsi"/>
          <w:sz w:val="20"/>
          <w:szCs w:val="20"/>
        </w:rPr>
        <w:fldChar w:fldCharType="begin"/>
      </w:r>
      <w:r w:rsidRPr="001964A8">
        <w:rPr>
          <w:rFonts w:cstheme="minorHAnsi"/>
          <w:sz w:val="20"/>
          <w:szCs w:val="20"/>
        </w:rPr>
        <w:instrText xml:space="preserve"> ADDIN ZOTERO_ITEM CSL_CITATION {"citationID":"guMbA6nH","properties":{"formattedCitation":"[33], [34]","plainCitation":"[33], [34]","noteIndex":0},"citationItems":[{"id":3741,"uris":["http://zotero.org/users/local/Rj7jaPwM/items/FBMHPKF8"],"itemData":{"id":3741,"type":"article-journal","abstract":"Architecture is the content of human events, it is the most important products through history with all its structure of the formal elements, relations between them and the regulations governing the organization of space and movement patterns and formations that form the lives of their inhabitants to achieve the highest performance of the material without displacing the local building techniques and modern engineering into account the rules and the investment component of the site in order to find the structure of architectural humanism the surrounding elements of the natural environment to achieve the requirements basic, so the architecture is the spatial - temporal extension to accommodate the integrated human concept and has an amount of the relative stability of its components being subject to the values, conventions and beliefs.\n\nThe environment of contemporary architecture Suffered from a clear separation between human values system and product architecture, the research's aim, which is :\" study the requirements of the basic need which is supposed to be available in the to access the humanization architecture inspired by the Arab-Islamic architectural heritage, to achieve the integrated architectural environment and maintain an identity and privacy\", Accordingly, the research's problem was reflected in : \"The environment of contemporary architecture losses the humanity, identity and their inability to achieve integration between the product architecture and the requirements of the need\" . So the research shed light on the basic requirements and privacy associated with the humanize the architectural product which is clearly reflected in the characteristics of the Arab-Islamic architecture,the way to the final conclusions and recommendations .","container-title":"Iraqi Journal of Architecture and Planning","issue":"1","language":"ara","title":"Humanization of Arabic Islamic Architecture","volume":"7","author":[{"family":"Salman Almaamouri","given":"Abdullah Saadoon"}],"issued":{"date-parts":[["2018"]]}}},{"id":3747,"uris":["http://zotero.org/users/local/Rj7jaPwM/items/6284BEGI"],"itemData":{"id":3747,"type":"article-journal","container-title":"ARCHITECTURE AND BEHAVIOUR","language":"en","page":"59-66","source":"Zotero","title":"Muslim Housing as Built Environment for Promoting Muslim Societal Behaviour","volume":"11","author":[{"family":"Gelani","given":"Zkram A S"}],"issued":{"date-parts":[["1995"]]}}}],"schema":"https://github.com/citation-style-language/schema/raw/master/csl-citation.json"}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[33], [34]</w:t>
      </w:r>
      <w:r w:rsidRPr="001964A8">
        <w:rPr>
          <w:rFonts w:cstheme="minorHAnsi"/>
          <w:sz w:val="20"/>
          <w:szCs w:val="20"/>
        </w:rPr>
        <w:fldChar w:fldCharType="end"/>
      </w:r>
      <w:r w:rsidRPr="001964A8">
        <w:rPr>
          <w:rFonts w:cstheme="minorHAnsi"/>
          <w:sz w:val="20"/>
          <w:szCs w:val="20"/>
        </w:rPr>
        <w:t>. Moderatism (</w:t>
      </w:r>
      <w:r w:rsidRPr="00D16CCA">
        <w:rPr>
          <w:rFonts w:cstheme="minorHAnsi"/>
          <w:i/>
          <w:iCs/>
          <w:sz w:val="20"/>
          <w:szCs w:val="20"/>
        </w:rPr>
        <w:t>al-</w:t>
      </w:r>
      <w:proofErr w:type="spellStart"/>
      <w:r w:rsidRPr="00D16CCA">
        <w:rPr>
          <w:rFonts w:cstheme="minorHAnsi"/>
          <w:i/>
          <w:iCs/>
          <w:sz w:val="20"/>
          <w:szCs w:val="20"/>
        </w:rPr>
        <w:t>Wasaṭiyah</w:t>
      </w:r>
      <w:proofErr w:type="spellEnd"/>
      <w:r w:rsidRPr="00D16CCA">
        <w:rPr>
          <w:rFonts w:cstheme="minorHAnsi"/>
          <w:i/>
          <w:iCs/>
          <w:sz w:val="20"/>
          <w:szCs w:val="20"/>
        </w:rPr>
        <w:t xml:space="preserve"> </w:t>
      </w:r>
      <w:proofErr w:type="spellStart"/>
      <w:r w:rsidRPr="00D16CCA">
        <w:rPr>
          <w:rFonts w:cstheme="minorHAnsi"/>
          <w:i/>
          <w:iCs/>
          <w:sz w:val="20"/>
          <w:szCs w:val="20"/>
        </w:rPr>
        <w:t>wa</w:t>
      </w:r>
      <w:proofErr w:type="spellEnd"/>
      <w:r w:rsidRPr="00D16CCA">
        <w:rPr>
          <w:rFonts w:cstheme="minorHAnsi"/>
          <w:i/>
          <w:iCs/>
          <w:sz w:val="20"/>
          <w:szCs w:val="20"/>
        </w:rPr>
        <w:t xml:space="preserve"> al-</w:t>
      </w:r>
      <w:proofErr w:type="spellStart"/>
      <w:r w:rsidRPr="00D16CCA">
        <w:rPr>
          <w:rFonts w:cstheme="minorHAnsi"/>
          <w:i/>
          <w:iCs/>
          <w:sz w:val="20"/>
          <w:szCs w:val="20"/>
        </w:rPr>
        <w:t>i`tidāliyyah</w:t>
      </w:r>
      <w:proofErr w:type="spellEnd"/>
      <w:r w:rsidRPr="001964A8">
        <w:rPr>
          <w:rFonts w:cstheme="minorHAnsi"/>
          <w:sz w:val="20"/>
          <w:szCs w:val="20"/>
        </w:rPr>
        <w:t xml:space="preserve">) forms the bedrock of Islamic thought. Islam, as a faith, is inherently moderate, and this moderation extends to its architecture </w:t>
      </w:r>
      <w:r w:rsidRPr="001964A8">
        <w:rPr>
          <w:rFonts w:cstheme="minorHAnsi"/>
          <w:sz w:val="20"/>
          <w:szCs w:val="20"/>
        </w:rPr>
        <w:fldChar w:fldCharType="begin"/>
      </w:r>
      <w:r w:rsidRPr="001964A8">
        <w:rPr>
          <w:rFonts w:cstheme="minorHAnsi"/>
          <w:sz w:val="20"/>
          <w:szCs w:val="20"/>
        </w:rPr>
        <w:instrText xml:space="preserve"> ADDIN ZOTERO_ITEM CSL_CITATION {"citationID":"2i6VGDlU","properties":{"formattedCitation":"[6]","plainCitation":"[6]","noteIndex":0},"citationItems":[{"id":3494,"uris":["http://zotero.org/users/local/Rj7jaPwM/items/LR92RJFR"],"itemData":{"id":3494,"type":"article-journal","abstract":"This paper discusses the concept of al-wasatiyyah and some of its implications for correctly perceiving the phenomenon of Islamic built environment. The paper concludes that although those implications are rather indirect and implicit in nature, the relationship between the two, i.e. al-wasatiyyah and Islamic built environment, is very strong and reciprocal. Since they have much in common, and since they exert a considerable influence on each other’s ultimate actualisation, the concepts of al-wasatiyyah and Islamic built environment should be brought much closer to each other in reviving and unifying the Muslim community. The discussion in this paper focuses on the universality and flexibility of Islamic built environment; how a delicate balance between the form and function in Islamic built environment ought to be established; and avoiding vices, which are most often associated with built environment and which are caused by extravagant and excessive tendencies. The nature of the paper is conceptual rather than empirical, featuring a qualitative methodology that combines the descriptive and analytical methods.","container-title":"Pertanika Journal of Social Sciences &amp; Humanities","issue":"4","language":"en","source":"Zotero","title":"Al-Wasatiyyah and Some of its Implications for Islamic Built Environment","volume":"23","author":[{"family":"Omer","given":"Spahic"}],"issued":{"date-parts":[["2015"]]}}}],"schema":"https://github.com/citation-style-language/schema/raw/master/csl-citation.json"}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[6]</w:t>
      </w:r>
      <w:r w:rsidRPr="001964A8">
        <w:rPr>
          <w:rFonts w:cstheme="minorHAnsi"/>
          <w:sz w:val="20"/>
          <w:szCs w:val="20"/>
        </w:rPr>
        <w:fldChar w:fldCharType="end"/>
      </w:r>
      <w:r w:rsidRPr="001964A8">
        <w:rPr>
          <w:rFonts w:cstheme="minorHAnsi"/>
          <w:sz w:val="20"/>
          <w:szCs w:val="20"/>
        </w:rPr>
        <w:t xml:space="preserve">. This essence of moderation is epitomized by the direct connection and balance between Islamic and local characteristics </w:t>
      </w:r>
      <w:r w:rsidRPr="001964A8">
        <w:rPr>
          <w:rFonts w:cstheme="minorHAnsi"/>
          <w:sz w:val="20"/>
          <w:szCs w:val="20"/>
        </w:rPr>
        <w:fldChar w:fldCharType="begin"/>
      </w:r>
      <w:r w:rsidRPr="001964A8">
        <w:rPr>
          <w:rFonts w:cstheme="minorHAnsi"/>
          <w:sz w:val="20"/>
          <w:szCs w:val="20"/>
        </w:rPr>
        <w:instrText xml:space="preserve"> ADDIN ZOTERO_ITEM CSL_CITATION {"citationID":"DNlUD1uS","properties":{"formattedCitation":"[3]","plainCitation":"[3]","noteIndex":0},"citationItems":[{"id":3460,"uris":["http://zotero.org/users/local/Rj7jaPwM/items/GC8HW4QW"],"itemData":{"id":3460,"type":"article-journal","abstract":"The main problem of the theory in the arena of islamic architecture is affected by some of its Western thoughts, and stereotyping the islamic architecture according to Western thoughts; this leads to the breakdown of the foundations in the islamic architecture. It is a myth that islamic architecture is subjected to the influence from foreign architectures. This paper will highlight the dialectical concept of islamic architecture or muslim buildings and the areas of recognition in islamic architecture. It will also widen the knowledge in the characteristics of each point in time according to the stages of islamic architecture from the prophetic age moving through the architecture outside the city of Medina, the Caliphs, the Umayyad, Abbasid, and architectural models by spatial and time periods, taking Iraq as the example to explain how the Islam influents on architecture and vice versa.","container-title":"Journal of Islamic Architecture","DOI":"10.18860/jia.v2i2.2202","ISSN":"2356-4644, 2086-2636","issue":"2","journalAbbreviation":"JIA","language":"en","source":"DOI.org (Crossref)","title":"Architecture in The Islamic Civilization: Muslim Building or Islamic Architecture","title-short":"ARCHITECTURE IN THE ISLAMIC CIVILIZATION","URL":"http://ejournal.uin-malang.ac.id/index.php/JIA/article/view/2202","volume":"2","author":[{"family":"Yassin","given":"Ayat Ali"},{"family":"Utaberta","given":"Dr. Nangkula"}],"accessed":{"date-parts":[["2023",9,18]]},"issued":{"date-parts":[["2012",12,28]]}}}],"schema":"https://github.com/citation-style-language/schema/raw/master/csl-citation.json"}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[3]</w:t>
      </w:r>
      <w:r w:rsidRPr="001964A8">
        <w:rPr>
          <w:rFonts w:cstheme="minorHAnsi"/>
          <w:sz w:val="20"/>
          <w:szCs w:val="20"/>
        </w:rPr>
        <w:fldChar w:fldCharType="end"/>
      </w:r>
      <w:r w:rsidRPr="001964A8">
        <w:rPr>
          <w:rFonts w:cstheme="minorHAnsi"/>
          <w:sz w:val="20"/>
          <w:szCs w:val="20"/>
        </w:rPr>
        <w:t xml:space="preserve"> as well as the equilibrium between the materialistic and metaphysical dimensions. In Islam, the body and soul are inseparable </w:t>
      </w:r>
      <w:r w:rsidRPr="001964A8">
        <w:rPr>
          <w:rFonts w:cstheme="minorHAnsi"/>
          <w:sz w:val="20"/>
          <w:szCs w:val="20"/>
        </w:rPr>
        <w:fldChar w:fldCharType="begin"/>
      </w:r>
      <w:r w:rsidRPr="001964A8">
        <w:rPr>
          <w:rFonts w:cstheme="minorHAnsi"/>
          <w:sz w:val="20"/>
          <w:szCs w:val="20"/>
        </w:rPr>
        <w:instrText xml:space="preserve"> ADDIN ZOTERO_ITEM CSL_CITATION {"citationID":"qVsBTu5R","properties":{"formattedCitation":"[9]","plainCitation":"[9]","noteIndex":0},"citationItems":[{"id":3673,"uris":["http://zotero.org/users/local/Rj7jaPwM/items/M5T3J68N"],"itemData":{"id":3673,"type":"paper-conference","DOI":"10.2495/IHA160051","event-place":"Valencia, Spain","event-title":"ISLAMIC HERITAGE ARCHITECTURE AND ART 2016","language":"en","page":"49-59","publisher-place":"Valencia, Spain","source":"DOI.org (Crossref)","title":"Islamic architecture: between moulding and flexibility","title-short":"Islamic architecture","URL":"http://library.witpress.com/viewpaper.asp?pcode=IHA16-005-1","author":[{"family":"Mahmoud","given":"M. F."},{"family":"Elbelkasy","given":"M. I."}],"accessed":{"date-parts":[["2023",10,16]]},"issued":{"date-parts":[["2016",5,17]]}}}],"schema":"https://github.com/citation-style-language/schema/raw/master/csl-citation.json"}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[9]</w:t>
      </w:r>
      <w:r w:rsidRPr="001964A8">
        <w:rPr>
          <w:rFonts w:cstheme="minorHAnsi"/>
          <w:sz w:val="20"/>
          <w:szCs w:val="20"/>
        </w:rPr>
        <w:fldChar w:fldCharType="end"/>
      </w:r>
      <w:r w:rsidRPr="001964A8">
        <w:rPr>
          <w:rFonts w:cstheme="minorHAnsi"/>
          <w:sz w:val="20"/>
          <w:szCs w:val="20"/>
        </w:rPr>
        <w:t>. Muslim Architects should put forth their best effort and give it their all, but at the same time</w:t>
      </w:r>
      <w:r>
        <w:rPr>
          <w:rFonts w:cstheme="minorHAnsi"/>
          <w:sz w:val="20"/>
          <w:szCs w:val="20"/>
        </w:rPr>
        <w:t>,</w:t>
      </w:r>
      <w:r w:rsidRPr="001964A8">
        <w:rPr>
          <w:rFonts w:cstheme="minorHAnsi"/>
          <w:sz w:val="20"/>
          <w:szCs w:val="20"/>
        </w:rPr>
        <w:t xml:space="preserve"> they should also submit to Allah's will and greatness </w:t>
      </w:r>
      <w:r w:rsidRPr="001964A8">
        <w:rPr>
          <w:rFonts w:cstheme="minorHAnsi"/>
          <w:sz w:val="20"/>
          <w:szCs w:val="20"/>
        </w:rPr>
        <w:fldChar w:fldCharType="begin"/>
      </w:r>
      <w:r>
        <w:rPr>
          <w:rFonts w:cstheme="minorHAnsi"/>
          <w:sz w:val="20"/>
          <w:szCs w:val="20"/>
        </w:rPr>
        <w:instrText xml:space="preserve"> ADDIN ZOTERO_ITEM CSL_CITATION {"citationID":"v0GOeQom","properties":{"formattedCitation":"[2]","plainCitation":"[2]","noteIndex":0},"citationItems":[{"id":"QCoNWly0/VAwvpbWP","uris":["http://zotero.org/users/local/Rj7jaPwM/items/V9RGZ8TU"],"itemData":{"id":3735,"type":"book","edition":"0","ISBN":"978-1-136-85131-5","language":"en","note":"DOI: 10.4324/9781315028767","publisher":"Routledge","source":"DOI.org (Crossref)","title":"Understanding Islamic Architecture","URL":"https://www.taylorfrancis.com/books/9781136851315","author":[{"family":"Petruccioli","given":"Attilo"},{"family":"Pirani","given":"Khalil K."}],"accessed":{"date-parts":[["2023",10,16]]},"issued":{"date-parts":[["2013",9,13]]}}}],"schema":"https://github.com/citation-style-language/schema/raw/master/csl-citation.json"}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[2]</w:t>
      </w:r>
      <w:r w:rsidRPr="001964A8">
        <w:rPr>
          <w:rFonts w:cstheme="minorHAnsi"/>
          <w:sz w:val="20"/>
          <w:szCs w:val="20"/>
        </w:rPr>
        <w:fldChar w:fldCharType="end"/>
      </w:r>
      <w:r w:rsidRPr="001964A8">
        <w:rPr>
          <w:rFonts w:cstheme="minorHAnsi"/>
          <w:sz w:val="20"/>
          <w:szCs w:val="20"/>
        </w:rPr>
        <w:t xml:space="preserve">. </w:t>
      </w:r>
    </w:p>
    <w:p w14:paraId="5D67DD4C" w14:textId="77777777" w:rsidR="00973FEA" w:rsidRPr="001964A8" w:rsidRDefault="00973FEA" w:rsidP="00973FEA">
      <w:pPr>
        <w:widowControl w:val="0"/>
        <w:ind w:left="284" w:firstLine="283"/>
        <w:jc w:val="both"/>
        <w:rPr>
          <w:rFonts w:cstheme="minorHAnsi"/>
          <w:sz w:val="20"/>
          <w:szCs w:val="20"/>
        </w:rPr>
      </w:pPr>
      <w:r w:rsidRPr="001964A8">
        <w:rPr>
          <w:rFonts w:cstheme="minorHAnsi"/>
          <w:sz w:val="20"/>
          <w:szCs w:val="20"/>
        </w:rPr>
        <w:t>Therefore, the philosophical foundation of moderatism in Islamic architecture revolves around the extraction, development, and teaching of architectural principles based on balance. This balance manifests in several ways. For instance, while architects have the independence to develop form, design, and artistic expression, their work must remain within the framework of piety and devotion to Allah Almighty. Similarly, there must be a balance between needs and wants, as well as between building construction and respect for nature and the environment.</w:t>
      </w:r>
    </w:p>
    <w:p w14:paraId="74A184B9" w14:textId="77777777" w:rsidR="00973FEA" w:rsidRPr="001964A8" w:rsidRDefault="00973FEA" w:rsidP="00973FEA">
      <w:pPr>
        <w:widowControl w:val="0"/>
        <w:ind w:left="284" w:firstLine="283"/>
        <w:jc w:val="both"/>
        <w:rPr>
          <w:rFonts w:cstheme="minorHAnsi"/>
          <w:sz w:val="20"/>
          <w:szCs w:val="20"/>
        </w:rPr>
      </w:pPr>
      <w:r>
        <w:rPr>
          <w:rFonts w:cstheme="minorHAnsi"/>
          <w:sz w:val="20"/>
          <w:szCs w:val="20"/>
        </w:rPr>
        <w:t xml:space="preserve">The </w:t>
      </w:r>
      <w:r w:rsidRPr="00FA1425">
        <w:rPr>
          <w:rFonts w:cstheme="minorHAnsi"/>
          <w:sz w:val="20"/>
          <w:szCs w:val="20"/>
          <w:u w:val="single"/>
        </w:rPr>
        <w:t>Quran</w:t>
      </w:r>
      <w:r w:rsidRPr="001964A8">
        <w:rPr>
          <w:rFonts w:cstheme="minorHAnsi"/>
          <w:sz w:val="20"/>
          <w:szCs w:val="20"/>
        </w:rPr>
        <w:t xml:space="preserve"> (Surah Al-</w:t>
      </w:r>
      <w:proofErr w:type="spellStart"/>
      <w:r w:rsidRPr="001964A8">
        <w:rPr>
          <w:rFonts w:cstheme="minorHAnsi"/>
          <w:sz w:val="20"/>
          <w:szCs w:val="20"/>
        </w:rPr>
        <w:t>Hijr</w:t>
      </w:r>
      <w:proofErr w:type="spellEnd"/>
      <w:r w:rsidRPr="001964A8">
        <w:rPr>
          <w:rFonts w:cstheme="minorHAnsi"/>
          <w:sz w:val="20"/>
          <w:szCs w:val="20"/>
        </w:rPr>
        <w:t xml:space="preserve">, 15:17–20) </w:t>
      </w:r>
      <w:r>
        <w:rPr>
          <w:rFonts w:cstheme="minorHAnsi"/>
          <w:sz w:val="20"/>
          <w:szCs w:val="20"/>
        </w:rPr>
        <w:t>highlights</w:t>
      </w:r>
      <w:r w:rsidRPr="001964A8">
        <w:rPr>
          <w:rFonts w:cstheme="minorHAnsi"/>
          <w:sz w:val="20"/>
          <w:szCs w:val="20"/>
        </w:rPr>
        <w:t xml:space="preserve"> this principle, which Ibn Kathir’s </w:t>
      </w:r>
      <w:r w:rsidRPr="0060260F">
        <w:rPr>
          <w:rFonts w:cstheme="minorHAnsi"/>
          <w:i/>
          <w:sz w:val="20"/>
          <w:szCs w:val="20"/>
        </w:rPr>
        <w:t>tafsir</w:t>
      </w:r>
      <w:r w:rsidRPr="001964A8">
        <w:rPr>
          <w:rFonts w:cstheme="minorHAnsi"/>
          <w:sz w:val="20"/>
          <w:szCs w:val="20"/>
        </w:rPr>
        <w:t xml:space="preserve"> interprets as the importance of maintaining proportion and balance in all aspects of life, akin to the precision of merchants' scales in the marketplace </w:t>
      </w:r>
      <w:r w:rsidRPr="001964A8">
        <w:rPr>
          <w:rFonts w:cstheme="minorHAnsi"/>
          <w:sz w:val="20"/>
          <w:szCs w:val="20"/>
        </w:rPr>
        <w:fldChar w:fldCharType="begin"/>
      </w:r>
      <w:r w:rsidRPr="001964A8">
        <w:rPr>
          <w:rFonts w:cstheme="minorHAnsi"/>
          <w:sz w:val="20"/>
          <w:szCs w:val="20"/>
        </w:rPr>
        <w:instrText xml:space="preserve"> ADDIN ZOTERO_ITEM CSL_CITATION {"citationID":"Ev0AjtaY","properties":{"formattedCitation":"[29]","plainCitation":"[29]","noteIndex":0},"citationItems":[{"id":4726,"uris":["http://zotero.org/users/local/Rj7jaPwM/items/44S6ENZP"],"itemData":{"id":4726,"type":"book","edition":"2","event-place":"Riyadh","ISBN":"9960-892-71-9","language":"en","publisher":"Maktaba Dar-us-Salam","publisher-place":"Riyadh","title":"Tafsir Ibn Kathir","volume":"1-10","author":[{"family":"Kathir al-Dimashqi","given":"Imam Abu AL-Firda Ismail","non-dropping-particle":"ibn"}],"issued":{"date-parts":[["2003"]]}}}],"schema":"https://github.com/citation-style-language/schema/raw/master/csl-citation.json"}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[29]</w:t>
      </w:r>
      <w:r w:rsidRPr="001964A8">
        <w:rPr>
          <w:rFonts w:cstheme="minorHAnsi"/>
          <w:sz w:val="20"/>
          <w:szCs w:val="20"/>
        </w:rPr>
        <w:fldChar w:fldCharType="end"/>
      </w:r>
      <w:r w:rsidRPr="001964A8">
        <w:rPr>
          <w:rFonts w:cstheme="minorHAnsi"/>
          <w:sz w:val="20"/>
          <w:szCs w:val="20"/>
        </w:rPr>
        <w:t>. Another key emphasis in Ibn Kathir’s commentary is distinguishing between necessities and desires—while humans can survive without excessive desires, the absence of basic necessities may lead to death.</w:t>
      </w:r>
    </w:p>
    <w:p w14:paraId="736D9E6C" w14:textId="77777777" w:rsidR="00973FEA" w:rsidRPr="00C175BC" w:rsidRDefault="00973FEA" w:rsidP="00973FEA">
      <w:pPr>
        <w:widowControl w:val="0"/>
        <w:ind w:left="284" w:firstLine="283"/>
        <w:jc w:val="both"/>
        <w:rPr>
          <w:rFonts w:cstheme="minorHAnsi"/>
          <w:sz w:val="20"/>
          <w:szCs w:val="20"/>
          <w:u w:val="single"/>
        </w:rPr>
      </w:pPr>
      <w:r w:rsidRPr="00C175BC">
        <w:rPr>
          <w:rFonts w:cstheme="minorHAnsi"/>
          <w:sz w:val="20"/>
          <w:szCs w:val="20"/>
          <w:u w:val="single"/>
        </w:rPr>
        <w:t xml:space="preserve">The balance that should exist includes the balance between man and environment </w:t>
      </w:r>
      <w:r w:rsidRPr="00C175BC">
        <w:rPr>
          <w:rFonts w:cstheme="minorHAnsi"/>
          <w:sz w:val="20"/>
          <w:szCs w:val="20"/>
          <w:u w:val="single"/>
        </w:rPr>
        <w:fldChar w:fldCharType="begin"/>
      </w:r>
      <w:r w:rsidRPr="00C175BC">
        <w:rPr>
          <w:rFonts w:cstheme="minorHAnsi"/>
          <w:sz w:val="20"/>
          <w:szCs w:val="20"/>
          <w:u w:val="single"/>
        </w:rPr>
        <w:instrText xml:space="preserve"> ADDIN ZOTERO_ITEM CSL_CITATION {"citationID":"sSXQa32n","properties":{"formattedCitation":"[35]","plainCitation":"[35]","noteIndex":0},"citationItems":[{"id":3505,"uris":["http://zotero.org/users/local/Rj7jaPwM/items/PFDUPM6Z"],"itemData":{"id":3505,"type":"article-journal","abstract":"This paper discusses the concepts of God, man, and the natural environment, as well as some of their implications for Islamic architecture. The paper is divided into eight sections, (1) Introduction: what is Islamic architecture?, (2) Tawhid (God’s Oneness), (3) Islam and the role of man on earth, (4) Islam and the environment, (5) The importance of built environment, (6) Peaceful and sustainable coexistence between the environment, architecture and man, (7) The unique soul of Islamic architecture, and (8) Conclusion. The nature of the paper – its content, methodology, and conclusions –, is conceptual and philosophical, rather than empirical. The paper concludes that Islamic architecture is an architecture that through its multidimensionality embodies the message of Islam. It both facilitates the Muslims’ realization of the Islamic purpose and its divine principles on earth and promotes a lifestyle generated by such a philosophy and principles. At the core of Islamic architecture lies function with all of its dimensions: corporeal, cerebral and spiritual. The role of the form is an important one too, but only inasmuch as it supplements and enhances function.","container-title":"Journal of Islamic Architecture","DOI":"10.18860/jia.v2i1.1778","ISSN":"2356-4644, 2086-2636","issue":"1","journalAbbreviation":"JIA","language":"en","source":"DOI.org (Crossref)","title":"The Concepts of God, Man, and The Environment in Islam: Implications For Islamic Architecture","title-short":"THE CONCEPTS OF GOD, MAN, AND THE ENVIRONMENT IN ISLAM","URL":"http://ejournal.uin-malang.ac.id/index.php/JIA/article/view/1","volume":"2","author":[{"family":"Omer","given":"Spahic"}],"accessed":{"date-parts":[["2023",9,28]]},"issued":{"date-parts":[["2012",8,30]]}}}],"schema":"https://github.com/citation-style-language/schema/raw/master/csl-citation.json"} </w:instrText>
      </w:r>
      <w:r w:rsidRPr="00C175BC">
        <w:rPr>
          <w:rFonts w:cstheme="minorHAnsi"/>
          <w:sz w:val="20"/>
          <w:szCs w:val="20"/>
          <w:u w:val="single"/>
        </w:rPr>
        <w:fldChar w:fldCharType="separate"/>
      </w:r>
      <w:r w:rsidRPr="00C175BC">
        <w:rPr>
          <w:rFonts w:cstheme="minorHAnsi"/>
          <w:sz w:val="20"/>
          <w:szCs w:val="20"/>
          <w:u w:val="single"/>
        </w:rPr>
        <w:t>[35]</w:t>
      </w:r>
      <w:r w:rsidRPr="00C175BC">
        <w:rPr>
          <w:rFonts w:cstheme="minorHAnsi"/>
          <w:sz w:val="20"/>
          <w:szCs w:val="20"/>
          <w:u w:val="single"/>
        </w:rPr>
        <w:fldChar w:fldCharType="end"/>
      </w:r>
      <w:r w:rsidRPr="00C175BC">
        <w:rPr>
          <w:rFonts w:cstheme="minorHAnsi"/>
          <w:sz w:val="20"/>
          <w:szCs w:val="20"/>
          <w:u w:val="single"/>
        </w:rPr>
        <w:t>, form and content (</w:t>
      </w:r>
      <w:proofErr w:type="spellStart"/>
      <w:r w:rsidRPr="00C175BC">
        <w:rPr>
          <w:rFonts w:cstheme="minorHAnsi"/>
          <w:i/>
          <w:iCs/>
          <w:sz w:val="20"/>
          <w:szCs w:val="20"/>
          <w:u w:val="single"/>
        </w:rPr>
        <w:t>tawzī’u</w:t>
      </w:r>
      <w:proofErr w:type="spellEnd"/>
      <w:r w:rsidRPr="00C175BC">
        <w:rPr>
          <w:rFonts w:cstheme="minorHAnsi"/>
          <w:i/>
          <w:iCs/>
          <w:sz w:val="20"/>
          <w:szCs w:val="20"/>
          <w:u w:val="single"/>
        </w:rPr>
        <w:t xml:space="preserve"> al-</w:t>
      </w:r>
      <w:proofErr w:type="spellStart"/>
      <w:r w:rsidRPr="00C175BC">
        <w:rPr>
          <w:rFonts w:cstheme="minorHAnsi"/>
          <w:i/>
          <w:iCs/>
          <w:sz w:val="20"/>
          <w:szCs w:val="20"/>
          <w:u w:val="single"/>
        </w:rPr>
        <w:t>amākinu</w:t>
      </w:r>
      <w:proofErr w:type="spellEnd"/>
      <w:r w:rsidRPr="00C175BC">
        <w:rPr>
          <w:rFonts w:cstheme="minorHAnsi"/>
          <w:i/>
          <w:iCs/>
          <w:sz w:val="20"/>
          <w:szCs w:val="20"/>
          <w:u w:val="single"/>
        </w:rPr>
        <w:t xml:space="preserve"> </w:t>
      </w:r>
      <w:proofErr w:type="spellStart"/>
      <w:r w:rsidRPr="00C175BC">
        <w:rPr>
          <w:rFonts w:cstheme="minorHAnsi"/>
          <w:i/>
          <w:iCs/>
          <w:sz w:val="20"/>
          <w:szCs w:val="20"/>
          <w:u w:val="single"/>
        </w:rPr>
        <w:t>wa</w:t>
      </w:r>
      <w:proofErr w:type="spellEnd"/>
      <w:r w:rsidRPr="00C175BC">
        <w:rPr>
          <w:rFonts w:cstheme="minorHAnsi"/>
          <w:i/>
          <w:iCs/>
          <w:sz w:val="20"/>
          <w:szCs w:val="20"/>
          <w:u w:val="single"/>
        </w:rPr>
        <w:t xml:space="preserve"> </w:t>
      </w:r>
      <w:proofErr w:type="spellStart"/>
      <w:r w:rsidRPr="00C175BC">
        <w:rPr>
          <w:rFonts w:cstheme="minorHAnsi"/>
          <w:i/>
          <w:iCs/>
          <w:sz w:val="20"/>
          <w:szCs w:val="20"/>
          <w:u w:val="single"/>
        </w:rPr>
        <w:t>hālatu</w:t>
      </w:r>
      <w:proofErr w:type="spellEnd"/>
      <w:r w:rsidRPr="00C175BC">
        <w:rPr>
          <w:rFonts w:cstheme="minorHAnsi"/>
          <w:i/>
          <w:iCs/>
          <w:sz w:val="20"/>
          <w:szCs w:val="20"/>
          <w:u w:val="single"/>
        </w:rPr>
        <w:t xml:space="preserve"> al-`aini</w:t>
      </w:r>
      <w:r w:rsidRPr="00C175BC">
        <w:rPr>
          <w:rFonts w:cstheme="minorHAnsi"/>
          <w:sz w:val="20"/>
          <w:szCs w:val="20"/>
          <w:u w:val="single"/>
        </w:rPr>
        <w:t>), physical aesthetics of architecture with spirituality values (</w:t>
      </w:r>
      <w:r w:rsidRPr="00C175BC">
        <w:rPr>
          <w:rFonts w:cstheme="minorHAnsi"/>
          <w:i/>
          <w:iCs/>
          <w:sz w:val="20"/>
          <w:szCs w:val="20"/>
          <w:u w:val="single"/>
        </w:rPr>
        <w:t>as-</w:t>
      </w:r>
      <w:proofErr w:type="spellStart"/>
      <w:r w:rsidRPr="00C175BC">
        <w:rPr>
          <w:rFonts w:cstheme="minorHAnsi"/>
          <w:i/>
          <w:iCs/>
          <w:sz w:val="20"/>
          <w:szCs w:val="20"/>
          <w:u w:val="single"/>
        </w:rPr>
        <w:t>syaklu</w:t>
      </w:r>
      <w:proofErr w:type="spellEnd"/>
      <w:r w:rsidRPr="00C175BC">
        <w:rPr>
          <w:rFonts w:cstheme="minorHAnsi"/>
          <w:i/>
          <w:iCs/>
          <w:sz w:val="20"/>
          <w:szCs w:val="20"/>
          <w:u w:val="single"/>
        </w:rPr>
        <w:t xml:space="preserve"> al-</w:t>
      </w:r>
      <w:proofErr w:type="spellStart"/>
      <w:r w:rsidRPr="00C175BC">
        <w:rPr>
          <w:rFonts w:cstheme="minorHAnsi"/>
          <w:i/>
          <w:iCs/>
          <w:sz w:val="20"/>
          <w:szCs w:val="20"/>
          <w:u w:val="single"/>
        </w:rPr>
        <w:t>mādiyyatu</w:t>
      </w:r>
      <w:proofErr w:type="spellEnd"/>
      <w:r w:rsidRPr="00C175BC">
        <w:rPr>
          <w:rFonts w:cstheme="minorHAnsi"/>
          <w:i/>
          <w:iCs/>
          <w:sz w:val="20"/>
          <w:szCs w:val="20"/>
          <w:u w:val="single"/>
        </w:rPr>
        <w:t xml:space="preserve"> </w:t>
      </w:r>
      <w:proofErr w:type="spellStart"/>
      <w:r w:rsidRPr="00C175BC">
        <w:rPr>
          <w:rFonts w:cstheme="minorHAnsi"/>
          <w:i/>
          <w:iCs/>
          <w:sz w:val="20"/>
          <w:szCs w:val="20"/>
          <w:u w:val="single"/>
        </w:rPr>
        <w:t>wa</w:t>
      </w:r>
      <w:proofErr w:type="spellEnd"/>
      <w:r w:rsidRPr="00C175BC">
        <w:rPr>
          <w:rFonts w:cstheme="minorHAnsi"/>
          <w:i/>
          <w:iCs/>
          <w:sz w:val="20"/>
          <w:szCs w:val="20"/>
          <w:u w:val="single"/>
        </w:rPr>
        <w:t xml:space="preserve"> as-</w:t>
      </w:r>
      <w:proofErr w:type="spellStart"/>
      <w:r w:rsidRPr="00C175BC">
        <w:rPr>
          <w:rFonts w:cstheme="minorHAnsi"/>
          <w:i/>
          <w:iCs/>
          <w:sz w:val="20"/>
          <w:szCs w:val="20"/>
          <w:u w:val="single"/>
        </w:rPr>
        <w:t>syu`ūru</w:t>
      </w:r>
      <w:proofErr w:type="spellEnd"/>
      <w:r w:rsidRPr="00C175BC">
        <w:rPr>
          <w:rFonts w:cstheme="minorHAnsi"/>
          <w:i/>
          <w:iCs/>
          <w:sz w:val="20"/>
          <w:szCs w:val="20"/>
          <w:u w:val="single"/>
        </w:rPr>
        <w:t xml:space="preserve"> </w:t>
      </w:r>
      <w:proofErr w:type="spellStart"/>
      <w:r w:rsidRPr="00C175BC">
        <w:rPr>
          <w:rFonts w:cstheme="minorHAnsi"/>
          <w:i/>
          <w:iCs/>
          <w:sz w:val="20"/>
          <w:szCs w:val="20"/>
          <w:u w:val="single"/>
        </w:rPr>
        <w:t>ar-rūhaniyyatu</w:t>
      </w:r>
      <w:proofErr w:type="spellEnd"/>
      <w:r w:rsidRPr="00C175BC">
        <w:rPr>
          <w:rFonts w:cstheme="minorHAnsi"/>
          <w:sz w:val="20"/>
          <w:szCs w:val="20"/>
          <w:u w:val="single"/>
        </w:rPr>
        <w:t xml:space="preserve">) </w:t>
      </w:r>
      <w:r w:rsidRPr="00C175BC">
        <w:rPr>
          <w:rFonts w:cstheme="minorHAnsi"/>
          <w:sz w:val="20"/>
          <w:szCs w:val="20"/>
          <w:u w:val="single"/>
        </w:rPr>
        <w:fldChar w:fldCharType="begin"/>
      </w:r>
      <w:r w:rsidRPr="00C175BC">
        <w:rPr>
          <w:rFonts w:cstheme="minorHAnsi"/>
          <w:sz w:val="20"/>
          <w:szCs w:val="20"/>
          <w:u w:val="single"/>
        </w:rPr>
        <w:instrText xml:space="preserve"> ADDIN ZOTERO_ITEM CSL_CITATION {"citationID":"h06kkrYK","properties":{"formattedCitation":"[32]","plainCitation":"[32]","noteIndex":0},"citationItems":[{"id":3743,"uris":["http://zotero.org/users/local/Rj7jaPwM/items/W9GWIKHU"],"itemData":{"id":3743,"type":"thesis","abstract":"The philosophy of Islamic moderation and abstraction in Islamic architecture\nCase study (Islamic decorative units)","event-place":"Nablus Palestine","genre":"Postgraduate","language":"ara","publisher":"An-Najah National University,","publisher-place":"Nablus Palestine","source":"Zotero","title":"Falsafatu al-Wasaṭiyyati al-Islāmiyyati wa at-Tajrīdi fī al-ʿImarōti al-Islāmiyyati Ḥālatan Dirāsiyyatan (al-Waḥdāt al-Zukhrafiyyati al-Islāmiyyati)","author":[{"family":"Al-Awawda","given":"Hassan Mahmoud Issa"}],"issued":{"date-parts":[["2009"]]}}}],"schema":"https://github.com/citation-style-language/schema/raw/master/csl-citation.json"} </w:instrText>
      </w:r>
      <w:r w:rsidRPr="00C175BC">
        <w:rPr>
          <w:rFonts w:cstheme="minorHAnsi"/>
          <w:sz w:val="20"/>
          <w:szCs w:val="20"/>
          <w:u w:val="single"/>
        </w:rPr>
        <w:fldChar w:fldCharType="separate"/>
      </w:r>
      <w:r w:rsidRPr="00C175BC">
        <w:rPr>
          <w:rFonts w:cstheme="minorHAnsi"/>
          <w:sz w:val="20"/>
          <w:szCs w:val="20"/>
          <w:u w:val="single"/>
        </w:rPr>
        <w:t>[32]</w:t>
      </w:r>
      <w:r w:rsidRPr="00C175BC">
        <w:rPr>
          <w:rFonts w:cstheme="minorHAnsi"/>
          <w:sz w:val="20"/>
          <w:szCs w:val="20"/>
          <w:u w:val="single"/>
        </w:rPr>
        <w:fldChar w:fldCharType="end"/>
      </w:r>
      <w:r w:rsidRPr="00C175BC">
        <w:rPr>
          <w:rFonts w:cstheme="minorHAnsi"/>
          <w:sz w:val="20"/>
          <w:szCs w:val="20"/>
          <w:u w:val="single"/>
        </w:rPr>
        <w:t>, form and function (</w:t>
      </w:r>
      <w:r w:rsidRPr="00C175BC">
        <w:rPr>
          <w:rFonts w:cstheme="minorHAnsi"/>
          <w:i/>
          <w:iCs/>
          <w:sz w:val="20"/>
          <w:szCs w:val="20"/>
          <w:u w:val="single"/>
        </w:rPr>
        <w:t>as-</w:t>
      </w:r>
      <w:proofErr w:type="spellStart"/>
      <w:r w:rsidRPr="00C175BC">
        <w:rPr>
          <w:rFonts w:cstheme="minorHAnsi"/>
          <w:i/>
          <w:iCs/>
          <w:sz w:val="20"/>
          <w:szCs w:val="20"/>
          <w:u w:val="single"/>
        </w:rPr>
        <w:t>syaklu</w:t>
      </w:r>
      <w:proofErr w:type="spellEnd"/>
      <w:r w:rsidRPr="00C175BC">
        <w:rPr>
          <w:rFonts w:cstheme="minorHAnsi"/>
          <w:i/>
          <w:iCs/>
          <w:sz w:val="20"/>
          <w:szCs w:val="20"/>
          <w:u w:val="single"/>
        </w:rPr>
        <w:t xml:space="preserve"> </w:t>
      </w:r>
      <w:proofErr w:type="spellStart"/>
      <w:r w:rsidRPr="00C175BC">
        <w:rPr>
          <w:rFonts w:cstheme="minorHAnsi"/>
          <w:i/>
          <w:iCs/>
          <w:sz w:val="20"/>
          <w:szCs w:val="20"/>
          <w:u w:val="single"/>
        </w:rPr>
        <w:t>wa</w:t>
      </w:r>
      <w:proofErr w:type="spellEnd"/>
      <w:r w:rsidRPr="00C175BC">
        <w:rPr>
          <w:rFonts w:cstheme="minorHAnsi"/>
          <w:i/>
          <w:iCs/>
          <w:sz w:val="20"/>
          <w:szCs w:val="20"/>
          <w:u w:val="single"/>
        </w:rPr>
        <w:t xml:space="preserve"> al-</w:t>
      </w:r>
      <w:proofErr w:type="spellStart"/>
      <w:r w:rsidRPr="00C175BC">
        <w:rPr>
          <w:rFonts w:cstheme="minorHAnsi"/>
          <w:i/>
          <w:iCs/>
          <w:sz w:val="20"/>
          <w:szCs w:val="20"/>
          <w:u w:val="single"/>
        </w:rPr>
        <w:t>waẓīfatu</w:t>
      </w:r>
      <w:proofErr w:type="spellEnd"/>
      <w:r w:rsidRPr="00C175BC">
        <w:rPr>
          <w:rFonts w:cstheme="minorHAnsi"/>
          <w:sz w:val="20"/>
          <w:szCs w:val="20"/>
          <w:u w:val="single"/>
        </w:rPr>
        <w:t>), and architecture's compatibility with its biotic and abiotic surroundings (</w:t>
      </w:r>
      <w:proofErr w:type="spellStart"/>
      <w:r w:rsidRPr="00C175BC">
        <w:rPr>
          <w:rFonts w:cstheme="minorHAnsi"/>
          <w:i/>
          <w:sz w:val="20"/>
          <w:szCs w:val="20"/>
          <w:u w:val="single"/>
        </w:rPr>
        <w:t>tawāfuqu</w:t>
      </w:r>
      <w:proofErr w:type="spellEnd"/>
      <w:r w:rsidRPr="00C175BC">
        <w:rPr>
          <w:rFonts w:cstheme="minorHAnsi"/>
          <w:i/>
          <w:sz w:val="20"/>
          <w:szCs w:val="20"/>
          <w:u w:val="single"/>
        </w:rPr>
        <w:t xml:space="preserve"> al-`</w:t>
      </w:r>
      <w:proofErr w:type="spellStart"/>
      <w:r w:rsidRPr="00C175BC">
        <w:rPr>
          <w:rFonts w:cstheme="minorHAnsi"/>
          <w:i/>
          <w:sz w:val="20"/>
          <w:szCs w:val="20"/>
          <w:u w:val="single"/>
        </w:rPr>
        <w:t>umrōni</w:t>
      </w:r>
      <w:proofErr w:type="spellEnd"/>
      <w:r w:rsidRPr="00C175BC">
        <w:rPr>
          <w:rFonts w:cstheme="minorHAnsi"/>
          <w:i/>
          <w:sz w:val="20"/>
          <w:szCs w:val="20"/>
          <w:u w:val="single"/>
        </w:rPr>
        <w:t xml:space="preserve"> </w:t>
      </w:r>
      <w:proofErr w:type="spellStart"/>
      <w:r w:rsidRPr="00C175BC">
        <w:rPr>
          <w:rFonts w:cstheme="minorHAnsi"/>
          <w:i/>
          <w:sz w:val="20"/>
          <w:szCs w:val="20"/>
          <w:u w:val="single"/>
        </w:rPr>
        <w:t>ma`a</w:t>
      </w:r>
      <w:proofErr w:type="spellEnd"/>
      <w:r w:rsidRPr="00C175BC">
        <w:rPr>
          <w:rFonts w:cstheme="minorHAnsi"/>
          <w:i/>
          <w:sz w:val="20"/>
          <w:szCs w:val="20"/>
          <w:u w:val="single"/>
        </w:rPr>
        <w:t xml:space="preserve"> </w:t>
      </w:r>
      <w:proofErr w:type="spellStart"/>
      <w:r w:rsidRPr="00C175BC">
        <w:rPr>
          <w:rFonts w:cstheme="minorHAnsi"/>
          <w:i/>
          <w:sz w:val="20"/>
          <w:szCs w:val="20"/>
          <w:u w:val="single"/>
        </w:rPr>
        <w:t>aẓ-ẓurūfi</w:t>
      </w:r>
      <w:proofErr w:type="spellEnd"/>
      <w:r w:rsidRPr="00C175BC">
        <w:rPr>
          <w:rFonts w:cstheme="minorHAnsi"/>
          <w:i/>
          <w:sz w:val="20"/>
          <w:szCs w:val="20"/>
          <w:u w:val="single"/>
        </w:rPr>
        <w:t xml:space="preserve"> al-</w:t>
      </w:r>
      <w:proofErr w:type="spellStart"/>
      <w:r w:rsidRPr="00C175BC">
        <w:rPr>
          <w:rFonts w:cstheme="minorHAnsi"/>
          <w:i/>
          <w:sz w:val="20"/>
          <w:szCs w:val="20"/>
          <w:u w:val="single"/>
        </w:rPr>
        <w:t>bi`ati</w:t>
      </w:r>
      <w:proofErr w:type="spellEnd"/>
      <w:r w:rsidRPr="00C175BC">
        <w:rPr>
          <w:rFonts w:cstheme="minorHAnsi"/>
          <w:sz w:val="20"/>
          <w:szCs w:val="20"/>
          <w:u w:val="single"/>
        </w:rPr>
        <w:t xml:space="preserve">) </w:t>
      </w:r>
      <w:r w:rsidRPr="00C175BC">
        <w:rPr>
          <w:rFonts w:cstheme="minorHAnsi"/>
          <w:sz w:val="20"/>
          <w:szCs w:val="20"/>
          <w:u w:val="single"/>
        </w:rPr>
        <w:fldChar w:fldCharType="begin"/>
      </w:r>
      <w:r w:rsidRPr="00C175BC">
        <w:rPr>
          <w:rFonts w:cstheme="minorHAnsi"/>
          <w:sz w:val="20"/>
          <w:szCs w:val="20"/>
          <w:u w:val="single"/>
        </w:rPr>
        <w:instrText xml:space="preserve"> ADDIN ZOTERO_ITEM CSL_CITATION {"citationID":"acZgrJyf","properties":{"formattedCitation":"[26]","plainCitation":"[26]","noteIndex":0},"citationItems":[{"id":3739,"uris":["http://zotero.org/users/local/Rj7jaPwM/items/GE39ZVLY"],"itemData":{"id":3739,"type":"book","abstract":"Urbanism and structure in the perspective of Islam","event-place":"Kuwait","ISBN":"978-99906-678-1-3","language":"ara","note":"OCLC: 929567099","publisher":"Rawafid","publisher-place":"Kuwait","source":"Open WorldCat","title":"Al-ʿUmran wa al-Binyan fī Manẓūr al-Islām","author":[{"family":"Waziri","given":"Yahya"}],"issued":{"date-parts":[["2008"]]}}}],"schema":"https://github.com/citation-style-language/schema/raw/master/csl-citation.json"} </w:instrText>
      </w:r>
      <w:r w:rsidRPr="00C175BC">
        <w:rPr>
          <w:rFonts w:cstheme="minorHAnsi"/>
          <w:sz w:val="20"/>
          <w:szCs w:val="20"/>
          <w:u w:val="single"/>
        </w:rPr>
        <w:fldChar w:fldCharType="separate"/>
      </w:r>
      <w:r w:rsidRPr="00C175BC">
        <w:rPr>
          <w:rFonts w:cstheme="minorHAnsi"/>
          <w:sz w:val="20"/>
          <w:szCs w:val="20"/>
          <w:u w:val="single"/>
        </w:rPr>
        <w:t>[26]</w:t>
      </w:r>
      <w:r w:rsidRPr="00C175BC">
        <w:rPr>
          <w:rFonts w:cstheme="minorHAnsi"/>
          <w:sz w:val="20"/>
          <w:szCs w:val="20"/>
          <w:u w:val="single"/>
        </w:rPr>
        <w:fldChar w:fldCharType="end"/>
      </w:r>
      <w:r w:rsidRPr="00C175BC">
        <w:rPr>
          <w:rFonts w:cstheme="minorHAnsi"/>
          <w:sz w:val="20"/>
          <w:szCs w:val="20"/>
          <w:u w:val="single"/>
        </w:rPr>
        <w:t>. Further, it involves harmony and dialogue between the fundamental principles of Islam, which never change, and the realities of humanity ,science, social politics, and technology, which are constantly changing (</w:t>
      </w:r>
      <w:proofErr w:type="spellStart"/>
      <w:r w:rsidRPr="00C175BC">
        <w:rPr>
          <w:rFonts w:cstheme="minorHAnsi"/>
          <w:i/>
          <w:iCs/>
          <w:sz w:val="20"/>
          <w:szCs w:val="20"/>
          <w:u w:val="single"/>
        </w:rPr>
        <w:t>ṣawābitu</w:t>
      </w:r>
      <w:proofErr w:type="spellEnd"/>
      <w:r w:rsidRPr="00C175BC">
        <w:rPr>
          <w:rFonts w:cstheme="minorHAnsi"/>
          <w:i/>
          <w:iCs/>
          <w:sz w:val="20"/>
          <w:szCs w:val="20"/>
          <w:u w:val="single"/>
        </w:rPr>
        <w:t xml:space="preserve"> ad-</w:t>
      </w:r>
      <w:proofErr w:type="spellStart"/>
      <w:r w:rsidRPr="00C175BC">
        <w:rPr>
          <w:rFonts w:cstheme="minorHAnsi"/>
          <w:i/>
          <w:iCs/>
          <w:sz w:val="20"/>
          <w:szCs w:val="20"/>
          <w:u w:val="single"/>
        </w:rPr>
        <w:t>īni</w:t>
      </w:r>
      <w:proofErr w:type="spellEnd"/>
      <w:r w:rsidRPr="00C175BC">
        <w:rPr>
          <w:rFonts w:cstheme="minorHAnsi"/>
          <w:i/>
          <w:iCs/>
          <w:sz w:val="20"/>
          <w:szCs w:val="20"/>
          <w:u w:val="single"/>
        </w:rPr>
        <w:t xml:space="preserve"> </w:t>
      </w:r>
      <w:proofErr w:type="spellStart"/>
      <w:r w:rsidRPr="00C175BC">
        <w:rPr>
          <w:rFonts w:cstheme="minorHAnsi"/>
          <w:i/>
          <w:iCs/>
          <w:sz w:val="20"/>
          <w:szCs w:val="20"/>
          <w:u w:val="single"/>
        </w:rPr>
        <w:t>wa</w:t>
      </w:r>
      <w:proofErr w:type="spellEnd"/>
      <w:r w:rsidRPr="00C175BC">
        <w:rPr>
          <w:rFonts w:cstheme="minorHAnsi"/>
          <w:i/>
          <w:iCs/>
          <w:sz w:val="20"/>
          <w:szCs w:val="20"/>
          <w:u w:val="single"/>
        </w:rPr>
        <w:t xml:space="preserve"> </w:t>
      </w:r>
      <w:proofErr w:type="spellStart"/>
      <w:r w:rsidRPr="00C175BC">
        <w:rPr>
          <w:rFonts w:cstheme="minorHAnsi"/>
          <w:i/>
          <w:iCs/>
          <w:sz w:val="20"/>
          <w:szCs w:val="20"/>
          <w:u w:val="single"/>
        </w:rPr>
        <w:t>mutaghoyyirotu</w:t>
      </w:r>
      <w:proofErr w:type="spellEnd"/>
      <w:r w:rsidRPr="00C175BC">
        <w:rPr>
          <w:rFonts w:cstheme="minorHAnsi"/>
          <w:i/>
          <w:iCs/>
          <w:sz w:val="20"/>
          <w:szCs w:val="20"/>
          <w:u w:val="single"/>
        </w:rPr>
        <w:t xml:space="preserve"> al-</w:t>
      </w:r>
      <w:proofErr w:type="spellStart"/>
      <w:r w:rsidRPr="00C175BC">
        <w:rPr>
          <w:rFonts w:cstheme="minorHAnsi"/>
          <w:i/>
          <w:iCs/>
          <w:sz w:val="20"/>
          <w:szCs w:val="20"/>
          <w:u w:val="single"/>
        </w:rPr>
        <w:t>wāqi`ati</w:t>
      </w:r>
      <w:proofErr w:type="spellEnd"/>
      <w:r w:rsidRPr="00C175BC">
        <w:rPr>
          <w:rFonts w:cstheme="minorHAnsi"/>
          <w:sz w:val="20"/>
          <w:szCs w:val="20"/>
          <w:u w:val="single"/>
        </w:rPr>
        <w:t xml:space="preserve">) </w:t>
      </w:r>
      <w:r w:rsidRPr="00C175BC">
        <w:rPr>
          <w:rFonts w:cstheme="minorHAnsi"/>
          <w:sz w:val="20"/>
          <w:szCs w:val="20"/>
          <w:u w:val="single"/>
        </w:rPr>
        <w:fldChar w:fldCharType="begin"/>
      </w:r>
      <w:r w:rsidRPr="00C175BC">
        <w:rPr>
          <w:rFonts w:cstheme="minorHAnsi"/>
          <w:sz w:val="20"/>
          <w:szCs w:val="20"/>
          <w:u w:val="single"/>
        </w:rPr>
        <w:instrText xml:space="preserve"> ADDIN ZOTERO_ITEM CSL_CITATION {"citationID":"sieuBDwA","properties":{"formattedCitation":"[4], [36], [37]","plainCitation":"[4], [36], [37]","noteIndex":0},"citationItems":[{"id":3676,"uris":["http://zotero.org/users/local/Rj7jaPwM/items/DFTFY3SL"],"itemData":{"id":3676,"type":"article-journal","container-title":"The Journal of Aesthetics and Art Criticism","issue":"1,","language":"en","page":"69-75","source":"Zotero","title":"Islamic Aesthetics: An Alternative Way to Knowledge","volume":"65","author":[{"family":"Erzen","given":"Jale Nejdet"}],"issued":{"date-parts":[["2007"]]}}},{"id":3750,"uris":["http://zotero.org/users/local/Rj7jaPwM/items/NVFTUE8T"],"itemData":{"id":3750,"type":"book","event-place":"Mecca, Kingdom of Saudi Arabia","publisher-place":"Mecca, Kingdom of Saudi Arabia","title":"Asasu Taṣmīmi al-Maskani Fī al-`Imāroti al-islāmiyyati, Riyad: as-Syirkah as-Su’udiyah lit Tawzi","author":[{"family":"Majdi Muhammad","given":"Abd al-Rahman Hariri"}],"issued":{"date-parts":[["1989"]]}}},{"id":3800,"uris":["http://zotero.org/users/local/Rj7jaPwM/items/AYC4JE4T"],"itemData":{"id":3800,"type":"article-journal","abstract":"Contemporary Islamic production varies in its connection or separation from its Islamic identity, as the models varied within the single functional style, as an instance Mosque architecture, shows more than one form and characteristic in how it represent the principles and values that must be available within its spaces, but despite the diversity, there are lines or bonds connect this product with the basis from which architecture was launched, thus the research presents the strategy of bonding by linking the product with its origins and its role in showing the identity of Islamic architecture albeit this representation depends on the type of bonging, which the research presents in two types: a differential and a consensual bonging. In both types, the identity appears on one hand as well as the creative aspects of the production, which invoke a new language, and here we should mention the knowledge gap in lacking enough studies that define the role of bonding between the contemporary Islamic product and its original and basic sources due to diversity of presenting the products and the means of dealing with it in addition to its role in providing continuity via time and space. Thus, the Islamic production must be identified via its connection with its roots which provide its Islamic identity and manifest its character as an Islamic production. In that meaning, the study propose bonding as a strategy enables connection with dynamic and statistic, while the dynamic works on revive the intellect through a new generative form, the static represent both intellectual and formal revive that entails a high symbolic formal Islamic architecture. the research also mentioned that the importance of bonding strategy manifests the importance of its present in the contemporary Islamic production partially rather in total form, and its adaptation varies depending on its presentation by the designer more than being as objective aspects in control.","container-title":"International Journal of Design &amp; Nature and Ecodynamics","DOI":"10.18280/ijdne.180204","ISSN":"17557437, 17557445","issue":"2","journalAbbreviation":"IJDNE","language":"en","page":"269-278","source":"DOI.org (Crossref)","title":"The Role of the Bonding Strategy in the Identity of Islamic Architecture","volume":"18","author":[{"family":"Fanjan","given":"Riyam Rajab"},{"family":"Alboadam","given":"Hasan Shakir"}],"issued":{"date-parts":[["2023",4,30]]}}}],"schema":"https://github.com/citation-style-language/schema/raw/master/csl-citation.json"} </w:instrText>
      </w:r>
      <w:r w:rsidRPr="00C175BC">
        <w:rPr>
          <w:rFonts w:cstheme="minorHAnsi"/>
          <w:sz w:val="20"/>
          <w:szCs w:val="20"/>
          <w:u w:val="single"/>
        </w:rPr>
        <w:fldChar w:fldCharType="separate"/>
      </w:r>
      <w:r w:rsidRPr="00C175BC">
        <w:rPr>
          <w:rFonts w:cstheme="minorHAnsi"/>
          <w:sz w:val="20"/>
          <w:szCs w:val="20"/>
          <w:u w:val="single"/>
        </w:rPr>
        <w:t>[4], [36], [37]</w:t>
      </w:r>
      <w:r w:rsidRPr="00C175BC">
        <w:rPr>
          <w:rFonts w:cstheme="minorHAnsi"/>
          <w:sz w:val="20"/>
          <w:szCs w:val="20"/>
          <w:u w:val="single"/>
        </w:rPr>
        <w:fldChar w:fldCharType="end"/>
      </w:r>
      <w:r w:rsidRPr="00C175BC">
        <w:rPr>
          <w:rFonts w:cstheme="minorHAnsi"/>
          <w:sz w:val="20"/>
          <w:szCs w:val="20"/>
          <w:u w:val="single"/>
        </w:rPr>
        <w:t xml:space="preserve">. The balance must also occur between materiality and spirituality, and so on  </w:t>
      </w:r>
      <w:r w:rsidRPr="00C175BC">
        <w:rPr>
          <w:rFonts w:cstheme="minorHAnsi"/>
          <w:sz w:val="20"/>
          <w:szCs w:val="20"/>
          <w:u w:val="single"/>
        </w:rPr>
        <w:fldChar w:fldCharType="begin"/>
      </w:r>
      <w:r w:rsidRPr="00C175BC">
        <w:rPr>
          <w:rFonts w:cstheme="minorHAnsi"/>
          <w:sz w:val="20"/>
          <w:szCs w:val="20"/>
          <w:u w:val="single"/>
        </w:rPr>
        <w:instrText xml:space="preserve"> ADDIN ZOTERO_ITEM CSL_CITATION {"citationID":"qLfqLl8F","properties":{"formattedCitation":"[2], [32]","plainCitation":"[2], [32]","noteIndex":0},"citationItems":[{"id":"QCoNWly0/VAwvpbWP","uris":["http://zotero.org/users/local/Rj7jaPwM/items/V9RGZ8TU"],"itemData":{"id":"y944touL/sPeIa3EH","type":"book","edition":"0","ISBN":"978-1-136-85131-5","language":"en","note":"DOI: 10.4324/9781315028767","publisher":"Routledge","source":"DOI.org (Crossref)","title":"Understanding Islamic Architecture","URL":"https://www.taylorfrancis.com/books/9781136851315","author":[{"family":"Petruccioli","given":"Attilo"},{"family":"Pirani","given":"Khalil K."}],"accessed":{"date-parts":[["2023",10,16]]},"issued":{"date-parts":[["2013",9,13]]}}},{"id":3743,"uris":["http://zotero.org/users/local/Rj7jaPwM/items/W9GWIKHU"],"itemData":{"id":3743,"type":"thesis","abstract":"The philosophy of Islamic moderation and abstraction in Islamic architecture\nCase study (Islamic decorative units)","event-place":"Nablus Palestine","genre":"Postgraduate","language":"ara","publisher":"An-Najah National University,","publisher-place":"Nablus Palestine","source":"Zotero","title":"Falsafatu al-Wasaṭiyyati al-Islāmiyyati wa at-Tajrīdi fī al-ʿImarōti al-Islāmiyyati Ḥālatan Dirāsiyyatan (al-Waḥdāt al-Zukhrafiyyati al-Islāmiyyati)","author":[{"family":"Al-Awawda","given":"Hassan Mahmoud Issa"}],"issued":{"date-parts":[["2009"]]}}}],"schema":"https://github.com/citation-style-language/schema/raw/master/csl-citation.json"} </w:instrText>
      </w:r>
      <w:r w:rsidRPr="00C175BC">
        <w:rPr>
          <w:rFonts w:cstheme="minorHAnsi"/>
          <w:sz w:val="20"/>
          <w:szCs w:val="20"/>
          <w:u w:val="single"/>
        </w:rPr>
        <w:fldChar w:fldCharType="separate"/>
      </w:r>
      <w:r w:rsidRPr="00C175BC">
        <w:rPr>
          <w:rFonts w:cstheme="minorHAnsi"/>
          <w:sz w:val="20"/>
          <w:szCs w:val="20"/>
          <w:u w:val="single"/>
        </w:rPr>
        <w:t>[2], [32]</w:t>
      </w:r>
      <w:r w:rsidRPr="00C175BC">
        <w:rPr>
          <w:rFonts w:cstheme="minorHAnsi"/>
          <w:sz w:val="20"/>
          <w:szCs w:val="20"/>
          <w:u w:val="single"/>
        </w:rPr>
        <w:fldChar w:fldCharType="end"/>
      </w:r>
      <w:r w:rsidRPr="00C175BC">
        <w:rPr>
          <w:rFonts w:cstheme="minorHAnsi"/>
          <w:sz w:val="20"/>
          <w:szCs w:val="20"/>
          <w:u w:val="single"/>
        </w:rPr>
        <w:t>.</w:t>
      </w:r>
    </w:p>
    <w:p w14:paraId="4F6380C2" w14:textId="77777777" w:rsidR="00973FEA" w:rsidRDefault="00973FEA" w:rsidP="00973FEA">
      <w:pPr>
        <w:widowControl w:val="0"/>
        <w:ind w:left="284" w:firstLine="283"/>
        <w:jc w:val="both"/>
        <w:rPr>
          <w:rFonts w:cstheme="minorHAnsi"/>
          <w:sz w:val="20"/>
          <w:szCs w:val="20"/>
        </w:rPr>
      </w:pPr>
      <w:r w:rsidRPr="00C175BC">
        <w:rPr>
          <w:rFonts w:cstheme="minorHAnsi"/>
          <w:sz w:val="20"/>
          <w:szCs w:val="20"/>
          <w:u w:val="single"/>
        </w:rPr>
        <w:t>Concerning humanism</w:t>
      </w:r>
      <w:r w:rsidRPr="001964A8">
        <w:rPr>
          <w:rFonts w:cstheme="minorHAnsi"/>
          <w:sz w:val="20"/>
          <w:szCs w:val="20"/>
        </w:rPr>
        <w:t xml:space="preserve"> (</w:t>
      </w:r>
      <w:r w:rsidRPr="00D16CCA">
        <w:rPr>
          <w:rFonts w:cstheme="minorHAnsi"/>
          <w:i/>
          <w:iCs/>
          <w:sz w:val="20"/>
          <w:szCs w:val="20"/>
        </w:rPr>
        <w:t>al-</w:t>
      </w:r>
      <w:proofErr w:type="spellStart"/>
      <w:r w:rsidRPr="00447E9A">
        <w:rPr>
          <w:rFonts w:cstheme="minorHAnsi"/>
          <w:i/>
          <w:iCs/>
          <w:sz w:val="20"/>
          <w:szCs w:val="20"/>
          <w:u w:val="single"/>
        </w:rPr>
        <w:t>Insāniyyah</w:t>
      </w:r>
      <w:proofErr w:type="spellEnd"/>
      <w:r w:rsidRPr="00447E9A">
        <w:rPr>
          <w:rFonts w:cstheme="minorHAnsi"/>
          <w:sz w:val="20"/>
          <w:szCs w:val="20"/>
          <w:u w:val="single"/>
        </w:rPr>
        <w:t xml:space="preserve">), the philosophical foundation of </w:t>
      </w:r>
      <w:proofErr w:type="spellStart"/>
      <w:r w:rsidRPr="00447E9A">
        <w:rPr>
          <w:rFonts w:cstheme="minorHAnsi"/>
          <w:i/>
          <w:iCs/>
          <w:sz w:val="20"/>
          <w:szCs w:val="20"/>
          <w:u w:val="single"/>
        </w:rPr>
        <w:t>al-In¬sāni¬yyah</w:t>
      </w:r>
      <w:proofErr w:type="spellEnd"/>
      <w:r w:rsidRPr="00447E9A">
        <w:rPr>
          <w:rFonts w:cstheme="minorHAnsi"/>
          <w:sz w:val="20"/>
          <w:szCs w:val="20"/>
          <w:u w:val="single"/>
        </w:rPr>
        <w:t xml:space="preserve"> is that</w:t>
      </w:r>
      <w:r w:rsidRPr="001964A8">
        <w:rPr>
          <w:rFonts w:cstheme="minorHAnsi"/>
          <w:sz w:val="20"/>
          <w:szCs w:val="20"/>
        </w:rPr>
        <w:t xml:space="preserve"> architecture is made by and for the welfare </w:t>
      </w:r>
      <w:r>
        <w:rPr>
          <w:rFonts w:cstheme="minorHAnsi"/>
          <w:sz w:val="20"/>
          <w:szCs w:val="20"/>
        </w:rPr>
        <w:t xml:space="preserve">of </w:t>
      </w:r>
      <w:r w:rsidRPr="001964A8">
        <w:rPr>
          <w:rFonts w:cstheme="minorHAnsi"/>
          <w:sz w:val="20"/>
          <w:szCs w:val="20"/>
        </w:rPr>
        <w:t>human being</w:t>
      </w:r>
      <w:r>
        <w:rPr>
          <w:rFonts w:cstheme="minorHAnsi"/>
          <w:sz w:val="20"/>
          <w:szCs w:val="20"/>
        </w:rPr>
        <w:t>s</w:t>
      </w:r>
      <w:r w:rsidRPr="001964A8">
        <w:rPr>
          <w:rFonts w:cstheme="minorHAnsi"/>
          <w:sz w:val="20"/>
          <w:szCs w:val="20"/>
        </w:rPr>
        <w:t xml:space="preserve">. While as a social creature endowed with free will, passion, and emotions that can either guide </w:t>
      </w:r>
      <w:r>
        <w:rPr>
          <w:rFonts w:cstheme="minorHAnsi"/>
          <w:sz w:val="20"/>
          <w:szCs w:val="20"/>
        </w:rPr>
        <w:t>him/her</w:t>
      </w:r>
      <w:r w:rsidRPr="001964A8">
        <w:rPr>
          <w:rFonts w:cstheme="minorHAnsi"/>
          <w:sz w:val="20"/>
          <w:szCs w:val="20"/>
        </w:rPr>
        <w:t xml:space="preserve"> to the heights of creation or drag him</w:t>
      </w:r>
      <w:r>
        <w:rPr>
          <w:rFonts w:cstheme="minorHAnsi"/>
          <w:sz w:val="20"/>
          <w:szCs w:val="20"/>
        </w:rPr>
        <w:t>/her</w:t>
      </w:r>
      <w:r w:rsidRPr="001964A8">
        <w:rPr>
          <w:rFonts w:cstheme="minorHAnsi"/>
          <w:sz w:val="20"/>
          <w:szCs w:val="20"/>
        </w:rPr>
        <w:t xml:space="preserve"> to its depths, </w:t>
      </w:r>
      <w:r>
        <w:rPr>
          <w:rFonts w:cstheme="minorHAnsi"/>
          <w:sz w:val="20"/>
          <w:szCs w:val="20"/>
        </w:rPr>
        <w:t xml:space="preserve">the </w:t>
      </w:r>
      <w:r w:rsidRPr="001964A8">
        <w:rPr>
          <w:rFonts w:cstheme="minorHAnsi"/>
          <w:sz w:val="20"/>
          <w:szCs w:val="20"/>
        </w:rPr>
        <w:t xml:space="preserve">human </w:t>
      </w:r>
      <w:r w:rsidRPr="001964A8">
        <w:rPr>
          <w:rFonts w:cstheme="minorHAnsi"/>
          <w:sz w:val="20"/>
          <w:szCs w:val="20"/>
        </w:rPr>
        <w:lastRenderedPageBreak/>
        <w:t xml:space="preserve">race shares the same origin, goal, and purpose. People have been divided into nations and tribes solely for the purpose of learning from one another and working together on various levels of righteousness </w:t>
      </w:r>
      <w:r w:rsidRPr="001964A8">
        <w:rPr>
          <w:rFonts w:cstheme="minorHAnsi"/>
          <w:sz w:val="20"/>
          <w:szCs w:val="20"/>
        </w:rPr>
        <w:fldChar w:fldCharType="begin"/>
      </w:r>
      <w:r w:rsidRPr="001964A8">
        <w:rPr>
          <w:rFonts w:cstheme="minorHAnsi"/>
          <w:sz w:val="20"/>
          <w:szCs w:val="20"/>
        </w:rPr>
        <w:instrText xml:space="preserve"> ADDIN ZOTERO_ITEM CSL_CITATION {"citationID":"EuAwOamA","properties":{"formattedCitation":"[35]","plainCitation":"[35]","noteIndex":0},"citationItems":[{"id":3505,"uris":["http://zotero.org/users/local/Rj7jaPwM/items/PFDUPM6Z"],"itemData":{"id":3505,"type":"article-journal","abstract":"This paper discusses the concepts of God, man, and the natural environment, as well as some of their implications for Islamic architecture. The paper is divided into eight sections, (1) Introduction: what is Islamic architecture?, (2) Tawhid (God’s Oneness), (3) Islam and the role of man on earth, (4) Islam and the environment, (5) The importance of built environment, (6) Peaceful and sustainable coexistence between the environment, architecture and man, (7) The unique soul of Islamic architecture, and (8) Conclusion. The nature of the paper – its content, methodology, and conclusions –, is conceptual and philosophical, rather than empirical. The paper concludes that Islamic architecture is an architecture that through its multidimensionality embodies the message of Islam. It both facilitates the Muslims’ realization of the Islamic purpose and its divine principles on earth and promotes a lifestyle generated by such a philosophy and principles. At the core of Islamic architecture lies function with all of its dimensions: corporeal, cerebral and spiritual. The role of the form is an important one too, but only inasmuch as it supplements and enhances function.","container-title":"Journal of Islamic Architecture","DOI":"10.18860/jia.v2i1.1778","ISSN":"2356-4644, 2086-2636","issue":"1","journalAbbreviation":"JIA","language":"en","source":"DOI.org (Crossref)","title":"The Concepts of God, Man, and The Environment in Islam: Implications For Islamic Architecture","title-short":"THE CONCEPTS OF GOD, MAN, AND THE ENVIRONMENT IN ISLAM","URL":"http://ejournal.uin-malang.ac.id/index.php/JIA/article/view/1","volume":"2","author":[{"family":"Omer","given":"Spahic"}],"accessed":{"date-parts":[["2023",9,28]]},"issued":{"date-parts":[["2012",8,30]]}}}],"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[35]</w:t>
      </w:r>
      <w:r w:rsidRPr="001964A8">
        <w:rPr>
          <w:rFonts w:cstheme="minorHAnsi"/>
          <w:sz w:val="20"/>
          <w:szCs w:val="20"/>
        </w:rPr>
        <w:fldChar w:fldCharType="end"/>
      </w:r>
      <w:r w:rsidRPr="001964A8">
        <w:rPr>
          <w:rFonts w:cstheme="minorHAnsi"/>
          <w:sz w:val="20"/>
          <w:szCs w:val="20"/>
        </w:rPr>
        <w:t>. While the word</w:t>
      </w:r>
      <w:r>
        <w:rPr>
          <w:rFonts w:cstheme="minorHAnsi"/>
          <w:sz w:val="20"/>
          <w:szCs w:val="20"/>
        </w:rPr>
        <w:t>s</w:t>
      </w:r>
      <w:r w:rsidRPr="001964A8">
        <w:rPr>
          <w:rFonts w:cstheme="minorHAnsi"/>
          <w:sz w:val="20"/>
          <w:szCs w:val="20"/>
        </w:rPr>
        <w:t xml:space="preserve"> </w:t>
      </w:r>
      <w:r>
        <w:rPr>
          <w:rFonts w:cstheme="minorHAnsi"/>
          <w:sz w:val="20"/>
          <w:szCs w:val="20"/>
        </w:rPr>
        <w:t>‘</w:t>
      </w:r>
      <w:r w:rsidRPr="00EA305E">
        <w:rPr>
          <w:rFonts w:cstheme="minorHAnsi"/>
          <w:sz w:val="20"/>
          <w:szCs w:val="20"/>
          <w:u w:val="single"/>
        </w:rPr>
        <w:t xml:space="preserve">aesthetic and beauty’ in Islamic architecture represent a depiction of the beauty of heaven on earth </w:t>
      </w:r>
      <w:r w:rsidRPr="00EA305E">
        <w:rPr>
          <w:rFonts w:cstheme="minorHAnsi"/>
          <w:sz w:val="20"/>
          <w:szCs w:val="20"/>
          <w:u w:val="single"/>
        </w:rPr>
        <w:fldChar w:fldCharType="begin"/>
      </w:r>
      <w:r w:rsidRPr="00EA305E">
        <w:rPr>
          <w:rFonts w:cstheme="minorHAnsi"/>
          <w:sz w:val="20"/>
          <w:szCs w:val="20"/>
          <w:u w:val="single"/>
        </w:rPr>
        <w:instrText xml:space="preserve"> ADDIN ZOTERO_ITEM CSL_CITATION {"citationID":"gGigXUNi","properties":{"formattedCitation":"[2]","plainCitation":"[2]","noteIndex":0},"citationItems":[{"id":"QCoNWly0/VAwvpbWP","uris":["http://zotero.org/users/local/Rj7jaPwM/items/V9RGZ8TU"],"itemData":{"id":3735,"type":"book","edition":"0","ISBN":"978-1-136-85131-5","language":"en","note":"DOI: 10.4324/9781315028767","publisher":"Routledge","source":"DOI.org (Crossref)","title":"Understanding Islamic Architecture","URL":"https://www.taylorfrancis.com/books/9781136851315","author":[{"family":"Petruccioli","given":"Attilo"},{"family":"Pirani","given":"Khalil K."}],"accessed":{"date-parts":[["2023",10,16]]},"issued":{"date-parts":[["2013",9,13]]}},"label":"page"}],"schema":"https://github.com/citation-style-language/schema/raw/master/csl-citation.json"} </w:instrText>
      </w:r>
      <w:r w:rsidRPr="00EA305E">
        <w:rPr>
          <w:rFonts w:cstheme="minorHAnsi"/>
          <w:sz w:val="20"/>
          <w:szCs w:val="20"/>
          <w:u w:val="single"/>
        </w:rPr>
        <w:fldChar w:fldCharType="separate"/>
      </w:r>
      <w:r w:rsidRPr="00EA305E">
        <w:rPr>
          <w:rFonts w:cstheme="minorHAnsi"/>
          <w:sz w:val="20"/>
          <w:szCs w:val="20"/>
          <w:u w:val="single"/>
        </w:rPr>
        <w:t>[2]</w:t>
      </w:r>
      <w:r w:rsidRPr="00EA305E">
        <w:rPr>
          <w:rFonts w:cstheme="minorHAnsi"/>
          <w:sz w:val="20"/>
          <w:szCs w:val="20"/>
          <w:u w:val="single"/>
        </w:rPr>
        <w:fldChar w:fldCharType="end"/>
      </w:r>
      <w:r w:rsidRPr="00EA305E">
        <w:rPr>
          <w:rFonts w:cstheme="minorHAnsi"/>
          <w:sz w:val="20"/>
          <w:szCs w:val="20"/>
          <w:u w:val="single"/>
        </w:rPr>
        <w:t>, its main aspect is the humanistic need for beauty. An example of this</w:t>
      </w:r>
      <w:r>
        <w:rPr>
          <w:rFonts w:cstheme="minorHAnsi"/>
          <w:sz w:val="20"/>
          <w:szCs w:val="20"/>
        </w:rPr>
        <w:t xml:space="preserve"> is M</w:t>
      </w:r>
      <w:r w:rsidRPr="001964A8">
        <w:rPr>
          <w:rFonts w:cstheme="minorHAnsi"/>
          <w:sz w:val="20"/>
          <w:szCs w:val="20"/>
        </w:rPr>
        <w:t xml:space="preserve">uslim creation cannot compete </w:t>
      </w:r>
      <w:r>
        <w:rPr>
          <w:rFonts w:cstheme="minorHAnsi"/>
          <w:sz w:val="20"/>
          <w:szCs w:val="20"/>
        </w:rPr>
        <w:t xml:space="preserve">with </w:t>
      </w:r>
      <w:r w:rsidRPr="001964A8">
        <w:rPr>
          <w:rFonts w:cstheme="minorHAnsi"/>
          <w:sz w:val="20"/>
          <w:szCs w:val="20"/>
        </w:rPr>
        <w:t>the beauty of nature or the beauty of Allah</w:t>
      </w:r>
      <w:r>
        <w:rPr>
          <w:rFonts w:cstheme="minorHAnsi"/>
          <w:sz w:val="20"/>
          <w:szCs w:val="20"/>
        </w:rPr>
        <w:t>,</w:t>
      </w:r>
      <w:r w:rsidRPr="001964A8">
        <w:rPr>
          <w:rFonts w:cstheme="minorHAnsi"/>
          <w:sz w:val="20"/>
          <w:szCs w:val="20"/>
        </w:rPr>
        <w:t xml:space="preserve"> the ultimate beauty. </w:t>
      </w:r>
    </w:p>
    <w:p w14:paraId="374F5F21" w14:textId="77777777" w:rsidR="00973FEA" w:rsidRPr="001964A8" w:rsidRDefault="00973FEA" w:rsidP="00973FEA">
      <w:pPr>
        <w:widowControl w:val="0"/>
        <w:ind w:left="284" w:firstLine="283"/>
        <w:jc w:val="both"/>
        <w:rPr>
          <w:rFonts w:cstheme="minorHAnsi"/>
          <w:sz w:val="20"/>
          <w:szCs w:val="20"/>
        </w:rPr>
      </w:pPr>
    </w:p>
    <w:p w14:paraId="7B0147DB" w14:textId="58F65344" w:rsidR="00973FEA" w:rsidRPr="00973FEA" w:rsidRDefault="00973FEA" w:rsidP="00973FEA">
      <w:pPr>
        <w:pStyle w:val="ListParagraph"/>
        <w:widowControl w:val="0"/>
        <w:numPr>
          <w:ilvl w:val="0"/>
          <w:numId w:val="7"/>
        </w:numPr>
        <w:ind w:left="567" w:hanging="283"/>
        <w:jc w:val="both"/>
        <w:rPr>
          <w:rFonts w:asciiTheme="minorHAnsi" w:hAnsiTheme="minorHAnsi" w:cstheme="minorHAnsi"/>
          <w:b/>
          <w:bCs/>
          <w:sz w:val="18"/>
          <w:szCs w:val="18"/>
        </w:rPr>
      </w:pPr>
      <w:r w:rsidRPr="00973FEA">
        <w:rPr>
          <w:rFonts w:asciiTheme="minorHAnsi" w:hAnsiTheme="minorHAnsi" w:cstheme="minorHAnsi"/>
          <w:b/>
          <w:bCs/>
          <w:sz w:val="18"/>
          <w:szCs w:val="18"/>
        </w:rPr>
        <w:t>1. 3. The foundation of Muslim actions is encapsulated in religious jurisprudence (</w:t>
      </w:r>
      <w:r w:rsidRPr="00973FEA">
        <w:rPr>
          <w:rFonts w:asciiTheme="minorHAnsi" w:hAnsiTheme="minorHAnsi" w:cstheme="minorHAnsi"/>
          <w:b/>
          <w:bCs/>
          <w:i/>
          <w:sz w:val="18"/>
          <w:szCs w:val="18"/>
        </w:rPr>
        <w:t>Fiqh</w:t>
      </w:r>
      <w:r w:rsidRPr="00973FEA">
        <w:rPr>
          <w:rFonts w:asciiTheme="minorHAnsi" w:hAnsiTheme="minorHAnsi" w:cstheme="minorHAnsi"/>
          <w:b/>
          <w:bCs/>
          <w:sz w:val="18"/>
          <w:szCs w:val="18"/>
        </w:rPr>
        <w:t xml:space="preserve">) </w:t>
      </w:r>
    </w:p>
    <w:p w14:paraId="7B2E98B6" w14:textId="77777777" w:rsidR="00973FEA" w:rsidRPr="001964A8" w:rsidRDefault="00973FEA" w:rsidP="00973FEA">
      <w:pPr>
        <w:widowControl w:val="0"/>
        <w:ind w:left="284" w:firstLine="283"/>
        <w:jc w:val="both"/>
        <w:rPr>
          <w:rFonts w:cstheme="minorHAnsi"/>
          <w:sz w:val="20"/>
          <w:szCs w:val="20"/>
        </w:rPr>
      </w:pPr>
      <w:r w:rsidRPr="00D93F2C">
        <w:rPr>
          <w:rFonts w:cstheme="minorHAnsi"/>
          <w:i/>
          <w:iCs/>
          <w:sz w:val="20"/>
          <w:szCs w:val="20"/>
        </w:rPr>
        <w:t>Fiqh</w:t>
      </w:r>
      <w:r w:rsidRPr="001964A8">
        <w:rPr>
          <w:rFonts w:cstheme="minorHAnsi"/>
          <w:sz w:val="20"/>
          <w:szCs w:val="20"/>
        </w:rPr>
        <w:t xml:space="preserve"> is a branch of Islamic teachings. </w:t>
      </w:r>
      <w:r w:rsidRPr="00D93F2C">
        <w:rPr>
          <w:rFonts w:cstheme="minorHAnsi"/>
          <w:i/>
          <w:iCs/>
          <w:sz w:val="20"/>
          <w:szCs w:val="20"/>
        </w:rPr>
        <w:t>Fiqh</w:t>
      </w:r>
      <w:r w:rsidRPr="001964A8">
        <w:rPr>
          <w:rFonts w:cstheme="minorHAnsi"/>
          <w:sz w:val="20"/>
          <w:szCs w:val="20"/>
        </w:rPr>
        <w:t xml:space="preserve"> encompasses jurisprudence and the establishment of Islamic laws and order in the everyday lives of Muslims. </w:t>
      </w:r>
      <w:r w:rsidRPr="00EA305E">
        <w:rPr>
          <w:rFonts w:cstheme="minorHAnsi"/>
          <w:sz w:val="20"/>
          <w:szCs w:val="20"/>
          <w:u w:val="single"/>
        </w:rPr>
        <w:t>In Islam, it is divided into</w:t>
      </w:r>
      <w:r w:rsidRPr="001964A8">
        <w:rPr>
          <w:rFonts w:cstheme="minorHAnsi"/>
          <w:sz w:val="20"/>
          <w:szCs w:val="20"/>
        </w:rPr>
        <w:t xml:space="preserve"> two main branches: </w:t>
      </w:r>
      <w:r w:rsidRPr="00D93F2C">
        <w:rPr>
          <w:rFonts w:cstheme="minorHAnsi"/>
          <w:i/>
          <w:iCs/>
          <w:sz w:val="20"/>
          <w:szCs w:val="20"/>
        </w:rPr>
        <w:t>Fiqh Ibadah</w:t>
      </w:r>
      <w:r w:rsidRPr="001964A8">
        <w:rPr>
          <w:rFonts w:cstheme="minorHAnsi"/>
          <w:sz w:val="20"/>
          <w:szCs w:val="20"/>
        </w:rPr>
        <w:t xml:space="preserve">, which governs the rules and conduct of Muslim prayers, and </w:t>
      </w:r>
      <w:r w:rsidRPr="00D93F2C">
        <w:rPr>
          <w:rFonts w:cstheme="minorHAnsi"/>
          <w:i/>
          <w:iCs/>
          <w:sz w:val="20"/>
          <w:szCs w:val="20"/>
        </w:rPr>
        <w:t>Fiqh Al-</w:t>
      </w:r>
      <w:proofErr w:type="spellStart"/>
      <w:r w:rsidRPr="00D93F2C">
        <w:rPr>
          <w:rFonts w:cstheme="minorHAnsi"/>
          <w:i/>
          <w:iCs/>
          <w:sz w:val="20"/>
          <w:szCs w:val="20"/>
        </w:rPr>
        <w:t>Muamalah</w:t>
      </w:r>
      <w:proofErr w:type="spellEnd"/>
      <w:r w:rsidRPr="001964A8">
        <w:rPr>
          <w:rFonts w:cstheme="minorHAnsi"/>
          <w:sz w:val="20"/>
          <w:szCs w:val="20"/>
        </w:rPr>
        <w:t xml:space="preserve">, which governs the broader aspects of </w:t>
      </w:r>
      <w:r w:rsidRPr="0075265C">
        <w:rPr>
          <w:rFonts w:cstheme="minorHAnsi"/>
          <w:sz w:val="20"/>
          <w:szCs w:val="20"/>
          <w:u w:val="single"/>
        </w:rPr>
        <w:t>daily life, including social, economic, and political ones, as well as legal matters and inheritance</w:t>
      </w:r>
      <w:r w:rsidRPr="001964A8">
        <w:rPr>
          <w:rFonts w:cstheme="minorHAnsi"/>
          <w:sz w:val="20"/>
          <w:szCs w:val="20"/>
        </w:rPr>
        <w:t xml:space="preserve"> </w:t>
      </w:r>
      <w:r w:rsidRPr="001964A8">
        <w:rPr>
          <w:rFonts w:cstheme="minorHAnsi"/>
          <w:sz w:val="20"/>
          <w:szCs w:val="20"/>
        </w:rPr>
        <w:fldChar w:fldCharType="begin"/>
      </w:r>
      <w:r w:rsidRPr="001964A8">
        <w:rPr>
          <w:rFonts w:cstheme="minorHAnsi"/>
          <w:sz w:val="20"/>
          <w:szCs w:val="20"/>
        </w:rPr>
        <w:instrText xml:space="preserve"> ADDIN ZOTERO_ITEM CSL_CITATION {"citationID":"BUT0QW1F","properties":{"formattedCitation":"[38], [39]","plainCitation":"[38], [39]","noteIndex":0},"citationItems":[{"id":3719,"uris":["http://zotero.org/users/local/Rj7jaPwM/items/WPY8WUZF"],"itemData":{"id":3719,"type":"book","language":"en","publisher":"Advanced Legal Studies Institute","source":"Zotero","title":"Outlines Of Islamic Jurisprudence","author":[{"family":"Nyazee","given":"Imran Ahsan Khan"}],"issued":{"date-parts":[["2016"]]}}},{"id":3492,"uris":["http://zotero.org/users/local/Rj7jaPwM/items/L7BMNSI9","http://zotero.org/users/local/Rj7jaPwM/items/NUCWDHWL"],"itemData":{"id":3492,"type":"article-journal","container-title":"International Journal of Architectural Research","issue":"1","language":"en","source":"Zotero","title":"The Generative Nature of Islamic Rules For The Built Environment","volume":"4","author":[{"family":"Hakim","given":"Besim S"}],"issued":{"date-parts":[["2010"]]}}}],"schema":"https://github.com/citation-style-language/schema/raw/master/csl-citation.json"}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[38], [39]</w:t>
      </w:r>
      <w:r w:rsidRPr="001964A8">
        <w:rPr>
          <w:rFonts w:cstheme="minorHAnsi"/>
          <w:sz w:val="20"/>
          <w:szCs w:val="20"/>
        </w:rPr>
        <w:fldChar w:fldCharType="end"/>
      </w:r>
      <w:r w:rsidRPr="001964A8">
        <w:rPr>
          <w:rFonts w:cstheme="minorHAnsi"/>
          <w:sz w:val="20"/>
          <w:szCs w:val="20"/>
        </w:rPr>
        <w:t>.</w:t>
      </w:r>
    </w:p>
    <w:p w14:paraId="45A57D92" w14:textId="77777777" w:rsidR="00973FEA" w:rsidRPr="001964A8" w:rsidRDefault="00973FEA" w:rsidP="00973FEA">
      <w:pPr>
        <w:widowControl w:val="0"/>
        <w:ind w:left="284" w:firstLine="283"/>
        <w:jc w:val="both"/>
        <w:rPr>
          <w:rFonts w:cstheme="minorHAnsi"/>
          <w:sz w:val="20"/>
          <w:szCs w:val="20"/>
        </w:rPr>
      </w:pPr>
      <w:r w:rsidRPr="001964A8">
        <w:rPr>
          <w:rFonts w:cstheme="minorHAnsi"/>
          <w:sz w:val="20"/>
          <w:szCs w:val="20"/>
        </w:rPr>
        <w:t xml:space="preserve">The </w:t>
      </w:r>
      <w:r w:rsidRPr="00EB10DD">
        <w:rPr>
          <w:rFonts w:cstheme="minorHAnsi"/>
          <w:i/>
          <w:sz w:val="20"/>
          <w:szCs w:val="20"/>
        </w:rPr>
        <w:t>Fiqh</w:t>
      </w:r>
      <w:r w:rsidRPr="001964A8">
        <w:rPr>
          <w:rFonts w:cstheme="minorHAnsi"/>
          <w:sz w:val="20"/>
          <w:szCs w:val="20"/>
        </w:rPr>
        <w:t xml:space="preserve"> of Islamic </w:t>
      </w:r>
      <w:r>
        <w:rPr>
          <w:rFonts w:cstheme="minorHAnsi"/>
          <w:sz w:val="20"/>
          <w:szCs w:val="20"/>
        </w:rPr>
        <w:t>architec</w:t>
      </w:r>
      <w:r w:rsidRPr="001964A8">
        <w:rPr>
          <w:rFonts w:cstheme="minorHAnsi"/>
          <w:sz w:val="20"/>
          <w:szCs w:val="20"/>
        </w:rPr>
        <w:t>ture has a</w:t>
      </w:r>
      <w:r>
        <w:rPr>
          <w:rFonts w:cstheme="minorHAnsi"/>
          <w:sz w:val="20"/>
          <w:szCs w:val="20"/>
        </w:rPr>
        <w:t xml:space="preserve"> normative base according </w:t>
      </w:r>
      <w:r w:rsidRPr="0075265C">
        <w:rPr>
          <w:rFonts w:cstheme="minorHAnsi"/>
          <w:sz w:val="20"/>
          <w:szCs w:val="20"/>
          <w:u w:val="single"/>
        </w:rPr>
        <w:t>to Quran and Hadith</w:t>
      </w:r>
      <w:r w:rsidRPr="001964A8">
        <w:rPr>
          <w:rFonts w:cstheme="minorHAnsi"/>
          <w:sz w:val="20"/>
          <w:szCs w:val="20"/>
        </w:rPr>
        <w:t xml:space="preserve">, </w:t>
      </w:r>
      <w:proofErr w:type="spellStart"/>
      <w:r w:rsidRPr="00C53074">
        <w:rPr>
          <w:rFonts w:cstheme="minorHAnsi"/>
          <w:i/>
          <w:iCs/>
          <w:sz w:val="20"/>
          <w:szCs w:val="20"/>
        </w:rPr>
        <w:t>Maqodius</w:t>
      </w:r>
      <w:proofErr w:type="spellEnd"/>
      <w:r w:rsidRPr="00C53074">
        <w:rPr>
          <w:rFonts w:cstheme="minorHAnsi"/>
          <w:i/>
          <w:iCs/>
          <w:sz w:val="20"/>
          <w:szCs w:val="20"/>
        </w:rPr>
        <w:t xml:space="preserve"> syariah</w:t>
      </w:r>
      <w:r w:rsidRPr="001964A8">
        <w:rPr>
          <w:rFonts w:cstheme="minorHAnsi"/>
          <w:sz w:val="20"/>
          <w:szCs w:val="20"/>
        </w:rPr>
        <w:t xml:space="preserve">, and </w:t>
      </w:r>
      <w:r w:rsidRPr="00C53074">
        <w:rPr>
          <w:rFonts w:cstheme="minorHAnsi"/>
          <w:i/>
          <w:iCs/>
          <w:sz w:val="20"/>
          <w:szCs w:val="20"/>
        </w:rPr>
        <w:t>Fatwas</w:t>
      </w:r>
      <w:r w:rsidRPr="001964A8">
        <w:rPr>
          <w:rFonts w:cstheme="minorHAnsi"/>
          <w:sz w:val="20"/>
          <w:szCs w:val="20"/>
        </w:rPr>
        <w:t xml:space="preserve"> of Islamic Scholars in connection to architecture and buildings </w:t>
      </w:r>
      <w:r w:rsidRPr="001964A8">
        <w:rPr>
          <w:rFonts w:cstheme="minorHAnsi"/>
          <w:sz w:val="20"/>
          <w:szCs w:val="20"/>
        </w:rPr>
        <w:fldChar w:fldCharType="begin"/>
      </w:r>
      <w:r w:rsidRPr="001964A8">
        <w:rPr>
          <w:rFonts w:cstheme="minorHAnsi"/>
          <w:sz w:val="20"/>
          <w:szCs w:val="20"/>
        </w:rPr>
        <w:instrText xml:space="preserve"> ADDIN ZOTERO_ITEM CSL_CITATION {"citationID":"JxqkVLSt","properties":{"formattedCitation":"[8], [14], [26], [34], [38], [40]","plainCitation":"[8], [14], [26], [34], [38], [40]","noteIndex":0},"citationItems":[{"id":3695,"uris":["http://zotero.org/users/local/Rj7jaPwM/items/EQXE9443"],"itemData":{"id":3695,"type":"article-journal","abstract":"Architectural Jurisprudence is an important study in Islamic architecture that has not been much developed. Therefore it is necessary to have an in-depth study related to the reintegration of Islamic jurisprudence and architectural science as a total implementation of Islam. This study focuses on the nature, Islamic epistemology, and strategy of istinbath al ahkam fiqh architecture. This literature study research utilizes Azab’s thoughts (2012 &amp; 1997), Murobith (2018), and Zarkani (2006) in examining the nature and strategy of istinbath al-ahkam architectural fiqh and using the reasoning of the Islamic epistemology of Al Jabiri (1989) in studying the reasoning of the Islamic fiqh architectural epistemology. Azab’s opinion (2012 &amp; 1997), Murobith (2012), Zarkani (2006), and Al Jabiri (1989) were then combined as needed in making the theoretical foundation of architectural fiqh. The results of this study indicate that the nature of architectural fiqh includes definitions, objects of study, originators, and subjects of architectural fiqh. Architectural fiqh is a collection of various fiqh principles that result in the mobility of a city as an effect of contacting every member of the community, the tendency of building architectural forms, and various issues surrounding the building that are presented as a result of the collaboration of fiqh scholars with building practitioners and architecture as a fiqh legal fatwa based on the science of fiqh proposal . Meanwhile, the object of study is the integration of fiqh studies with architecture and building studies.The subject of the study of architecture fiqh is fiqh law as charging legal low or correlative law in the context of a building. Furthermore, the epistemology of Islam in architectural fiqh is part of the bayani reasoning method as well as burhani. Finally, the strategy of istinbath al ahkam fiqh architecture is the Koran, the sunnah nabawiyah, and the principles of fiqh.","container-title":"SHAHIH: Journal of Islamicate Multidisciplinary","DOI":"10.22515/shahih.v4i2.1867","ISSN":"2527-8126, 2527-8118","issue":"2","journalAbbreviation":"SJIM","language":"id","page":"151-169","source":"DOI.org (Crossref)","title":"Hakikat, Epistimologi Islam, dan Strategi Istinbath Al Ahkam Fikih Arsitektur","volume":"4","author":[{"family":"Yulianto","given":"Y"}],"issued":{"date-parts":[["2019",12,28]]}}},{"id":3719,"uris":["http://zotero.org/users/local/Rj7jaPwM/items/WPY8WUZF"],"itemData":{"id":3719,"type":"book","language":"en","publisher":"Advanced Legal Studies Institute","source":"Zotero","title":"Outlines Of Islamic Jurisprudence","author":[{"family":"Nyazee","given":"Imran Ahsan Khan"}],"issued":{"date-parts":[["2016"]]}}},{"id":3739,"uris":["http://zotero.org/users/local/Rj7jaPwM/items/GE39ZVLY"],"itemData":{"id":3739,"type":"book","abstract":"Urbanism and structure in the perspective of Islam","event-place":"Kuwait","ISBN":"978-99906-678-1-3","language":"ara","note":"OCLC: 929567099","publisher":"Rawafid","publisher-place":"Kuwait","source":"Open WorldCat","title":"Al-ʿUmran wa al-Binyan fī Manẓūr al-Islām","author":[{"family":"Waziri","given":"Yahya"}],"issued":{"date-parts":[["2008"]]}}},{"id":3747,"uris":["http://zotero.org/users/local/Rj7jaPwM/items/6284BEGI"],"itemData":{"id":3747,"type":"article-journal","container-title":"ARCHITECTURE AND BEHAVIOUR","language":"en","page":"59-66","source":"Zotero","title":"Muslim Housing as Built Environment for Promoting Muslim Societal Behaviour","volume":"11","author":[{"family":"Gelani","given":"Zkram A S"}],"issued":{"date-parts":[["1995"]]}}},{"id":3752,"uris":["http://zotero.org/users/local/Rj7jaPwM/items/FEKNFAQD"],"itemData":{"id":3752,"type":"book","abstract":"Planning and architecture in Islamic jurisprudence","event-place":"Cairo","publisher":"Dar al-Salam li-l-Nashr wa-l-Tawziʿ","publisher-place":"Cairo","title":"At-Takhtit wa al-Bunyan fī al-Fiqh al-Islāmī.pdf","author":[{"family":"Al-Murabit","given":"Zakaria"}],"issued":{"date-parts":[["2019"]]}}},{"id":3755,"uris":["http://zotero.org/users/local/Rj7jaPwM/items/UNJ5ZJU4"],"itemData":{"id":3755,"type":"book","call-number":"HT147.5 .H35 1986","event-place":"London","ISBN":"978-0-7103-0094-2","language":"en","number-of-pages":"192","publisher":"New York : KPI","publisher-place":"London","source":"Library of Congress ISBN","title":"Arabic-Islamic cities: building and planning principles","title-short":"Arabic-Islamic cities","author":[{"family":"Hakim","given":"Besim S."}],"issued":{"date-parts":[["1986"]]}}}],"schema":"https://github.com/citation-style-language/schema/raw/master/csl-citation.json"}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[8], [14], [26], [34], [38], [40]</w:t>
      </w:r>
      <w:r w:rsidRPr="001964A8">
        <w:rPr>
          <w:rFonts w:cstheme="minorHAnsi"/>
          <w:sz w:val="20"/>
          <w:szCs w:val="20"/>
        </w:rPr>
        <w:fldChar w:fldCharType="end"/>
      </w:r>
      <w:r w:rsidRPr="001964A8">
        <w:rPr>
          <w:rFonts w:cstheme="minorHAnsi"/>
          <w:sz w:val="20"/>
          <w:szCs w:val="20"/>
        </w:rPr>
        <w:t>. Islamic archite</w:t>
      </w:r>
      <w:r>
        <w:rPr>
          <w:rFonts w:cstheme="minorHAnsi"/>
          <w:sz w:val="20"/>
          <w:szCs w:val="20"/>
        </w:rPr>
        <w:t xml:space="preserve">cture should implement Islamic </w:t>
      </w:r>
      <w:r w:rsidRPr="0075265C">
        <w:rPr>
          <w:rFonts w:cstheme="minorHAnsi"/>
          <w:sz w:val="20"/>
          <w:szCs w:val="20"/>
          <w:u w:val="single"/>
        </w:rPr>
        <w:t>values</w:t>
      </w:r>
      <w:r w:rsidRPr="001964A8">
        <w:rPr>
          <w:rFonts w:cstheme="minorHAnsi"/>
          <w:sz w:val="20"/>
          <w:szCs w:val="20"/>
        </w:rPr>
        <w:t xml:space="preserve"> and laws </w:t>
      </w:r>
      <w:r w:rsidRPr="006A402A">
        <w:rPr>
          <w:rFonts w:cstheme="minorHAnsi"/>
          <w:sz w:val="20"/>
          <w:szCs w:val="20"/>
          <w:u w:val="single"/>
        </w:rPr>
        <w:fldChar w:fldCharType="begin"/>
      </w:r>
      <w:r w:rsidRPr="006A402A">
        <w:rPr>
          <w:rFonts w:cstheme="minorHAnsi"/>
          <w:sz w:val="20"/>
          <w:szCs w:val="20"/>
          <w:u w:val="single"/>
        </w:rPr>
        <w:instrText xml:space="preserve"> ADDIN ZOTERO_ITEM CSL_CITATION {"citationID":"7ij1cZiH","properties":{"formattedCitation":"[35]","plainCitation":"[35]","noteIndex":0},"citationItems":[{"id":3505,"uris":["http://zotero.org/users/local/Rj7jaPwM/items/PFDUPM6Z"],"itemData":{"id":3505,"type":"article-journal","abstract":"This paper discusses the concepts of God, man, and the natural environment, as well as some of their implications for Islamic architecture. The paper is divided into eight sections, (1) Introduction: what is Islamic architecture?, (2) Tawhid (God’s Oneness), (3) Islam and the role of man on earth, (4) Islam and the environment, (5) The importance of built environment, (6) Peaceful and sustainable coexistence between the environment, architecture and man, (7) The unique soul of Islamic architecture, and (8) Conclusion. The nature of the paper – its content, methodology, and conclusions –, is conceptual and philosophical, rather than empirical. The paper concludes that Islamic architecture is an architecture that through its multidimensionality embodies the message of Islam. It both facilitates the Muslims’ realization of the Islamic purpose and its divine principles on earth and promotes a lifestyle generated by such a philosophy and principles. At the core of Islamic architecture lies function with all of its dimensions: corporeal, cerebral and spiritual. The role of the form is an important one too, but only inasmuch as it supplements and enhances function.","container-title":"Journal of Islamic Architecture","DOI":"10.18860/jia.v2i1.1778","ISSN":"2356-4644, 2086-2636","issue":"1","journalAbbreviation":"JIA","language":"en","source":"DOI.org (Crossref)","title":"The Concepts of God, Man, and The Environment in Islam: Implications For Islamic Architecture","title-short":"THE CONCEPTS OF GOD, MAN, AND THE ENVIRONMENT IN ISLAM","URL":"http://ejournal.uin-malang.ac.id/index.php/JIA/article/view/1","volume":"2","author":[{"family":"Omer","given":"Spahic"}],"accessed":{"date-parts":[["2023",9,28]]},"issued":{"date-parts":[["2012",8,30]]}}}],"schema":"https://github.com/citation-style-language/schema/raw/master/csl-citation.json"} </w:instrText>
      </w:r>
      <w:r w:rsidRPr="006A402A">
        <w:rPr>
          <w:rFonts w:cstheme="minorHAnsi"/>
          <w:sz w:val="20"/>
          <w:szCs w:val="20"/>
          <w:u w:val="single"/>
        </w:rPr>
        <w:fldChar w:fldCharType="separate"/>
      </w:r>
      <w:r w:rsidRPr="006A402A">
        <w:rPr>
          <w:rFonts w:cstheme="minorHAnsi"/>
          <w:sz w:val="20"/>
          <w:szCs w:val="20"/>
          <w:u w:val="single"/>
        </w:rPr>
        <w:t>[35]</w:t>
      </w:r>
      <w:r w:rsidRPr="006A402A">
        <w:rPr>
          <w:rFonts w:cstheme="minorHAnsi"/>
          <w:sz w:val="20"/>
          <w:szCs w:val="20"/>
          <w:u w:val="single"/>
        </w:rPr>
        <w:fldChar w:fldCharType="end"/>
      </w:r>
      <w:r w:rsidRPr="006A402A">
        <w:rPr>
          <w:rFonts w:cstheme="minorHAnsi"/>
          <w:sz w:val="20"/>
          <w:szCs w:val="20"/>
          <w:u w:val="single"/>
        </w:rPr>
        <w:t>. Those include basic correspondence with salvation, safety (</w:t>
      </w:r>
      <w:proofErr w:type="spellStart"/>
      <w:r w:rsidRPr="006A402A">
        <w:rPr>
          <w:rFonts w:cstheme="minorHAnsi"/>
          <w:i/>
          <w:iCs/>
          <w:sz w:val="20"/>
          <w:szCs w:val="20"/>
          <w:u w:val="single"/>
        </w:rPr>
        <w:t>maslahat</w:t>
      </w:r>
      <w:proofErr w:type="spellEnd"/>
      <w:r w:rsidRPr="006A402A">
        <w:rPr>
          <w:rFonts w:cstheme="minorHAnsi"/>
          <w:sz w:val="20"/>
          <w:szCs w:val="20"/>
          <w:u w:val="single"/>
        </w:rPr>
        <w:t>), and avoiding any harm (</w:t>
      </w:r>
      <w:proofErr w:type="spellStart"/>
      <w:r w:rsidRPr="006A402A">
        <w:rPr>
          <w:rFonts w:cstheme="minorHAnsi"/>
          <w:i/>
          <w:sz w:val="20"/>
          <w:szCs w:val="20"/>
        </w:rPr>
        <w:t>mafsadat</w:t>
      </w:r>
      <w:proofErr w:type="spellEnd"/>
      <w:r w:rsidRPr="001964A8">
        <w:rPr>
          <w:rFonts w:cstheme="minorHAnsi"/>
          <w:sz w:val="20"/>
          <w:szCs w:val="20"/>
        </w:rPr>
        <w:t xml:space="preserve">) </w:t>
      </w:r>
      <w:r w:rsidRPr="001964A8">
        <w:rPr>
          <w:rFonts w:cstheme="minorHAnsi"/>
          <w:sz w:val="20"/>
          <w:szCs w:val="20"/>
        </w:rPr>
        <w:fldChar w:fldCharType="begin"/>
      </w:r>
      <w:r w:rsidRPr="001964A8">
        <w:rPr>
          <w:rFonts w:cstheme="minorHAnsi"/>
          <w:sz w:val="20"/>
          <w:szCs w:val="20"/>
        </w:rPr>
        <w:instrText xml:space="preserve"> ADDIN ZOTERO_ITEM CSL_CITATION {"citationID":"RoTxwjxe","properties":{"formattedCitation":"[1], [14]","plainCitation":"[1], [14]","noteIndex":0},"citationItems":[{"id":3700,"uris":["http://zotero.org/users/local/Rj7jaPwM/items/YBNADNN9"],"itemData":{"id":3700,"type":"article-journal","container-title":"Majallat al-Majmaʿ al-ʿIlmi al-Masri","DOI":"10.21608/jfnile.2015.88419","ISSN":"2682-4779","issue":"90","journalAbbreviation":"Majallat al-Majmaʿ al-ʿIlmi al-Masri","language":"en","page":"21-61","source":"DOI.org (Crossref)","title":"Islamic Concepts of Building and Architecture","volume":"90","author":[{"family":"Azab","given":"Khaled"}],"issued":{"date-parts":[["2015",5,1]]}}},{"id":3695,"uris":["http://zotero.org/users/local/Rj7jaPwM/items/EQXE9443"],"itemData":{"id":3695,"type":"article-journal","abstract":"Architectural Jurisprudence is an important study in Islamic architecture that has not been much developed. Therefore it is necessary to have an in-depth study related to the reintegration of Islamic jurisprudence and architectural science as a total implementation of Islam. This study focuses on the nature, Islamic epistemology, and strategy of istinbath al ahkam fiqh architecture. This literature study research utilizes Azab’s thoughts (2012 &amp; 1997), Murobith (2018), and Zarkani (2006) in examining the nature and strategy of istinbath al-ahkam architectural fiqh and using the reasoning of the Islamic epistemology of Al Jabiri (1989) in studying the reasoning of the Islamic fiqh architectural epistemology. Azab’s opinion (2012 &amp; 1997), Murobith (2012), Zarkani (2006), and Al Jabiri (1989) were then combined as needed in making the theoretical foundation of architectural fiqh. The results of this study indicate that the nature of architectural fiqh includes definitions, objects of study, originators, and subjects of architectural fiqh. Architectural fiqh is a collection of various fiqh principles that result in the mobility of a city as an effect of contacting every member of the community, the tendency of building architectural forms, and various issues surrounding the building that are presented as a result of the collaboration of fiqh scholars with building practitioners and architecture as a fiqh legal fatwa based on the science of fiqh proposal . Meanwhile, the object of study is the integration of fiqh studies with architecture and building studies.The subject of the study of architecture fiqh is fiqh law as charging legal low or correlative law in the context of a building. Furthermore, the epistemology of Islam in architectural fiqh is part of the bayani reasoning method as well as burhani. Finally, the strategy of istinbath al ahkam fiqh architecture is the Koran, the sunnah nabawiyah, and the principles of fiqh.","container-title":"SHAHIH: Journal of Islamicate Multidisciplinary","DOI":"10.22515/shahih.v4i2.1867","ISSN":"2527-8126, 2527-8118","issue":"2","journalAbbreviation":"SJIM","language":"id","page":"151-169","source":"DOI.org (Crossref)","title":"Hakikat, Epistimologi Islam, dan Strategi Istinbath Al Ahkam Fikih Arsitektur","volume":"4","author":[{"family":"Yulianto","given":"Y"}],"issued":{"date-parts":[["2019",12,28]]}}}],"schema":"https://github.com/citation-style-language/schema/raw/master/csl-citation.json"}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[1], [14]</w:t>
      </w:r>
      <w:r w:rsidRPr="001964A8">
        <w:rPr>
          <w:rFonts w:cstheme="minorHAnsi"/>
          <w:sz w:val="20"/>
          <w:szCs w:val="20"/>
        </w:rPr>
        <w:fldChar w:fldCharType="end"/>
      </w:r>
      <w:r w:rsidRPr="001964A8">
        <w:rPr>
          <w:rFonts w:cstheme="minorHAnsi"/>
          <w:sz w:val="20"/>
          <w:szCs w:val="20"/>
        </w:rPr>
        <w:t xml:space="preserve">. </w:t>
      </w:r>
      <w:r w:rsidRPr="00A554DF">
        <w:rPr>
          <w:rFonts w:cstheme="minorHAnsi"/>
          <w:i/>
          <w:iCs/>
          <w:sz w:val="20"/>
          <w:szCs w:val="20"/>
        </w:rPr>
        <w:t>Fiqh</w:t>
      </w:r>
      <w:r w:rsidRPr="001964A8">
        <w:rPr>
          <w:rFonts w:cstheme="minorHAnsi"/>
          <w:sz w:val="20"/>
          <w:szCs w:val="20"/>
        </w:rPr>
        <w:t xml:space="preserve"> of Architecture is the integration of Islamic jurisprudence with architecture and building research </w:t>
      </w:r>
      <w:r w:rsidRPr="001964A8">
        <w:rPr>
          <w:rFonts w:cstheme="minorHAnsi"/>
          <w:sz w:val="20"/>
          <w:szCs w:val="20"/>
        </w:rPr>
        <w:fldChar w:fldCharType="begin"/>
      </w:r>
      <w:r>
        <w:rPr>
          <w:rFonts w:cstheme="minorHAnsi"/>
          <w:sz w:val="20"/>
          <w:szCs w:val="20"/>
        </w:rPr>
        <w:instrText xml:space="preserve"> ADDIN ZOTERO_ITEM CSL_CITATION {"citationID":"TtJBD6t5","properties":{"formattedCitation":"[2], [27], [40]","plainCitation":"[2], [27], [40]","noteIndex":0},"citationItems":[{"id":"QCoNWly0/VAwvpbWP","uris":["http://zotero.org/users/local/Rj7jaPwM/items/V9RGZ8TU"],"itemData":{"id":"y944touL/sPeIa3EH","type":"book","edition":"0","ISBN":"978-1-136-85131-5","language":"en","note":"DOI: 10.4324/9781315028767","publisher":"Routledge","source":"DOI.org (Crossref)","title":"Understanding Islamic Architecture","URL":"https://www.taylorfrancis.com/books/9781136851315","author":[{"family":"Petruccioli","given":"Attilo"},{"family":"Pirani","given":"Khalil K."}],"accessed":{"date-parts":[["2023",10,16]]},"issued":{"date-parts":[["2013",9,13]]}}},{"id":3733,"uris":["http://zotero.org/users/local/Rj7jaPwM/items/EYDKFFI5"],"itemData":{"id":3733,"type":"article-journal","abstract":"This paper discusses the notion of God as the only Creator, exploring its main implications for conceptualising the identity and purpose of Islamic architecture. The paper concludes that the concept of God as the Creator represents the core of the Islamic doctrine of tawhid (God's Oneness and Uniqueness) which, in turn, presents Islamic architecture with its identity impressing it by its own mould. Buildings in Islam are conceived and erected only to serve God and the noble purpose of creation instituted by the Creator. Ascribing the terms \"creation\" and \"creators\" to human beings should always be conditional and metaphorical, not authentic or unqualified. Just as the Creator cannot become creation, similarly a creation cannot become a creator. Only against this backdrop, the role and objective of man on earth, and all his civilisational undertakings, including architecture, are to be viewed and assessed. The implications of this central Islamic tenet for Islamic architecture are studied under the sub-topics of the identity of Islamic architecture and the role of Islamic decorative arts.","container-title":"KEMANUSIAAN","issue":"1","language":"en","source":"Zotero","title":"God as the Only Creator: Some Implications for Conceptualising Islamic Architecture","volume":"22","author":[{"family":"Spahic","given":"Omer"}],"issued":{"date-parts":[["2015"]]}}},{"id":3752,"uris":["http://zotero.org/users/local/Rj7jaPwM/items/FEKNFAQD"],"itemData":{"id":3752,"type":"book","abstract":"Planning and architecture in Islamic jurisprudence","event-place":"Cairo","publisher":"Dar al-Salam li-l-Nashr wa-l-Tawziʿ","publisher-place":"Cairo","title":"At-Takhtit wa al-Bunyan fī al-Fiqh al-Islāmī.pdf","author":[{"family":"Al-Murabit","given":"Zakaria"}],"issued":{"date-parts":[["2019"]]}}}],"schema":"https://github.com/citation-style-language/schema/raw/master/csl-citation.json"}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[2], [27], [40]</w:t>
      </w:r>
      <w:r w:rsidRPr="001964A8">
        <w:rPr>
          <w:rFonts w:cstheme="minorHAnsi"/>
          <w:sz w:val="20"/>
          <w:szCs w:val="20"/>
        </w:rPr>
        <w:fldChar w:fldCharType="end"/>
      </w:r>
      <w:r w:rsidRPr="001964A8">
        <w:rPr>
          <w:rFonts w:cstheme="minorHAnsi"/>
          <w:sz w:val="20"/>
          <w:szCs w:val="20"/>
        </w:rPr>
        <w:t xml:space="preserve">. </w:t>
      </w:r>
      <w:r w:rsidRPr="006A402A">
        <w:rPr>
          <w:rFonts w:cstheme="minorHAnsi"/>
          <w:sz w:val="20"/>
          <w:szCs w:val="20"/>
          <w:u w:val="single"/>
        </w:rPr>
        <w:t>It</w:t>
      </w:r>
      <w:r w:rsidRPr="001964A8">
        <w:rPr>
          <w:rFonts w:cstheme="minorHAnsi"/>
          <w:sz w:val="20"/>
          <w:szCs w:val="20"/>
        </w:rPr>
        <w:t xml:space="preserve"> is a set of rules </w:t>
      </w:r>
      <w:r w:rsidRPr="006A402A">
        <w:rPr>
          <w:rFonts w:cstheme="minorHAnsi"/>
          <w:sz w:val="20"/>
          <w:szCs w:val="20"/>
          <w:u w:val="single"/>
        </w:rPr>
        <w:t>resulting</w:t>
      </w:r>
      <w:r w:rsidRPr="001964A8">
        <w:rPr>
          <w:rFonts w:cstheme="minorHAnsi"/>
          <w:sz w:val="20"/>
          <w:szCs w:val="20"/>
        </w:rPr>
        <w:t xml:space="preserve"> from the movement of urbanism because of</w:t>
      </w:r>
      <w:r>
        <w:rPr>
          <w:rFonts w:cstheme="minorHAnsi"/>
          <w:sz w:val="20"/>
          <w:szCs w:val="20"/>
        </w:rPr>
        <w:t xml:space="preserve"> </w:t>
      </w:r>
      <w:r w:rsidRPr="006A402A">
        <w:rPr>
          <w:rFonts w:cstheme="minorHAnsi"/>
          <w:sz w:val="20"/>
          <w:szCs w:val="20"/>
          <w:u w:val="single"/>
        </w:rPr>
        <w:t>the</w:t>
      </w:r>
      <w:r w:rsidRPr="001964A8">
        <w:rPr>
          <w:rFonts w:cstheme="minorHAnsi"/>
          <w:sz w:val="20"/>
          <w:szCs w:val="20"/>
        </w:rPr>
        <w:t xml:space="preserve"> friction </w:t>
      </w:r>
      <w:r w:rsidRPr="006A402A">
        <w:rPr>
          <w:rFonts w:cstheme="minorHAnsi"/>
          <w:sz w:val="20"/>
          <w:szCs w:val="20"/>
          <w:u w:val="single"/>
        </w:rPr>
        <w:t>occurred</w:t>
      </w:r>
      <w:r>
        <w:rPr>
          <w:rFonts w:cstheme="minorHAnsi"/>
          <w:sz w:val="20"/>
          <w:szCs w:val="20"/>
        </w:rPr>
        <w:t xml:space="preserve"> </w:t>
      </w:r>
      <w:r w:rsidRPr="001964A8">
        <w:rPr>
          <w:rFonts w:cstheme="minorHAnsi"/>
          <w:sz w:val="20"/>
          <w:szCs w:val="20"/>
        </w:rPr>
        <w:t>between individuals and their desire for architecture</w:t>
      </w:r>
      <w:r>
        <w:rPr>
          <w:rFonts w:cstheme="minorHAnsi"/>
          <w:sz w:val="20"/>
          <w:szCs w:val="20"/>
        </w:rPr>
        <w:t>,</w:t>
      </w:r>
      <w:r w:rsidRPr="001964A8">
        <w:rPr>
          <w:rFonts w:cstheme="minorHAnsi"/>
          <w:sz w:val="20"/>
          <w:szCs w:val="20"/>
        </w:rPr>
        <w:t xml:space="preserve"> and the resulting questions answ</w:t>
      </w:r>
      <w:r>
        <w:rPr>
          <w:rFonts w:cstheme="minorHAnsi"/>
          <w:sz w:val="20"/>
          <w:szCs w:val="20"/>
        </w:rPr>
        <w:t xml:space="preserve">ered by Muslim jurists devised </w:t>
      </w:r>
      <w:proofErr w:type="spellStart"/>
      <w:r>
        <w:rPr>
          <w:rFonts w:cstheme="minorHAnsi"/>
          <w:i/>
          <w:sz w:val="20"/>
          <w:szCs w:val="20"/>
        </w:rPr>
        <w:t>f</w:t>
      </w:r>
      <w:r w:rsidRPr="006A402A">
        <w:rPr>
          <w:rFonts w:cstheme="minorHAnsi"/>
          <w:i/>
          <w:sz w:val="20"/>
          <w:szCs w:val="20"/>
        </w:rPr>
        <w:t>iqh</w:t>
      </w:r>
      <w:proofErr w:type="spellEnd"/>
      <w:r w:rsidRPr="001964A8">
        <w:rPr>
          <w:rFonts w:cstheme="minorHAnsi"/>
          <w:sz w:val="20"/>
          <w:szCs w:val="20"/>
        </w:rPr>
        <w:t xml:space="preserve"> provisions through the science of </w:t>
      </w:r>
      <w:proofErr w:type="spellStart"/>
      <w:r w:rsidRPr="00A554DF">
        <w:rPr>
          <w:rFonts w:cstheme="minorHAnsi"/>
          <w:i/>
          <w:iCs/>
          <w:sz w:val="20"/>
          <w:szCs w:val="20"/>
        </w:rPr>
        <w:t>fiqh</w:t>
      </w:r>
      <w:proofErr w:type="spellEnd"/>
      <w:r w:rsidRPr="001964A8">
        <w:rPr>
          <w:rFonts w:cstheme="minorHAnsi"/>
          <w:sz w:val="20"/>
          <w:szCs w:val="20"/>
        </w:rPr>
        <w:t xml:space="preserve"> </w:t>
      </w:r>
      <w:r w:rsidRPr="001964A8">
        <w:rPr>
          <w:rFonts w:cstheme="minorHAnsi"/>
          <w:sz w:val="20"/>
          <w:szCs w:val="20"/>
        </w:rPr>
        <w:fldChar w:fldCharType="begin"/>
      </w:r>
      <w:r w:rsidRPr="001964A8">
        <w:rPr>
          <w:rFonts w:cstheme="minorHAnsi"/>
          <w:sz w:val="20"/>
          <w:szCs w:val="20"/>
        </w:rPr>
        <w:instrText xml:space="preserve"> ADDIN ZOTERO_ITEM CSL_CITATION {"citationID":"7LoNuK5S","properties":{"formattedCitation":"[1]","plainCitation":"[1]","noteIndex":0},"citationItems":[{"id":3700,"uris":["http://zotero.org/users/local/Rj7jaPwM/items/YBNADNN9"],"itemData":{"id":3700,"type":"article-journal","container-title":"Majallat al-Majmaʿ al-ʿIlmi al-Masri","DOI":"10.21608/jfnile.2015.88419","ISSN":"2682-4779","issue":"90","journalAbbreviation":"Majallat al-Majmaʿ al-ʿIlmi al-Masri","language":"en","page":"21-61","source":"DOI.org (Crossref)","title":"Islamic Concepts of Building and Architecture","volume":"90","author":[{"family":"Azab","given":"Khaled"}],"issued":{"date-parts":[["2015",5,1]]}}}],"schema":"https://github.com/citation-style-language/schema/raw/master/csl-citation.json"}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[1]</w:t>
      </w:r>
      <w:r w:rsidRPr="001964A8">
        <w:rPr>
          <w:rFonts w:cstheme="minorHAnsi"/>
          <w:sz w:val="20"/>
          <w:szCs w:val="20"/>
        </w:rPr>
        <w:fldChar w:fldCharType="end"/>
      </w:r>
      <w:r w:rsidRPr="001964A8">
        <w:rPr>
          <w:rFonts w:cstheme="minorHAnsi"/>
          <w:sz w:val="20"/>
          <w:szCs w:val="20"/>
        </w:rPr>
        <w:t>.</w:t>
      </w:r>
    </w:p>
    <w:p w14:paraId="78CF22D3" w14:textId="77777777" w:rsidR="00973FEA" w:rsidRPr="001964A8" w:rsidRDefault="00973FEA" w:rsidP="00973FEA">
      <w:pPr>
        <w:widowControl w:val="0"/>
        <w:ind w:left="284" w:firstLine="283"/>
        <w:jc w:val="both"/>
        <w:rPr>
          <w:rFonts w:cstheme="minorHAnsi"/>
          <w:sz w:val="20"/>
          <w:szCs w:val="20"/>
        </w:rPr>
      </w:pPr>
      <w:r>
        <w:rPr>
          <w:rFonts w:cstheme="minorHAnsi"/>
          <w:sz w:val="20"/>
          <w:szCs w:val="20"/>
        </w:rPr>
        <w:t xml:space="preserve">While </w:t>
      </w:r>
      <w:r w:rsidRPr="00EB10DD">
        <w:rPr>
          <w:rFonts w:cstheme="minorHAnsi"/>
          <w:i/>
          <w:sz w:val="20"/>
          <w:szCs w:val="20"/>
          <w:u w:val="single"/>
        </w:rPr>
        <w:t>Fiqh</w:t>
      </w:r>
      <w:r w:rsidRPr="006A402A">
        <w:rPr>
          <w:rFonts w:cstheme="minorHAnsi"/>
          <w:sz w:val="20"/>
          <w:szCs w:val="20"/>
          <w:u w:val="single"/>
        </w:rPr>
        <w:t xml:space="preserve"> of Architecture</w:t>
      </w:r>
      <w:r w:rsidRPr="001964A8">
        <w:rPr>
          <w:rFonts w:cstheme="minorHAnsi"/>
          <w:sz w:val="20"/>
          <w:szCs w:val="20"/>
        </w:rPr>
        <w:t xml:space="preserve"> start</w:t>
      </w:r>
      <w:r>
        <w:rPr>
          <w:rFonts w:cstheme="minorHAnsi"/>
          <w:sz w:val="20"/>
          <w:szCs w:val="20"/>
        </w:rPr>
        <w:t>s</w:t>
      </w:r>
      <w:r w:rsidRPr="001964A8">
        <w:rPr>
          <w:rFonts w:cstheme="minorHAnsi"/>
          <w:sz w:val="20"/>
          <w:szCs w:val="20"/>
        </w:rPr>
        <w:t xml:space="preserve"> from architecture, it can develop until </w:t>
      </w:r>
      <w:r>
        <w:rPr>
          <w:rFonts w:cstheme="minorHAnsi"/>
          <w:sz w:val="20"/>
          <w:szCs w:val="20"/>
        </w:rPr>
        <w:t xml:space="preserve">the </w:t>
      </w:r>
      <w:r w:rsidRPr="001964A8">
        <w:rPr>
          <w:rFonts w:cstheme="minorHAnsi"/>
          <w:sz w:val="20"/>
          <w:szCs w:val="20"/>
        </w:rPr>
        <w:t>wide</w:t>
      </w:r>
      <w:r>
        <w:rPr>
          <w:rFonts w:cstheme="minorHAnsi"/>
          <w:sz w:val="20"/>
          <w:szCs w:val="20"/>
        </w:rPr>
        <w:t>r</w:t>
      </w:r>
      <w:r w:rsidRPr="001964A8">
        <w:rPr>
          <w:rFonts w:cstheme="minorHAnsi"/>
          <w:sz w:val="20"/>
          <w:szCs w:val="20"/>
        </w:rPr>
        <w:t xml:space="preserve"> variety of built environment</w:t>
      </w:r>
      <w:r>
        <w:rPr>
          <w:rFonts w:cstheme="minorHAnsi"/>
          <w:sz w:val="20"/>
          <w:szCs w:val="20"/>
        </w:rPr>
        <w:t xml:space="preserve">s </w:t>
      </w:r>
      <w:r w:rsidRPr="00FB42EF">
        <w:rPr>
          <w:rFonts w:cstheme="minorHAnsi"/>
          <w:sz w:val="20"/>
          <w:szCs w:val="20"/>
          <w:u w:val="single"/>
        </w:rPr>
        <w:t>become</w:t>
      </w:r>
      <w:r w:rsidRPr="001964A8">
        <w:rPr>
          <w:rFonts w:cstheme="minorHAnsi"/>
          <w:sz w:val="20"/>
          <w:szCs w:val="20"/>
        </w:rPr>
        <w:t xml:space="preserve"> urban or even a city </w:t>
      </w:r>
      <w:r w:rsidRPr="001964A8">
        <w:rPr>
          <w:rFonts w:cstheme="minorHAnsi"/>
          <w:sz w:val="20"/>
          <w:szCs w:val="20"/>
        </w:rPr>
        <w:fldChar w:fldCharType="begin"/>
      </w:r>
      <w:r w:rsidRPr="001964A8">
        <w:rPr>
          <w:rFonts w:cstheme="minorHAnsi"/>
          <w:sz w:val="20"/>
          <w:szCs w:val="20"/>
        </w:rPr>
        <w:instrText xml:space="preserve"> ADDIN ZOTERO_ITEM CSL_CITATION {"citationID":"nVhChefU","properties":{"formattedCitation":"[8], [26]","plainCitation":"[8], [26]","noteIndex":0},"citationItems":[{"id":3739,"uris":["http://zotero.org/users/local/Rj7jaPwM/items/GE39ZVLY"],"itemData":{"id":3739,"type":"book","abstract":"Urbanism and structure in the perspective of Islam","event-place":"Kuwait","ISBN":"978-99906-678-1-3","language":"ara","note":"OCLC: 929567099","publisher":"Rawafid","publisher-place":"Kuwait","source":"Open WorldCat","title":"Al-ʿUmran wa al-Binyan fī Manẓūr al-Islām","author":[{"family":"Waziri","given":"Yahya"}],"issued":{"date-parts":[["2008"]]}}},{"id":3755,"uris":["http://zotero.org/users/local/Rj7jaPwM/items/UNJ5ZJU4"],"itemData":{"id":3755,"type":"book","call-number":"HT147.5 .H35 1986","event-place":"London","ISBN":"978-0-7103-0094-2","language":"en","number-of-pages":"192","publisher":"New York : KPI","publisher-place":"London","source":"Library of Congress ISBN","title":"Arabic-Islamic cities: building and planning principles","title-short":"Arabic-Islamic cities","author":[{"family":"Hakim","given":"Besim S."}],"issued":{"date-parts":[["1986"]]}}}],"schema":"https://github.com/citation-style-language/schema/raw/master/csl-citation.json"}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[8], [26]</w:t>
      </w:r>
      <w:r w:rsidRPr="001964A8">
        <w:rPr>
          <w:rFonts w:cstheme="minorHAnsi"/>
          <w:sz w:val="20"/>
          <w:szCs w:val="20"/>
        </w:rPr>
        <w:fldChar w:fldCharType="end"/>
      </w:r>
      <w:r>
        <w:rPr>
          <w:rFonts w:cstheme="minorHAnsi"/>
          <w:sz w:val="20"/>
          <w:szCs w:val="20"/>
        </w:rPr>
        <w:t xml:space="preserve">. </w:t>
      </w:r>
      <w:r w:rsidRPr="00FB42EF">
        <w:rPr>
          <w:rFonts w:cstheme="minorHAnsi"/>
          <w:sz w:val="20"/>
          <w:szCs w:val="20"/>
          <w:u w:val="single"/>
        </w:rPr>
        <w:t xml:space="preserve">The second part of </w:t>
      </w:r>
      <w:r w:rsidRPr="00FB42EF">
        <w:rPr>
          <w:rFonts w:cstheme="minorHAnsi"/>
          <w:i/>
          <w:iCs/>
          <w:sz w:val="20"/>
          <w:szCs w:val="20"/>
          <w:u w:val="single"/>
        </w:rPr>
        <w:t>Fiqh</w:t>
      </w:r>
      <w:r w:rsidRPr="00FB42EF">
        <w:rPr>
          <w:rFonts w:cstheme="minorHAnsi"/>
          <w:sz w:val="20"/>
          <w:szCs w:val="20"/>
          <w:u w:val="single"/>
        </w:rPr>
        <w:t xml:space="preserve"> of Architecture is</w:t>
      </w:r>
      <w:r w:rsidRPr="001964A8">
        <w:rPr>
          <w:rFonts w:cstheme="minorHAnsi"/>
          <w:sz w:val="20"/>
          <w:szCs w:val="20"/>
        </w:rPr>
        <w:t xml:space="preserve"> based on the </w:t>
      </w:r>
      <w:r w:rsidRPr="00FB42EF">
        <w:rPr>
          <w:rFonts w:cstheme="minorHAnsi"/>
          <w:sz w:val="20"/>
          <w:szCs w:val="20"/>
          <w:u w:val="single"/>
        </w:rPr>
        <w:t>accumulation of Muslims’ urban and architectural experience and the problems</w:t>
      </w:r>
      <w:r w:rsidRPr="001964A8">
        <w:rPr>
          <w:rFonts w:cstheme="minorHAnsi"/>
          <w:sz w:val="20"/>
          <w:szCs w:val="20"/>
        </w:rPr>
        <w:t xml:space="preserve"> presented to scholars</w:t>
      </w:r>
      <w:r>
        <w:rPr>
          <w:rFonts w:cstheme="minorHAnsi"/>
          <w:sz w:val="20"/>
          <w:szCs w:val="20"/>
        </w:rPr>
        <w:t>. T</w:t>
      </w:r>
      <w:r w:rsidRPr="001964A8">
        <w:rPr>
          <w:rFonts w:cstheme="minorHAnsi"/>
          <w:sz w:val="20"/>
          <w:szCs w:val="20"/>
        </w:rPr>
        <w:t>hey cast out solutions t</w:t>
      </w:r>
      <w:r>
        <w:rPr>
          <w:rFonts w:cstheme="minorHAnsi"/>
          <w:sz w:val="20"/>
          <w:szCs w:val="20"/>
        </w:rPr>
        <w:t>o</w:t>
      </w:r>
      <w:r w:rsidRPr="001964A8">
        <w:rPr>
          <w:rFonts w:cstheme="minorHAnsi"/>
          <w:sz w:val="20"/>
          <w:szCs w:val="20"/>
        </w:rPr>
        <w:t xml:space="preserve">o quickly, </w:t>
      </w:r>
      <w:r w:rsidRPr="00FB42EF">
        <w:rPr>
          <w:rFonts w:cstheme="minorHAnsi"/>
          <w:sz w:val="20"/>
          <w:szCs w:val="20"/>
          <w:u w:val="single"/>
        </w:rPr>
        <w:t>then general rule</w:t>
      </w:r>
      <w:r>
        <w:rPr>
          <w:rFonts w:cstheme="minorHAnsi"/>
          <w:sz w:val="20"/>
          <w:szCs w:val="20"/>
          <w:u w:val="single"/>
        </w:rPr>
        <w:t>s</w:t>
      </w:r>
      <w:r w:rsidRPr="00FB42EF">
        <w:rPr>
          <w:rFonts w:cstheme="minorHAnsi"/>
          <w:sz w:val="20"/>
          <w:szCs w:val="20"/>
          <w:u w:val="single"/>
        </w:rPr>
        <w:t xml:space="preserve"> </w:t>
      </w:r>
      <w:r>
        <w:rPr>
          <w:rFonts w:cstheme="minorHAnsi"/>
          <w:sz w:val="20"/>
          <w:szCs w:val="20"/>
          <w:u w:val="single"/>
        </w:rPr>
        <w:t>are</w:t>
      </w:r>
      <w:r w:rsidRPr="00FB42EF">
        <w:rPr>
          <w:rFonts w:cstheme="minorHAnsi"/>
          <w:sz w:val="20"/>
          <w:szCs w:val="20"/>
          <w:u w:val="single"/>
        </w:rPr>
        <w:t xml:space="preserve"> created</w:t>
      </w:r>
      <w:r w:rsidRPr="001964A8">
        <w:rPr>
          <w:rFonts w:cstheme="minorHAnsi"/>
          <w:sz w:val="20"/>
          <w:szCs w:val="20"/>
        </w:rPr>
        <w:t xml:space="preserve">. These rules </w:t>
      </w:r>
      <w:r>
        <w:rPr>
          <w:rFonts w:cstheme="minorHAnsi"/>
          <w:sz w:val="20"/>
          <w:szCs w:val="20"/>
        </w:rPr>
        <w:t xml:space="preserve">were </w:t>
      </w:r>
      <w:r w:rsidRPr="001964A8">
        <w:rPr>
          <w:rFonts w:cstheme="minorHAnsi"/>
          <w:sz w:val="20"/>
          <w:szCs w:val="20"/>
        </w:rPr>
        <w:t>respected by leaders, rulers</w:t>
      </w:r>
      <w:r>
        <w:rPr>
          <w:rFonts w:cstheme="minorHAnsi"/>
          <w:sz w:val="20"/>
          <w:szCs w:val="20"/>
        </w:rPr>
        <w:t>,</w:t>
      </w:r>
      <w:r w:rsidRPr="001964A8">
        <w:rPr>
          <w:rFonts w:cstheme="minorHAnsi"/>
          <w:sz w:val="20"/>
          <w:szCs w:val="20"/>
        </w:rPr>
        <w:t xml:space="preserve"> and the people</w:t>
      </w:r>
      <w:r>
        <w:rPr>
          <w:rFonts w:cstheme="minorHAnsi"/>
          <w:sz w:val="20"/>
          <w:szCs w:val="20"/>
        </w:rPr>
        <w:t>,</w:t>
      </w:r>
      <w:r w:rsidRPr="001964A8">
        <w:rPr>
          <w:rFonts w:cstheme="minorHAnsi"/>
          <w:sz w:val="20"/>
          <w:szCs w:val="20"/>
        </w:rPr>
        <w:t xml:space="preserve"> </w:t>
      </w:r>
      <w:r w:rsidRPr="00270735">
        <w:rPr>
          <w:rFonts w:cstheme="minorHAnsi"/>
          <w:sz w:val="20"/>
          <w:szCs w:val="20"/>
          <w:u w:val="single"/>
        </w:rPr>
        <w:t>who</w:t>
      </w:r>
      <w:r w:rsidRPr="001964A8">
        <w:rPr>
          <w:rFonts w:cstheme="minorHAnsi"/>
          <w:sz w:val="20"/>
          <w:szCs w:val="20"/>
        </w:rPr>
        <w:t xml:space="preserve"> considered them a legitimate law </w:t>
      </w:r>
      <w:r w:rsidRPr="001964A8">
        <w:rPr>
          <w:rFonts w:cstheme="minorHAnsi"/>
          <w:sz w:val="20"/>
          <w:szCs w:val="20"/>
        </w:rPr>
        <w:fldChar w:fldCharType="begin"/>
      </w:r>
      <w:r w:rsidRPr="001964A8">
        <w:rPr>
          <w:rFonts w:cstheme="minorHAnsi"/>
          <w:sz w:val="20"/>
          <w:szCs w:val="20"/>
        </w:rPr>
        <w:instrText xml:space="preserve"> ADDIN ZOTERO_ITEM CSL_CITATION {"citationID":"4x9pBZe7","properties":{"formattedCitation":"[1], [14], [40]","plainCitation":"[1], [14], [40]","noteIndex":0},"citationItems":[{"id":3700,"uris":["http://zotero.org/users/local/Rj7jaPwM/items/YBNADNN9"],"itemData":{"id":3700,"type":"article-journal","container-title":"Majallat al-Majmaʿ al-ʿIlmi al-Masri","DOI":"10.21608/jfnile.2015.88419","ISSN":"2682-4779","issue":"90","journalAbbreviation":"Majallat al-Majmaʿ al-ʿIlmi al-Masri","language":"en","page":"21-61","source":"DOI.org (Crossref)","title":"Islamic Concepts of Building and Architecture","volume":"90","author":[{"family":"Azab","given":"Khaled"}],"issued":{"date-parts":[["2015",5,1]]}}},{"id":3695,"uris":["http://zotero.org/users/local/Rj7jaPwM/items/EQXE9443"],"itemData":{"id":3695,"type":"article-journal","abstract":"Architectural Jurisprudence is an important study in Islamic architecture that has not been much developed. Therefore it is necessary to have an in-depth study related to the reintegration of Islamic jurisprudence and architectural science as a total implementation of Islam. This study focuses on the nature, Islamic epistemology, and strategy of istinbath al ahkam fiqh architecture. This literature study research utilizes Azab’s thoughts (2012 &amp; 1997), Murobith (2018), and Zarkani (2006) in examining the nature and strategy of istinbath al-ahkam architectural fiqh and using the reasoning of the Islamic epistemology of Al Jabiri (1989) in studying the reasoning of the Islamic fiqh architectural epistemology. Azab’s opinion (2012 &amp; 1997), Murobith (2012), Zarkani (2006), and Al Jabiri (1989) were then combined as needed in making the theoretical foundation of architectural fiqh. The results of this study indicate that the nature of architectural fiqh includes definitions, objects of study, originators, and subjects of architectural fiqh. Architectural fiqh is a collection of various fiqh principles that result in the mobility of a city as an effect of contacting every member of the community, the tendency of building architectural forms, and various issues surrounding the building that are presented as a result of the collaboration of fiqh scholars with building practitioners and architecture as a fiqh legal fatwa based on the science of fiqh proposal . Meanwhile, the object of study is the integration of fiqh studies with architecture and building studies.The subject of the study of architecture fiqh is fiqh law as charging legal low or correlative law in the context of a building. Furthermore, the epistemology of Islam in architectural fiqh is part of the bayani reasoning method as well as burhani. Finally, the strategy of istinbath al ahkam fiqh architecture is the Koran, the sunnah nabawiyah, and the principles of fiqh.","container-title":"SHAHIH: Journal of Islamicate Multidisciplinary","DOI":"10.22515/shahih.v4i2.1867","ISSN":"2527-8126, 2527-8118","issue":"2","journalAbbreviation":"SJIM","language":"id","page":"151-169","source":"DOI.org (Crossref)","title":"Hakikat, Epistimologi Islam, dan Strategi Istinbath Al Ahkam Fikih Arsitektur","volume":"4","author":[{"family":"Yulianto","given":"Y"}],"issued":{"date-parts":[["2019",12,28]]}}},{"id":3752,"uris":["http://zotero.org/users/local/Rj7jaPwM/items/FEKNFAQD"],"itemData":{"id":3752,"type":"book","abstract":"Planning and architecture in Islamic jurisprudence","event-place":"Cairo","publisher":"Dar al-Salam li-l-Nashr wa-l-Tawziʿ","publisher-place":"Cairo","title":"At-Takhtit wa al-Bunyan fī al-Fiqh al-Islāmī.pdf","author":[{"family":"Al-Murabit","given":"Zakaria"}],"issued":{"date-parts":[["2019"]]}}}],"schema":"https://github.com/citation-style-language/schema/raw/master/csl-citation.json"}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[1], [14], [40]</w:t>
      </w:r>
      <w:r w:rsidRPr="001964A8">
        <w:rPr>
          <w:rFonts w:cstheme="minorHAnsi"/>
          <w:sz w:val="20"/>
          <w:szCs w:val="20"/>
        </w:rPr>
        <w:fldChar w:fldCharType="end"/>
      </w:r>
      <w:r>
        <w:rPr>
          <w:rFonts w:cstheme="minorHAnsi"/>
          <w:sz w:val="20"/>
          <w:szCs w:val="20"/>
        </w:rPr>
        <w:t>.</w:t>
      </w:r>
    </w:p>
    <w:p w14:paraId="21F57B16" w14:textId="3D780239" w:rsidR="00973FEA" w:rsidRDefault="00973FEA" w:rsidP="00973FEA">
      <w:pPr>
        <w:ind w:left="284" w:firstLine="283"/>
        <w:jc w:val="both"/>
        <w:rPr>
          <w:rFonts w:cstheme="minorHAnsi"/>
          <w:sz w:val="20"/>
          <w:szCs w:val="20"/>
        </w:rPr>
      </w:pPr>
      <w:r w:rsidRPr="001964A8">
        <w:rPr>
          <w:rFonts w:cstheme="minorHAnsi"/>
          <w:sz w:val="20"/>
          <w:szCs w:val="20"/>
        </w:rPr>
        <w:t xml:space="preserve">For a Muslim, incorporating those fundamental principles of Islamic teachings is essential in all aspects of life, and architecture is no exception. Consequently, the Islamic philosophical </w:t>
      </w:r>
      <w:r w:rsidRPr="00270735">
        <w:rPr>
          <w:rFonts w:cstheme="minorHAnsi"/>
          <w:sz w:val="20"/>
          <w:szCs w:val="20"/>
        </w:rPr>
        <w:t>foundation (</w:t>
      </w:r>
      <w:proofErr w:type="spellStart"/>
      <w:r w:rsidRPr="00270735">
        <w:rPr>
          <w:rFonts w:cstheme="minorHAnsi"/>
          <w:sz w:val="20"/>
          <w:szCs w:val="20"/>
        </w:rPr>
        <w:t>mentifact</w:t>
      </w:r>
      <w:proofErr w:type="spellEnd"/>
      <w:r w:rsidRPr="00270735">
        <w:rPr>
          <w:rFonts w:cstheme="minorHAnsi"/>
          <w:sz w:val="20"/>
          <w:szCs w:val="20"/>
        </w:rPr>
        <w:t>)</w:t>
      </w:r>
      <w:r w:rsidRPr="001964A8">
        <w:rPr>
          <w:rFonts w:cstheme="minorHAnsi"/>
          <w:sz w:val="20"/>
          <w:szCs w:val="20"/>
        </w:rPr>
        <w:t xml:space="preserve"> in architecture should </w:t>
      </w:r>
      <w:r w:rsidRPr="00270735">
        <w:rPr>
          <w:rFonts w:cstheme="minorHAnsi"/>
          <w:sz w:val="20"/>
          <w:szCs w:val="20"/>
          <w:u w:val="single"/>
        </w:rPr>
        <w:t>be drawn</w:t>
      </w:r>
      <w:r w:rsidRPr="001964A8">
        <w:rPr>
          <w:rFonts w:cstheme="minorHAnsi"/>
          <w:sz w:val="20"/>
          <w:szCs w:val="20"/>
        </w:rPr>
        <w:t xml:space="preserve"> from </w:t>
      </w:r>
      <w:r w:rsidRPr="00C53074">
        <w:rPr>
          <w:rFonts w:cstheme="minorHAnsi"/>
          <w:i/>
          <w:iCs/>
          <w:sz w:val="20"/>
          <w:szCs w:val="20"/>
        </w:rPr>
        <w:t>Aqidah</w:t>
      </w:r>
      <w:r w:rsidRPr="001964A8">
        <w:rPr>
          <w:rFonts w:cstheme="minorHAnsi"/>
          <w:sz w:val="20"/>
          <w:szCs w:val="20"/>
        </w:rPr>
        <w:t xml:space="preserve">, </w:t>
      </w:r>
      <w:r w:rsidRPr="00C53074">
        <w:rPr>
          <w:rFonts w:cstheme="minorHAnsi"/>
          <w:i/>
          <w:iCs/>
          <w:sz w:val="20"/>
          <w:szCs w:val="20"/>
        </w:rPr>
        <w:t>Akhlaq</w:t>
      </w:r>
      <w:r w:rsidRPr="001964A8">
        <w:rPr>
          <w:rFonts w:cstheme="minorHAnsi"/>
          <w:sz w:val="20"/>
          <w:szCs w:val="20"/>
        </w:rPr>
        <w:t xml:space="preserve">, and </w:t>
      </w:r>
      <w:r w:rsidRPr="00C53074">
        <w:rPr>
          <w:rFonts w:cstheme="minorHAnsi"/>
          <w:i/>
          <w:iCs/>
          <w:sz w:val="20"/>
          <w:szCs w:val="20"/>
        </w:rPr>
        <w:t>Fiqh</w:t>
      </w:r>
      <w:r w:rsidRPr="001964A8">
        <w:rPr>
          <w:rFonts w:cstheme="minorHAnsi"/>
          <w:sz w:val="20"/>
          <w:szCs w:val="20"/>
        </w:rPr>
        <w:t xml:space="preserve">. The Islamic </w:t>
      </w:r>
      <w:proofErr w:type="spellStart"/>
      <w:r w:rsidRPr="00270735">
        <w:rPr>
          <w:rFonts w:cstheme="minorHAnsi"/>
          <w:sz w:val="20"/>
          <w:szCs w:val="20"/>
        </w:rPr>
        <w:t>mentifact</w:t>
      </w:r>
      <w:proofErr w:type="spellEnd"/>
      <w:r w:rsidRPr="001964A8">
        <w:rPr>
          <w:rFonts w:cstheme="minorHAnsi"/>
          <w:sz w:val="20"/>
          <w:szCs w:val="20"/>
        </w:rPr>
        <w:t xml:space="preserve"> of architecture originating from </w:t>
      </w:r>
      <w:r w:rsidRPr="00C53074">
        <w:rPr>
          <w:rFonts w:cstheme="minorHAnsi"/>
          <w:i/>
          <w:iCs/>
          <w:sz w:val="20"/>
          <w:szCs w:val="20"/>
        </w:rPr>
        <w:t>Aqidah</w:t>
      </w:r>
      <w:r w:rsidRPr="001964A8">
        <w:rPr>
          <w:rFonts w:cstheme="minorHAnsi"/>
          <w:sz w:val="20"/>
          <w:szCs w:val="20"/>
        </w:rPr>
        <w:t xml:space="preserve"> and </w:t>
      </w:r>
      <w:r w:rsidRPr="00C53074">
        <w:rPr>
          <w:rFonts w:cstheme="minorHAnsi"/>
          <w:i/>
          <w:iCs/>
          <w:sz w:val="20"/>
          <w:szCs w:val="20"/>
        </w:rPr>
        <w:t>Akhlaq</w:t>
      </w:r>
      <w:r w:rsidRPr="001964A8">
        <w:rPr>
          <w:rFonts w:cstheme="minorHAnsi"/>
          <w:sz w:val="20"/>
          <w:szCs w:val="20"/>
        </w:rPr>
        <w:t xml:space="preserve"> pertains to the beliefs of the indiv</w:t>
      </w:r>
      <w:r>
        <w:rPr>
          <w:rFonts w:cstheme="minorHAnsi"/>
          <w:sz w:val="20"/>
          <w:szCs w:val="20"/>
        </w:rPr>
        <w:t xml:space="preserve">iduals associated with the </w:t>
      </w:r>
      <w:r w:rsidRPr="00270735">
        <w:rPr>
          <w:rFonts w:cstheme="minorHAnsi"/>
          <w:sz w:val="20"/>
          <w:szCs w:val="20"/>
          <w:u w:val="single"/>
        </w:rPr>
        <w:t>basis</w:t>
      </w:r>
      <w:r w:rsidRPr="001964A8">
        <w:rPr>
          <w:rFonts w:cstheme="minorHAnsi"/>
          <w:sz w:val="20"/>
          <w:szCs w:val="20"/>
        </w:rPr>
        <w:t xml:space="preserve"> in </w:t>
      </w:r>
      <w:r>
        <w:rPr>
          <w:rFonts w:cstheme="minorHAnsi"/>
          <w:sz w:val="20"/>
          <w:szCs w:val="20"/>
        </w:rPr>
        <w:t xml:space="preserve">the </w:t>
      </w:r>
      <w:r w:rsidRPr="001964A8">
        <w:rPr>
          <w:rFonts w:cstheme="minorHAnsi"/>
          <w:sz w:val="20"/>
          <w:szCs w:val="20"/>
        </w:rPr>
        <w:t xml:space="preserve">architectural process. On the other hand, </w:t>
      </w:r>
      <w:r w:rsidRPr="00C53074">
        <w:rPr>
          <w:rFonts w:cstheme="minorHAnsi"/>
          <w:i/>
          <w:iCs/>
          <w:sz w:val="20"/>
          <w:szCs w:val="20"/>
        </w:rPr>
        <w:t>Fiqh</w:t>
      </w:r>
      <w:r w:rsidRPr="001964A8">
        <w:rPr>
          <w:rFonts w:cstheme="minorHAnsi"/>
          <w:sz w:val="20"/>
          <w:szCs w:val="20"/>
        </w:rPr>
        <w:t xml:space="preserve"> directly relates to the pragmatic aspects of architecture itself.</w:t>
      </w:r>
    </w:p>
    <w:p w14:paraId="6D41EDA9" w14:textId="77777777" w:rsidR="00973FEA" w:rsidRDefault="00973FEA" w:rsidP="00973FEA">
      <w:pPr>
        <w:ind w:left="284" w:firstLine="283"/>
        <w:jc w:val="both"/>
        <w:rPr>
          <w:rFonts w:cstheme="minorHAnsi"/>
          <w:sz w:val="20"/>
          <w:szCs w:val="20"/>
        </w:rPr>
      </w:pPr>
    </w:p>
    <w:p w14:paraId="6F82C24F" w14:textId="1170734D" w:rsidR="00973FEA" w:rsidRPr="00973FEA" w:rsidRDefault="00973FEA" w:rsidP="00973FEA">
      <w:pPr>
        <w:pStyle w:val="ListParagraph"/>
        <w:numPr>
          <w:ilvl w:val="0"/>
          <w:numId w:val="8"/>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2. </w:t>
      </w:r>
      <w:r w:rsidRPr="00973FEA">
        <w:rPr>
          <w:rFonts w:asciiTheme="minorHAnsi" w:hAnsiTheme="minorHAnsi" w:cstheme="minorHAnsi"/>
          <w:b/>
          <w:bCs/>
          <w:sz w:val="18"/>
          <w:szCs w:val="18"/>
        </w:rPr>
        <w:t>OVERVIEW OF THE ISLAMIC BEHAVIORAL FOUNDATION (SOCIOFACT) OF ISLAMIC ARCHITECTURE</w:t>
      </w:r>
    </w:p>
    <w:p w14:paraId="6F29E93D" w14:textId="77777777" w:rsidR="00973FEA" w:rsidRDefault="00973FEA" w:rsidP="00973FEA">
      <w:pPr>
        <w:widowControl w:val="0"/>
        <w:ind w:left="284" w:firstLine="283"/>
        <w:jc w:val="both"/>
        <w:rPr>
          <w:rFonts w:cstheme="minorHAnsi"/>
          <w:sz w:val="20"/>
          <w:szCs w:val="20"/>
        </w:rPr>
      </w:pPr>
      <w:r w:rsidRPr="001964A8">
        <w:rPr>
          <w:rFonts w:cstheme="minorHAnsi"/>
          <w:sz w:val="20"/>
          <w:szCs w:val="20"/>
        </w:rPr>
        <w:t xml:space="preserve">In the context of Islamic architecture, </w:t>
      </w:r>
      <w:r>
        <w:rPr>
          <w:rFonts w:cstheme="minorHAnsi"/>
          <w:sz w:val="20"/>
          <w:szCs w:val="20"/>
        </w:rPr>
        <w:t>some basic rules in Islamic law</w:t>
      </w:r>
      <w:r w:rsidRPr="001964A8">
        <w:rPr>
          <w:rFonts w:cstheme="minorHAnsi"/>
          <w:sz w:val="20"/>
          <w:szCs w:val="20"/>
        </w:rPr>
        <w:t xml:space="preserve"> can be used as a </w:t>
      </w:r>
      <w:proofErr w:type="spellStart"/>
      <w:r w:rsidRPr="001964A8">
        <w:rPr>
          <w:rFonts w:cstheme="minorHAnsi"/>
          <w:sz w:val="20"/>
          <w:szCs w:val="20"/>
        </w:rPr>
        <w:t>behavioral</w:t>
      </w:r>
      <w:proofErr w:type="spellEnd"/>
      <w:r w:rsidRPr="001964A8">
        <w:rPr>
          <w:rFonts w:cstheme="minorHAnsi"/>
          <w:sz w:val="20"/>
          <w:szCs w:val="20"/>
        </w:rPr>
        <w:t xml:space="preserve"> foundation of architecture, such as the rule of no harm and no foul; </w:t>
      </w:r>
      <w:proofErr w:type="spellStart"/>
      <w:r w:rsidRPr="00AB7E09">
        <w:rPr>
          <w:rFonts w:cstheme="minorHAnsi"/>
          <w:i/>
          <w:sz w:val="20"/>
          <w:szCs w:val="20"/>
          <w:u w:val="single"/>
        </w:rPr>
        <w:t>aḍ-ḍorōru</w:t>
      </w:r>
      <w:proofErr w:type="spellEnd"/>
      <w:r w:rsidRPr="001964A8">
        <w:rPr>
          <w:rFonts w:cstheme="minorHAnsi"/>
          <w:sz w:val="20"/>
          <w:szCs w:val="20"/>
        </w:rPr>
        <w:t xml:space="preserve"> (</w:t>
      </w:r>
      <w:r w:rsidRPr="001964A8">
        <w:rPr>
          <w:rFonts w:cstheme="minorHAnsi"/>
          <w:sz w:val="20"/>
          <w:szCs w:val="20"/>
          <w:rtl/>
        </w:rPr>
        <w:t>لاَضَرَرَ وَلَا ضِرَارَ</w:t>
      </w:r>
      <w:r w:rsidRPr="001964A8">
        <w:rPr>
          <w:rFonts w:cstheme="minorHAnsi"/>
          <w:sz w:val="20"/>
          <w:szCs w:val="20"/>
        </w:rPr>
        <w:t xml:space="preserve">) </w:t>
      </w:r>
      <w:r w:rsidRPr="001964A8">
        <w:rPr>
          <w:rFonts w:cstheme="minorHAnsi"/>
          <w:sz w:val="20"/>
          <w:szCs w:val="20"/>
        </w:rPr>
        <w:fldChar w:fldCharType="begin"/>
      </w:r>
      <w:r w:rsidRPr="001964A8">
        <w:rPr>
          <w:rFonts w:cstheme="minorHAnsi"/>
          <w:sz w:val="20"/>
          <w:szCs w:val="20"/>
        </w:rPr>
        <w:instrText xml:space="preserve"> ADDIN ZOTERO_ITEM CSL_CITATION {"citationID":"ZRzvZ3pv","properties":{"formattedCitation":"[12], [41], [42], [43], [44]","plainCitation":"[12], [41], [42], [43], [44]","noteIndex":0},"citationItems":[{"id":3763,"uris":["http://zotero.org/users/local/Rj7jaPwM/items/988JNVPM"],"itemData":{"id":3763,"type":"article-journal","abstract":"Praise be to God, Lord of the Worlds, and prayers and peace be\nupon the most honorable of the prophets and messengers, and upon all his\nfamily and companions.This research examines the rule: (no harm, no\nharm) mentioned by Imam Al-Damiri - may God Almighty have mercy on\nhim - in his book Al-Najm Al-Wahaj in Explaining Al-Minhaj, an applied\nstudy, where the research included an introduction and documentation of\nthe rule and four sections. Imam al-Damiri al-Qaida, and the formulas that\nwere famous on the tongues of jurists, and the first topic: it included an\nexplanation of the rule, and the second topic: it included the evidence on the\nrule, and the third topic: it included the applied study of the rule, and the\nfourth topic: it included the sub-rules related to the rule, and as for the\nconclusion It included the most important results that I reached during the\nresearch, and praise be to God, Lord of the Worlds.","container-title":"Researcher Journal For Islamic Sciences","DOI":"10.37940/RJIS.2022.2.2.9","ISSN":"27084000","issue":"2","journalAbbreviation":"RJIS","language":"ar","source":"DOI.org (Crossref)","title":"Rule: (No harm, no Foul), an applied study inthe book (Al-Najm Al-Wahaj fi Sharh Al-Minhaj)by Imam Al-Damiri (T: 808AH)","title-short":"Rule","URL":"https://uofrjis.net/index.php/new/article/view/62","volume":"2","author":[{"family":"Ahmeed","given":"Reem Ibrahem Suliman"},{"family":"Sumiran","given":"Ahmed Khalaf Abas"}],"accessed":{"date-parts":[["2023",10,19]]},"issued":{"date-parts":[["2022",12]]}}},{"id":3764,"uris":["http://zotero.org/users/local/Rj7jaPwM/items/P36QR6FU"],"itemData":{"id":3764,"type":"article-journal","abstract":"Thanks to Allah, and peace be upon our Prophet Mohammed and on his family and companions and then: This research contains the great total jurisprudence rule (no harm or harm) mentioned by Imam Al-Ruwini in his book Bahr al-madhab. It consists of an introduction and five sections. The first section talked about the personal and scientific life of the Imam as well as his famous book “Bahr al-Madhahb”. In the second section, the researcher presented a classification of the rule’s vocabulary and its overall meaning. The third section mentioned the evidence for this rule, while the fourth section contains the applied study of the rule. Finally, the fifth topic contains the rules falling under the main rule. The conclusion presented the most important results reached by the researcher.","container-title":"Researcher Journal For Islamic Sciences","DOI":"10.37940/RJIS.2022.1.2.11","ISSN":"27084000","issue":"2","journalAbbreviation":"RJIS","language":"ar","source":"DOI.org (Crossref)","title":"No harm Or Foul At Imam Al-Ruwaiani(D:502AH) – An insight through his Book (Bahr al-Madhahib)","title-short":"No harm Or harm At Imam Al-Ruwaiani(D","URL":"https://uofrjis.net/index.php/new/article/view/68","volume":"1","author":[{"family":"Hazaa","given":"Fatimah Ibrahem"},{"family":"Hummadi","given":"Mohammad Najib"}],"accessed":{"date-parts":[["2023",10,19]]},"issued":{"date-parts":[["2022"]]}}},{"id":3766,"uris":["http://zotero.org/users/local/Rj7jaPwM/items/TPEFUCT5"],"itemData":{"id":3766,"type":"article-journal","abstract":"Calamities and jurisprudential rules are closely related, since these rules form juristic balance that weighs the jurisprudential calamity. One of those rules states that \"damage must be removed\" which is one of the five major rules. In the Maliki’s books of calamities, there are many applications on this rule. The present study extracts some of these applications and highlights the fact that the authors of calamity books were keen on referring to these rules in their fatwas (legal opinions) and observing cases of necessity to remove the embarrassment from the enquiring person. This research paper provides the linguistic and Sharia-based technical definitions of calamities, and rules particularly the rule of \"damage must be removed\". It introduces this rule as one of the five major rules. It underlines its great importance in demonstrating that Sharia aims at facilitating and easing people's lives and in protecting the adult person as well as others through imposing the rule of doing no harm to themselves or to others. This basic rule incorporates numerous rules and many other jurisprudential issues as well.","container-title":"Journal of the Faculty of Sharia and Law in Assiut","issue":"4","language":"en","page":"1428-1464","source":"Zotero","title":"Rule “No infliction of harm or reciprocal damage” in the topic of calamities in Maliki Jurisprudence","volume":"32","author":[{"family":"Ash-Shihri","given":"bin Hussein Mughram"},{"family":"Awad","given":""}],"issued":{"date-parts":[["2020"]]}}},{"id":3768,"uris":["http://zotero.org/users/local/Rj7jaPwM/items/2ATX7IAL"],"itemData":{"id":3768,"type":"article-journal","container-title":"Koleyat al-Shari'a wa al-Qānūn bi-Asyūṭ","language":"en","page":"985-1051","source":"Zotero","title":"Neighborhood Rulings in Light of Jurisprudential Rules","author":[{"family":"Ibrahim Ahmad Fakher","given":"Ali","non-dropping-particle":"bin"}],"issued":{"date-parts":[["2023"]]}}},{"id":3789,"uris":["http://zotero.org/users/local/Rj7jaPwM/items/BPEX52JQ"],"itemData":{"id":3789,"type":"paper-conference","container-title":"UIA 2017 Seoul World Architects Congress","page":"34-41","title":"Does Islamic Architecture Reflect Islam (Faith)?","volume":"1","author":[{"family":"Ul Huq","given":"Masum"},{"family":"Haque2","given":"Afrina"}],"issued":{"date-parts":[["2017"]]}}}],"schema":"https://github.com/citation-style-language/schema/raw/master/csl-citation.json"}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[12], [41], [42], [43], [44]</w:t>
      </w:r>
      <w:r w:rsidRPr="001964A8">
        <w:rPr>
          <w:rFonts w:cstheme="minorHAnsi"/>
          <w:sz w:val="20"/>
          <w:szCs w:val="20"/>
        </w:rPr>
        <w:fldChar w:fldCharType="end"/>
      </w:r>
      <w:r w:rsidRPr="001964A8">
        <w:rPr>
          <w:rFonts w:cstheme="minorHAnsi"/>
          <w:sz w:val="20"/>
          <w:szCs w:val="20"/>
        </w:rPr>
        <w:t xml:space="preserve">, </w:t>
      </w:r>
      <w:r w:rsidRPr="00AB7E09">
        <w:rPr>
          <w:rFonts w:cstheme="minorHAnsi"/>
          <w:i/>
          <w:sz w:val="20"/>
          <w:szCs w:val="20"/>
          <w:u w:val="single"/>
        </w:rPr>
        <w:t>habitude</w:t>
      </w:r>
      <w:r w:rsidRPr="001964A8">
        <w:rPr>
          <w:rFonts w:cstheme="minorHAnsi"/>
          <w:sz w:val="20"/>
          <w:szCs w:val="20"/>
        </w:rPr>
        <w:t xml:space="preserve"> that are established as a legal basis ( </w:t>
      </w:r>
      <w:r w:rsidRPr="001964A8">
        <w:rPr>
          <w:rFonts w:cstheme="minorHAnsi"/>
          <w:sz w:val="20"/>
          <w:szCs w:val="20"/>
          <w:rtl/>
        </w:rPr>
        <w:t>اَلْعَادَةُ مُحَكَّمَةٌ</w:t>
      </w:r>
      <w:r w:rsidRPr="001964A8">
        <w:rPr>
          <w:rFonts w:cstheme="minorHAnsi"/>
          <w:sz w:val="20"/>
          <w:szCs w:val="20"/>
        </w:rPr>
        <w:t xml:space="preserve"> ) </w:t>
      </w:r>
      <w:r w:rsidRPr="001964A8">
        <w:rPr>
          <w:rFonts w:cstheme="minorHAnsi"/>
          <w:sz w:val="20"/>
          <w:szCs w:val="20"/>
        </w:rPr>
        <w:fldChar w:fldCharType="begin"/>
      </w:r>
      <w:r w:rsidRPr="001964A8">
        <w:rPr>
          <w:rFonts w:cstheme="minorHAnsi"/>
          <w:sz w:val="20"/>
          <w:szCs w:val="20"/>
        </w:rPr>
        <w:instrText xml:space="preserve"> ADDIN ZOTERO_ITEM CSL_CITATION {"citationID":"ZeFF7Nvo","properties":{"formattedCitation":"[14], [40], [44]","plainCitation":"[14], [40], [44]","noteIndex":0},"citationItems":[{"id":3695,"uris":["http://zotero.org/users/local/Rj7jaPwM/items/EQXE9443"],"itemData":{"id":3695,"type":"article-journal","abstract":"Architectural Jurisprudence is an important study in Islamic architecture that has not been much developed. Therefore it is necessary to have an in-depth study related to the reintegration of Islamic jurisprudence and architectural science as a total implementation of Islam. This study focuses on the nature, Islamic epistemology, and strategy of istinbath al ahkam fiqh architecture. This literature study research utilizes Azab’s thoughts (2012 &amp; 1997), Murobith (2018), and Zarkani (2006) in examining the nature and strategy of istinbath al-ahkam architectural fiqh and using the reasoning of the Islamic epistemology of Al Jabiri (1989) in studying the reasoning of the Islamic fiqh architectural epistemology. Azab’s opinion (2012 &amp; 1997), Murobith (2012), Zarkani (2006), and Al Jabiri (1989) were then combined as needed in making the theoretical foundation of architectural fiqh. The results of this study indicate that the nature of architectural fiqh includes definitions, objects of study, originators, and subjects of architectural fiqh. Architectural fiqh is a collection of various fiqh principles that result in the mobility of a city as an effect of contacting every member of the community, the tendency of building architectural forms, and various issues surrounding the building that are presented as a result of the collaboration of fiqh scholars with building practitioners and architecture as a fiqh legal fatwa based on the science of fiqh proposal . Meanwhile, the object of study is the integration of fiqh studies with architecture and building studies.The subject of the study of architecture fiqh is fiqh law as charging legal low or correlative law in the context of a building. Furthermore, the epistemology of Islam in architectural fiqh is part of the bayani reasoning method as well as burhani. Finally, the strategy of istinbath al ahkam fiqh architecture is the Koran, the sunnah nabawiyah, and the principles of fiqh.","container-title":"SHAHIH: Journal of Islamicate Multidisciplinary","DOI":"10.22515/shahih.v4i2.1867","ISSN":"2527-8126, 2527-8118","issue":"2","journalAbbreviation":"SJIM","language":"id","page":"151-169","source":"DOI.org (Crossref)","title":"Hakikat, Epistimologi Islam, dan Strategi Istinbath Al Ahkam Fikih Arsitektur","volume":"4","author":[{"family":"Yulianto","given":"Y"}],"issued":{"date-parts":[["2019",12,28]]}}},{"id":3752,"uris":["http://zotero.org/users/local/Rj7jaPwM/items/FEKNFAQD"],"itemData":{"id":3752,"type":"book","abstract":"Planning and architecture in Islamic jurisprudence","event-place":"Cairo","publisher":"Dar al-Salam li-l-Nashr wa-l-Tawziʿ","publisher-place":"Cairo","title":"At-Takhtit wa al-Bunyan fī al-Fiqh al-Islāmī.pdf","author":[{"family":"Al-Murabit","given":"Zakaria"}],"issued":{"date-parts":[["2019"]]}}},{"id":3768,"uris":["http://zotero.org/users/local/Rj7jaPwM/items/2ATX7IAL"],"itemData":{"id":3768,"type":"article-journal","container-title":"Koleyat al-Shari'a wa al-Qānūn bi-Asyūṭ","language":"en","page":"985-1051","source":"Zotero","title":"Neighborhood Rulings in Light of Jurisprudential Rules","author":[{"family":"Ibrahim Ahmad Fakher","given":"Ali","non-dropping-particle":"bin"}],"issued":{"date-parts":[["2023"]]}}}],"schema":"https://github.com/citation-style-language/schema/raw/master/csl-citation.json"}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[14], [40], [44]</w:t>
      </w:r>
      <w:r w:rsidRPr="001964A8">
        <w:rPr>
          <w:rFonts w:cstheme="minorHAnsi"/>
          <w:sz w:val="20"/>
          <w:szCs w:val="20"/>
        </w:rPr>
        <w:fldChar w:fldCharType="end"/>
      </w:r>
      <w:r>
        <w:rPr>
          <w:rFonts w:cstheme="minorHAnsi"/>
          <w:sz w:val="20"/>
          <w:szCs w:val="20"/>
        </w:rPr>
        <w:t xml:space="preserve">, hardship </w:t>
      </w:r>
      <w:r w:rsidRPr="00AB7E09">
        <w:rPr>
          <w:rFonts w:cstheme="minorHAnsi"/>
          <w:sz w:val="20"/>
          <w:szCs w:val="20"/>
          <w:u w:val="single"/>
        </w:rPr>
        <w:t>bringing</w:t>
      </w:r>
      <w:r w:rsidRPr="001964A8">
        <w:rPr>
          <w:rFonts w:cstheme="minorHAnsi"/>
          <w:sz w:val="20"/>
          <w:szCs w:val="20"/>
        </w:rPr>
        <w:t xml:space="preserve"> ease (</w:t>
      </w:r>
      <w:proofErr w:type="spellStart"/>
      <w:r w:rsidRPr="001964A8">
        <w:rPr>
          <w:rFonts w:cstheme="minorHAnsi"/>
          <w:sz w:val="20"/>
          <w:szCs w:val="20"/>
        </w:rPr>
        <w:t>قاعدة</w:t>
      </w:r>
      <w:proofErr w:type="spellEnd"/>
      <w:r w:rsidRPr="001964A8">
        <w:rPr>
          <w:rFonts w:cstheme="minorHAnsi"/>
          <w:sz w:val="20"/>
          <w:szCs w:val="20"/>
        </w:rPr>
        <w:t xml:space="preserve"> </w:t>
      </w:r>
      <w:proofErr w:type="spellStart"/>
      <w:r w:rsidRPr="001964A8">
        <w:rPr>
          <w:rFonts w:cstheme="minorHAnsi"/>
          <w:sz w:val="20"/>
          <w:szCs w:val="20"/>
        </w:rPr>
        <w:t>المشقة</w:t>
      </w:r>
      <w:proofErr w:type="spellEnd"/>
      <w:r w:rsidRPr="001964A8">
        <w:rPr>
          <w:rFonts w:cstheme="minorHAnsi"/>
          <w:sz w:val="20"/>
          <w:szCs w:val="20"/>
        </w:rPr>
        <w:t xml:space="preserve"> </w:t>
      </w:r>
      <w:proofErr w:type="spellStart"/>
      <w:r w:rsidRPr="001964A8">
        <w:rPr>
          <w:rFonts w:cstheme="minorHAnsi"/>
          <w:sz w:val="20"/>
          <w:szCs w:val="20"/>
        </w:rPr>
        <w:t>تجلب</w:t>
      </w:r>
      <w:proofErr w:type="spellEnd"/>
      <w:r w:rsidRPr="001964A8">
        <w:rPr>
          <w:rFonts w:cstheme="minorHAnsi"/>
          <w:sz w:val="20"/>
          <w:szCs w:val="20"/>
        </w:rPr>
        <w:t xml:space="preserve"> </w:t>
      </w:r>
      <w:proofErr w:type="spellStart"/>
      <w:r w:rsidRPr="001964A8">
        <w:rPr>
          <w:rFonts w:cstheme="minorHAnsi"/>
          <w:sz w:val="20"/>
          <w:szCs w:val="20"/>
        </w:rPr>
        <w:t>التيسير</w:t>
      </w:r>
      <w:proofErr w:type="spellEnd"/>
      <w:r w:rsidRPr="001964A8">
        <w:rPr>
          <w:rFonts w:cstheme="minorHAnsi"/>
          <w:sz w:val="20"/>
          <w:szCs w:val="20"/>
        </w:rPr>
        <w:t>), certainty that is not removed by doubt (</w:t>
      </w:r>
      <w:proofErr w:type="spellStart"/>
      <w:r w:rsidRPr="001964A8">
        <w:rPr>
          <w:rFonts w:cstheme="minorHAnsi"/>
          <w:sz w:val="20"/>
          <w:szCs w:val="20"/>
        </w:rPr>
        <w:t>يقين</w:t>
      </w:r>
      <w:proofErr w:type="spellEnd"/>
      <w:r w:rsidRPr="001964A8">
        <w:rPr>
          <w:rFonts w:cstheme="minorHAnsi"/>
          <w:sz w:val="20"/>
          <w:szCs w:val="20"/>
        </w:rPr>
        <w:t xml:space="preserve"> </w:t>
      </w:r>
      <w:proofErr w:type="spellStart"/>
      <w:r w:rsidRPr="001964A8">
        <w:rPr>
          <w:rFonts w:cstheme="minorHAnsi"/>
          <w:sz w:val="20"/>
          <w:szCs w:val="20"/>
        </w:rPr>
        <w:t>لا</w:t>
      </w:r>
      <w:proofErr w:type="spellEnd"/>
      <w:r w:rsidRPr="001964A8">
        <w:rPr>
          <w:rFonts w:cstheme="minorHAnsi"/>
          <w:sz w:val="20"/>
          <w:szCs w:val="20"/>
        </w:rPr>
        <w:t xml:space="preserve"> </w:t>
      </w:r>
      <w:proofErr w:type="spellStart"/>
      <w:r w:rsidRPr="001964A8">
        <w:rPr>
          <w:rFonts w:cstheme="minorHAnsi"/>
          <w:sz w:val="20"/>
          <w:szCs w:val="20"/>
        </w:rPr>
        <w:t>يزول</w:t>
      </w:r>
      <w:proofErr w:type="spellEnd"/>
      <w:r w:rsidRPr="001964A8">
        <w:rPr>
          <w:rFonts w:cstheme="minorHAnsi"/>
          <w:sz w:val="20"/>
          <w:szCs w:val="20"/>
        </w:rPr>
        <w:t xml:space="preserve"> </w:t>
      </w:r>
      <w:proofErr w:type="spellStart"/>
      <w:r w:rsidRPr="001964A8">
        <w:rPr>
          <w:rFonts w:cstheme="minorHAnsi"/>
          <w:sz w:val="20"/>
          <w:szCs w:val="20"/>
        </w:rPr>
        <w:t>بالشك</w:t>
      </w:r>
      <w:proofErr w:type="spellEnd"/>
      <w:r w:rsidRPr="001964A8">
        <w:rPr>
          <w:rFonts w:cstheme="minorHAnsi"/>
          <w:sz w:val="20"/>
          <w:szCs w:val="20"/>
        </w:rPr>
        <w:t>), matters according to their objectives (</w:t>
      </w:r>
      <w:proofErr w:type="spellStart"/>
      <w:r w:rsidRPr="001964A8">
        <w:rPr>
          <w:rFonts w:cstheme="minorHAnsi"/>
          <w:sz w:val="20"/>
          <w:szCs w:val="20"/>
        </w:rPr>
        <w:t>الأمور</w:t>
      </w:r>
      <w:proofErr w:type="spellEnd"/>
      <w:r w:rsidRPr="001964A8">
        <w:rPr>
          <w:rFonts w:cstheme="minorHAnsi"/>
          <w:sz w:val="20"/>
          <w:szCs w:val="20"/>
        </w:rPr>
        <w:t xml:space="preserve"> </w:t>
      </w:r>
      <w:proofErr w:type="spellStart"/>
      <w:r w:rsidRPr="001964A8">
        <w:rPr>
          <w:rFonts w:cstheme="minorHAnsi"/>
          <w:sz w:val="20"/>
          <w:szCs w:val="20"/>
        </w:rPr>
        <w:t>بمقاصدها</w:t>
      </w:r>
      <w:proofErr w:type="spellEnd"/>
      <w:r>
        <w:rPr>
          <w:rFonts w:cstheme="minorHAnsi"/>
          <w:sz w:val="20"/>
          <w:szCs w:val="20"/>
        </w:rPr>
        <w:t>), and other Islamic basic</w:t>
      </w:r>
      <w:r w:rsidRPr="001964A8">
        <w:rPr>
          <w:rFonts w:cstheme="minorHAnsi"/>
          <w:sz w:val="20"/>
          <w:szCs w:val="20"/>
        </w:rPr>
        <w:t xml:space="preserve"> ruling and provisions </w:t>
      </w:r>
      <w:r w:rsidRPr="001964A8">
        <w:rPr>
          <w:rFonts w:cstheme="minorHAnsi"/>
          <w:sz w:val="20"/>
          <w:szCs w:val="20"/>
        </w:rPr>
        <w:fldChar w:fldCharType="begin"/>
      </w:r>
      <w:r w:rsidRPr="001964A8">
        <w:rPr>
          <w:rFonts w:cstheme="minorHAnsi"/>
          <w:sz w:val="20"/>
          <w:szCs w:val="20"/>
        </w:rPr>
        <w:instrText xml:space="preserve"> ADDIN ZOTERO_ITEM CSL_CITATION {"citationID":"TkyNMAWe","properties":{"formattedCitation":"[44]","plainCitation":"[44]","noteIndex":0},"citationItems":[{"id":3768,"uris":["http://zotero.org/users/local/Rj7jaPwM/items/2ATX7IAL"],"itemData":{"id":3768,"type":"article-journal","container-title":"Koleyat al-Shari'a wa al-Qānūn bi-Asyūṭ","language":"en","page":"985-1051","source":"Zotero","title":"Neighborhood Rulings in Light of Jurisprudential Rules","author":[{"family":"Ibrahim Ahmad Fakher","given":"Ali","non-dropping-particle":"bin"}],"issued":{"date-parts":[["2023"]]}}}],"schema":"https://github.com/citation-style-language/schema/raw/master/csl-citation.json"}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[44]</w:t>
      </w:r>
      <w:r w:rsidRPr="001964A8">
        <w:rPr>
          <w:rFonts w:cstheme="minorHAnsi"/>
          <w:sz w:val="20"/>
          <w:szCs w:val="20"/>
        </w:rPr>
        <w:fldChar w:fldCharType="end"/>
      </w:r>
      <w:r w:rsidRPr="001964A8">
        <w:rPr>
          <w:rFonts w:cstheme="minorHAnsi"/>
          <w:sz w:val="20"/>
          <w:szCs w:val="20"/>
        </w:rPr>
        <w:t>. Here</w:t>
      </w:r>
      <w:r>
        <w:rPr>
          <w:rFonts w:cstheme="minorHAnsi"/>
          <w:sz w:val="20"/>
          <w:szCs w:val="20"/>
        </w:rPr>
        <w:t>,</w:t>
      </w:r>
      <w:r w:rsidRPr="001964A8">
        <w:rPr>
          <w:rFonts w:cstheme="minorHAnsi"/>
          <w:sz w:val="20"/>
          <w:szCs w:val="20"/>
        </w:rPr>
        <w:t xml:space="preserve"> we delve </w:t>
      </w:r>
      <w:r>
        <w:rPr>
          <w:rFonts w:cstheme="minorHAnsi"/>
          <w:sz w:val="20"/>
          <w:szCs w:val="20"/>
        </w:rPr>
        <w:t>into</w:t>
      </w:r>
      <w:r w:rsidRPr="001964A8">
        <w:rPr>
          <w:rFonts w:cstheme="minorHAnsi"/>
          <w:sz w:val="20"/>
          <w:szCs w:val="20"/>
        </w:rPr>
        <w:t xml:space="preserve"> the first two. </w:t>
      </w:r>
    </w:p>
    <w:p w14:paraId="35E5ABEB" w14:textId="77777777" w:rsidR="00973FEA" w:rsidRPr="001964A8" w:rsidRDefault="00973FEA" w:rsidP="00973FEA">
      <w:pPr>
        <w:widowControl w:val="0"/>
        <w:ind w:left="284" w:firstLine="283"/>
        <w:jc w:val="both"/>
        <w:rPr>
          <w:rFonts w:cstheme="minorHAnsi"/>
          <w:sz w:val="20"/>
          <w:szCs w:val="20"/>
        </w:rPr>
      </w:pPr>
    </w:p>
    <w:p w14:paraId="4701305C" w14:textId="56C5A522" w:rsidR="00973FEA" w:rsidRPr="00F4380B" w:rsidRDefault="00973FEA" w:rsidP="00973FEA">
      <w:pPr>
        <w:pStyle w:val="ListParagraph"/>
        <w:widowControl w:val="0"/>
        <w:numPr>
          <w:ilvl w:val="0"/>
          <w:numId w:val="9"/>
        </w:numPr>
        <w:ind w:left="284" w:firstLine="0"/>
        <w:jc w:val="both"/>
        <w:rPr>
          <w:rFonts w:asciiTheme="minorHAnsi" w:hAnsiTheme="minorHAnsi" w:cstheme="minorHAnsi"/>
          <w:b/>
          <w:bCs/>
          <w:sz w:val="18"/>
          <w:szCs w:val="18"/>
        </w:rPr>
      </w:pPr>
      <w:r w:rsidRPr="00F4380B">
        <w:rPr>
          <w:rFonts w:asciiTheme="minorHAnsi" w:hAnsiTheme="minorHAnsi" w:cstheme="minorHAnsi"/>
          <w:b/>
          <w:bCs/>
          <w:iCs/>
          <w:sz w:val="18"/>
          <w:szCs w:val="18"/>
        </w:rPr>
        <w:t xml:space="preserve">2.1.     </w:t>
      </w:r>
      <w:proofErr w:type="spellStart"/>
      <w:r w:rsidRPr="00F4380B">
        <w:rPr>
          <w:rFonts w:asciiTheme="minorHAnsi" w:hAnsiTheme="minorHAnsi" w:cstheme="minorHAnsi"/>
          <w:b/>
          <w:bCs/>
          <w:i/>
          <w:sz w:val="18"/>
          <w:szCs w:val="18"/>
          <w:u w:val="single"/>
        </w:rPr>
        <w:t>aḍ</w:t>
      </w:r>
      <w:proofErr w:type="spellEnd"/>
      <w:r w:rsidRPr="00F4380B">
        <w:rPr>
          <w:rFonts w:asciiTheme="minorHAnsi" w:hAnsiTheme="minorHAnsi" w:cstheme="minorHAnsi"/>
          <w:b/>
          <w:bCs/>
          <w:i/>
          <w:sz w:val="18"/>
          <w:szCs w:val="18"/>
          <w:u w:val="single"/>
        </w:rPr>
        <w:t xml:space="preserve">- </w:t>
      </w:r>
      <w:proofErr w:type="spellStart"/>
      <w:r w:rsidRPr="00F4380B">
        <w:rPr>
          <w:rFonts w:asciiTheme="minorHAnsi" w:hAnsiTheme="minorHAnsi" w:cstheme="minorHAnsi"/>
          <w:b/>
          <w:bCs/>
          <w:i/>
          <w:sz w:val="18"/>
          <w:szCs w:val="18"/>
          <w:u w:val="single"/>
        </w:rPr>
        <w:t>ḍorōru</w:t>
      </w:r>
      <w:proofErr w:type="spellEnd"/>
      <w:r w:rsidRPr="00F4380B">
        <w:rPr>
          <w:rFonts w:asciiTheme="minorHAnsi" w:hAnsiTheme="minorHAnsi" w:cstheme="minorHAnsi"/>
          <w:b/>
          <w:bCs/>
          <w:sz w:val="18"/>
          <w:szCs w:val="18"/>
        </w:rPr>
        <w:t xml:space="preserve"> (</w:t>
      </w:r>
      <w:r w:rsidRPr="00F4380B">
        <w:rPr>
          <w:rFonts w:asciiTheme="minorHAnsi" w:hAnsiTheme="minorHAnsi" w:cstheme="minorHAnsi"/>
          <w:b/>
          <w:bCs/>
          <w:sz w:val="18"/>
          <w:szCs w:val="18"/>
          <w:rtl/>
        </w:rPr>
        <w:t xml:space="preserve">لاَضَرَرَ وَلَا </w:t>
      </w:r>
      <w:proofErr w:type="gramStart"/>
      <w:r w:rsidRPr="00F4380B">
        <w:rPr>
          <w:rFonts w:asciiTheme="minorHAnsi" w:hAnsiTheme="minorHAnsi" w:cstheme="minorHAnsi"/>
          <w:b/>
          <w:bCs/>
          <w:sz w:val="18"/>
          <w:szCs w:val="18"/>
          <w:rtl/>
        </w:rPr>
        <w:t>ضِرَارَ</w:t>
      </w:r>
      <w:r w:rsidRPr="00F4380B">
        <w:rPr>
          <w:rFonts w:asciiTheme="minorHAnsi" w:hAnsiTheme="minorHAnsi" w:cstheme="minorHAnsi"/>
          <w:b/>
          <w:bCs/>
          <w:sz w:val="18"/>
          <w:szCs w:val="18"/>
        </w:rPr>
        <w:t xml:space="preserve"> )</w:t>
      </w:r>
      <w:proofErr w:type="gramEnd"/>
    </w:p>
    <w:p w14:paraId="13A91909" w14:textId="36AC622F" w:rsidR="00973FEA" w:rsidRPr="001964A8" w:rsidRDefault="00973FEA" w:rsidP="00973FEA">
      <w:pPr>
        <w:widowControl w:val="0"/>
        <w:ind w:left="284" w:firstLine="283"/>
        <w:jc w:val="both"/>
        <w:rPr>
          <w:rFonts w:cstheme="minorHAnsi"/>
          <w:sz w:val="20"/>
          <w:szCs w:val="20"/>
        </w:rPr>
      </w:pPr>
      <w:r w:rsidRPr="001964A8">
        <w:rPr>
          <w:rFonts w:cstheme="minorHAnsi"/>
          <w:sz w:val="20"/>
          <w:szCs w:val="20"/>
        </w:rPr>
        <w:t>This princip</w:t>
      </w:r>
      <w:r>
        <w:rPr>
          <w:rFonts w:cstheme="minorHAnsi"/>
          <w:sz w:val="20"/>
          <w:szCs w:val="20"/>
        </w:rPr>
        <w:t>le</w:t>
      </w:r>
      <w:r w:rsidRPr="001964A8">
        <w:rPr>
          <w:rFonts w:cstheme="minorHAnsi"/>
          <w:sz w:val="20"/>
          <w:szCs w:val="20"/>
        </w:rPr>
        <w:t xml:space="preserve"> of </w:t>
      </w:r>
      <w:proofErr w:type="spellStart"/>
      <w:r w:rsidRPr="00C25281">
        <w:rPr>
          <w:rFonts w:cstheme="minorHAnsi"/>
          <w:i/>
          <w:sz w:val="20"/>
          <w:szCs w:val="20"/>
          <w:u w:val="single"/>
        </w:rPr>
        <w:t>aḍ-ḍorōru</w:t>
      </w:r>
      <w:proofErr w:type="spellEnd"/>
      <w:r>
        <w:rPr>
          <w:rFonts w:cstheme="minorHAnsi"/>
          <w:sz w:val="20"/>
          <w:szCs w:val="20"/>
        </w:rPr>
        <w:t xml:space="preserve"> </w:t>
      </w:r>
      <w:r w:rsidRPr="00AB032C">
        <w:rPr>
          <w:rFonts w:cstheme="minorHAnsi"/>
          <w:sz w:val="20"/>
          <w:szCs w:val="20"/>
          <w:u w:val="single"/>
        </w:rPr>
        <w:t>is taken</w:t>
      </w:r>
      <w:r>
        <w:rPr>
          <w:rFonts w:cstheme="minorHAnsi"/>
          <w:sz w:val="20"/>
          <w:szCs w:val="20"/>
          <w:u w:val="single"/>
        </w:rPr>
        <w:t xml:space="preserve"> from the Hadith, which narrates</w:t>
      </w:r>
      <w:r w:rsidRPr="001964A8">
        <w:rPr>
          <w:rFonts w:cstheme="minorHAnsi"/>
          <w:sz w:val="20"/>
          <w:szCs w:val="20"/>
        </w:rPr>
        <w:t xml:space="preserve"> that Hasan ibn Majah, narrated by Ibn Majah, al-</w:t>
      </w:r>
      <w:proofErr w:type="spellStart"/>
      <w:r w:rsidRPr="001964A8">
        <w:rPr>
          <w:rFonts w:cstheme="minorHAnsi"/>
          <w:sz w:val="20"/>
          <w:szCs w:val="20"/>
        </w:rPr>
        <w:t>Daarqutni</w:t>
      </w:r>
      <w:proofErr w:type="spellEnd"/>
      <w:r>
        <w:rPr>
          <w:rFonts w:cstheme="minorHAnsi"/>
          <w:sz w:val="20"/>
          <w:szCs w:val="20"/>
        </w:rPr>
        <w:t>,</w:t>
      </w:r>
      <w:r w:rsidRPr="001964A8">
        <w:rPr>
          <w:rFonts w:cstheme="minorHAnsi"/>
          <w:sz w:val="20"/>
          <w:szCs w:val="20"/>
        </w:rPr>
        <w:t xml:space="preserve"> and others, as narrated by Malik in al-</w:t>
      </w:r>
      <w:proofErr w:type="spellStart"/>
      <w:r w:rsidRPr="001964A8">
        <w:rPr>
          <w:rFonts w:cstheme="minorHAnsi"/>
          <w:sz w:val="20"/>
          <w:szCs w:val="20"/>
        </w:rPr>
        <w:t>Muwatta</w:t>
      </w:r>
      <w:proofErr w:type="spellEnd"/>
      <w:r w:rsidRPr="001964A8">
        <w:rPr>
          <w:rFonts w:cstheme="minorHAnsi"/>
          <w:sz w:val="20"/>
          <w:szCs w:val="20"/>
        </w:rPr>
        <w:t xml:space="preserve"> from </w:t>
      </w:r>
      <w:r>
        <w:rPr>
          <w:rFonts w:cstheme="minorHAnsi"/>
          <w:sz w:val="20"/>
          <w:szCs w:val="20"/>
        </w:rPr>
        <w:t>‘</w:t>
      </w:r>
      <w:r w:rsidRPr="001964A8">
        <w:rPr>
          <w:rFonts w:cstheme="minorHAnsi"/>
          <w:sz w:val="20"/>
          <w:szCs w:val="20"/>
        </w:rPr>
        <w:t>Amr ibn</w:t>
      </w:r>
      <w:r>
        <w:rPr>
          <w:rFonts w:cstheme="minorHAnsi"/>
          <w:sz w:val="20"/>
          <w:szCs w:val="20"/>
        </w:rPr>
        <w:t xml:space="preserve"> Yahya from his father, may </w:t>
      </w:r>
      <w:r w:rsidRPr="0048655B">
        <w:rPr>
          <w:rFonts w:cstheme="minorHAnsi"/>
          <w:sz w:val="20"/>
          <w:szCs w:val="20"/>
          <w:u w:val="single"/>
        </w:rPr>
        <w:t>Allah</w:t>
      </w:r>
      <w:r w:rsidRPr="001964A8">
        <w:rPr>
          <w:rFonts w:cstheme="minorHAnsi"/>
          <w:sz w:val="20"/>
          <w:szCs w:val="20"/>
        </w:rPr>
        <w:t xml:space="preserve"> be pleased with him, said that </w:t>
      </w:r>
      <w:r w:rsidRPr="00EB10DD">
        <w:rPr>
          <w:rFonts w:cstheme="minorHAnsi"/>
          <w:sz w:val="20"/>
          <w:szCs w:val="20"/>
        </w:rPr>
        <w:t>‘</w:t>
      </w:r>
      <w:r w:rsidRPr="00EB10DD">
        <w:rPr>
          <w:rFonts w:cstheme="minorHAnsi"/>
          <w:sz w:val="20"/>
          <w:szCs w:val="20"/>
          <w:u w:val="single"/>
        </w:rPr>
        <w:t>there should be neither harming nor reciprocating harm’ (</w:t>
      </w:r>
      <w:r w:rsidRPr="00EB10DD">
        <w:rPr>
          <w:rFonts w:cstheme="minorHAnsi" w:hint="cs"/>
          <w:sz w:val="20"/>
          <w:szCs w:val="20"/>
          <w:u w:val="single"/>
          <w:rtl/>
        </w:rPr>
        <w:t>لاَضَرَرَ</w:t>
      </w:r>
      <w:r w:rsidRPr="00EB10DD">
        <w:rPr>
          <w:rFonts w:cstheme="minorHAnsi"/>
          <w:sz w:val="20"/>
          <w:szCs w:val="20"/>
          <w:u w:val="single"/>
          <w:rtl/>
        </w:rPr>
        <w:t xml:space="preserve"> </w:t>
      </w:r>
      <w:r w:rsidRPr="00EB10DD">
        <w:rPr>
          <w:rFonts w:cstheme="minorHAnsi" w:hint="cs"/>
          <w:sz w:val="20"/>
          <w:szCs w:val="20"/>
          <w:u w:val="single"/>
          <w:rtl/>
        </w:rPr>
        <w:t>وَلَا</w:t>
      </w:r>
      <w:r w:rsidRPr="00EB10DD">
        <w:rPr>
          <w:rFonts w:cstheme="minorHAnsi"/>
          <w:sz w:val="20"/>
          <w:szCs w:val="20"/>
          <w:u w:val="single"/>
          <w:rtl/>
        </w:rPr>
        <w:t xml:space="preserve"> </w:t>
      </w:r>
      <w:r w:rsidRPr="00EB10DD">
        <w:rPr>
          <w:rFonts w:cstheme="minorHAnsi" w:hint="cs"/>
          <w:sz w:val="20"/>
          <w:szCs w:val="20"/>
          <w:u w:val="single"/>
          <w:rtl/>
        </w:rPr>
        <w:t>ضِرَارَ</w:t>
      </w:r>
      <w:r w:rsidRPr="00EB10DD">
        <w:rPr>
          <w:rFonts w:cstheme="minorHAnsi"/>
          <w:sz w:val="20"/>
          <w:szCs w:val="20"/>
        </w:rPr>
        <w:t xml:space="preserve">). </w:t>
      </w:r>
      <w:r w:rsidRPr="00EB10DD">
        <w:rPr>
          <w:rFonts w:cstheme="minorHAnsi"/>
          <w:sz w:val="20"/>
          <w:szCs w:val="20"/>
          <w:u w:val="single"/>
        </w:rPr>
        <w:t xml:space="preserve">Another narration was made by Ibn Majah and </w:t>
      </w:r>
      <w:proofErr w:type="spellStart"/>
      <w:r w:rsidRPr="00EB10DD">
        <w:rPr>
          <w:rFonts w:cstheme="minorHAnsi"/>
          <w:sz w:val="20"/>
          <w:szCs w:val="20"/>
          <w:u w:val="single"/>
        </w:rPr>
        <w:t>Aldarqotni</w:t>
      </w:r>
      <w:proofErr w:type="spellEnd"/>
      <w:r w:rsidRPr="00EB10DD">
        <w:rPr>
          <w:rFonts w:cstheme="minorHAnsi"/>
          <w:sz w:val="20"/>
          <w:szCs w:val="20"/>
          <w:u w:val="single"/>
        </w:rPr>
        <w:t xml:space="preserve">, as narrated by other </w:t>
      </w:r>
      <w:proofErr w:type="spellStart"/>
      <w:r w:rsidRPr="00EB10DD">
        <w:rPr>
          <w:rFonts w:cstheme="minorHAnsi"/>
          <w:sz w:val="20"/>
          <w:szCs w:val="20"/>
          <w:u w:val="single"/>
        </w:rPr>
        <w:t>Musnad</w:t>
      </w:r>
      <w:proofErr w:type="spellEnd"/>
      <w:r w:rsidRPr="00EB10DD">
        <w:rPr>
          <w:rFonts w:cstheme="minorHAnsi"/>
          <w:sz w:val="20"/>
          <w:szCs w:val="20"/>
          <w:u w:val="single"/>
        </w:rPr>
        <w:t xml:space="preserve"> books, and as narrated by Malik in </w:t>
      </w:r>
      <w:proofErr w:type="spellStart"/>
      <w:r w:rsidRPr="00EB10DD">
        <w:rPr>
          <w:rFonts w:cstheme="minorHAnsi"/>
          <w:sz w:val="20"/>
          <w:szCs w:val="20"/>
          <w:u w:val="single"/>
        </w:rPr>
        <w:t>Muwatta</w:t>
      </w:r>
      <w:proofErr w:type="spellEnd"/>
      <w:r w:rsidRPr="00EB10DD">
        <w:rPr>
          <w:rFonts w:cstheme="minorHAnsi"/>
          <w:sz w:val="20"/>
          <w:szCs w:val="20"/>
          <w:u w:val="single"/>
        </w:rPr>
        <w:t>: Amr ibn Yahya, from his father from the Prophet (PBUH)</w:t>
      </w:r>
      <w:r w:rsidRPr="00EB10DD">
        <w:rPr>
          <w:rFonts w:cstheme="minorHAnsi"/>
          <w:sz w:val="20"/>
          <w:szCs w:val="20"/>
          <w:highlight w:val="yellow"/>
          <w:u w:val="single"/>
        </w:rPr>
        <w:t xml:space="preserve">, </w:t>
      </w:r>
      <w:commentRangeStart w:id="0"/>
      <w:r w:rsidRPr="006952F3">
        <w:rPr>
          <w:rFonts w:cstheme="minorHAnsi"/>
          <w:sz w:val="20"/>
          <w:szCs w:val="20"/>
          <w:highlight w:val="yellow"/>
          <w:u w:val="single"/>
        </w:rPr>
        <w:t>dropped</w:t>
      </w:r>
      <w:commentRangeEnd w:id="0"/>
      <w:r>
        <w:rPr>
          <w:rStyle w:val="CommentReference"/>
        </w:rPr>
        <w:commentReference w:id="0"/>
      </w:r>
      <w:r w:rsidRPr="006952F3">
        <w:rPr>
          <w:rFonts w:cstheme="minorHAnsi"/>
          <w:sz w:val="20"/>
          <w:szCs w:val="20"/>
          <w:highlight w:val="yellow"/>
          <w:u w:val="single"/>
        </w:rPr>
        <w:t xml:space="preserve"> Abu Saeed, </w:t>
      </w:r>
      <w:r w:rsidRPr="00EB10DD">
        <w:rPr>
          <w:rFonts w:cstheme="minorHAnsi"/>
          <w:sz w:val="20"/>
          <w:szCs w:val="20"/>
          <w:u w:val="single"/>
        </w:rPr>
        <w:t>and</w:t>
      </w:r>
      <w:r w:rsidRPr="006952F3">
        <w:rPr>
          <w:rFonts w:cstheme="minorHAnsi"/>
          <w:sz w:val="20"/>
          <w:szCs w:val="20"/>
          <w:u w:val="single"/>
        </w:rPr>
        <w:t xml:space="preserve"> had ways</w:t>
      </w:r>
      <w:r>
        <w:rPr>
          <w:rFonts w:cstheme="minorHAnsi"/>
          <w:sz w:val="20"/>
          <w:szCs w:val="20"/>
        </w:rPr>
        <w:t xml:space="preserve"> to strengthen each other</w:t>
      </w:r>
      <w:r w:rsidRPr="001964A8">
        <w:rPr>
          <w:rFonts w:cstheme="minorHAnsi"/>
          <w:sz w:val="20"/>
          <w:szCs w:val="20"/>
        </w:rPr>
        <w:t xml:space="preserve"> [Ibn</w:t>
      </w:r>
      <w:r>
        <w:rPr>
          <w:rFonts w:cstheme="minorHAnsi"/>
          <w:sz w:val="20"/>
          <w:szCs w:val="20"/>
        </w:rPr>
        <w:t xml:space="preserve"> Majah; cf. par. </w:t>
      </w:r>
      <w:r w:rsidRPr="001964A8">
        <w:rPr>
          <w:rFonts w:cstheme="minorHAnsi"/>
          <w:sz w:val="20"/>
          <w:szCs w:val="20"/>
        </w:rPr>
        <w:t>2341], [Al-</w:t>
      </w:r>
      <w:proofErr w:type="spellStart"/>
      <w:r w:rsidRPr="001964A8">
        <w:rPr>
          <w:rFonts w:cstheme="minorHAnsi"/>
          <w:sz w:val="20"/>
          <w:szCs w:val="20"/>
        </w:rPr>
        <w:t>Daarqutni</w:t>
      </w:r>
      <w:proofErr w:type="spellEnd"/>
      <w:r w:rsidRPr="001964A8">
        <w:rPr>
          <w:rFonts w:cstheme="minorHAnsi"/>
          <w:sz w:val="20"/>
          <w:szCs w:val="20"/>
        </w:rPr>
        <w:t xml:space="preserve">; no. 4; 228]. </w:t>
      </w:r>
    </w:p>
    <w:p w14:paraId="5932190D" w14:textId="10DD5318" w:rsidR="00973FEA" w:rsidRPr="001964A8" w:rsidRDefault="00973FEA" w:rsidP="00973FEA">
      <w:pPr>
        <w:widowControl w:val="0"/>
        <w:ind w:left="284" w:firstLine="283"/>
        <w:jc w:val="both"/>
        <w:rPr>
          <w:rFonts w:cstheme="minorHAnsi"/>
          <w:sz w:val="20"/>
          <w:szCs w:val="20"/>
        </w:rPr>
      </w:pPr>
      <w:r w:rsidRPr="001964A8">
        <w:rPr>
          <w:rFonts w:cstheme="minorHAnsi"/>
          <w:sz w:val="20"/>
          <w:szCs w:val="20"/>
        </w:rPr>
        <w:t xml:space="preserve">For a Muslim, it is impermissible to cause harm to another Muslim through words, actions, or reasoning without cause, regardless of any personal benefit, and this principle applies universally, particularly when someone holds a right </w:t>
      </w:r>
      <w:r w:rsidRPr="001964A8">
        <w:rPr>
          <w:rFonts w:cstheme="minorHAnsi"/>
          <w:sz w:val="20"/>
          <w:szCs w:val="20"/>
        </w:rPr>
        <w:fldChar w:fldCharType="begin"/>
      </w:r>
      <w:r w:rsidRPr="001964A8">
        <w:rPr>
          <w:rFonts w:cstheme="minorHAnsi"/>
          <w:sz w:val="20"/>
          <w:szCs w:val="20"/>
        </w:rPr>
        <w:instrText xml:space="preserve"> ADDIN ZOTERO_ITEM CSL_CITATION {"citationID":"7JQzgDuA","properties":{"formattedCitation":"[41], [42], [44]","plainCitation":"[41], [42], [44]","noteIndex":0},"citationItems":[{"id":3763,"uris":["http://zotero.org/users/local/Rj7jaPwM/items/988JNVPM"],"itemData":{"id":3763,"type":"article-journal","abstract":"Praise be to God, Lord of the Worlds, and prayers and peace be\nupon the most honorable of the prophets and messengers, and upon all his\nfamily and companions.This research examines the rule: (no harm, no\nharm) mentioned by Imam Al-Damiri - may God Almighty have mercy on\nhim - in his book Al-Najm Al-Wahaj in Explaining Al-Minhaj, an applied\nstudy, where the research included an introduction and documentation of\nthe rule and four sections. Imam al-Damiri al-Qaida, and the formulas that\nwere famous on the tongues of jurists, and the first topic: it included an\nexplanation of the rule, and the second topic: it included the evidence on the\nrule, and the third topic: it included the applied study of the rule, and the\nfourth topic: it included the sub-rules related to the rule, and as for the\nconclusion It included the most important results that I reached during the\nresearch, and praise be to God, Lord of the Worlds.","container-title":"Researcher Journal For Islamic Sciences","DOI":"10.37940/RJIS.2022.2.2.9","ISSN":"27084000","issue":"2","journalAbbreviation":"RJIS","language":"ar","source":"DOI.org (Crossref)","title":"Rule: (No harm, no Foul), an applied study inthe book (Al-Najm Al-Wahaj fi Sharh Al-Minhaj)by Imam Al-Damiri (T: 808AH)","title-short":"Rule","URL":"https://uofrjis.net/index.php/new/article/view/62","volume":"2","author":[{"family":"Ahmeed","given":"Reem Ibrahem Suliman"},{"family":"Sumiran","given":"Ahmed Khalaf Abas"}],"accessed":{"date-parts":[["2023",10,19]]},"issued":{"date-parts":[["2022",12]]}}},{"id":3764,"uris":["http://zotero.org/users/local/Rj7jaPwM/items/P36QR6FU"],"itemData":{"id":3764,"type":"article-journal","abstract":"Thanks to Allah, and peace be upon our Prophet Mohammed and on his family and companions and then: This research contains the great total jurisprudence rule (no harm or harm) mentioned by Imam Al-Ruwini in his book Bahr al-madhab. It consists of an introduction and five sections. The first section talked about the personal and scientific life of the Imam as well as his famous book “Bahr al-Madhahb”. In the second section, the researcher presented a classification of the rule’s vocabulary and its overall meaning. The third section mentioned the evidence for this rule, while the fourth section contains the applied study of the rule. Finally, the fifth topic contains the rules falling under the main rule. The conclusion presented the most important results reached by the researcher.","container-title":"Researcher Journal For Islamic Sciences","DOI":"10.37940/RJIS.2022.1.2.11","ISSN":"27084000","issue":"2","journalAbbreviation":"RJIS","language":"ar","source":"DOI.org (Crossref)","title":"No harm Or Foul At Imam Al-Ruwaiani(D:502AH) – An insight through his Book (Bahr al-Madhahib)","title-short":"No harm Or harm At Imam Al-Ruwaiani(D","URL":"https://uofrjis.net/index.php/new/article/view/68","volume":"1","author":[{"family":"Hazaa","given":"Fatimah Ibrahem"},{"family":"Hummadi","given":"Mohammad Najib"}],"accessed":{"date-parts":[["2023",10,19]]},"issued":{"date-parts":[["2022"]]}}},{"id":3768,"uris":["http://zotero.org/users/local/Rj7jaPwM/items/2ATX7IAL"],"itemData":{"id":3768,"type":"article-journal","container-title":"Koleyat al-Shari'a wa al-Qānūn bi-Asyūṭ","language":"en","page":"985-1051","source":"Zotero","title":"Neighborhood Rulings in Light of Jurisprudential Rules","author":[{"family":"Ibrahim Ahmad Fakher","given":"Ali","non-dropping-particle":"bin"}],"issued":{"date-parts":[["2023"]]}}}],"schema":"https://github.com/citation-style-language/schema/raw/master/csl-citation.json"}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[41], [42], [44]</w:t>
      </w:r>
      <w:r w:rsidRPr="001964A8">
        <w:rPr>
          <w:rFonts w:cstheme="minorHAnsi"/>
          <w:sz w:val="20"/>
          <w:szCs w:val="20"/>
        </w:rPr>
        <w:fldChar w:fldCharType="end"/>
      </w:r>
      <w:r w:rsidRPr="001964A8">
        <w:rPr>
          <w:rFonts w:cstheme="minorHAnsi"/>
          <w:sz w:val="20"/>
          <w:szCs w:val="20"/>
        </w:rPr>
        <w:t>. It is not allowed to harm one</w:t>
      </w:r>
      <w:r>
        <w:rPr>
          <w:rFonts w:cstheme="minorHAnsi"/>
          <w:sz w:val="20"/>
          <w:szCs w:val="20"/>
        </w:rPr>
        <w:t>’</w:t>
      </w:r>
      <w:r w:rsidRPr="001964A8">
        <w:rPr>
          <w:rFonts w:cstheme="minorHAnsi"/>
          <w:sz w:val="20"/>
          <w:szCs w:val="20"/>
        </w:rPr>
        <w:t xml:space="preserve">s </w:t>
      </w:r>
      <w:proofErr w:type="spellStart"/>
      <w:r w:rsidRPr="001964A8">
        <w:rPr>
          <w:rFonts w:cstheme="minorHAnsi"/>
          <w:sz w:val="20"/>
          <w:szCs w:val="20"/>
        </w:rPr>
        <w:t>neighbor</w:t>
      </w:r>
      <w:proofErr w:type="spellEnd"/>
      <w:r w:rsidRPr="001964A8">
        <w:rPr>
          <w:rFonts w:cstheme="minorHAnsi"/>
          <w:sz w:val="20"/>
          <w:szCs w:val="20"/>
        </w:rPr>
        <w:t xml:space="preserve"> or even the ruler if it doesn</w:t>
      </w:r>
      <w:r>
        <w:rPr>
          <w:rFonts w:cstheme="minorHAnsi"/>
          <w:sz w:val="20"/>
          <w:szCs w:val="20"/>
        </w:rPr>
        <w:t>’</w:t>
      </w:r>
      <w:r w:rsidRPr="001964A8">
        <w:rPr>
          <w:rFonts w:cstheme="minorHAnsi"/>
          <w:sz w:val="20"/>
          <w:szCs w:val="20"/>
        </w:rPr>
        <w:t xml:space="preserve">t serve their well-being. Moreover, </w:t>
      </w:r>
      <w:r w:rsidRPr="0076325A">
        <w:rPr>
          <w:rFonts w:cstheme="minorHAnsi"/>
          <w:sz w:val="20"/>
          <w:szCs w:val="20"/>
          <w:u w:val="single"/>
        </w:rPr>
        <w:t>it is</w:t>
      </w:r>
      <w:r w:rsidRPr="001964A8">
        <w:rPr>
          <w:rFonts w:cstheme="minorHAnsi"/>
          <w:sz w:val="20"/>
          <w:szCs w:val="20"/>
        </w:rPr>
        <w:t xml:space="preserve"> </w:t>
      </w:r>
      <w:r w:rsidRPr="008B0FCD">
        <w:rPr>
          <w:rFonts w:cstheme="minorHAnsi"/>
          <w:sz w:val="20"/>
          <w:szCs w:val="20"/>
          <w:u w:val="single"/>
        </w:rPr>
        <w:t>forbidden to place any obstacles, such as wood, stones, pits, and the like, in the paths of Muslims or in their markets that could cause har</w:t>
      </w:r>
      <w:r>
        <w:rPr>
          <w:rFonts w:cstheme="minorHAnsi"/>
          <w:sz w:val="20"/>
          <w:szCs w:val="20"/>
        </w:rPr>
        <w:t xml:space="preserve">m, </w:t>
      </w:r>
      <w:r w:rsidRPr="001964A8">
        <w:rPr>
          <w:rFonts w:cstheme="minorHAnsi"/>
          <w:sz w:val="20"/>
          <w:szCs w:val="20"/>
        </w:rPr>
        <w:t xml:space="preserve">except when </w:t>
      </w:r>
      <w:r>
        <w:rPr>
          <w:rFonts w:cstheme="minorHAnsi"/>
          <w:sz w:val="20"/>
          <w:szCs w:val="20"/>
        </w:rPr>
        <w:t>they</w:t>
      </w:r>
      <w:r w:rsidRPr="001964A8">
        <w:rPr>
          <w:rFonts w:cstheme="minorHAnsi"/>
          <w:sz w:val="20"/>
          <w:szCs w:val="20"/>
        </w:rPr>
        <w:t xml:space="preserve"> serve a beneficial purpose. In the Hadith, it is emphasized that harming a fellow Muslim is akin to harming God [</w:t>
      </w:r>
      <w:r>
        <w:rPr>
          <w:rFonts w:cstheme="minorHAnsi"/>
          <w:sz w:val="20"/>
          <w:szCs w:val="20"/>
        </w:rPr>
        <w:t>Hadith</w:t>
      </w:r>
      <w:r w:rsidRPr="001964A8">
        <w:rPr>
          <w:rFonts w:cstheme="minorHAnsi"/>
          <w:sz w:val="20"/>
          <w:szCs w:val="20"/>
        </w:rPr>
        <w:t xml:space="preserve">; Abu Dawood; 3635], </w:t>
      </w:r>
      <w:proofErr w:type="spellStart"/>
      <w:r w:rsidRPr="001964A8">
        <w:rPr>
          <w:rFonts w:cstheme="minorHAnsi"/>
          <w:sz w:val="20"/>
          <w:szCs w:val="20"/>
        </w:rPr>
        <w:t>Tirmidhi</w:t>
      </w:r>
      <w:proofErr w:type="spellEnd"/>
      <w:r w:rsidRPr="001964A8">
        <w:rPr>
          <w:rFonts w:cstheme="minorHAnsi"/>
          <w:sz w:val="20"/>
          <w:szCs w:val="20"/>
        </w:rPr>
        <w:t xml:space="preserve"> (1940). Some of </w:t>
      </w:r>
      <w:r>
        <w:rPr>
          <w:rFonts w:cstheme="minorHAnsi"/>
          <w:sz w:val="20"/>
          <w:szCs w:val="20"/>
        </w:rPr>
        <w:t xml:space="preserve">the </w:t>
      </w:r>
      <w:r w:rsidRPr="008B0FCD">
        <w:rPr>
          <w:rFonts w:cstheme="minorHAnsi"/>
          <w:sz w:val="20"/>
          <w:szCs w:val="20"/>
          <w:u w:val="single"/>
        </w:rPr>
        <w:t>developments</w:t>
      </w:r>
      <w:r w:rsidRPr="001964A8">
        <w:rPr>
          <w:rFonts w:cstheme="minorHAnsi"/>
          <w:sz w:val="20"/>
          <w:szCs w:val="20"/>
        </w:rPr>
        <w:t xml:space="preserve"> of </w:t>
      </w:r>
      <w:proofErr w:type="spellStart"/>
      <w:r w:rsidRPr="00C25281">
        <w:rPr>
          <w:rFonts w:cstheme="minorHAnsi"/>
          <w:i/>
          <w:sz w:val="20"/>
          <w:szCs w:val="20"/>
          <w:u w:val="single"/>
        </w:rPr>
        <w:t>aḍ-ḍorōru</w:t>
      </w:r>
      <w:proofErr w:type="spellEnd"/>
      <w:r w:rsidRPr="001964A8">
        <w:rPr>
          <w:rFonts w:cstheme="minorHAnsi"/>
          <w:sz w:val="20"/>
          <w:szCs w:val="20"/>
        </w:rPr>
        <w:t xml:space="preserve"> </w:t>
      </w:r>
      <w:r w:rsidRPr="008B0FCD">
        <w:rPr>
          <w:rFonts w:cstheme="minorHAnsi"/>
          <w:sz w:val="20"/>
          <w:szCs w:val="20"/>
          <w:u w:val="single"/>
        </w:rPr>
        <w:t>are</w:t>
      </w:r>
      <w:r w:rsidRPr="001964A8">
        <w:rPr>
          <w:rFonts w:cstheme="minorHAnsi"/>
          <w:sz w:val="20"/>
          <w:szCs w:val="20"/>
        </w:rPr>
        <w:t xml:space="preserve"> </w:t>
      </w:r>
      <w:r w:rsidRPr="001964A8">
        <w:rPr>
          <w:rFonts w:cstheme="minorHAnsi"/>
          <w:sz w:val="20"/>
          <w:szCs w:val="20"/>
        </w:rPr>
        <w:fldChar w:fldCharType="begin"/>
      </w:r>
      <w:r w:rsidRPr="001964A8">
        <w:rPr>
          <w:rFonts w:cstheme="minorHAnsi"/>
          <w:sz w:val="20"/>
          <w:szCs w:val="20"/>
        </w:rPr>
        <w:instrText xml:space="preserve"> ADDIN ZOTERO_ITEM CSL_CITATION {"citationID":"521LnhhB","properties":{"formattedCitation":"[14], [44]","plainCitation":"[14], [44]","noteIndex":0},"citationItems":[{"id":3695,"uris":["http://zotero.org/users/local/Rj7jaPwM/items/EQXE9443"],"itemData":{"id":3695,"type":"article-journal","abstract":"Architectural Jurisprudence is an important study in Islamic architecture that has not been much developed. Therefore it is necessary to have an in-depth study related to the reintegration of Islamic jurisprudence and architectural science as a total implementation of Islam. This study focuses on the nature, Islamic epistemology, and strategy of istinbath al ahkam fiqh architecture. This literature study research utilizes Azab’s thoughts (2012 &amp; 1997), Murobith (2018), and Zarkani (2006) in examining the nature and strategy of istinbath al-ahkam architectural fiqh and using the reasoning of the Islamic epistemology of Al Jabiri (1989) in studying the reasoning of the Islamic fiqh architectural epistemology. Azab’s opinion (2012 &amp; 1997), Murobith (2012), Zarkani (2006), and Al Jabiri (1989) were then combined as needed in making the theoretical foundation of architectural fiqh. The results of this study indicate that the nature of architectural fiqh includes definitions, objects of study, originators, and subjects of architectural fiqh. Architectural fiqh is a collection of various fiqh principles that result in the mobility of a city as an effect of contacting every member of the community, the tendency of building architectural forms, and various issues surrounding the building that are presented as a result of the collaboration of fiqh scholars with building practitioners and architecture as a fiqh legal fatwa based on the science of fiqh proposal . Meanwhile, the object of study is the integration of fiqh studies with architecture and building studies.The subject of the study of architecture fiqh is fiqh law as charging legal low or correlative law in the context of a building. Furthermore, the epistemology of Islam in architectural fiqh is part of the bayani reasoning method as well as burhani. Finally, the strategy of istinbath al ahkam fiqh architecture is the Koran, the sunnah nabawiyah, and the principles of fiqh.","container-title":"SHAHIH: Journal of Islamicate Multidisciplinary","DOI":"10.22515/shahih.v4i2.1867","ISSN":"2527-8126, 2527-8118","issue":"2","journalAbbreviation":"SJIM","language":"id","page":"151-169","source":"DOI.org (Crossref)","title":"Hakikat, Epistimologi Islam, dan Strategi Istinbath Al Ahkam Fikih Arsitektur","volume":"4","author":[{"family":"Yulianto","given":"Y"}],"issued":{"date-parts":[["2019",12,28]]}}},{"id":3768,"uris":["http://zotero.org/users/local/Rj7jaPwM/items/2ATX7IAL"],"itemData":{"id":3768,"type":"article-journal","container-title":"Koleyat al-Shari'a wa al-Qānūn bi-Asyūṭ","language":"en","page":"985-1051","source":"Zotero","title":"Neighborhood Rulings in Light of Jurisprudential Rules","author":[{"family":"Ibrahim Ahmad Fakher","given":"Ali","non-dropping-particle":"bin"}],"issued":{"date-parts":[["2023"]]}}}],"schema":"https://github.com/citation-style-language/schema/raw/master/csl-citation.json"}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[14], [44]</w:t>
      </w:r>
      <w:r w:rsidRPr="001964A8">
        <w:rPr>
          <w:rFonts w:cstheme="minorHAnsi"/>
          <w:sz w:val="20"/>
          <w:szCs w:val="20"/>
        </w:rPr>
        <w:fldChar w:fldCharType="end"/>
      </w:r>
      <w:r w:rsidRPr="001964A8">
        <w:rPr>
          <w:rFonts w:cstheme="minorHAnsi"/>
          <w:sz w:val="20"/>
          <w:szCs w:val="20"/>
        </w:rPr>
        <w:t xml:space="preserve">: </w:t>
      </w:r>
    </w:p>
    <w:p w14:paraId="71F7FD0F" w14:textId="77777777" w:rsidR="00973FEA" w:rsidRPr="001964A8" w:rsidRDefault="00973FEA" w:rsidP="00973FEA">
      <w:pPr>
        <w:pStyle w:val="ListParagraph"/>
        <w:widowControl w:val="0"/>
        <w:numPr>
          <w:ilvl w:val="0"/>
          <w:numId w:val="10"/>
        </w:numPr>
        <w:ind w:left="567" w:hanging="283"/>
        <w:jc w:val="both"/>
        <w:rPr>
          <w:rFonts w:cstheme="minorHAnsi"/>
          <w:sz w:val="20"/>
          <w:szCs w:val="20"/>
        </w:rPr>
      </w:pPr>
      <w:r w:rsidRPr="001964A8">
        <w:rPr>
          <w:rFonts w:cstheme="minorHAnsi"/>
          <w:b/>
          <w:bCs/>
          <w:sz w:val="20"/>
          <w:szCs w:val="20"/>
        </w:rPr>
        <w:t>The</w:t>
      </w:r>
      <w:r w:rsidRPr="001964A8">
        <w:rPr>
          <w:rFonts w:cstheme="minorHAnsi"/>
          <w:sz w:val="20"/>
          <w:szCs w:val="20"/>
        </w:rPr>
        <w:t xml:space="preserve"> </w:t>
      </w:r>
      <w:r w:rsidRPr="001964A8">
        <w:rPr>
          <w:rFonts w:cstheme="minorHAnsi"/>
          <w:b/>
          <w:bCs/>
          <w:sz w:val="20"/>
          <w:szCs w:val="20"/>
        </w:rPr>
        <w:t>principal of rejecting the damage takes precedence over attracting benefit, or rejecting the damage is prioritized over attracting expediency. (</w:t>
      </w:r>
      <w:r w:rsidRPr="001964A8">
        <w:rPr>
          <w:rFonts w:cstheme="minorHAnsi" w:hint="cs"/>
          <w:b/>
          <w:bCs/>
          <w:sz w:val="20"/>
          <w:szCs w:val="20"/>
          <w:rtl/>
        </w:rPr>
        <w:t>دَرْأُ</w:t>
      </w:r>
      <w:r w:rsidRPr="001964A8">
        <w:rPr>
          <w:rFonts w:cstheme="minorHAnsi"/>
          <w:b/>
          <w:bCs/>
          <w:sz w:val="20"/>
          <w:szCs w:val="20"/>
          <w:rtl/>
        </w:rPr>
        <w:t xml:space="preserve"> </w:t>
      </w:r>
      <w:r w:rsidRPr="001964A8">
        <w:rPr>
          <w:rFonts w:cstheme="minorHAnsi" w:hint="cs"/>
          <w:b/>
          <w:bCs/>
          <w:sz w:val="20"/>
          <w:szCs w:val="20"/>
          <w:rtl/>
        </w:rPr>
        <w:t>الْمَفَاسِدِ</w:t>
      </w:r>
      <w:r w:rsidRPr="001964A8">
        <w:rPr>
          <w:rFonts w:cstheme="minorHAnsi"/>
          <w:b/>
          <w:bCs/>
          <w:sz w:val="20"/>
          <w:szCs w:val="20"/>
          <w:rtl/>
        </w:rPr>
        <w:t xml:space="preserve"> </w:t>
      </w:r>
      <w:r w:rsidRPr="001964A8">
        <w:rPr>
          <w:rFonts w:cstheme="minorHAnsi" w:hint="cs"/>
          <w:b/>
          <w:bCs/>
          <w:sz w:val="20"/>
          <w:szCs w:val="20"/>
          <w:rtl/>
        </w:rPr>
        <w:t>مُقَدَّمٌ</w:t>
      </w:r>
      <w:r w:rsidRPr="001964A8">
        <w:rPr>
          <w:rFonts w:cstheme="minorHAnsi"/>
          <w:b/>
          <w:bCs/>
          <w:sz w:val="20"/>
          <w:szCs w:val="20"/>
          <w:rtl/>
        </w:rPr>
        <w:t xml:space="preserve"> </w:t>
      </w:r>
      <w:r w:rsidRPr="001964A8">
        <w:rPr>
          <w:rFonts w:cstheme="minorHAnsi" w:hint="cs"/>
          <w:b/>
          <w:bCs/>
          <w:sz w:val="20"/>
          <w:szCs w:val="20"/>
          <w:rtl/>
        </w:rPr>
        <w:t>عَلَى</w:t>
      </w:r>
      <w:r w:rsidRPr="001964A8">
        <w:rPr>
          <w:rFonts w:cstheme="minorHAnsi"/>
          <w:b/>
          <w:bCs/>
          <w:sz w:val="20"/>
          <w:szCs w:val="20"/>
          <w:rtl/>
        </w:rPr>
        <w:t xml:space="preserve"> </w:t>
      </w:r>
      <w:r w:rsidRPr="001964A8">
        <w:rPr>
          <w:rFonts w:cstheme="minorHAnsi" w:hint="cs"/>
          <w:b/>
          <w:bCs/>
          <w:sz w:val="20"/>
          <w:szCs w:val="20"/>
          <w:rtl/>
        </w:rPr>
        <w:t>جَلْبِ</w:t>
      </w:r>
      <w:r w:rsidRPr="001964A8">
        <w:rPr>
          <w:rFonts w:cstheme="minorHAnsi"/>
          <w:b/>
          <w:bCs/>
          <w:sz w:val="20"/>
          <w:szCs w:val="20"/>
          <w:rtl/>
        </w:rPr>
        <w:t xml:space="preserve"> </w:t>
      </w:r>
      <w:r w:rsidRPr="001964A8">
        <w:rPr>
          <w:rFonts w:cstheme="minorHAnsi" w:hint="cs"/>
          <w:b/>
          <w:bCs/>
          <w:sz w:val="20"/>
          <w:szCs w:val="20"/>
          <w:rtl/>
        </w:rPr>
        <w:t>الْمَصَالِحِ</w:t>
      </w:r>
      <w:r w:rsidRPr="001964A8">
        <w:rPr>
          <w:rFonts w:cstheme="minorHAnsi"/>
          <w:b/>
          <w:bCs/>
          <w:sz w:val="20"/>
          <w:szCs w:val="20"/>
          <w:rtl/>
        </w:rPr>
        <w:t xml:space="preserve"> </w:t>
      </w:r>
      <w:r w:rsidRPr="001964A8">
        <w:rPr>
          <w:rFonts w:cstheme="minorHAnsi" w:hint="cs"/>
          <w:b/>
          <w:bCs/>
          <w:sz w:val="20"/>
          <w:szCs w:val="20"/>
          <w:rtl/>
        </w:rPr>
        <w:t>أَوْ</w:t>
      </w:r>
      <w:r w:rsidRPr="001964A8">
        <w:rPr>
          <w:rFonts w:cstheme="minorHAnsi"/>
          <w:b/>
          <w:bCs/>
          <w:sz w:val="20"/>
          <w:szCs w:val="20"/>
          <w:rtl/>
        </w:rPr>
        <w:t xml:space="preserve"> </w:t>
      </w:r>
      <w:r w:rsidRPr="001964A8">
        <w:rPr>
          <w:rFonts w:cstheme="minorHAnsi" w:hint="cs"/>
          <w:b/>
          <w:bCs/>
          <w:sz w:val="20"/>
          <w:szCs w:val="20"/>
          <w:rtl/>
        </w:rPr>
        <w:t>دَرْأُ</w:t>
      </w:r>
      <w:r w:rsidRPr="001964A8">
        <w:rPr>
          <w:rFonts w:cstheme="minorHAnsi"/>
          <w:b/>
          <w:bCs/>
          <w:sz w:val="20"/>
          <w:szCs w:val="20"/>
          <w:rtl/>
        </w:rPr>
        <w:t xml:space="preserve"> </w:t>
      </w:r>
      <w:r w:rsidRPr="001964A8">
        <w:rPr>
          <w:rFonts w:cstheme="minorHAnsi" w:hint="cs"/>
          <w:b/>
          <w:bCs/>
          <w:sz w:val="20"/>
          <w:szCs w:val="20"/>
          <w:rtl/>
        </w:rPr>
        <w:t>الْمَفَاسِدِ</w:t>
      </w:r>
      <w:r w:rsidRPr="001964A8">
        <w:rPr>
          <w:rFonts w:cstheme="minorHAnsi"/>
          <w:b/>
          <w:bCs/>
          <w:sz w:val="20"/>
          <w:szCs w:val="20"/>
          <w:rtl/>
        </w:rPr>
        <w:t xml:space="preserve"> </w:t>
      </w:r>
      <w:r w:rsidRPr="001964A8">
        <w:rPr>
          <w:rFonts w:cstheme="minorHAnsi" w:hint="cs"/>
          <w:b/>
          <w:bCs/>
          <w:sz w:val="20"/>
          <w:szCs w:val="20"/>
          <w:rtl/>
        </w:rPr>
        <w:t>أَوْلَى</w:t>
      </w:r>
      <w:r w:rsidRPr="001964A8">
        <w:rPr>
          <w:rFonts w:cstheme="minorHAnsi"/>
          <w:b/>
          <w:bCs/>
          <w:sz w:val="20"/>
          <w:szCs w:val="20"/>
          <w:rtl/>
        </w:rPr>
        <w:t xml:space="preserve"> </w:t>
      </w:r>
      <w:r w:rsidRPr="001964A8">
        <w:rPr>
          <w:rFonts w:cstheme="minorHAnsi" w:hint="cs"/>
          <w:b/>
          <w:bCs/>
          <w:sz w:val="20"/>
          <w:szCs w:val="20"/>
          <w:rtl/>
        </w:rPr>
        <w:t>مِنْ</w:t>
      </w:r>
      <w:r w:rsidRPr="001964A8">
        <w:rPr>
          <w:rFonts w:cstheme="minorHAnsi"/>
          <w:b/>
          <w:bCs/>
          <w:sz w:val="20"/>
          <w:szCs w:val="20"/>
          <w:rtl/>
        </w:rPr>
        <w:t xml:space="preserve"> </w:t>
      </w:r>
      <w:r w:rsidRPr="001964A8">
        <w:rPr>
          <w:rFonts w:cstheme="minorHAnsi" w:hint="cs"/>
          <w:b/>
          <w:bCs/>
          <w:sz w:val="20"/>
          <w:szCs w:val="20"/>
          <w:rtl/>
        </w:rPr>
        <w:t>جَلْبِ</w:t>
      </w:r>
      <w:r w:rsidRPr="001964A8">
        <w:rPr>
          <w:rFonts w:cstheme="minorHAnsi"/>
          <w:b/>
          <w:bCs/>
          <w:sz w:val="20"/>
          <w:szCs w:val="20"/>
          <w:rtl/>
        </w:rPr>
        <w:t xml:space="preserve"> </w:t>
      </w:r>
      <w:r w:rsidRPr="001964A8">
        <w:rPr>
          <w:rFonts w:cstheme="minorHAnsi" w:hint="cs"/>
          <w:b/>
          <w:bCs/>
          <w:sz w:val="20"/>
          <w:szCs w:val="20"/>
          <w:rtl/>
        </w:rPr>
        <w:t>الْمَنَافِعِ</w:t>
      </w:r>
      <w:r w:rsidRPr="001964A8">
        <w:rPr>
          <w:rFonts w:cstheme="minorHAnsi"/>
          <w:b/>
          <w:bCs/>
          <w:sz w:val="20"/>
          <w:szCs w:val="20"/>
        </w:rPr>
        <w:t>).</w:t>
      </w:r>
    </w:p>
    <w:p w14:paraId="51B41385" w14:textId="52B7F0E7" w:rsidR="00973FEA" w:rsidRPr="001964A8" w:rsidRDefault="00973FEA" w:rsidP="00973FEA">
      <w:pPr>
        <w:widowControl w:val="0"/>
        <w:ind w:left="567"/>
        <w:jc w:val="both"/>
        <w:rPr>
          <w:rFonts w:cstheme="minorHAnsi"/>
          <w:sz w:val="20"/>
          <w:szCs w:val="20"/>
        </w:rPr>
      </w:pPr>
      <w:r w:rsidRPr="001964A8">
        <w:rPr>
          <w:rFonts w:cstheme="minorHAnsi"/>
          <w:sz w:val="20"/>
          <w:szCs w:val="20"/>
        </w:rPr>
        <w:t xml:space="preserve">This concept extends to Islamic architecture contexts, where it is impermissible for residents of lower or upper floors to exercise their property rights when it significantly disrupts their </w:t>
      </w:r>
      <w:proofErr w:type="spellStart"/>
      <w:r w:rsidRPr="001964A8">
        <w:rPr>
          <w:rFonts w:cstheme="minorHAnsi"/>
          <w:sz w:val="20"/>
          <w:szCs w:val="20"/>
        </w:rPr>
        <w:t>neighbors</w:t>
      </w:r>
      <w:proofErr w:type="spellEnd"/>
      <w:r w:rsidRPr="001964A8">
        <w:rPr>
          <w:rFonts w:cstheme="minorHAnsi"/>
          <w:sz w:val="20"/>
          <w:szCs w:val="20"/>
        </w:rPr>
        <w:t xml:space="preserve">. Opening a window in a way that intrudes upon a </w:t>
      </w:r>
      <w:proofErr w:type="spellStart"/>
      <w:r w:rsidRPr="001964A8">
        <w:rPr>
          <w:rFonts w:cstheme="minorHAnsi"/>
          <w:sz w:val="20"/>
          <w:szCs w:val="20"/>
        </w:rPr>
        <w:t>neighbor</w:t>
      </w:r>
      <w:r>
        <w:rPr>
          <w:rFonts w:cstheme="minorHAnsi"/>
          <w:sz w:val="20"/>
          <w:szCs w:val="20"/>
        </w:rPr>
        <w:t>’</w:t>
      </w:r>
      <w:r w:rsidRPr="001964A8">
        <w:rPr>
          <w:rFonts w:cstheme="minorHAnsi"/>
          <w:sz w:val="20"/>
          <w:szCs w:val="20"/>
        </w:rPr>
        <w:t>s</w:t>
      </w:r>
      <w:proofErr w:type="spellEnd"/>
      <w:r w:rsidRPr="001964A8">
        <w:rPr>
          <w:rFonts w:cstheme="minorHAnsi"/>
          <w:sz w:val="20"/>
          <w:szCs w:val="20"/>
        </w:rPr>
        <w:t xml:space="preserve"> privacy or unveiling one</w:t>
      </w:r>
      <w:r>
        <w:rPr>
          <w:rFonts w:cstheme="minorHAnsi"/>
          <w:sz w:val="20"/>
          <w:szCs w:val="20"/>
        </w:rPr>
        <w:t>’</w:t>
      </w:r>
      <w:r w:rsidRPr="001964A8">
        <w:rPr>
          <w:rFonts w:cstheme="minorHAnsi"/>
          <w:sz w:val="20"/>
          <w:szCs w:val="20"/>
        </w:rPr>
        <w:t xml:space="preserve">s own private space is likewise prohibited. Establishing facilities like fruit presses, public kitchens, or animal slaughtering areas that emit </w:t>
      </w:r>
      <w:r w:rsidRPr="001964A8">
        <w:rPr>
          <w:rFonts w:cstheme="minorHAnsi"/>
          <w:sz w:val="20"/>
          <w:szCs w:val="20"/>
        </w:rPr>
        <w:lastRenderedPageBreak/>
        <w:t xml:space="preserve">unpleasant </w:t>
      </w:r>
      <w:proofErr w:type="spellStart"/>
      <w:r w:rsidRPr="001964A8">
        <w:rPr>
          <w:rFonts w:cstheme="minorHAnsi"/>
          <w:sz w:val="20"/>
          <w:szCs w:val="20"/>
        </w:rPr>
        <w:t>odors</w:t>
      </w:r>
      <w:proofErr w:type="spellEnd"/>
      <w:r w:rsidRPr="001964A8">
        <w:rPr>
          <w:rFonts w:cstheme="minorHAnsi"/>
          <w:sz w:val="20"/>
          <w:szCs w:val="20"/>
        </w:rPr>
        <w:t xml:space="preserve"> or smoke, </w:t>
      </w:r>
      <w:r>
        <w:rPr>
          <w:rFonts w:cstheme="minorHAnsi"/>
          <w:sz w:val="20"/>
          <w:szCs w:val="20"/>
          <w:u w:val="single"/>
        </w:rPr>
        <w:t>which cause</w:t>
      </w:r>
      <w:r w:rsidRPr="004A0DD8">
        <w:rPr>
          <w:rFonts w:cstheme="minorHAnsi"/>
          <w:sz w:val="20"/>
          <w:szCs w:val="20"/>
          <w:u w:val="single"/>
        </w:rPr>
        <w:t xml:space="preserve"> harm to </w:t>
      </w:r>
      <w:proofErr w:type="spellStart"/>
      <w:r w:rsidRPr="004A0DD8">
        <w:rPr>
          <w:rFonts w:cstheme="minorHAnsi"/>
          <w:sz w:val="20"/>
          <w:szCs w:val="20"/>
          <w:u w:val="single"/>
        </w:rPr>
        <w:t>neighboring</w:t>
      </w:r>
      <w:proofErr w:type="spellEnd"/>
      <w:r w:rsidRPr="001964A8">
        <w:rPr>
          <w:rFonts w:cstheme="minorHAnsi"/>
          <w:sz w:val="20"/>
          <w:szCs w:val="20"/>
        </w:rPr>
        <w:t xml:space="preserve"> residents, is not allowed.</w:t>
      </w:r>
    </w:p>
    <w:p w14:paraId="045DC4E3" w14:textId="587F0EB0" w:rsidR="00973FEA" w:rsidRDefault="00973FEA" w:rsidP="00973FEA">
      <w:pPr>
        <w:widowControl w:val="0"/>
        <w:ind w:left="567"/>
        <w:jc w:val="both"/>
        <w:rPr>
          <w:rFonts w:cstheme="minorHAnsi"/>
          <w:sz w:val="20"/>
          <w:szCs w:val="20"/>
        </w:rPr>
      </w:pPr>
      <w:r w:rsidRPr="001964A8">
        <w:rPr>
          <w:rFonts w:cstheme="minorHAnsi"/>
          <w:sz w:val="20"/>
          <w:szCs w:val="20"/>
        </w:rPr>
        <w:t>Additionally, it is discouraged to perform the call to prayer (</w:t>
      </w:r>
      <w:r w:rsidRPr="00BC4AF9">
        <w:rPr>
          <w:rFonts w:cstheme="minorHAnsi"/>
          <w:i/>
          <w:iCs/>
          <w:sz w:val="20"/>
          <w:szCs w:val="20"/>
        </w:rPr>
        <w:t>azan</w:t>
      </w:r>
      <w:r w:rsidRPr="001964A8">
        <w:rPr>
          <w:rFonts w:cstheme="minorHAnsi"/>
          <w:sz w:val="20"/>
          <w:szCs w:val="20"/>
        </w:rPr>
        <w:t xml:space="preserve">) from the top of a tower, which would enable the caller to see into their </w:t>
      </w:r>
      <w:proofErr w:type="spellStart"/>
      <w:r w:rsidRPr="001964A8">
        <w:rPr>
          <w:rFonts w:cstheme="minorHAnsi"/>
          <w:sz w:val="20"/>
          <w:szCs w:val="20"/>
        </w:rPr>
        <w:t>neighbors</w:t>
      </w:r>
      <w:r>
        <w:rPr>
          <w:rFonts w:cstheme="minorHAnsi"/>
          <w:sz w:val="20"/>
          <w:szCs w:val="20"/>
        </w:rPr>
        <w:t>’</w:t>
      </w:r>
      <w:proofErr w:type="spellEnd"/>
      <w:r w:rsidRPr="001964A8">
        <w:rPr>
          <w:rFonts w:cstheme="minorHAnsi"/>
          <w:sz w:val="20"/>
          <w:szCs w:val="20"/>
        </w:rPr>
        <w:t xml:space="preserve"> private spaces. While the call to prayer is a recommended practice (</w:t>
      </w:r>
      <w:r w:rsidRPr="004A0DD8">
        <w:rPr>
          <w:rFonts w:cstheme="minorHAnsi"/>
          <w:i/>
          <w:sz w:val="20"/>
          <w:szCs w:val="20"/>
        </w:rPr>
        <w:t>sunnah</w:t>
      </w:r>
      <w:r w:rsidRPr="001964A8">
        <w:rPr>
          <w:rFonts w:cstheme="minorHAnsi"/>
          <w:sz w:val="20"/>
          <w:szCs w:val="20"/>
        </w:rPr>
        <w:t>), infringing upon or disturbing the privacy of others is considered prohibited (haram).</w:t>
      </w:r>
    </w:p>
    <w:p w14:paraId="1C56FDB3" w14:textId="77777777" w:rsidR="00973FEA" w:rsidRPr="001964A8" w:rsidRDefault="00973FEA" w:rsidP="00973FEA">
      <w:pPr>
        <w:widowControl w:val="0"/>
        <w:ind w:left="567" w:hanging="283"/>
        <w:jc w:val="both"/>
        <w:rPr>
          <w:rFonts w:cstheme="minorHAnsi"/>
          <w:sz w:val="20"/>
          <w:szCs w:val="20"/>
        </w:rPr>
      </w:pPr>
    </w:p>
    <w:p w14:paraId="504F8F92" w14:textId="77777777" w:rsidR="00973FEA" w:rsidRPr="001964A8" w:rsidRDefault="00973FEA" w:rsidP="00973FEA">
      <w:pPr>
        <w:pStyle w:val="ListParagraph"/>
        <w:widowControl w:val="0"/>
        <w:numPr>
          <w:ilvl w:val="0"/>
          <w:numId w:val="10"/>
        </w:numPr>
        <w:ind w:left="567" w:hanging="283"/>
        <w:jc w:val="both"/>
        <w:rPr>
          <w:rFonts w:cstheme="minorHAnsi"/>
          <w:b/>
          <w:bCs/>
          <w:sz w:val="20"/>
          <w:szCs w:val="20"/>
        </w:rPr>
      </w:pPr>
      <w:r w:rsidRPr="001964A8">
        <w:rPr>
          <w:rFonts w:cstheme="minorHAnsi"/>
          <w:b/>
          <w:bCs/>
          <w:sz w:val="20"/>
          <w:szCs w:val="20"/>
        </w:rPr>
        <w:t>The principal of rejecting any danger as best as one can (</w:t>
      </w:r>
      <w:r w:rsidRPr="001964A8">
        <w:rPr>
          <w:rFonts w:cstheme="minorHAnsi" w:hint="cs"/>
          <w:b/>
          <w:bCs/>
          <w:sz w:val="20"/>
          <w:szCs w:val="20"/>
          <w:rtl/>
        </w:rPr>
        <w:t>الضَرَرُ</w:t>
      </w:r>
      <w:r w:rsidRPr="001964A8">
        <w:rPr>
          <w:rFonts w:cstheme="minorHAnsi"/>
          <w:b/>
          <w:bCs/>
          <w:sz w:val="20"/>
          <w:szCs w:val="20"/>
          <w:rtl/>
        </w:rPr>
        <w:t xml:space="preserve"> </w:t>
      </w:r>
      <w:r w:rsidRPr="001964A8">
        <w:rPr>
          <w:rFonts w:cstheme="minorHAnsi" w:hint="cs"/>
          <w:b/>
          <w:bCs/>
          <w:sz w:val="20"/>
          <w:szCs w:val="20"/>
          <w:rtl/>
        </w:rPr>
        <w:t>يُدْفَعٌ</w:t>
      </w:r>
      <w:r w:rsidRPr="001964A8">
        <w:rPr>
          <w:rFonts w:cstheme="minorHAnsi"/>
          <w:b/>
          <w:bCs/>
          <w:sz w:val="20"/>
          <w:szCs w:val="20"/>
          <w:rtl/>
        </w:rPr>
        <w:t xml:space="preserve"> </w:t>
      </w:r>
      <w:r w:rsidRPr="001964A8">
        <w:rPr>
          <w:rFonts w:cstheme="minorHAnsi" w:hint="cs"/>
          <w:b/>
          <w:bCs/>
          <w:sz w:val="20"/>
          <w:szCs w:val="20"/>
          <w:rtl/>
        </w:rPr>
        <w:t>بِقَدْرِ</w:t>
      </w:r>
      <w:r w:rsidRPr="001964A8">
        <w:rPr>
          <w:rFonts w:cstheme="minorHAnsi"/>
          <w:b/>
          <w:bCs/>
          <w:sz w:val="20"/>
          <w:szCs w:val="20"/>
          <w:rtl/>
        </w:rPr>
        <w:t xml:space="preserve"> </w:t>
      </w:r>
      <w:r w:rsidRPr="001964A8">
        <w:rPr>
          <w:rFonts w:cstheme="minorHAnsi" w:hint="cs"/>
          <w:b/>
          <w:bCs/>
          <w:sz w:val="20"/>
          <w:szCs w:val="20"/>
          <w:rtl/>
        </w:rPr>
        <w:t>الْإِمْكَانِ</w:t>
      </w:r>
      <w:r w:rsidRPr="001964A8">
        <w:rPr>
          <w:rFonts w:cstheme="minorHAnsi"/>
          <w:b/>
          <w:bCs/>
          <w:sz w:val="20"/>
          <w:szCs w:val="20"/>
        </w:rPr>
        <w:t>)</w:t>
      </w:r>
    </w:p>
    <w:p w14:paraId="1743C230" w14:textId="77777777" w:rsidR="00973FEA" w:rsidRDefault="00973FEA" w:rsidP="00973FEA">
      <w:pPr>
        <w:widowControl w:val="0"/>
        <w:ind w:left="567"/>
        <w:jc w:val="both"/>
        <w:rPr>
          <w:rFonts w:cstheme="minorHAnsi"/>
          <w:sz w:val="20"/>
          <w:szCs w:val="20"/>
        </w:rPr>
      </w:pPr>
      <w:r w:rsidRPr="001964A8">
        <w:rPr>
          <w:rFonts w:cstheme="minorHAnsi"/>
          <w:sz w:val="20"/>
          <w:szCs w:val="20"/>
        </w:rPr>
        <w:t xml:space="preserve">In accordance with this principle, every potential hazard should be proactively eliminated to the greatest extent possible. This perspective </w:t>
      </w:r>
      <w:r w:rsidRPr="00964117">
        <w:rPr>
          <w:rFonts w:cstheme="minorHAnsi"/>
          <w:sz w:val="20"/>
          <w:szCs w:val="20"/>
          <w:u w:val="single"/>
        </w:rPr>
        <w:t>emphasizes</w:t>
      </w:r>
      <w:r w:rsidRPr="001964A8">
        <w:rPr>
          <w:rFonts w:cstheme="minorHAnsi"/>
          <w:sz w:val="20"/>
          <w:szCs w:val="20"/>
        </w:rPr>
        <w:t xml:space="preserve"> the necessity of pre-emptively mitigating risks before </w:t>
      </w:r>
      <w:r w:rsidRPr="00964117">
        <w:rPr>
          <w:rFonts w:cstheme="minorHAnsi"/>
          <w:sz w:val="20"/>
          <w:szCs w:val="20"/>
          <w:u w:val="single"/>
        </w:rPr>
        <w:t>they are materialized</w:t>
      </w:r>
      <w:r w:rsidRPr="001964A8">
        <w:rPr>
          <w:rFonts w:cstheme="minorHAnsi"/>
          <w:sz w:val="20"/>
          <w:szCs w:val="20"/>
        </w:rPr>
        <w:t xml:space="preserve"> into act</w:t>
      </w:r>
      <w:r>
        <w:rPr>
          <w:rFonts w:cstheme="minorHAnsi"/>
          <w:sz w:val="20"/>
          <w:szCs w:val="20"/>
        </w:rPr>
        <w:t xml:space="preserve">ual dangers </w:t>
      </w:r>
      <w:r w:rsidRPr="001964A8">
        <w:rPr>
          <w:rFonts w:cstheme="minorHAnsi"/>
          <w:sz w:val="20"/>
          <w:szCs w:val="20"/>
        </w:rPr>
        <w:t xml:space="preserve">as the preservation of health is preferable to medical intervention. Within the framework of Architectural </w:t>
      </w:r>
      <w:r w:rsidRPr="00BC4AF9">
        <w:rPr>
          <w:rFonts w:cstheme="minorHAnsi"/>
          <w:i/>
          <w:iCs/>
          <w:sz w:val="20"/>
          <w:szCs w:val="20"/>
        </w:rPr>
        <w:t>Fiqh</w:t>
      </w:r>
      <w:r w:rsidRPr="001964A8">
        <w:rPr>
          <w:rFonts w:cstheme="minorHAnsi"/>
          <w:sz w:val="20"/>
          <w:szCs w:val="20"/>
        </w:rPr>
        <w:t xml:space="preserve">, this concept finds two noteworthy applications: </w:t>
      </w:r>
      <w:r w:rsidRPr="00DB37AE">
        <w:rPr>
          <w:rFonts w:cstheme="minorHAnsi"/>
          <w:sz w:val="20"/>
          <w:szCs w:val="20"/>
          <w:u w:val="single"/>
        </w:rPr>
        <w:t>when a hazard</w:t>
      </w:r>
      <w:r w:rsidRPr="001964A8">
        <w:rPr>
          <w:rFonts w:cstheme="minorHAnsi"/>
          <w:sz w:val="20"/>
          <w:szCs w:val="20"/>
        </w:rPr>
        <w:t xml:space="preserve"> is in its potential stage and </w:t>
      </w:r>
      <w:r w:rsidRPr="00DB37AE">
        <w:rPr>
          <w:rFonts w:cstheme="minorHAnsi"/>
          <w:sz w:val="20"/>
          <w:szCs w:val="20"/>
          <w:u w:val="single"/>
        </w:rPr>
        <w:t>when a danger</w:t>
      </w:r>
      <w:r w:rsidRPr="001964A8">
        <w:rPr>
          <w:rFonts w:cstheme="minorHAnsi"/>
          <w:sz w:val="20"/>
          <w:szCs w:val="20"/>
        </w:rPr>
        <w:t xml:space="preserve"> has already materialized. Examples of its implementation include repairing cracked buildings, ensuring precise measurements and careful construction to </w:t>
      </w:r>
      <w:r w:rsidRPr="00DB37AE">
        <w:rPr>
          <w:rFonts w:cstheme="minorHAnsi"/>
          <w:sz w:val="20"/>
          <w:szCs w:val="20"/>
          <w:u w:val="single"/>
        </w:rPr>
        <w:t>pre-empt</w:t>
      </w:r>
      <w:r w:rsidRPr="001964A8">
        <w:rPr>
          <w:rFonts w:cstheme="minorHAnsi"/>
          <w:sz w:val="20"/>
          <w:szCs w:val="20"/>
        </w:rPr>
        <w:t xml:space="preserve"> any potential hazards, maintaining building services to minimize faults or disturbances, and permanently sealing off any hazardous windows or doors.</w:t>
      </w:r>
    </w:p>
    <w:p w14:paraId="1D7D5F5E" w14:textId="77777777" w:rsidR="00973FEA" w:rsidRPr="001964A8" w:rsidRDefault="00973FEA" w:rsidP="00973FEA">
      <w:pPr>
        <w:widowControl w:val="0"/>
        <w:ind w:left="567" w:hanging="283"/>
        <w:jc w:val="both"/>
        <w:rPr>
          <w:rFonts w:cstheme="minorHAnsi"/>
          <w:sz w:val="20"/>
          <w:szCs w:val="20"/>
        </w:rPr>
      </w:pPr>
    </w:p>
    <w:p w14:paraId="6DC047E7" w14:textId="77777777" w:rsidR="00973FEA" w:rsidRPr="001964A8" w:rsidRDefault="00973FEA" w:rsidP="00973FEA">
      <w:pPr>
        <w:pStyle w:val="ListParagraph"/>
        <w:widowControl w:val="0"/>
        <w:numPr>
          <w:ilvl w:val="0"/>
          <w:numId w:val="10"/>
        </w:numPr>
        <w:ind w:left="567" w:hanging="283"/>
        <w:jc w:val="both"/>
        <w:rPr>
          <w:rFonts w:cstheme="minorHAnsi"/>
          <w:b/>
          <w:bCs/>
          <w:sz w:val="20"/>
          <w:szCs w:val="20"/>
        </w:rPr>
      </w:pPr>
      <w:r w:rsidRPr="00FB75B1">
        <w:rPr>
          <w:rFonts w:cstheme="minorHAnsi"/>
          <w:b/>
          <w:bCs/>
          <w:sz w:val="20"/>
          <w:szCs w:val="20"/>
          <w:u w:val="single"/>
        </w:rPr>
        <w:t>The principle</w:t>
      </w:r>
      <w:r w:rsidRPr="001964A8">
        <w:rPr>
          <w:rFonts w:cstheme="minorHAnsi"/>
          <w:b/>
          <w:bCs/>
          <w:sz w:val="20"/>
          <w:szCs w:val="20"/>
        </w:rPr>
        <w:t xml:space="preserve"> </w:t>
      </w:r>
      <w:r w:rsidRPr="00675A5C">
        <w:rPr>
          <w:rFonts w:cstheme="minorHAnsi"/>
          <w:b/>
          <w:bCs/>
          <w:sz w:val="20"/>
          <w:szCs w:val="20"/>
          <w:u w:val="single"/>
        </w:rPr>
        <w:t>of Hazards should not be eliminated with other danger or hazards, and they should not be eliminated with the same level of danger or hazards</w:t>
      </w:r>
      <w:r>
        <w:rPr>
          <w:rFonts w:cstheme="minorHAnsi"/>
          <w:b/>
          <w:bCs/>
          <w:sz w:val="20"/>
          <w:szCs w:val="20"/>
        </w:rPr>
        <w:t xml:space="preserve"> </w:t>
      </w:r>
      <w:r w:rsidRPr="001964A8">
        <w:rPr>
          <w:rFonts w:cstheme="minorHAnsi"/>
          <w:b/>
          <w:bCs/>
          <w:sz w:val="20"/>
          <w:szCs w:val="20"/>
        </w:rPr>
        <w:t>(</w:t>
      </w:r>
      <w:r w:rsidRPr="001964A8">
        <w:rPr>
          <w:rFonts w:cstheme="minorHAnsi"/>
          <w:b/>
          <w:bCs/>
          <w:sz w:val="20"/>
          <w:szCs w:val="20"/>
          <w:rtl/>
        </w:rPr>
        <w:t>اَلضَّرَرُ</w:t>
      </w:r>
      <w:r w:rsidRPr="001964A8">
        <w:rPr>
          <w:rFonts w:cstheme="minorHAnsi"/>
          <w:b/>
          <w:bCs/>
          <w:sz w:val="20"/>
          <w:szCs w:val="20"/>
        </w:rPr>
        <w:t xml:space="preserve"> </w:t>
      </w:r>
      <w:r w:rsidRPr="001964A8">
        <w:rPr>
          <w:rFonts w:cstheme="minorHAnsi"/>
          <w:b/>
          <w:bCs/>
          <w:sz w:val="20"/>
          <w:szCs w:val="20"/>
          <w:rtl/>
        </w:rPr>
        <w:t>لَا</w:t>
      </w:r>
      <w:r w:rsidRPr="001964A8">
        <w:rPr>
          <w:rFonts w:cstheme="minorHAnsi"/>
          <w:b/>
          <w:bCs/>
          <w:sz w:val="20"/>
          <w:szCs w:val="20"/>
        </w:rPr>
        <w:t xml:space="preserve"> </w:t>
      </w:r>
      <w:r w:rsidRPr="001964A8">
        <w:rPr>
          <w:rFonts w:cstheme="minorHAnsi"/>
          <w:b/>
          <w:bCs/>
          <w:sz w:val="20"/>
          <w:szCs w:val="20"/>
          <w:rtl/>
        </w:rPr>
        <w:t>يُزَالُ</w:t>
      </w:r>
      <w:r w:rsidRPr="001964A8">
        <w:rPr>
          <w:rFonts w:cstheme="minorHAnsi"/>
          <w:b/>
          <w:bCs/>
          <w:sz w:val="20"/>
          <w:szCs w:val="20"/>
        </w:rPr>
        <w:t xml:space="preserve"> </w:t>
      </w:r>
      <w:r w:rsidRPr="001964A8">
        <w:rPr>
          <w:rFonts w:cstheme="minorHAnsi"/>
          <w:b/>
          <w:bCs/>
          <w:sz w:val="20"/>
          <w:szCs w:val="20"/>
          <w:rtl/>
        </w:rPr>
        <w:t>بِالضَّرَرِ</w:t>
      </w:r>
      <w:r w:rsidRPr="001964A8">
        <w:rPr>
          <w:rFonts w:cstheme="minorHAnsi"/>
          <w:b/>
          <w:bCs/>
          <w:sz w:val="20"/>
          <w:szCs w:val="20"/>
        </w:rPr>
        <w:t xml:space="preserve"> </w:t>
      </w:r>
      <w:r w:rsidRPr="001964A8">
        <w:rPr>
          <w:rFonts w:cstheme="minorHAnsi"/>
          <w:b/>
          <w:bCs/>
          <w:sz w:val="20"/>
          <w:szCs w:val="20"/>
          <w:rtl/>
        </w:rPr>
        <w:t>أَوْ</w:t>
      </w:r>
      <w:r w:rsidRPr="001964A8">
        <w:rPr>
          <w:rFonts w:cstheme="minorHAnsi"/>
          <w:b/>
          <w:bCs/>
          <w:sz w:val="20"/>
          <w:szCs w:val="20"/>
        </w:rPr>
        <w:t xml:space="preserve"> </w:t>
      </w:r>
      <w:r w:rsidRPr="001964A8">
        <w:rPr>
          <w:rFonts w:cstheme="minorHAnsi"/>
          <w:b/>
          <w:bCs/>
          <w:sz w:val="20"/>
          <w:szCs w:val="20"/>
          <w:rtl/>
        </w:rPr>
        <w:t>الضَرَرُ</w:t>
      </w:r>
      <w:r w:rsidRPr="001964A8">
        <w:rPr>
          <w:rFonts w:cstheme="minorHAnsi"/>
          <w:b/>
          <w:bCs/>
          <w:sz w:val="20"/>
          <w:szCs w:val="20"/>
        </w:rPr>
        <w:t xml:space="preserve"> </w:t>
      </w:r>
      <w:r w:rsidRPr="001964A8">
        <w:rPr>
          <w:rFonts w:cstheme="minorHAnsi"/>
          <w:b/>
          <w:bCs/>
          <w:sz w:val="20"/>
          <w:szCs w:val="20"/>
          <w:rtl/>
        </w:rPr>
        <w:t>لَايُزَالُ</w:t>
      </w:r>
      <w:r w:rsidRPr="001964A8">
        <w:rPr>
          <w:rFonts w:cstheme="minorHAnsi"/>
          <w:b/>
          <w:bCs/>
          <w:sz w:val="20"/>
          <w:szCs w:val="20"/>
        </w:rPr>
        <w:t xml:space="preserve"> </w:t>
      </w:r>
      <w:r w:rsidRPr="001964A8">
        <w:rPr>
          <w:rFonts w:cstheme="minorHAnsi"/>
          <w:b/>
          <w:bCs/>
          <w:sz w:val="20"/>
          <w:szCs w:val="20"/>
          <w:rtl/>
        </w:rPr>
        <w:t>بِمِثْلِهِ</w:t>
      </w:r>
      <w:r w:rsidRPr="001964A8">
        <w:rPr>
          <w:rFonts w:cstheme="minorHAnsi"/>
          <w:b/>
          <w:bCs/>
          <w:sz w:val="20"/>
          <w:szCs w:val="20"/>
        </w:rPr>
        <w:t>).</w:t>
      </w:r>
    </w:p>
    <w:p w14:paraId="04934FF3" w14:textId="06209528" w:rsidR="00973FEA" w:rsidRDefault="00973FEA" w:rsidP="00973FEA">
      <w:pPr>
        <w:widowControl w:val="0"/>
        <w:ind w:left="567"/>
        <w:jc w:val="both"/>
        <w:rPr>
          <w:rFonts w:cstheme="minorHAnsi"/>
          <w:sz w:val="20"/>
          <w:szCs w:val="20"/>
        </w:rPr>
      </w:pPr>
      <w:r w:rsidRPr="001964A8">
        <w:rPr>
          <w:rFonts w:cstheme="minorHAnsi"/>
          <w:sz w:val="20"/>
          <w:szCs w:val="20"/>
        </w:rPr>
        <w:t>Examples illustrating the application of these principles include the prohibition of designing a vent in one</w:t>
      </w:r>
      <w:r>
        <w:rPr>
          <w:rFonts w:cstheme="minorHAnsi"/>
          <w:sz w:val="20"/>
          <w:szCs w:val="20"/>
        </w:rPr>
        <w:t>’</w:t>
      </w:r>
      <w:r w:rsidRPr="001964A8">
        <w:rPr>
          <w:rFonts w:cstheme="minorHAnsi"/>
          <w:sz w:val="20"/>
          <w:szCs w:val="20"/>
        </w:rPr>
        <w:t xml:space="preserve">s house wall </w:t>
      </w:r>
      <w:r w:rsidRPr="00EB10DD">
        <w:rPr>
          <w:rFonts w:cstheme="minorHAnsi"/>
          <w:sz w:val="20"/>
          <w:szCs w:val="20"/>
          <w:u w:val="single"/>
        </w:rPr>
        <w:t>to peer into</w:t>
      </w:r>
      <w:r>
        <w:rPr>
          <w:rFonts w:cstheme="minorHAnsi"/>
          <w:sz w:val="20"/>
          <w:szCs w:val="20"/>
        </w:rPr>
        <w:t xml:space="preserve"> a neighbour’s privacy, and vice versa;</w:t>
      </w:r>
      <w:r w:rsidRPr="001964A8">
        <w:rPr>
          <w:rFonts w:cstheme="minorHAnsi"/>
          <w:sz w:val="20"/>
          <w:szCs w:val="20"/>
        </w:rPr>
        <w:t xml:space="preserve"> the neighbour </w:t>
      </w:r>
      <w:r>
        <w:rPr>
          <w:rFonts w:cstheme="minorHAnsi"/>
          <w:sz w:val="20"/>
          <w:szCs w:val="20"/>
        </w:rPr>
        <w:t>is not allowed to do so.</w:t>
      </w:r>
      <w:r w:rsidRPr="001964A8">
        <w:rPr>
          <w:rFonts w:cstheme="minorHAnsi"/>
          <w:sz w:val="20"/>
          <w:szCs w:val="20"/>
        </w:rPr>
        <w:t xml:space="preserve"> </w:t>
      </w:r>
    </w:p>
    <w:p w14:paraId="226EC777" w14:textId="77777777" w:rsidR="00973FEA" w:rsidRPr="001964A8" w:rsidRDefault="00973FEA" w:rsidP="00973FEA">
      <w:pPr>
        <w:widowControl w:val="0"/>
        <w:ind w:left="567"/>
        <w:jc w:val="both"/>
        <w:rPr>
          <w:rFonts w:cstheme="minorHAnsi"/>
          <w:b/>
          <w:bCs/>
          <w:sz w:val="20"/>
          <w:szCs w:val="20"/>
        </w:rPr>
      </w:pPr>
      <w:r>
        <w:rPr>
          <w:rFonts w:cstheme="minorHAnsi"/>
          <w:b/>
          <w:bCs/>
          <w:sz w:val="20"/>
          <w:szCs w:val="20"/>
        </w:rPr>
        <w:t xml:space="preserve">The </w:t>
      </w:r>
      <w:r w:rsidRPr="00180733">
        <w:rPr>
          <w:rFonts w:cstheme="minorHAnsi"/>
          <w:b/>
          <w:bCs/>
          <w:sz w:val="20"/>
          <w:szCs w:val="20"/>
          <w:u w:val="single"/>
        </w:rPr>
        <w:t>principle</w:t>
      </w:r>
      <w:r w:rsidRPr="001964A8">
        <w:rPr>
          <w:rFonts w:cstheme="minorHAnsi"/>
          <w:b/>
          <w:bCs/>
          <w:sz w:val="20"/>
          <w:szCs w:val="20"/>
        </w:rPr>
        <w:t xml:space="preserve"> of (if one must choose) </w:t>
      </w:r>
      <w:r w:rsidRPr="001710A3">
        <w:rPr>
          <w:rFonts w:cstheme="minorHAnsi"/>
          <w:b/>
          <w:bCs/>
          <w:sz w:val="20"/>
          <w:szCs w:val="20"/>
          <w:u w:val="single"/>
        </w:rPr>
        <w:t>choosing the one having lesser dangerous effect or hazards among dangerous choices.</w:t>
      </w:r>
      <w:r w:rsidRPr="001964A8">
        <w:rPr>
          <w:rFonts w:cstheme="minorHAnsi"/>
          <w:b/>
          <w:bCs/>
          <w:sz w:val="20"/>
          <w:szCs w:val="20"/>
        </w:rPr>
        <w:t xml:space="preserve"> (</w:t>
      </w:r>
      <w:r w:rsidRPr="001964A8">
        <w:rPr>
          <w:rFonts w:cstheme="minorHAnsi"/>
          <w:b/>
          <w:bCs/>
          <w:sz w:val="20"/>
          <w:szCs w:val="20"/>
          <w:rtl/>
        </w:rPr>
        <w:t>يُخْتَارُ</w:t>
      </w:r>
      <w:r w:rsidRPr="001964A8">
        <w:rPr>
          <w:rFonts w:cstheme="minorHAnsi"/>
          <w:b/>
          <w:bCs/>
          <w:sz w:val="20"/>
          <w:szCs w:val="20"/>
        </w:rPr>
        <w:t xml:space="preserve"> </w:t>
      </w:r>
      <w:r w:rsidRPr="001964A8">
        <w:rPr>
          <w:rFonts w:cstheme="minorHAnsi"/>
          <w:b/>
          <w:bCs/>
          <w:sz w:val="20"/>
          <w:szCs w:val="20"/>
          <w:rtl/>
        </w:rPr>
        <w:t>أَهْوَنُ</w:t>
      </w:r>
      <w:r w:rsidRPr="001964A8">
        <w:rPr>
          <w:rFonts w:cstheme="minorHAnsi"/>
          <w:b/>
          <w:bCs/>
          <w:sz w:val="20"/>
          <w:szCs w:val="20"/>
        </w:rPr>
        <w:t xml:space="preserve"> </w:t>
      </w:r>
      <w:r w:rsidRPr="001964A8">
        <w:rPr>
          <w:rFonts w:cstheme="minorHAnsi"/>
          <w:b/>
          <w:bCs/>
          <w:sz w:val="20"/>
          <w:szCs w:val="20"/>
          <w:rtl/>
        </w:rPr>
        <w:t>الشَّرَّيْنِ</w:t>
      </w:r>
      <w:r w:rsidRPr="001964A8">
        <w:rPr>
          <w:rFonts w:cstheme="minorHAnsi"/>
          <w:b/>
          <w:bCs/>
          <w:sz w:val="20"/>
          <w:szCs w:val="20"/>
        </w:rPr>
        <w:t xml:space="preserve"> </w:t>
      </w:r>
      <w:r w:rsidRPr="001964A8">
        <w:rPr>
          <w:rFonts w:cstheme="minorHAnsi"/>
          <w:b/>
          <w:bCs/>
          <w:sz w:val="20"/>
          <w:szCs w:val="20"/>
          <w:rtl/>
        </w:rPr>
        <w:t>أَوْ</w:t>
      </w:r>
      <w:r w:rsidRPr="001964A8">
        <w:rPr>
          <w:rFonts w:cstheme="minorHAnsi"/>
          <w:b/>
          <w:bCs/>
          <w:sz w:val="20"/>
          <w:szCs w:val="20"/>
        </w:rPr>
        <w:t xml:space="preserve"> </w:t>
      </w:r>
      <w:r w:rsidRPr="001964A8">
        <w:rPr>
          <w:rFonts w:cstheme="minorHAnsi"/>
          <w:b/>
          <w:bCs/>
          <w:sz w:val="20"/>
          <w:szCs w:val="20"/>
          <w:rtl/>
        </w:rPr>
        <w:t>أَخَفُّ</w:t>
      </w:r>
      <w:r w:rsidRPr="001964A8">
        <w:rPr>
          <w:rFonts w:cstheme="minorHAnsi"/>
          <w:b/>
          <w:bCs/>
          <w:sz w:val="20"/>
          <w:szCs w:val="20"/>
        </w:rPr>
        <w:t xml:space="preserve"> </w:t>
      </w:r>
      <w:proofErr w:type="gramStart"/>
      <w:r w:rsidRPr="001964A8">
        <w:rPr>
          <w:rFonts w:cstheme="minorHAnsi"/>
          <w:b/>
          <w:bCs/>
          <w:sz w:val="20"/>
          <w:szCs w:val="20"/>
          <w:rtl/>
        </w:rPr>
        <w:t>الضَّرَرَيْنِ</w:t>
      </w:r>
      <w:r w:rsidRPr="001964A8">
        <w:rPr>
          <w:rFonts w:cstheme="minorHAnsi"/>
          <w:b/>
          <w:bCs/>
          <w:sz w:val="20"/>
          <w:szCs w:val="20"/>
        </w:rPr>
        <w:t xml:space="preserve"> )</w:t>
      </w:r>
      <w:proofErr w:type="gramEnd"/>
    </w:p>
    <w:p w14:paraId="0EE6DDD3" w14:textId="42A2A553" w:rsidR="00973FEA" w:rsidRDefault="00973FEA" w:rsidP="00973FEA">
      <w:pPr>
        <w:widowControl w:val="0"/>
        <w:ind w:left="567"/>
        <w:jc w:val="both"/>
        <w:rPr>
          <w:rFonts w:cstheme="minorHAnsi"/>
          <w:sz w:val="20"/>
          <w:szCs w:val="20"/>
        </w:rPr>
      </w:pPr>
      <w:r w:rsidRPr="001964A8">
        <w:rPr>
          <w:rFonts w:cstheme="minorHAnsi"/>
          <w:sz w:val="20"/>
          <w:szCs w:val="20"/>
        </w:rPr>
        <w:t>Illustrations of these principles in practice include scenarios where using one</w:t>
      </w:r>
      <w:r>
        <w:rPr>
          <w:rFonts w:cstheme="minorHAnsi"/>
          <w:sz w:val="20"/>
          <w:szCs w:val="20"/>
        </w:rPr>
        <w:t>’</w:t>
      </w:r>
      <w:r w:rsidRPr="001964A8">
        <w:rPr>
          <w:rFonts w:cstheme="minorHAnsi"/>
          <w:sz w:val="20"/>
          <w:szCs w:val="20"/>
        </w:rPr>
        <w:t>s property may harm a neighbour, yet refraining from using it poses a danger to the owner. Additionally, situations may arise where a property owner intends to erect a fence around their land, but a neighbouring tree obstructs their efforts.</w:t>
      </w:r>
    </w:p>
    <w:p w14:paraId="49D8A6F7" w14:textId="77777777" w:rsidR="00973FEA" w:rsidRPr="001964A8" w:rsidRDefault="00973FEA" w:rsidP="00973FEA">
      <w:pPr>
        <w:widowControl w:val="0"/>
        <w:ind w:left="567" w:hanging="283"/>
        <w:jc w:val="both"/>
        <w:rPr>
          <w:rFonts w:cstheme="minorHAnsi"/>
          <w:sz w:val="20"/>
          <w:szCs w:val="20"/>
        </w:rPr>
      </w:pPr>
    </w:p>
    <w:p w14:paraId="178A3E3B" w14:textId="77777777" w:rsidR="00973FEA" w:rsidRDefault="00973FEA" w:rsidP="00973FEA">
      <w:pPr>
        <w:pStyle w:val="ListParagraph"/>
        <w:widowControl w:val="0"/>
        <w:numPr>
          <w:ilvl w:val="0"/>
          <w:numId w:val="10"/>
        </w:numPr>
        <w:ind w:left="567" w:hanging="283"/>
        <w:jc w:val="both"/>
        <w:rPr>
          <w:rFonts w:cstheme="minorHAnsi"/>
          <w:b/>
          <w:bCs/>
          <w:sz w:val="20"/>
          <w:szCs w:val="20"/>
        </w:rPr>
      </w:pPr>
      <w:r>
        <w:rPr>
          <w:rFonts w:cstheme="minorHAnsi"/>
          <w:b/>
          <w:bCs/>
          <w:sz w:val="20"/>
          <w:szCs w:val="20"/>
        </w:rPr>
        <w:t>The principle of a specific hazard</w:t>
      </w:r>
      <w:r w:rsidRPr="001964A8">
        <w:rPr>
          <w:rFonts w:cstheme="minorHAnsi"/>
          <w:b/>
          <w:bCs/>
          <w:sz w:val="20"/>
          <w:szCs w:val="20"/>
        </w:rPr>
        <w:t xml:space="preserve"> </w:t>
      </w:r>
      <w:r>
        <w:rPr>
          <w:rFonts w:cstheme="minorHAnsi"/>
          <w:b/>
          <w:bCs/>
          <w:sz w:val="20"/>
          <w:szCs w:val="20"/>
        </w:rPr>
        <w:t xml:space="preserve">is </w:t>
      </w:r>
      <w:r w:rsidRPr="001964A8">
        <w:rPr>
          <w:rFonts w:cstheme="minorHAnsi"/>
          <w:b/>
          <w:bCs/>
          <w:sz w:val="20"/>
          <w:szCs w:val="20"/>
        </w:rPr>
        <w:t>dealt with to reject general hazards (</w:t>
      </w:r>
      <w:r w:rsidRPr="001964A8">
        <w:rPr>
          <w:rFonts w:cstheme="minorHAnsi"/>
          <w:b/>
          <w:bCs/>
          <w:sz w:val="20"/>
          <w:szCs w:val="20"/>
          <w:rtl/>
        </w:rPr>
        <w:t>يُتَحَمَّلُ</w:t>
      </w:r>
      <w:r w:rsidRPr="001964A8">
        <w:rPr>
          <w:rFonts w:cstheme="minorHAnsi"/>
          <w:b/>
          <w:bCs/>
          <w:sz w:val="20"/>
          <w:szCs w:val="20"/>
        </w:rPr>
        <w:t xml:space="preserve"> </w:t>
      </w:r>
      <w:r w:rsidRPr="001964A8">
        <w:rPr>
          <w:rFonts w:cstheme="minorHAnsi"/>
          <w:b/>
          <w:bCs/>
          <w:sz w:val="20"/>
          <w:szCs w:val="20"/>
          <w:rtl/>
        </w:rPr>
        <w:t>الضَّرَرُ</w:t>
      </w:r>
      <w:r w:rsidRPr="001964A8">
        <w:rPr>
          <w:rFonts w:cstheme="minorHAnsi"/>
          <w:b/>
          <w:bCs/>
          <w:sz w:val="20"/>
          <w:szCs w:val="20"/>
        </w:rPr>
        <w:t xml:space="preserve"> </w:t>
      </w:r>
      <w:r w:rsidRPr="001964A8">
        <w:rPr>
          <w:rFonts w:cstheme="minorHAnsi"/>
          <w:b/>
          <w:bCs/>
          <w:sz w:val="20"/>
          <w:szCs w:val="20"/>
          <w:rtl/>
        </w:rPr>
        <w:t>الْخَاصِ</w:t>
      </w:r>
      <w:r w:rsidRPr="001964A8">
        <w:rPr>
          <w:rFonts w:cstheme="minorHAnsi"/>
          <w:b/>
          <w:bCs/>
          <w:sz w:val="20"/>
          <w:szCs w:val="20"/>
        </w:rPr>
        <w:t xml:space="preserve"> </w:t>
      </w:r>
      <w:r w:rsidRPr="001964A8">
        <w:rPr>
          <w:rFonts w:cstheme="minorHAnsi"/>
          <w:b/>
          <w:bCs/>
          <w:sz w:val="20"/>
          <w:szCs w:val="20"/>
          <w:rtl/>
        </w:rPr>
        <w:t>لِأَجْلِ</w:t>
      </w:r>
      <w:r w:rsidRPr="001964A8">
        <w:rPr>
          <w:rFonts w:cstheme="minorHAnsi"/>
          <w:b/>
          <w:bCs/>
          <w:sz w:val="20"/>
          <w:szCs w:val="20"/>
        </w:rPr>
        <w:t xml:space="preserve"> </w:t>
      </w:r>
      <w:r w:rsidRPr="001964A8">
        <w:rPr>
          <w:rFonts w:cstheme="minorHAnsi"/>
          <w:b/>
          <w:bCs/>
          <w:sz w:val="20"/>
          <w:szCs w:val="20"/>
          <w:rtl/>
        </w:rPr>
        <w:t>دَفْعِ</w:t>
      </w:r>
      <w:r w:rsidRPr="001964A8">
        <w:rPr>
          <w:rFonts w:cstheme="minorHAnsi"/>
          <w:b/>
          <w:bCs/>
          <w:sz w:val="20"/>
          <w:szCs w:val="20"/>
        </w:rPr>
        <w:t xml:space="preserve"> </w:t>
      </w:r>
      <w:r w:rsidRPr="001964A8">
        <w:rPr>
          <w:rFonts w:cstheme="minorHAnsi"/>
          <w:b/>
          <w:bCs/>
          <w:sz w:val="20"/>
          <w:szCs w:val="20"/>
          <w:rtl/>
        </w:rPr>
        <w:t>الضَّرَرِ</w:t>
      </w:r>
      <w:r w:rsidRPr="001964A8">
        <w:rPr>
          <w:rFonts w:cstheme="minorHAnsi"/>
          <w:b/>
          <w:bCs/>
          <w:sz w:val="20"/>
          <w:szCs w:val="20"/>
        </w:rPr>
        <w:t xml:space="preserve"> </w:t>
      </w:r>
      <w:r w:rsidRPr="001964A8">
        <w:rPr>
          <w:rFonts w:cstheme="minorHAnsi"/>
          <w:b/>
          <w:bCs/>
          <w:sz w:val="20"/>
          <w:szCs w:val="20"/>
          <w:rtl/>
        </w:rPr>
        <w:t>الْعَامِ</w:t>
      </w:r>
      <w:r w:rsidRPr="001964A8">
        <w:rPr>
          <w:rFonts w:cstheme="minorHAnsi"/>
          <w:b/>
          <w:bCs/>
          <w:sz w:val="20"/>
          <w:szCs w:val="20"/>
        </w:rPr>
        <w:t>)</w:t>
      </w:r>
    </w:p>
    <w:p w14:paraId="2D821183" w14:textId="77777777" w:rsidR="00973FEA" w:rsidRPr="00E50DD4" w:rsidRDefault="00973FEA" w:rsidP="00973FEA">
      <w:pPr>
        <w:pStyle w:val="ListParagraph"/>
        <w:widowControl w:val="0"/>
        <w:ind w:left="567"/>
        <w:jc w:val="both"/>
        <w:rPr>
          <w:rFonts w:cstheme="minorHAnsi"/>
          <w:sz w:val="20"/>
          <w:szCs w:val="20"/>
        </w:rPr>
      </w:pPr>
      <w:r w:rsidRPr="00E50DD4">
        <w:rPr>
          <w:rFonts w:cstheme="minorHAnsi"/>
          <w:sz w:val="20"/>
          <w:szCs w:val="20"/>
        </w:rPr>
        <w:t>Examples illustrating the application of these principles include the necessity to disassemble walls that pose a risk of collapsing onto public roads. It is prohibited to open a garage or kitchen within a fabric-selling area due to the potential damage</w:t>
      </w:r>
      <w:r w:rsidRPr="00E05AD1">
        <w:rPr>
          <w:rFonts w:cstheme="minorHAnsi"/>
          <w:sz w:val="20"/>
          <w:szCs w:val="20"/>
          <w:u w:val="single"/>
        </w:rPr>
        <w:t>; the dirt from these areas could damage the fabrics</w:t>
      </w:r>
      <w:r w:rsidRPr="00E50DD4">
        <w:rPr>
          <w:rFonts w:cstheme="minorHAnsi"/>
          <w:sz w:val="20"/>
          <w:szCs w:val="20"/>
        </w:rPr>
        <w:t xml:space="preserve">. Roads should be widened when they become too narrow </w:t>
      </w:r>
      <w:r w:rsidRPr="00D25948">
        <w:rPr>
          <w:rFonts w:cstheme="minorHAnsi"/>
          <w:sz w:val="20"/>
          <w:szCs w:val="20"/>
          <w:u w:val="single"/>
        </w:rPr>
        <w:t>for the road users’ safety</w:t>
      </w:r>
      <w:r w:rsidRPr="00E50DD4">
        <w:rPr>
          <w:rFonts w:cstheme="minorHAnsi"/>
          <w:sz w:val="20"/>
          <w:szCs w:val="20"/>
        </w:rPr>
        <w:t xml:space="preserve">. Slaughterhouses should be relocated away from residential areas and </w:t>
      </w:r>
      <w:r w:rsidRPr="00D25948">
        <w:rPr>
          <w:rFonts w:cstheme="minorHAnsi"/>
          <w:sz w:val="20"/>
          <w:szCs w:val="20"/>
          <w:u w:val="single"/>
        </w:rPr>
        <w:t>be</w:t>
      </w:r>
      <w:r>
        <w:rPr>
          <w:rFonts w:cstheme="minorHAnsi"/>
          <w:sz w:val="20"/>
          <w:szCs w:val="20"/>
        </w:rPr>
        <w:t xml:space="preserve"> </w:t>
      </w:r>
      <w:r w:rsidRPr="00E50DD4">
        <w:rPr>
          <w:rFonts w:cstheme="minorHAnsi"/>
          <w:sz w:val="20"/>
          <w:szCs w:val="20"/>
        </w:rPr>
        <w:t>placed on the outskirts of the city. Additionally, it is permissible to disassemble and relocate graves in cases where it serves a general benefit, such as for constructing fortifications.</w:t>
      </w:r>
    </w:p>
    <w:p w14:paraId="71E68B47" w14:textId="77777777" w:rsidR="00973FEA" w:rsidRPr="001964A8" w:rsidRDefault="00973FEA" w:rsidP="00973FEA">
      <w:pPr>
        <w:widowControl w:val="0"/>
        <w:ind w:left="567" w:hanging="283"/>
        <w:jc w:val="both"/>
        <w:rPr>
          <w:rFonts w:cstheme="minorHAnsi"/>
          <w:sz w:val="20"/>
          <w:szCs w:val="20"/>
        </w:rPr>
      </w:pPr>
    </w:p>
    <w:p w14:paraId="347A27F1" w14:textId="3AEAA4EB" w:rsidR="00973FEA" w:rsidRPr="00F4380B" w:rsidRDefault="00973FEA" w:rsidP="00973FEA">
      <w:pPr>
        <w:pStyle w:val="ListParagraph"/>
        <w:widowControl w:val="0"/>
        <w:numPr>
          <w:ilvl w:val="0"/>
          <w:numId w:val="12"/>
        </w:numPr>
        <w:ind w:left="567" w:hanging="283"/>
        <w:jc w:val="both"/>
        <w:rPr>
          <w:rFonts w:asciiTheme="minorHAnsi" w:hAnsiTheme="minorHAnsi" w:cstheme="minorHAnsi"/>
          <w:b/>
          <w:bCs/>
          <w:sz w:val="18"/>
          <w:szCs w:val="18"/>
        </w:rPr>
      </w:pPr>
      <w:r w:rsidRPr="00F4380B">
        <w:rPr>
          <w:rFonts w:asciiTheme="minorHAnsi" w:hAnsiTheme="minorHAnsi" w:cstheme="minorHAnsi"/>
          <w:b/>
          <w:bCs/>
          <w:sz w:val="18"/>
          <w:szCs w:val="18"/>
        </w:rPr>
        <w:t xml:space="preserve">2.2     The principals of Habitude or </w:t>
      </w:r>
      <w:r w:rsidRPr="00F4380B">
        <w:rPr>
          <w:rFonts w:asciiTheme="minorHAnsi" w:hAnsiTheme="minorHAnsi" w:cstheme="minorHAnsi"/>
          <w:b/>
          <w:bCs/>
          <w:i/>
          <w:sz w:val="18"/>
          <w:szCs w:val="18"/>
          <w:u w:val="single"/>
        </w:rPr>
        <w:t>al-</w:t>
      </w:r>
      <w:proofErr w:type="spellStart"/>
      <w:r w:rsidRPr="00F4380B">
        <w:rPr>
          <w:rFonts w:asciiTheme="minorHAnsi" w:hAnsiTheme="minorHAnsi" w:cstheme="minorHAnsi"/>
          <w:b/>
          <w:bCs/>
          <w:i/>
          <w:sz w:val="18"/>
          <w:szCs w:val="18"/>
          <w:u w:val="single"/>
        </w:rPr>
        <w:t>ādatu</w:t>
      </w:r>
      <w:proofErr w:type="spellEnd"/>
      <w:r w:rsidRPr="00F4380B">
        <w:rPr>
          <w:rFonts w:asciiTheme="minorHAnsi" w:hAnsiTheme="minorHAnsi" w:cstheme="minorHAnsi"/>
          <w:b/>
          <w:bCs/>
          <w:sz w:val="18"/>
          <w:szCs w:val="18"/>
        </w:rPr>
        <w:t xml:space="preserve"> (</w:t>
      </w:r>
      <w:r w:rsidRPr="00F4380B">
        <w:rPr>
          <w:rFonts w:asciiTheme="minorHAnsi" w:hAnsiTheme="minorHAnsi" w:cstheme="minorHAnsi"/>
          <w:b/>
          <w:bCs/>
          <w:sz w:val="18"/>
          <w:szCs w:val="18"/>
          <w:rtl/>
        </w:rPr>
        <w:t>اَلْعَادَةُ</w:t>
      </w:r>
      <w:r w:rsidRPr="00F4380B">
        <w:rPr>
          <w:rFonts w:asciiTheme="minorHAnsi" w:hAnsiTheme="minorHAnsi" w:cstheme="minorHAnsi"/>
          <w:b/>
          <w:bCs/>
          <w:sz w:val="18"/>
          <w:szCs w:val="18"/>
        </w:rPr>
        <w:t xml:space="preserve"> </w:t>
      </w:r>
      <w:r w:rsidRPr="00F4380B">
        <w:rPr>
          <w:rFonts w:asciiTheme="minorHAnsi" w:hAnsiTheme="minorHAnsi" w:cstheme="minorHAnsi"/>
          <w:b/>
          <w:bCs/>
          <w:sz w:val="18"/>
          <w:szCs w:val="18"/>
          <w:rtl/>
        </w:rPr>
        <w:t>مُحَكَّمَةٌ</w:t>
      </w:r>
      <w:r w:rsidRPr="00F4380B">
        <w:rPr>
          <w:rFonts w:asciiTheme="minorHAnsi" w:hAnsiTheme="minorHAnsi" w:cstheme="minorHAnsi"/>
          <w:b/>
          <w:bCs/>
          <w:sz w:val="18"/>
          <w:szCs w:val="18"/>
        </w:rPr>
        <w:t>)</w:t>
      </w:r>
    </w:p>
    <w:p w14:paraId="4D5B19D9" w14:textId="77777777" w:rsidR="00973FEA" w:rsidRPr="001964A8" w:rsidRDefault="00973FEA" w:rsidP="00973FEA">
      <w:pPr>
        <w:widowControl w:val="0"/>
        <w:ind w:left="284" w:firstLine="283"/>
        <w:jc w:val="both"/>
        <w:rPr>
          <w:rFonts w:cstheme="minorHAnsi"/>
          <w:sz w:val="20"/>
          <w:szCs w:val="20"/>
        </w:rPr>
      </w:pPr>
      <w:r w:rsidRPr="001964A8">
        <w:rPr>
          <w:rFonts w:cstheme="minorHAnsi"/>
          <w:sz w:val="20"/>
          <w:szCs w:val="20"/>
        </w:rPr>
        <w:t>Etymologically, the Arabic term "</w:t>
      </w:r>
      <w:r w:rsidRPr="00BC4AF9">
        <w:rPr>
          <w:rFonts w:cstheme="minorHAnsi"/>
          <w:i/>
          <w:iCs/>
          <w:sz w:val="20"/>
          <w:szCs w:val="20"/>
        </w:rPr>
        <w:t>al-</w:t>
      </w:r>
      <w:proofErr w:type="spellStart"/>
      <w:r w:rsidRPr="00BC4AF9">
        <w:rPr>
          <w:rFonts w:cstheme="minorHAnsi"/>
          <w:i/>
          <w:iCs/>
          <w:sz w:val="20"/>
          <w:szCs w:val="20"/>
        </w:rPr>
        <w:t>ādatu</w:t>
      </w:r>
      <w:proofErr w:type="spellEnd"/>
      <w:r w:rsidRPr="001964A8">
        <w:rPr>
          <w:rFonts w:cstheme="minorHAnsi"/>
          <w:sz w:val="20"/>
          <w:szCs w:val="20"/>
        </w:rPr>
        <w:t xml:space="preserve">" signifies a habitual and continuous practice that </w:t>
      </w:r>
      <w:r>
        <w:rPr>
          <w:rFonts w:cstheme="minorHAnsi"/>
          <w:sz w:val="20"/>
          <w:szCs w:val="20"/>
        </w:rPr>
        <w:t xml:space="preserve">is </w:t>
      </w:r>
      <w:r w:rsidRPr="001964A8">
        <w:rPr>
          <w:rFonts w:cstheme="minorHAnsi"/>
          <w:sz w:val="20"/>
          <w:szCs w:val="20"/>
        </w:rPr>
        <w:t xml:space="preserve">accepted by common sense and </w:t>
      </w:r>
      <w:r w:rsidRPr="00D777C6">
        <w:rPr>
          <w:rFonts w:cstheme="minorHAnsi"/>
          <w:sz w:val="20"/>
          <w:szCs w:val="20"/>
          <w:u w:val="single"/>
        </w:rPr>
        <w:t>is repeated</w:t>
      </w:r>
      <w:r w:rsidRPr="001964A8">
        <w:rPr>
          <w:rFonts w:cstheme="minorHAnsi"/>
          <w:sz w:val="20"/>
          <w:szCs w:val="20"/>
        </w:rPr>
        <w:t xml:space="preserve"> continuously in a particular </w:t>
      </w:r>
      <w:r w:rsidRPr="00D777C6">
        <w:rPr>
          <w:rFonts w:cstheme="minorHAnsi"/>
          <w:sz w:val="20"/>
          <w:szCs w:val="20"/>
          <w:u w:val="single"/>
        </w:rPr>
        <w:t>case in an area or a</w:t>
      </w:r>
      <w:r w:rsidRPr="001964A8">
        <w:rPr>
          <w:rFonts w:cstheme="minorHAnsi"/>
          <w:sz w:val="20"/>
          <w:szCs w:val="20"/>
        </w:rPr>
        <w:t xml:space="preserve"> large part of that region </w:t>
      </w:r>
      <w:r w:rsidRPr="001964A8">
        <w:rPr>
          <w:rFonts w:cstheme="minorHAnsi"/>
          <w:sz w:val="20"/>
          <w:szCs w:val="20"/>
        </w:rPr>
        <w:fldChar w:fldCharType="begin"/>
      </w:r>
      <w:r w:rsidRPr="001964A8">
        <w:rPr>
          <w:rFonts w:cstheme="minorHAnsi"/>
          <w:sz w:val="20"/>
          <w:szCs w:val="20"/>
        </w:rPr>
        <w:instrText xml:space="preserve"> ADDIN ZOTERO_ITEM CSL_CITATION {"citationID":"8a6i7BM4","properties":{"formattedCitation":"[40]","plainCitation":"[40]","noteIndex":0},"citationItems":[{"id":3752,"uris":["http://zotero.org/users/local/Rj7jaPwM/items/FEKNFAQD"],"itemData":{"id":3752,"type":"book","abstract":"Planning and architecture in Islamic jurisprudence","event-place":"Cairo","publisher":"Dar al-Salam li-l-Nashr wa-l-Tawziʿ","publisher-place":"Cairo","title":"At-Takhtit wa al-Bunyan fī al-Fiqh al-Islāmī.pdf","author":[{"family":"Al-Murabit","given":"Zakaria"}],"issued":{"date-parts":[["2019"]]}}}],"schema":"https://github.com/citation-style-language/schema/raw/master/csl-citation.json"}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[40]</w:t>
      </w:r>
      <w:r w:rsidRPr="001964A8">
        <w:rPr>
          <w:rFonts w:cstheme="minorHAnsi"/>
          <w:sz w:val="20"/>
          <w:szCs w:val="20"/>
        </w:rPr>
        <w:fldChar w:fldCharType="end"/>
      </w:r>
      <w:r w:rsidRPr="001964A8">
        <w:rPr>
          <w:rFonts w:cstheme="minorHAnsi"/>
          <w:sz w:val="20"/>
          <w:szCs w:val="20"/>
        </w:rPr>
        <w:t xml:space="preserve">. Some of </w:t>
      </w:r>
      <w:r>
        <w:rPr>
          <w:rFonts w:cstheme="minorHAnsi"/>
          <w:sz w:val="20"/>
          <w:szCs w:val="20"/>
        </w:rPr>
        <w:t xml:space="preserve">the </w:t>
      </w:r>
      <w:r w:rsidRPr="001964A8">
        <w:rPr>
          <w:rFonts w:cstheme="minorHAnsi"/>
          <w:sz w:val="20"/>
          <w:szCs w:val="20"/>
        </w:rPr>
        <w:t xml:space="preserve">development of </w:t>
      </w:r>
      <w:r w:rsidRPr="00D777C6">
        <w:rPr>
          <w:rFonts w:cstheme="minorHAnsi"/>
          <w:i/>
          <w:sz w:val="20"/>
          <w:szCs w:val="20"/>
          <w:u w:val="single"/>
        </w:rPr>
        <w:t>al-</w:t>
      </w:r>
      <w:proofErr w:type="spellStart"/>
      <w:r w:rsidRPr="00D777C6">
        <w:rPr>
          <w:rFonts w:cstheme="minorHAnsi"/>
          <w:i/>
          <w:sz w:val="20"/>
          <w:szCs w:val="20"/>
          <w:u w:val="single"/>
        </w:rPr>
        <w:t>ādatu</w:t>
      </w:r>
      <w:proofErr w:type="spellEnd"/>
      <w:r w:rsidRPr="001964A8">
        <w:rPr>
          <w:rFonts w:cstheme="minorHAnsi"/>
          <w:sz w:val="20"/>
          <w:szCs w:val="20"/>
        </w:rPr>
        <w:t xml:space="preserve"> are </w:t>
      </w:r>
      <w:r w:rsidRPr="001964A8">
        <w:rPr>
          <w:rFonts w:cstheme="minorHAnsi"/>
          <w:sz w:val="20"/>
          <w:szCs w:val="20"/>
        </w:rPr>
        <w:fldChar w:fldCharType="begin"/>
      </w:r>
      <w:r w:rsidRPr="001964A8">
        <w:rPr>
          <w:rFonts w:cstheme="minorHAnsi"/>
          <w:sz w:val="20"/>
          <w:szCs w:val="20"/>
        </w:rPr>
        <w:instrText xml:space="preserve"> ADDIN ZOTERO_ITEM CSL_CITATION {"citationID":"n3WYwcxn","properties":{"formattedCitation":"[14], [44]","plainCitation":"[14], [44]","noteIndex":0},"citationItems":[{"id":3695,"uris":["http://zotero.org/users/local/Rj7jaPwM/items/EQXE9443"],"itemData":{"id":3695,"type":"article-journal","abstract":"Architectural Jurisprudence is an important study in Islamic architecture that has not been much developed. Therefore it is necessary to have an in-depth study related to the reintegration of Islamic jurisprudence and architectural science as a total implementation of Islam. This study focuses on the nature, Islamic epistemology, and strategy of istinbath al ahkam fiqh architecture. This literature study research utilizes Azab’s thoughts (2012 &amp; 1997), Murobith (2018), and Zarkani (2006) in examining the nature and strategy of istinbath al-ahkam architectural fiqh and using the reasoning of the Islamic epistemology of Al Jabiri (1989) in studying the reasoning of the Islamic fiqh architectural epistemology. Azab’s opinion (2012 &amp; 1997), Murobith (2012), Zarkani (2006), and Al Jabiri (1989) were then combined as needed in making the theoretical foundation of architectural fiqh. The results of this study indicate that the nature of architectural fiqh includes definitions, objects of study, originators, and subjects of architectural fiqh. Architectural fiqh is a collection of various fiqh principles that result in the mobility of a city as an effect of contacting every member of the community, the tendency of building architectural forms, and various issues surrounding the building that are presented as a result of the collaboration of fiqh scholars with building practitioners and architecture as a fiqh legal fatwa based on the science of fiqh proposal . Meanwhile, the object of study is the integration of fiqh studies with architecture and building studies.The subject of the study of architecture fiqh is fiqh law as charging legal low or correlative law in the context of a building. Furthermore, the epistemology of Islam in architectural fiqh is part of the bayani reasoning method as well as burhani. Finally, the strategy of istinbath al ahkam fiqh architecture is the Koran, the sunnah nabawiyah, and the principles of fiqh.","container-title":"SHAHIH: Journal of Islamicate Multidisciplinary","DOI":"10.22515/shahih.v4i2.1867","ISSN":"2527-8126, 2527-8118","issue":"2","journalAbbreviation":"SJIM","language":"id","page":"151-169","source":"DOI.org (Crossref)","title":"Hakikat, Epistimologi Islam, dan Strategi Istinbath Al Ahkam Fikih Arsitektur","volume":"4","author":[{"family":"Yulianto","given":"Y"}],"issued":{"date-parts":[["2019",12,28]]}}},{"id":3768,"uris":["http://zotero.org/users/local/Rj7jaPwM/items/2ATX7IAL"],"itemData":{"id":3768,"type":"article-journal","container-title":"Koleyat al-Shari'a wa al-Qānūn bi-Asyūṭ","language":"en","page":"985-1051","source":"Zotero","title":"Neighborhood Rulings in Light of Jurisprudential Rules","author":[{"family":"Ibrahim Ahmad Fakher","given":"Ali","non-dropping-particle":"bin"}],"issued":{"date-parts":[["2023"]]}}}],"schema":"https://github.com/citation-style-language/schema/raw/master/csl-citation.json"}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[14], [44]</w:t>
      </w:r>
      <w:r w:rsidRPr="001964A8">
        <w:rPr>
          <w:rFonts w:cstheme="minorHAnsi"/>
          <w:sz w:val="20"/>
          <w:szCs w:val="20"/>
        </w:rPr>
        <w:fldChar w:fldCharType="end"/>
      </w:r>
      <w:r w:rsidRPr="001964A8">
        <w:rPr>
          <w:rFonts w:cstheme="minorHAnsi"/>
          <w:sz w:val="20"/>
          <w:szCs w:val="20"/>
        </w:rPr>
        <w:t>:</w:t>
      </w:r>
    </w:p>
    <w:p w14:paraId="3AFB76BE" w14:textId="77777777" w:rsidR="00973FEA" w:rsidRPr="003F3FF9" w:rsidRDefault="00973FEA" w:rsidP="00973FEA">
      <w:pPr>
        <w:pStyle w:val="ListParagraph"/>
        <w:widowControl w:val="0"/>
        <w:numPr>
          <w:ilvl w:val="0"/>
          <w:numId w:val="11"/>
        </w:numPr>
        <w:ind w:left="567" w:hanging="283"/>
        <w:jc w:val="both"/>
        <w:rPr>
          <w:rFonts w:cstheme="minorHAnsi"/>
          <w:b/>
          <w:bCs/>
          <w:sz w:val="20"/>
          <w:szCs w:val="20"/>
        </w:rPr>
      </w:pPr>
      <w:r w:rsidRPr="003F3FF9">
        <w:rPr>
          <w:rFonts w:cstheme="minorHAnsi"/>
          <w:b/>
          <w:bCs/>
          <w:sz w:val="20"/>
          <w:szCs w:val="20"/>
        </w:rPr>
        <w:t>The principle of an act that becomes a habit of a society is an argument that should be practiced (</w:t>
      </w:r>
      <w:r w:rsidRPr="003F3FF9">
        <w:rPr>
          <w:rFonts w:cstheme="minorHAnsi"/>
          <w:b/>
          <w:bCs/>
          <w:sz w:val="20"/>
          <w:szCs w:val="20"/>
          <w:rtl/>
        </w:rPr>
        <w:t>إِسْتِعْمَالُ</w:t>
      </w:r>
      <w:r w:rsidRPr="003F3FF9">
        <w:rPr>
          <w:rFonts w:cstheme="minorHAnsi"/>
          <w:b/>
          <w:bCs/>
          <w:sz w:val="20"/>
          <w:szCs w:val="20"/>
        </w:rPr>
        <w:t xml:space="preserve"> </w:t>
      </w:r>
      <w:r w:rsidRPr="003F3FF9">
        <w:rPr>
          <w:rFonts w:cstheme="minorHAnsi"/>
          <w:b/>
          <w:bCs/>
          <w:sz w:val="20"/>
          <w:szCs w:val="20"/>
          <w:rtl/>
        </w:rPr>
        <w:t>النَّاِس</w:t>
      </w:r>
      <w:r w:rsidRPr="003F3FF9">
        <w:rPr>
          <w:rFonts w:cstheme="minorHAnsi"/>
          <w:b/>
          <w:bCs/>
          <w:sz w:val="20"/>
          <w:szCs w:val="20"/>
        </w:rPr>
        <w:t xml:space="preserve"> </w:t>
      </w:r>
      <w:r w:rsidRPr="003F3FF9">
        <w:rPr>
          <w:rFonts w:cstheme="minorHAnsi"/>
          <w:b/>
          <w:bCs/>
          <w:sz w:val="20"/>
          <w:szCs w:val="20"/>
          <w:rtl/>
        </w:rPr>
        <w:t>حُجَّةٌ</w:t>
      </w:r>
      <w:r w:rsidRPr="003F3FF9">
        <w:rPr>
          <w:rFonts w:cstheme="minorHAnsi"/>
          <w:b/>
          <w:bCs/>
          <w:sz w:val="20"/>
          <w:szCs w:val="20"/>
        </w:rPr>
        <w:t xml:space="preserve"> </w:t>
      </w:r>
      <w:r w:rsidRPr="003F3FF9">
        <w:rPr>
          <w:rFonts w:cstheme="minorHAnsi"/>
          <w:b/>
          <w:bCs/>
          <w:sz w:val="20"/>
          <w:szCs w:val="20"/>
          <w:rtl/>
        </w:rPr>
        <w:t>يَجِبُ</w:t>
      </w:r>
      <w:r w:rsidRPr="003F3FF9">
        <w:rPr>
          <w:rFonts w:cstheme="minorHAnsi"/>
          <w:b/>
          <w:bCs/>
          <w:sz w:val="20"/>
          <w:szCs w:val="20"/>
        </w:rPr>
        <w:t xml:space="preserve"> </w:t>
      </w:r>
      <w:r w:rsidRPr="003F3FF9">
        <w:rPr>
          <w:rFonts w:cstheme="minorHAnsi"/>
          <w:b/>
          <w:bCs/>
          <w:sz w:val="20"/>
          <w:szCs w:val="20"/>
          <w:rtl/>
        </w:rPr>
        <w:t>الْعَمَلُ</w:t>
      </w:r>
      <w:r w:rsidRPr="003F3FF9">
        <w:rPr>
          <w:rFonts w:cstheme="minorHAnsi"/>
          <w:b/>
          <w:bCs/>
          <w:sz w:val="20"/>
          <w:szCs w:val="20"/>
        </w:rPr>
        <w:t xml:space="preserve"> </w:t>
      </w:r>
      <w:r w:rsidRPr="003F3FF9">
        <w:rPr>
          <w:rFonts w:cstheme="minorHAnsi"/>
          <w:b/>
          <w:bCs/>
          <w:sz w:val="20"/>
          <w:szCs w:val="20"/>
          <w:rtl/>
        </w:rPr>
        <w:t>بِهَا</w:t>
      </w:r>
      <w:r w:rsidRPr="003F3FF9">
        <w:rPr>
          <w:rFonts w:cstheme="minorHAnsi"/>
          <w:b/>
          <w:bCs/>
          <w:sz w:val="20"/>
          <w:szCs w:val="20"/>
        </w:rPr>
        <w:t xml:space="preserve">). </w:t>
      </w:r>
    </w:p>
    <w:p w14:paraId="5C0739DA" w14:textId="77777777" w:rsidR="00973FEA" w:rsidRDefault="00973FEA" w:rsidP="00973FEA">
      <w:pPr>
        <w:widowControl w:val="0"/>
        <w:ind w:left="567"/>
        <w:jc w:val="both"/>
        <w:rPr>
          <w:rFonts w:cstheme="minorHAnsi"/>
          <w:sz w:val="20"/>
          <w:szCs w:val="20"/>
        </w:rPr>
      </w:pPr>
      <w:r w:rsidRPr="00F90119">
        <w:rPr>
          <w:rFonts w:cstheme="minorHAnsi"/>
          <w:sz w:val="20"/>
          <w:szCs w:val="20"/>
          <w:u w:val="single"/>
        </w:rPr>
        <w:t>An example demonstrating the application of these rules is a situation where someone has a customary habit of entering a friend's house, eating, and taking a shower without explicit permission; then, that</w:t>
      </w:r>
      <w:r w:rsidRPr="001964A8">
        <w:rPr>
          <w:rFonts w:cstheme="minorHAnsi"/>
          <w:sz w:val="20"/>
          <w:szCs w:val="20"/>
        </w:rPr>
        <w:t xml:space="preserve"> person may do all three without needing to seek permission. Another example pertains to areas where it is customary to pick fallen fruit from gardens, parks, or housing</w:t>
      </w:r>
      <w:r>
        <w:rPr>
          <w:rFonts w:cstheme="minorHAnsi"/>
          <w:sz w:val="20"/>
          <w:szCs w:val="20"/>
        </w:rPr>
        <w:t xml:space="preserve"> </w:t>
      </w:r>
      <w:r w:rsidRPr="001964A8">
        <w:rPr>
          <w:rFonts w:cstheme="minorHAnsi"/>
          <w:sz w:val="20"/>
          <w:szCs w:val="20"/>
        </w:rPr>
        <w:t>without the owner's prior consent; in such cases, individuals can gather the fruit without seeking permiss</w:t>
      </w:r>
      <w:r>
        <w:rPr>
          <w:rFonts w:cstheme="minorHAnsi"/>
          <w:sz w:val="20"/>
          <w:szCs w:val="20"/>
        </w:rPr>
        <w:t>ion</w:t>
      </w:r>
      <w:r w:rsidRPr="001964A8">
        <w:rPr>
          <w:rFonts w:cstheme="minorHAnsi"/>
          <w:sz w:val="20"/>
          <w:szCs w:val="20"/>
        </w:rPr>
        <w:t>.</w:t>
      </w:r>
    </w:p>
    <w:p w14:paraId="1C435071" w14:textId="77777777" w:rsidR="00973FEA" w:rsidRPr="001964A8" w:rsidRDefault="00973FEA" w:rsidP="00973FEA">
      <w:pPr>
        <w:widowControl w:val="0"/>
        <w:ind w:left="567" w:hanging="283"/>
        <w:jc w:val="both"/>
        <w:rPr>
          <w:rFonts w:cstheme="minorHAnsi"/>
          <w:sz w:val="20"/>
          <w:szCs w:val="20"/>
        </w:rPr>
      </w:pPr>
    </w:p>
    <w:p w14:paraId="5D71B645" w14:textId="77777777" w:rsidR="00973FEA" w:rsidRPr="001964A8" w:rsidRDefault="00973FEA" w:rsidP="00973FEA">
      <w:pPr>
        <w:pStyle w:val="ListParagraph"/>
        <w:widowControl w:val="0"/>
        <w:numPr>
          <w:ilvl w:val="0"/>
          <w:numId w:val="11"/>
        </w:numPr>
        <w:ind w:left="567" w:hanging="283"/>
        <w:jc w:val="both"/>
        <w:rPr>
          <w:rFonts w:cstheme="minorHAnsi"/>
          <w:b/>
          <w:bCs/>
          <w:sz w:val="20"/>
          <w:szCs w:val="20"/>
        </w:rPr>
      </w:pPr>
      <w:r w:rsidRPr="001964A8">
        <w:rPr>
          <w:rFonts w:cstheme="minorHAnsi"/>
          <w:b/>
          <w:bCs/>
          <w:sz w:val="20"/>
          <w:szCs w:val="20"/>
        </w:rPr>
        <w:t>The principle of Habits that are widely known as a condition that has been bound (</w:t>
      </w:r>
      <w:r w:rsidRPr="001964A8">
        <w:rPr>
          <w:rFonts w:cstheme="minorHAnsi" w:hint="cs"/>
          <w:b/>
          <w:bCs/>
          <w:sz w:val="20"/>
          <w:szCs w:val="20"/>
          <w:rtl/>
        </w:rPr>
        <w:t>اَلْمَعْرُوْفُ</w:t>
      </w:r>
      <w:r w:rsidRPr="001964A8">
        <w:rPr>
          <w:rFonts w:cstheme="minorHAnsi"/>
          <w:b/>
          <w:bCs/>
          <w:sz w:val="20"/>
          <w:szCs w:val="20"/>
          <w:rtl/>
        </w:rPr>
        <w:t xml:space="preserve"> </w:t>
      </w:r>
      <w:r w:rsidRPr="001964A8">
        <w:rPr>
          <w:rFonts w:cstheme="minorHAnsi" w:hint="cs"/>
          <w:b/>
          <w:bCs/>
          <w:sz w:val="20"/>
          <w:szCs w:val="20"/>
          <w:rtl/>
        </w:rPr>
        <w:t>عُرْفًا</w:t>
      </w:r>
      <w:r w:rsidRPr="001964A8">
        <w:rPr>
          <w:rFonts w:cstheme="minorHAnsi"/>
          <w:b/>
          <w:bCs/>
          <w:sz w:val="20"/>
          <w:szCs w:val="20"/>
          <w:rtl/>
        </w:rPr>
        <w:t xml:space="preserve"> </w:t>
      </w:r>
      <w:r w:rsidRPr="001964A8">
        <w:rPr>
          <w:rFonts w:cstheme="minorHAnsi" w:hint="cs"/>
          <w:b/>
          <w:bCs/>
          <w:sz w:val="20"/>
          <w:szCs w:val="20"/>
          <w:rtl/>
        </w:rPr>
        <w:t>كَالْمَشْرُوْطِ</w:t>
      </w:r>
      <w:r w:rsidRPr="001964A8">
        <w:rPr>
          <w:rFonts w:cstheme="minorHAnsi"/>
          <w:b/>
          <w:bCs/>
          <w:sz w:val="20"/>
          <w:szCs w:val="20"/>
          <w:rtl/>
        </w:rPr>
        <w:t xml:space="preserve"> </w:t>
      </w:r>
      <w:r w:rsidRPr="001964A8">
        <w:rPr>
          <w:rFonts w:cstheme="minorHAnsi" w:hint="cs"/>
          <w:b/>
          <w:bCs/>
          <w:sz w:val="20"/>
          <w:szCs w:val="20"/>
          <w:rtl/>
        </w:rPr>
        <w:t>شَرْطًا</w:t>
      </w:r>
      <w:r w:rsidRPr="001964A8">
        <w:rPr>
          <w:rFonts w:cstheme="minorHAnsi"/>
          <w:b/>
          <w:bCs/>
          <w:sz w:val="20"/>
          <w:szCs w:val="20"/>
        </w:rPr>
        <w:t xml:space="preserve">).  </w:t>
      </w:r>
    </w:p>
    <w:p w14:paraId="6E6A703F" w14:textId="77777777" w:rsidR="00973FEA" w:rsidRDefault="00973FEA" w:rsidP="00973FEA">
      <w:pPr>
        <w:widowControl w:val="0"/>
        <w:ind w:left="567"/>
        <w:jc w:val="both"/>
        <w:rPr>
          <w:rFonts w:cstheme="minorHAnsi"/>
          <w:sz w:val="20"/>
          <w:szCs w:val="20"/>
        </w:rPr>
      </w:pPr>
      <w:r w:rsidRPr="001A6B57">
        <w:rPr>
          <w:rFonts w:cstheme="minorHAnsi"/>
          <w:sz w:val="20"/>
          <w:szCs w:val="20"/>
          <w:u w:val="single"/>
        </w:rPr>
        <w:t>An example of applying these rules is a situation where Ahmad seeks Rasyid's assistance in a building or a house without a contract specifying a salary or nominal wage. If Rasyid usually works for a daily wage of 100, then Ahmad is obligated to pay Rasyid 100 per day</w:t>
      </w:r>
      <w:r w:rsidRPr="001964A8">
        <w:rPr>
          <w:rFonts w:cstheme="minorHAnsi"/>
          <w:sz w:val="20"/>
          <w:szCs w:val="20"/>
        </w:rPr>
        <w:t xml:space="preserve">. Another example is </w:t>
      </w:r>
      <w:r>
        <w:rPr>
          <w:rFonts w:cstheme="minorHAnsi"/>
          <w:sz w:val="20"/>
          <w:szCs w:val="20"/>
        </w:rPr>
        <w:t xml:space="preserve">a situation </w:t>
      </w:r>
      <w:r w:rsidRPr="001964A8">
        <w:rPr>
          <w:rFonts w:cstheme="minorHAnsi"/>
          <w:sz w:val="20"/>
          <w:szCs w:val="20"/>
        </w:rPr>
        <w:t xml:space="preserve">when Ahmad occupies a house owned by Rasyid without </w:t>
      </w:r>
      <w:r w:rsidRPr="00757692">
        <w:rPr>
          <w:rFonts w:cstheme="minorHAnsi"/>
          <w:sz w:val="20"/>
          <w:szCs w:val="20"/>
          <w:u w:val="single"/>
        </w:rPr>
        <w:t>his permission</w:t>
      </w:r>
      <w:r w:rsidRPr="001964A8">
        <w:rPr>
          <w:rFonts w:cstheme="minorHAnsi"/>
          <w:sz w:val="20"/>
          <w:szCs w:val="20"/>
        </w:rPr>
        <w:t xml:space="preserve">, especially when the house is typically rented out by Rasyid. In such a case, Ahmad is obligated </w:t>
      </w:r>
      <w:r>
        <w:rPr>
          <w:rFonts w:cstheme="minorHAnsi"/>
          <w:sz w:val="20"/>
          <w:szCs w:val="20"/>
        </w:rPr>
        <w:t>to compensate Rasyid for</w:t>
      </w:r>
      <w:r w:rsidRPr="001964A8">
        <w:rPr>
          <w:rFonts w:cstheme="minorHAnsi"/>
          <w:sz w:val="20"/>
          <w:szCs w:val="20"/>
        </w:rPr>
        <w:t xml:space="preserve"> a number of days </w:t>
      </w:r>
      <w:r>
        <w:rPr>
          <w:rFonts w:cstheme="minorHAnsi"/>
          <w:sz w:val="20"/>
          <w:szCs w:val="20"/>
        </w:rPr>
        <w:t>based on</w:t>
      </w:r>
      <w:r w:rsidRPr="001964A8">
        <w:rPr>
          <w:rFonts w:cstheme="minorHAnsi"/>
          <w:sz w:val="20"/>
          <w:szCs w:val="20"/>
        </w:rPr>
        <w:t xml:space="preserve"> the usual daily rental rate of Rasyid's house.</w:t>
      </w:r>
    </w:p>
    <w:p w14:paraId="04611268" w14:textId="77777777" w:rsidR="00973FEA" w:rsidRDefault="00973FEA" w:rsidP="00973FEA">
      <w:pPr>
        <w:widowControl w:val="0"/>
        <w:ind w:left="567" w:hanging="283"/>
        <w:jc w:val="both"/>
        <w:rPr>
          <w:rFonts w:cstheme="minorHAnsi"/>
          <w:sz w:val="20"/>
          <w:szCs w:val="20"/>
        </w:rPr>
      </w:pPr>
    </w:p>
    <w:p w14:paraId="5997E076" w14:textId="77777777" w:rsidR="00F4380B" w:rsidRPr="001964A8" w:rsidRDefault="00F4380B" w:rsidP="00973FEA">
      <w:pPr>
        <w:widowControl w:val="0"/>
        <w:ind w:left="567" w:hanging="283"/>
        <w:jc w:val="both"/>
        <w:rPr>
          <w:rFonts w:cstheme="minorHAnsi"/>
          <w:sz w:val="20"/>
          <w:szCs w:val="20"/>
        </w:rPr>
      </w:pPr>
    </w:p>
    <w:p w14:paraId="1B0BDA74" w14:textId="77777777" w:rsidR="00973FEA" w:rsidRPr="001964A8" w:rsidRDefault="00973FEA" w:rsidP="00973FEA">
      <w:pPr>
        <w:pStyle w:val="ListParagraph"/>
        <w:widowControl w:val="0"/>
        <w:numPr>
          <w:ilvl w:val="0"/>
          <w:numId w:val="11"/>
        </w:numPr>
        <w:ind w:left="567" w:hanging="283"/>
        <w:jc w:val="both"/>
        <w:rPr>
          <w:rFonts w:cstheme="minorHAnsi"/>
          <w:b/>
          <w:bCs/>
          <w:sz w:val="20"/>
          <w:szCs w:val="20"/>
        </w:rPr>
      </w:pPr>
      <w:r w:rsidRPr="001964A8">
        <w:rPr>
          <w:rFonts w:cstheme="minorHAnsi"/>
          <w:b/>
          <w:bCs/>
          <w:sz w:val="20"/>
          <w:szCs w:val="20"/>
        </w:rPr>
        <w:lastRenderedPageBreak/>
        <w:t xml:space="preserve">The principle of something that has been known in customs, then the law is like something that has been determined in the contract, or custom is </w:t>
      </w:r>
      <w:r>
        <w:rPr>
          <w:rFonts w:cstheme="minorHAnsi"/>
          <w:b/>
          <w:bCs/>
          <w:sz w:val="20"/>
          <w:szCs w:val="20"/>
        </w:rPr>
        <w:t xml:space="preserve">an </w:t>
      </w:r>
      <w:r w:rsidRPr="001964A8">
        <w:rPr>
          <w:rFonts w:cstheme="minorHAnsi"/>
          <w:b/>
          <w:bCs/>
          <w:sz w:val="20"/>
          <w:szCs w:val="20"/>
        </w:rPr>
        <w:t xml:space="preserve">unwritten law, </w:t>
      </w:r>
      <w:r>
        <w:rPr>
          <w:rFonts w:cstheme="minorHAnsi"/>
          <w:b/>
          <w:bCs/>
          <w:sz w:val="20"/>
          <w:szCs w:val="20"/>
        </w:rPr>
        <w:t xml:space="preserve">the </w:t>
      </w:r>
      <w:r w:rsidRPr="001964A8">
        <w:rPr>
          <w:rFonts w:cstheme="minorHAnsi"/>
          <w:b/>
          <w:bCs/>
          <w:sz w:val="20"/>
          <w:szCs w:val="20"/>
        </w:rPr>
        <w:t>contract is agreed-upon law (</w:t>
      </w:r>
      <w:r w:rsidRPr="001964A8">
        <w:rPr>
          <w:rFonts w:cstheme="minorHAnsi" w:hint="cs"/>
          <w:b/>
          <w:bCs/>
          <w:sz w:val="20"/>
          <w:szCs w:val="20"/>
          <w:rtl/>
        </w:rPr>
        <w:t>اَلتَّعْيِيْنُ</w:t>
      </w:r>
      <w:r w:rsidRPr="001964A8">
        <w:rPr>
          <w:rFonts w:cstheme="minorHAnsi"/>
          <w:b/>
          <w:bCs/>
          <w:sz w:val="20"/>
          <w:szCs w:val="20"/>
          <w:rtl/>
        </w:rPr>
        <w:t xml:space="preserve"> </w:t>
      </w:r>
      <w:r w:rsidRPr="001964A8">
        <w:rPr>
          <w:rFonts w:cstheme="minorHAnsi" w:hint="cs"/>
          <w:b/>
          <w:bCs/>
          <w:sz w:val="20"/>
          <w:szCs w:val="20"/>
          <w:rtl/>
        </w:rPr>
        <w:t>بِالْعُرْفِ</w:t>
      </w:r>
      <w:r w:rsidRPr="001964A8">
        <w:rPr>
          <w:rFonts w:cstheme="minorHAnsi"/>
          <w:b/>
          <w:bCs/>
          <w:sz w:val="20"/>
          <w:szCs w:val="20"/>
          <w:rtl/>
        </w:rPr>
        <w:t xml:space="preserve"> </w:t>
      </w:r>
      <w:r w:rsidRPr="001964A8">
        <w:rPr>
          <w:rFonts w:cstheme="minorHAnsi" w:hint="cs"/>
          <w:b/>
          <w:bCs/>
          <w:sz w:val="20"/>
          <w:szCs w:val="20"/>
          <w:rtl/>
        </w:rPr>
        <w:t>كَالتَّعْيِيْنِ</w:t>
      </w:r>
      <w:r w:rsidRPr="001964A8">
        <w:rPr>
          <w:rFonts w:cstheme="minorHAnsi"/>
          <w:b/>
          <w:bCs/>
          <w:sz w:val="20"/>
          <w:szCs w:val="20"/>
          <w:rtl/>
        </w:rPr>
        <w:t xml:space="preserve"> </w:t>
      </w:r>
      <w:r w:rsidRPr="001964A8">
        <w:rPr>
          <w:rFonts w:cstheme="minorHAnsi" w:hint="cs"/>
          <w:b/>
          <w:bCs/>
          <w:sz w:val="20"/>
          <w:szCs w:val="20"/>
          <w:rtl/>
        </w:rPr>
        <w:t>بِالنَّصِّ</w:t>
      </w:r>
      <w:r w:rsidRPr="001964A8">
        <w:rPr>
          <w:rFonts w:cstheme="minorHAnsi"/>
          <w:b/>
          <w:bCs/>
          <w:sz w:val="20"/>
          <w:szCs w:val="20"/>
        </w:rPr>
        <w:t xml:space="preserve">). </w:t>
      </w:r>
    </w:p>
    <w:p w14:paraId="30C8503C" w14:textId="77777777" w:rsidR="00973FEA" w:rsidRDefault="00973FEA" w:rsidP="00973FEA">
      <w:pPr>
        <w:widowControl w:val="0"/>
        <w:ind w:left="567"/>
        <w:jc w:val="both"/>
        <w:rPr>
          <w:rFonts w:cstheme="minorHAnsi"/>
          <w:sz w:val="20"/>
          <w:szCs w:val="20"/>
        </w:rPr>
      </w:pPr>
      <w:r w:rsidRPr="00830FAD">
        <w:rPr>
          <w:rFonts w:cstheme="minorHAnsi"/>
          <w:sz w:val="20"/>
          <w:szCs w:val="20"/>
          <w:u w:val="single"/>
        </w:rPr>
        <w:t xml:space="preserve">An example of the application of these rules is a situation where Ahmad rents his house to </w:t>
      </w:r>
      <w:r w:rsidRPr="0012076F">
        <w:rPr>
          <w:rFonts w:cstheme="minorHAnsi"/>
          <w:sz w:val="20"/>
          <w:szCs w:val="20"/>
          <w:u w:val="single"/>
        </w:rPr>
        <w:t>Rasyid without specifying the occupancy criteria or the type of work Rasyid may conduct in the house. Then</w:t>
      </w:r>
      <w:r>
        <w:rPr>
          <w:rFonts w:cstheme="minorHAnsi"/>
          <w:sz w:val="20"/>
          <w:szCs w:val="20"/>
        </w:rPr>
        <w:t>,</w:t>
      </w:r>
      <w:r w:rsidRPr="001964A8">
        <w:rPr>
          <w:rFonts w:cstheme="minorHAnsi"/>
          <w:sz w:val="20"/>
          <w:szCs w:val="20"/>
        </w:rPr>
        <w:t xml:space="preserve"> Rasyid may use the house to the fullest extent. However, he should refrain from transforming the house into a workshop, a place for slaughtering animals, or a public kitchen without prior permission from Ahmad. Another scenario involves Rasyid renting a kiosk among a row of stalls selling food or clothing. In such cases, he is not allowed to convert the kiosk into a blacksmith workshop, public kitchen, animal slaughterhouse, or any other use that may cause harm or pose a danger to the surrounding kiosks. </w:t>
      </w:r>
    </w:p>
    <w:p w14:paraId="0FBADB33" w14:textId="77777777" w:rsidR="00973FEA" w:rsidRPr="001964A8" w:rsidRDefault="00973FEA" w:rsidP="00973FEA">
      <w:pPr>
        <w:widowControl w:val="0"/>
        <w:ind w:left="284" w:firstLine="283"/>
        <w:jc w:val="both"/>
        <w:rPr>
          <w:rFonts w:cstheme="minorHAnsi"/>
          <w:sz w:val="20"/>
          <w:szCs w:val="20"/>
        </w:rPr>
      </w:pPr>
    </w:p>
    <w:p w14:paraId="0E77FF5C" w14:textId="77777777" w:rsidR="00973FEA" w:rsidRPr="001964A8" w:rsidRDefault="00973FEA" w:rsidP="00973FEA">
      <w:pPr>
        <w:widowControl w:val="0"/>
        <w:ind w:left="284" w:firstLine="283"/>
        <w:jc w:val="both"/>
        <w:rPr>
          <w:rFonts w:cstheme="minorHAnsi"/>
          <w:sz w:val="20"/>
          <w:szCs w:val="20"/>
        </w:rPr>
      </w:pPr>
      <w:r w:rsidRPr="001964A8">
        <w:rPr>
          <w:rFonts w:cstheme="minorHAnsi"/>
          <w:sz w:val="20"/>
          <w:szCs w:val="20"/>
        </w:rPr>
        <w:t xml:space="preserve">Therefore, there are specific rules that deserve attention in the area of Islamic building and urban planning. As Hakim </w:t>
      </w:r>
      <w:r w:rsidRPr="001964A8">
        <w:rPr>
          <w:rFonts w:cstheme="minorHAnsi"/>
          <w:sz w:val="20"/>
          <w:szCs w:val="20"/>
        </w:rPr>
        <w:fldChar w:fldCharType="begin"/>
      </w:r>
      <w:r w:rsidRPr="001964A8">
        <w:rPr>
          <w:rFonts w:cstheme="minorHAnsi"/>
          <w:sz w:val="20"/>
          <w:szCs w:val="20"/>
        </w:rPr>
        <w:instrText xml:space="preserve"> ADDIN ZOTERO_ITEM CSL_CITATION {"citationID":"MRY4ysxK","properties":{"formattedCitation":"[8]","plainCitation":"[8]","noteIndex":0},"citationItems":[{"id":3755,"uris":["http://zotero.org/users/local/Rj7jaPwM/items/UNJ5ZJU4"],"itemData":{"id":3755,"type":"book","call-number":"HT147.5 .H35 1986","event-place":"London","ISBN":"978-0-7103-0094-2","language":"en","number-of-pages":"192","publisher":"New York : KPI","publisher-place":"London","source":"Library of Congress ISBN","title":"Arabic-Islamic cities: building and planning principles","title-short":"Arabic-Islamic cities","author":[{"family":"Hakim","given":"Besim S."}],"issued":{"date-parts":[["1986"]]}}}],"schema":"https://github.com/citation-style-language/schema/raw/master/csl-citation.json"} </w:instrText>
      </w:r>
      <w:r w:rsidRPr="001964A8">
        <w:rPr>
          <w:rFonts w:cstheme="minorHAnsi"/>
          <w:sz w:val="20"/>
          <w:szCs w:val="20"/>
        </w:rPr>
        <w:fldChar w:fldCharType="separate"/>
      </w:r>
      <w:r w:rsidRPr="001964A8">
        <w:rPr>
          <w:rFonts w:cstheme="minorHAnsi"/>
          <w:sz w:val="20"/>
          <w:szCs w:val="20"/>
        </w:rPr>
        <w:t>[8]</w:t>
      </w:r>
      <w:r w:rsidRPr="001964A8">
        <w:rPr>
          <w:rFonts w:cstheme="minorHAnsi"/>
          <w:sz w:val="20"/>
          <w:szCs w:val="20"/>
        </w:rPr>
        <w:fldChar w:fldCharType="end"/>
      </w:r>
      <w:r w:rsidRPr="001964A8">
        <w:rPr>
          <w:rFonts w:cstheme="minorHAnsi"/>
          <w:sz w:val="20"/>
          <w:szCs w:val="20"/>
        </w:rPr>
        <w:t xml:space="preserve"> outlines, the overarching principles of these Building Codes in the Islamic world</w:t>
      </w:r>
      <w:r>
        <w:rPr>
          <w:rFonts w:cstheme="minorHAnsi"/>
          <w:sz w:val="20"/>
          <w:szCs w:val="20"/>
        </w:rPr>
        <w:t>,</w:t>
      </w:r>
      <w:r w:rsidRPr="001964A8">
        <w:rPr>
          <w:rFonts w:cstheme="minorHAnsi"/>
          <w:sz w:val="20"/>
          <w:szCs w:val="20"/>
        </w:rPr>
        <w:t xml:space="preserve"> </w:t>
      </w:r>
      <w:r w:rsidRPr="0012076F">
        <w:rPr>
          <w:rFonts w:cstheme="minorHAnsi"/>
          <w:sz w:val="20"/>
          <w:szCs w:val="20"/>
          <w:u w:val="single"/>
        </w:rPr>
        <w:t>as outlined in</w:t>
      </w:r>
      <w:r w:rsidRPr="001964A8">
        <w:rPr>
          <w:rFonts w:cstheme="minorHAnsi"/>
          <w:sz w:val="20"/>
          <w:szCs w:val="20"/>
        </w:rPr>
        <w:t xml:space="preserve"> the </w:t>
      </w:r>
      <w:r w:rsidRPr="0012076F">
        <w:rPr>
          <w:rFonts w:cstheme="minorHAnsi"/>
          <w:sz w:val="20"/>
          <w:szCs w:val="20"/>
          <w:u w:val="single"/>
        </w:rPr>
        <w:t>Quran and Hadith</w:t>
      </w:r>
      <w:r>
        <w:rPr>
          <w:rFonts w:cstheme="minorHAnsi"/>
          <w:sz w:val="20"/>
          <w:szCs w:val="20"/>
          <w:u w:val="single"/>
        </w:rPr>
        <w:t>,</w:t>
      </w:r>
      <w:r w:rsidRPr="001964A8">
        <w:rPr>
          <w:rFonts w:cstheme="minorHAnsi"/>
          <w:sz w:val="20"/>
          <w:szCs w:val="20"/>
        </w:rPr>
        <w:t xml:space="preserve"> mainly revolve around certain basic aspects. </w:t>
      </w:r>
      <w:r w:rsidRPr="0012076F">
        <w:rPr>
          <w:rFonts w:cstheme="minorHAnsi"/>
          <w:sz w:val="20"/>
          <w:szCs w:val="20"/>
          <w:u w:val="single"/>
        </w:rPr>
        <w:t>The example is</w:t>
      </w:r>
      <w:r w:rsidRPr="001964A8">
        <w:rPr>
          <w:rFonts w:cstheme="minorHAnsi"/>
          <w:sz w:val="20"/>
          <w:szCs w:val="20"/>
        </w:rPr>
        <w:t xml:space="preserve"> preventing harm, which involves a recommendation to prioritize individual rights and ensure that one's actions do not encroach upon the rights of others. Other aspect</w:t>
      </w:r>
      <w:r>
        <w:rPr>
          <w:rFonts w:cstheme="minorHAnsi"/>
          <w:sz w:val="20"/>
          <w:szCs w:val="20"/>
        </w:rPr>
        <w:t>s</w:t>
      </w:r>
      <w:r w:rsidRPr="001964A8">
        <w:rPr>
          <w:rFonts w:cstheme="minorHAnsi"/>
          <w:sz w:val="20"/>
          <w:szCs w:val="20"/>
        </w:rPr>
        <w:t xml:space="preserve"> revolve around a framework based on the principle of interdependence</w:t>
      </w:r>
      <w:r>
        <w:rPr>
          <w:rFonts w:cstheme="minorHAnsi"/>
          <w:sz w:val="20"/>
          <w:szCs w:val="20"/>
        </w:rPr>
        <w:t>,</w:t>
      </w:r>
      <w:r w:rsidRPr="001964A8">
        <w:rPr>
          <w:rFonts w:cstheme="minorHAnsi"/>
          <w:sz w:val="20"/>
          <w:szCs w:val="20"/>
        </w:rPr>
        <w:t xml:space="preserve"> which is crucial for generating building 'solutions' to the sp</w:t>
      </w:r>
      <w:r>
        <w:rPr>
          <w:rFonts w:cstheme="minorHAnsi"/>
          <w:sz w:val="20"/>
          <w:szCs w:val="20"/>
        </w:rPr>
        <w:t xml:space="preserve">ecial requirements of the </w:t>
      </w:r>
      <w:r w:rsidRPr="0012076F">
        <w:rPr>
          <w:rFonts w:cstheme="minorHAnsi"/>
          <w:sz w:val="20"/>
          <w:szCs w:val="20"/>
          <w:u w:val="single"/>
        </w:rPr>
        <w:t>built form</w:t>
      </w:r>
      <w:r w:rsidRPr="001964A8">
        <w:rPr>
          <w:rFonts w:cstheme="minorHAnsi"/>
          <w:sz w:val="20"/>
          <w:szCs w:val="20"/>
        </w:rPr>
        <w:t xml:space="preserve"> prevalent in Islamic cities. </w:t>
      </w:r>
    </w:p>
    <w:p w14:paraId="2C8C1901" w14:textId="77777777" w:rsidR="00973FEA" w:rsidRPr="001964A8" w:rsidRDefault="00973FEA" w:rsidP="00973FEA">
      <w:pPr>
        <w:widowControl w:val="0"/>
        <w:ind w:left="284" w:firstLine="283"/>
        <w:jc w:val="both"/>
        <w:rPr>
          <w:rFonts w:cstheme="minorHAnsi"/>
          <w:sz w:val="20"/>
          <w:szCs w:val="20"/>
        </w:rPr>
      </w:pPr>
      <w:r w:rsidRPr="001964A8">
        <w:rPr>
          <w:rFonts w:cstheme="minorHAnsi"/>
          <w:sz w:val="20"/>
          <w:szCs w:val="20"/>
        </w:rPr>
        <w:t xml:space="preserve">Furthermore, </w:t>
      </w:r>
      <w:r w:rsidRPr="0012076F">
        <w:rPr>
          <w:rFonts w:cstheme="minorHAnsi"/>
          <w:sz w:val="20"/>
          <w:szCs w:val="20"/>
          <w:u w:val="single"/>
        </w:rPr>
        <w:t>another aspect</w:t>
      </w:r>
      <w:r>
        <w:rPr>
          <w:rFonts w:cstheme="minorHAnsi"/>
          <w:sz w:val="20"/>
          <w:szCs w:val="20"/>
        </w:rPr>
        <w:t xml:space="preserve"> </w:t>
      </w:r>
      <w:r w:rsidRPr="001964A8">
        <w:rPr>
          <w:rFonts w:cstheme="minorHAnsi"/>
          <w:sz w:val="20"/>
          <w:szCs w:val="20"/>
        </w:rPr>
        <w:t>revolve</w:t>
      </w:r>
      <w:r>
        <w:rPr>
          <w:rFonts w:cstheme="minorHAnsi"/>
          <w:sz w:val="20"/>
          <w:szCs w:val="20"/>
        </w:rPr>
        <w:t>s</w:t>
      </w:r>
      <w:r w:rsidRPr="001964A8">
        <w:rPr>
          <w:rFonts w:cstheme="minorHAnsi"/>
          <w:sz w:val="20"/>
          <w:szCs w:val="20"/>
        </w:rPr>
        <w:t xml:space="preserve"> around the principle of </w:t>
      </w:r>
      <w:r w:rsidRPr="0012076F">
        <w:rPr>
          <w:rFonts w:cstheme="minorHAnsi"/>
          <w:i/>
          <w:sz w:val="20"/>
          <w:szCs w:val="20"/>
          <w:u w:val="single"/>
        </w:rPr>
        <w:t>Aurat</w:t>
      </w:r>
      <w:r w:rsidRPr="001964A8">
        <w:rPr>
          <w:rFonts w:cstheme="minorHAnsi"/>
          <w:sz w:val="20"/>
          <w:szCs w:val="20"/>
        </w:rPr>
        <w:t xml:space="preserve">, or the right to privacy, </w:t>
      </w:r>
      <w:r>
        <w:rPr>
          <w:rFonts w:cstheme="minorHAnsi"/>
          <w:sz w:val="20"/>
          <w:szCs w:val="20"/>
        </w:rPr>
        <w:t xml:space="preserve">which </w:t>
      </w:r>
      <w:r w:rsidRPr="001964A8">
        <w:rPr>
          <w:rFonts w:cstheme="minorHAnsi"/>
          <w:sz w:val="20"/>
          <w:szCs w:val="20"/>
        </w:rPr>
        <w:t>encompasses an individual's entitlement to protection from various forms of disturbances, including those related to sound, visual intrusions, and other infringements on one's privacy. Within Muslim families, a noteworthy characteristic is the segregation between men and women.</w:t>
      </w:r>
    </w:p>
    <w:p w14:paraId="15A81821" w14:textId="77777777" w:rsidR="00973FEA" w:rsidRPr="001964A8" w:rsidRDefault="00973FEA" w:rsidP="00973FEA">
      <w:pPr>
        <w:widowControl w:val="0"/>
        <w:ind w:left="284" w:firstLine="283"/>
        <w:jc w:val="both"/>
        <w:rPr>
          <w:rFonts w:cstheme="minorHAnsi"/>
          <w:sz w:val="20"/>
          <w:szCs w:val="20"/>
        </w:rPr>
      </w:pPr>
      <w:r>
        <w:rPr>
          <w:rFonts w:cstheme="minorHAnsi"/>
          <w:sz w:val="20"/>
          <w:szCs w:val="20"/>
        </w:rPr>
        <w:t>Ano</w:t>
      </w:r>
      <w:r w:rsidRPr="001964A8">
        <w:rPr>
          <w:rFonts w:cstheme="minorHAnsi"/>
          <w:sz w:val="20"/>
          <w:szCs w:val="20"/>
        </w:rPr>
        <w:t xml:space="preserve">ther noteworthy principle is based on </w:t>
      </w:r>
      <w:r>
        <w:rPr>
          <w:rFonts w:cstheme="minorHAnsi"/>
          <w:sz w:val="20"/>
          <w:szCs w:val="20"/>
        </w:rPr>
        <w:t xml:space="preserve">the </w:t>
      </w:r>
      <w:r w:rsidRPr="001964A8">
        <w:rPr>
          <w:rFonts w:cstheme="minorHAnsi"/>
          <w:sz w:val="20"/>
          <w:szCs w:val="20"/>
        </w:rPr>
        <w:t xml:space="preserve">respect </w:t>
      </w:r>
      <w:r>
        <w:rPr>
          <w:rFonts w:cstheme="minorHAnsi"/>
          <w:sz w:val="20"/>
          <w:szCs w:val="20"/>
        </w:rPr>
        <w:t>for</w:t>
      </w:r>
      <w:r w:rsidRPr="001964A8">
        <w:rPr>
          <w:rFonts w:cstheme="minorHAnsi"/>
          <w:sz w:val="20"/>
          <w:szCs w:val="20"/>
        </w:rPr>
        <w:t xml:space="preserve"> others, such as a strong emphasis on respecting previous uses</w:t>
      </w:r>
      <w:r>
        <w:rPr>
          <w:rFonts w:cstheme="minorHAnsi"/>
          <w:sz w:val="20"/>
          <w:szCs w:val="20"/>
        </w:rPr>
        <w:t>. This</w:t>
      </w:r>
      <w:r w:rsidRPr="001964A8">
        <w:rPr>
          <w:rFonts w:cstheme="minorHAnsi"/>
          <w:sz w:val="20"/>
          <w:szCs w:val="20"/>
        </w:rPr>
        <w:t xml:space="preserve"> means that existing building features</w:t>
      </w:r>
      <w:r>
        <w:rPr>
          <w:rFonts w:cstheme="minorHAnsi"/>
          <w:sz w:val="20"/>
          <w:szCs w:val="20"/>
        </w:rPr>
        <w:t>,</w:t>
      </w:r>
      <w:r w:rsidRPr="001964A8">
        <w:rPr>
          <w:rFonts w:cstheme="minorHAnsi"/>
          <w:sz w:val="20"/>
          <w:szCs w:val="20"/>
        </w:rPr>
        <w:t xml:space="preserve"> such as window and door placements</w:t>
      </w:r>
      <w:r>
        <w:rPr>
          <w:rFonts w:cstheme="minorHAnsi"/>
          <w:sz w:val="20"/>
          <w:szCs w:val="20"/>
        </w:rPr>
        <w:t>,</w:t>
      </w:r>
      <w:r w:rsidRPr="001964A8">
        <w:rPr>
          <w:rFonts w:cstheme="minorHAnsi"/>
          <w:sz w:val="20"/>
          <w:szCs w:val="20"/>
        </w:rPr>
        <w:t xml:space="preserve"> should take precedence over future modifications. Furthermore, attention is directed towards building heights, emphasizing the right to construct taller buildings, provided that such constructions do not infringe upon the rights of others to access sunlight and fresh air.</w:t>
      </w:r>
    </w:p>
    <w:p w14:paraId="6CB25884" w14:textId="77777777" w:rsidR="00973FEA" w:rsidRPr="001964A8" w:rsidRDefault="00973FEA" w:rsidP="00973FEA">
      <w:pPr>
        <w:widowControl w:val="0"/>
        <w:ind w:left="284" w:firstLine="283"/>
        <w:jc w:val="both"/>
        <w:rPr>
          <w:rFonts w:cstheme="minorHAnsi"/>
          <w:sz w:val="20"/>
          <w:szCs w:val="20"/>
        </w:rPr>
      </w:pPr>
      <w:r w:rsidRPr="001964A8">
        <w:rPr>
          <w:rFonts w:cstheme="minorHAnsi"/>
          <w:sz w:val="20"/>
          <w:szCs w:val="20"/>
        </w:rPr>
        <w:t>Another critical aspect involves pre-emption rights, where</w:t>
      </w:r>
      <w:r>
        <w:rPr>
          <w:rFonts w:cstheme="minorHAnsi"/>
          <w:sz w:val="20"/>
          <w:szCs w:val="20"/>
        </w:rPr>
        <w:t>,</w:t>
      </w:r>
      <w:r w:rsidRPr="001964A8">
        <w:rPr>
          <w:rFonts w:cstheme="minorHAnsi"/>
          <w:sz w:val="20"/>
          <w:szCs w:val="20"/>
        </w:rPr>
        <w:t xml:space="preserve"> in property or ownership transactions, fairness in economic management is maintained by giving priority to offering the property to the neighbour </w:t>
      </w:r>
      <w:r>
        <w:rPr>
          <w:rFonts w:cstheme="minorHAnsi"/>
          <w:sz w:val="20"/>
          <w:szCs w:val="20"/>
        </w:rPr>
        <w:t>who</w:t>
      </w:r>
      <w:r w:rsidRPr="001964A8">
        <w:rPr>
          <w:rFonts w:cstheme="minorHAnsi"/>
          <w:sz w:val="20"/>
          <w:szCs w:val="20"/>
        </w:rPr>
        <w:t xml:space="preserve"> has not yet sold their plot. Lastly, the importance of avoiding permanent or temporary obstructions on major roads is highlighted. Each landowner is granted the right to access the road directly upon leaving their property, ensuring a smooth flow of movement.</w:t>
      </w:r>
    </w:p>
    <w:p w14:paraId="10FAB871" w14:textId="77777777" w:rsidR="00973FEA" w:rsidRDefault="00973FEA" w:rsidP="00973FEA">
      <w:pPr>
        <w:widowControl w:val="0"/>
        <w:ind w:left="284" w:firstLine="283"/>
        <w:jc w:val="both"/>
        <w:rPr>
          <w:rFonts w:cstheme="minorHAnsi"/>
          <w:sz w:val="20"/>
          <w:szCs w:val="20"/>
        </w:rPr>
      </w:pPr>
      <w:r w:rsidRPr="001964A8">
        <w:rPr>
          <w:rFonts w:cstheme="minorHAnsi"/>
          <w:sz w:val="20"/>
          <w:szCs w:val="20"/>
        </w:rPr>
        <w:t>We can evaluate that the ideas mentioned by Hakim fall under the two categories of Islamic behavioural foundations for architect</w:t>
      </w:r>
      <w:r>
        <w:rPr>
          <w:rFonts w:cstheme="minorHAnsi"/>
          <w:sz w:val="20"/>
          <w:szCs w:val="20"/>
        </w:rPr>
        <w:t xml:space="preserve">ure mentioned here. However, </w:t>
      </w:r>
      <w:r w:rsidRPr="0012076F">
        <w:rPr>
          <w:rFonts w:cstheme="minorHAnsi"/>
          <w:sz w:val="20"/>
          <w:szCs w:val="20"/>
          <w:u w:val="single"/>
        </w:rPr>
        <w:t>it is</w:t>
      </w:r>
      <w:r w:rsidRPr="001964A8">
        <w:rPr>
          <w:rFonts w:cstheme="minorHAnsi"/>
          <w:sz w:val="20"/>
          <w:szCs w:val="20"/>
        </w:rPr>
        <w:t xml:space="preserve"> important to remember that th</w:t>
      </w:r>
      <w:r>
        <w:rPr>
          <w:rFonts w:cstheme="minorHAnsi"/>
          <w:sz w:val="20"/>
          <w:szCs w:val="20"/>
        </w:rPr>
        <w:t xml:space="preserve">e two are connected and </w:t>
      </w:r>
      <w:r w:rsidRPr="0012076F">
        <w:rPr>
          <w:rFonts w:cstheme="minorHAnsi"/>
          <w:sz w:val="20"/>
          <w:szCs w:val="20"/>
          <w:u w:val="single"/>
        </w:rPr>
        <w:t>should not</w:t>
      </w:r>
      <w:r w:rsidRPr="001964A8">
        <w:rPr>
          <w:rFonts w:cstheme="minorHAnsi"/>
          <w:sz w:val="20"/>
          <w:szCs w:val="20"/>
        </w:rPr>
        <w:t xml:space="preserve"> be separated.</w:t>
      </w:r>
    </w:p>
    <w:p w14:paraId="6041D21D" w14:textId="77777777" w:rsidR="00973FEA" w:rsidRPr="00973FEA" w:rsidRDefault="00973FEA" w:rsidP="00973FEA">
      <w:pPr>
        <w:jc w:val="both"/>
        <w:rPr>
          <w:rFonts w:asciiTheme="minorHAnsi" w:hAnsiTheme="minorHAnsi" w:cstheme="minorHAnsi"/>
          <w:b/>
          <w:bCs/>
          <w:sz w:val="18"/>
          <w:szCs w:val="18"/>
        </w:rPr>
      </w:pPr>
    </w:p>
    <w:p w14:paraId="70AE6A46" w14:textId="014E58B9" w:rsidR="00973FEA" w:rsidRPr="00973FEA" w:rsidRDefault="00973FEA" w:rsidP="00F4380B">
      <w:pPr>
        <w:pStyle w:val="ListParagraph"/>
        <w:numPr>
          <w:ilvl w:val="0"/>
          <w:numId w:val="14"/>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3. </w:t>
      </w:r>
      <w:r w:rsidRPr="00973FEA">
        <w:rPr>
          <w:rFonts w:asciiTheme="minorHAnsi" w:hAnsiTheme="minorHAnsi" w:cstheme="minorHAnsi"/>
          <w:b/>
          <w:bCs/>
          <w:sz w:val="18"/>
          <w:szCs w:val="18"/>
        </w:rPr>
        <w:t>OVERVIEW OF THE ISLAMIC PHYSICAL CIVILIZATION (ARTIFACT) OF ISLAMIC ARCHITECTURE</w:t>
      </w:r>
    </w:p>
    <w:p w14:paraId="27002D66"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rPr>
        <w:t xml:space="preserve">Physical civilizations are created through architectural development and construction after the philosophical foundation has been established. The earliest known example of Islamic construction predates these </w:t>
      </w:r>
      <w:r w:rsidRPr="00973FEA">
        <w:rPr>
          <w:rFonts w:cstheme="minorHAnsi"/>
          <w:sz w:val="20"/>
          <w:szCs w:val="20"/>
          <w:u w:val="single"/>
        </w:rPr>
        <w:t>archaeological</w:t>
      </w:r>
      <w:r w:rsidRPr="00973FEA">
        <w:rPr>
          <w:rFonts w:cstheme="minorHAnsi"/>
          <w:sz w:val="20"/>
          <w:szCs w:val="20"/>
        </w:rPr>
        <w:t xml:space="preserve"> establishments. These architectural establishments are mentioned in </w:t>
      </w:r>
      <w:r w:rsidRPr="00973FEA">
        <w:rPr>
          <w:rFonts w:cstheme="minorHAnsi"/>
          <w:sz w:val="20"/>
          <w:szCs w:val="20"/>
          <w:u w:val="single"/>
        </w:rPr>
        <w:t>the Quran</w:t>
      </w:r>
      <w:r w:rsidRPr="00973FEA">
        <w:rPr>
          <w:rFonts w:cstheme="minorHAnsi"/>
          <w:sz w:val="20"/>
          <w:szCs w:val="20"/>
        </w:rPr>
        <w:t xml:space="preserve"> </w:t>
      </w:r>
      <w:r w:rsidRPr="00973FEA">
        <w:rPr>
          <w:rFonts w:cstheme="minorHAnsi"/>
          <w:sz w:val="20"/>
          <w:szCs w:val="20"/>
        </w:rPr>
        <w:fldChar w:fldCharType="begin"/>
      </w:r>
      <w:r w:rsidRPr="00973FEA">
        <w:rPr>
          <w:rFonts w:cstheme="minorHAnsi"/>
          <w:sz w:val="20"/>
          <w:szCs w:val="20"/>
        </w:rPr>
        <w:instrText xml:space="preserve"> ADDIN ZOTERO_ITEM CSL_CITATION {"citationID":"FqbouR8t","properties":{"formattedCitation":"[45]","plainCitation":"[45]","noteIndex":0},"citationItems":[{"id":3729,"uris":["http://zotero.org/users/local/Rj7jaPwM/items/KGJUYI9L"],"itemData":{"id":3729,"type":"article-journal","abstract":"The Qur’an contains about eighteen verses that refer to the architecture of the earth. Nearly two hundred elements (terminologies) of architecture and town planning have been mentioned in the Quran. This paper aims to present examples from the Quran to shed light on the Islamic vision of architecture and art. It uses content analysis method to achieve the objective of the research. The analysis is done by studying and discussing verses of the Holy Quran, which is related to architecture and urbanism. One of the most important results of this research is to give distinct architectural and urban examples, include the following: building materials, environmental architecture, houses of insects, visual illusions in architecture, and the centrality of Mecca to the world. All of them is explained in the Qur’an verses, such as Al-Baqarah, An-Naml, An-Nahl, Al-Kahf, and Al-Fajr.","container-title":"Journal of Islamic Architecture","DOI":"10.18860/jia.v6i1.7867","ISSN":"2356-4644, 2086-2636","issue":"1","journalAbbreviation":"JIA","page":"1-6","source":"DOI.org (Crossref)","title":"Architecture in the Islamic Vision","volume":"6","author":[{"family":"Wazeri","given":"Yehia Hassan"}],"issued":{"date-parts":[["2020",6,9]]}}}],"schema":"https://github.com/citation-style-language/schema/raw/master/csl-citation.json"}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[45]</w:t>
      </w:r>
      <w:r w:rsidRPr="00973FEA">
        <w:rPr>
          <w:rFonts w:cstheme="minorHAnsi"/>
          <w:sz w:val="20"/>
          <w:szCs w:val="20"/>
        </w:rPr>
        <w:fldChar w:fldCharType="end"/>
      </w:r>
      <w:r w:rsidRPr="00973FEA">
        <w:rPr>
          <w:rFonts w:cstheme="minorHAnsi"/>
          <w:sz w:val="20"/>
          <w:szCs w:val="20"/>
        </w:rPr>
        <w:t>. For instance, Surah Al-</w:t>
      </w:r>
      <w:r w:rsidRPr="00973FEA">
        <w:rPr>
          <w:rFonts w:cstheme="minorHAnsi"/>
          <w:sz w:val="20"/>
          <w:szCs w:val="20"/>
          <w:u w:val="single"/>
        </w:rPr>
        <w:t>Hajj (Verse 26)</w:t>
      </w:r>
      <w:r w:rsidRPr="00973FEA">
        <w:rPr>
          <w:rFonts w:cstheme="minorHAnsi"/>
          <w:sz w:val="20"/>
          <w:szCs w:val="20"/>
        </w:rPr>
        <w:t xml:space="preserve"> mentions Allah’s command to Prophet Ibrahim to build </w:t>
      </w:r>
      <w:r w:rsidRPr="00973FEA">
        <w:rPr>
          <w:rFonts w:cstheme="minorHAnsi"/>
          <w:i/>
          <w:iCs/>
          <w:sz w:val="20"/>
          <w:szCs w:val="20"/>
        </w:rPr>
        <w:t>Baitul ‘Atiq</w:t>
      </w:r>
      <w:r w:rsidRPr="00973FEA">
        <w:rPr>
          <w:rFonts w:cstheme="minorHAnsi"/>
          <w:sz w:val="20"/>
          <w:szCs w:val="20"/>
        </w:rPr>
        <w:t xml:space="preserve"> (</w:t>
      </w:r>
      <w:proofErr w:type="spellStart"/>
      <w:r w:rsidRPr="00973FEA">
        <w:rPr>
          <w:rFonts w:cstheme="minorHAnsi"/>
          <w:i/>
          <w:iCs/>
          <w:sz w:val="20"/>
          <w:szCs w:val="20"/>
        </w:rPr>
        <w:t>Ka’bah</w:t>
      </w:r>
      <w:proofErr w:type="spellEnd"/>
      <w:r w:rsidRPr="00973FEA">
        <w:rPr>
          <w:rFonts w:cstheme="minorHAnsi"/>
          <w:sz w:val="20"/>
          <w:szCs w:val="20"/>
        </w:rPr>
        <w:t xml:space="preserve">). Ibn Kathir’s </w:t>
      </w:r>
      <w:r w:rsidRPr="00973FEA">
        <w:rPr>
          <w:rFonts w:cstheme="minorHAnsi"/>
          <w:i/>
          <w:sz w:val="20"/>
          <w:szCs w:val="20"/>
        </w:rPr>
        <w:t>tafsir</w:t>
      </w:r>
      <w:r w:rsidRPr="00973FEA">
        <w:rPr>
          <w:rFonts w:cstheme="minorHAnsi"/>
          <w:sz w:val="20"/>
          <w:szCs w:val="20"/>
        </w:rPr>
        <w:t xml:space="preserve"> interprets this as the construction of the first mosque on Earth, serving as the central point for the early development of Islamic civilization </w:t>
      </w:r>
      <w:r w:rsidRPr="00973FEA">
        <w:rPr>
          <w:rFonts w:cstheme="minorHAnsi"/>
          <w:sz w:val="20"/>
          <w:szCs w:val="20"/>
        </w:rPr>
        <w:fldChar w:fldCharType="begin"/>
      </w:r>
      <w:r w:rsidRPr="00973FEA">
        <w:rPr>
          <w:rFonts w:cstheme="minorHAnsi"/>
          <w:sz w:val="20"/>
          <w:szCs w:val="20"/>
        </w:rPr>
        <w:instrText xml:space="preserve"> ADDIN ZOTERO_ITEM CSL_CITATION {"citationID":"H0tb0PTQ","properties":{"formattedCitation":"[29]","plainCitation":"[29]","noteIndex":0},"citationItems":[{"id":4726,"uris":["http://zotero.org/users/local/Rj7jaPwM/items/44S6ENZP"],"itemData":{"id":4726,"type":"book","edition":"2","event-place":"Riyadh","ISBN":"9960-892-71-9","language":"en","publisher":"Maktaba Dar-us-Salam","publisher-place":"Riyadh","title":"Tafsir Ibn Kathir","volume":"1-10","author":[{"family":"Kathir al-Dimashqi","given":"Imam Abu AL-Firda Ismail","non-dropping-particle":"ibn"}],"issued":{"date-parts":[["2003"]]}}}],"schema":"https://github.com/citation-style-language/schema/raw/master/csl-citation.json"}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[29]</w:t>
      </w:r>
      <w:r w:rsidRPr="00973FEA">
        <w:rPr>
          <w:rFonts w:cstheme="minorHAnsi"/>
          <w:sz w:val="20"/>
          <w:szCs w:val="20"/>
        </w:rPr>
        <w:fldChar w:fldCharType="end"/>
      </w:r>
      <w:r w:rsidRPr="00973FEA">
        <w:rPr>
          <w:rFonts w:cstheme="minorHAnsi"/>
          <w:sz w:val="20"/>
          <w:szCs w:val="20"/>
        </w:rPr>
        <w:t xml:space="preserve">. </w:t>
      </w:r>
    </w:p>
    <w:p w14:paraId="4CDA71B4"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rPr>
        <w:t xml:space="preserve">Furthermore, in Hadiths and the stories of the </w:t>
      </w:r>
      <w:r w:rsidRPr="00973FEA">
        <w:rPr>
          <w:rFonts w:cstheme="minorHAnsi"/>
          <w:sz w:val="20"/>
          <w:szCs w:val="20"/>
          <w:u w:val="single"/>
        </w:rPr>
        <w:t>Prophet</w:t>
      </w:r>
      <w:r w:rsidRPr="00973FEA">
        <w:rPr>
          <w:rFonts w:cstheme="minorHAnsi"/>
          <w:sz w:val="20"/>
          <w:szCs w:val="20"/>
        </w:rPr>
        <w:t xml:space="preserve"> Muhammad, there are instances where he actively contributed to the construction of a mosque (Masjid) in new territories. One remarkable example is the construction of the first mosque in Medina after the </w:t>
      </w:r>
      <w:r w:rsidRPr="00973FEA">
        <w:rPr>
          <w:rFonts w:cstheme="minorHAnsi"/>
          <w:sz w:val="20"/>
          <w:szCs w:val="20"/>
          <w:u w:val="single"/>
        </w:rPr>
        <w:t>Prophet</w:t>
      </w:r>
      <w:r w:rsidRPr="00973FEA">
        <w:rPr>
          <w:rFonts w:cstheme="minorHAnsi"/>
          <w:sz w:val="20"/>
          <w:szCs w:val="20"/>
        </w:rPr>
        <w:t xml:space="preserve"> </w:t>
      </w:r>
      <w:r w:rsidRPr="00973FEA">
        <w:rPr>
          <w:rFonts w:cstheme="minorHAnsi"/>
          <w:sz w:val="20"/>
          <w:szCs w:val="20"/>
          <w:u w:val="single"/>
        </w:rPr>
        <w:t>Muhammad migrated</w:t>
      </w:r>
      <w:r w:rsidRPr="00973FEA">
        <w:rPr>
          <w:rFonts w:cstheme="minorHAnsi"/>
          <w:sz w:val="20"/>
          <w:szCs w:val="20"/>
        </w:rPr>
        <w:t xml:space="preserve"> from Mecca. In this particular case, he didn't even dismount from his camel upon arrival. Instead, a mosque was erected at the very spot where his camel first came to a halt. This mosque </w:t>
      </w:r>
      <w:r w:rsidRPr="00973FEA">
        <w:rPr>
          <w:rFonts w:cstheme="minorHAnsi"/>
          <w:sz w:val="20"/>
          <w:szCs w:val="20"/>
          <w:u w:val="single"/>
        </w:rPr>
        <w:t>was</w:t>
      </w:r>
      <w:r w:rsidRPr="00973FEA">
        <w:rPr>
          <w:rFonts w:cstheme="minorHAnsi"/>
          <w:sz w:val="20"/>
          <w:szCs w:val="20"/>
        </w:rPr>
        <w:t xml:space="preserve"> marked as the first place of worship for the followers of the </w:t>
      </w:r>
      <w:r w:rsidRPr="00973FEA">
        <w:rPr>
          <w:rFonts w:cstheme="minorHAnsi"/>
          <w:sz w:val="20"/>
          <w:szCs w:val="20"/>
          <w:u w:val="single"/>
        </w:rPr>
        <w:t>Prophet</w:t>
      </w:r>
      <w:r w:rsidRPr="00973FEA">
        <w:rPr>
          <w:rFonts w:cstheme="minorHAnsi"/>
          <w:sz w:val="20"/>
          <w:szCs w:val="20"/>
        </w:rPr>
        <w:t xml:space="preserve"> Muhammad in Medina </w:t>
      </w:r>
      <w:r w:rsidRPr="00973FEA">
        <w:rPr>
          <w:rFonts w:cstheme="minorHAnsi"/>
          <w:sz w:val="20"/>
          <w:szCs w:val="20"/>
        </w:rPr>
        <w:fldChar w:fldCharType="begin"/>
      </w:r>
      <w:r w:rsidRPr="00973FEA">
        <w:rPr>
          <w:rFonts w:cstheme="minorHAnsi"/>
          <w:sz w:val="20"/>
          <w:szCs w:val="20"/>
        </w:rPr>
        <w:instrText xml:space="preserve"> ADDIN ZOTERO_ITEM CSL_CITATION {"citationID":"NdCXjUJ5","properties":{"formattedCitation":"[46]","plainCitation":"[46]","noteIndex":0},"citationItems":[{"id":3781,"uris":["http://zotero.org/users/local/Rj7jaPwM/items/JCSKP4HB"],"itemData":{"id":3781,"type":"article-journal","abstract":"Throughout the study of the Waqf of Qubā’ and the European critics of the third sector in the Anglo-Saxon speaking tradition, this paper tests the conceptual framework articulated around the triptych ‘market / state / third sector’ to show that the institution of the Waqf was born way before the constitution of the State and the market in the city of Yathrib –future Madīnah al-Munawarah; it cannot be considered as a component of the third sector. This requires a new conceptual framework in the light of the history of the social and economic facts of the Muslim world and its civilizational legacy, which should be explored with fresh eyes and renewed energy.","container-title":"The Journal of Awqaf","language":"en","page":"12-35","source":"Zotero","title":"Is the Waqf a Part of the Third Sector?","volume":"33","author":[{"family":"Belabes","given":"Dr Abderrazak"}],"issued":{"date-parts":[["2017"]]}}}],"schema":"https://github.com/citation-style-language/schema/raw/master/csl-citation.json"}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[46]</w:t>
      </w:r>
      <w:r w:rsidRPr="00973FEA">
        <w:rPr>
          <w:rFonts w:cstheme="minorHAnsi"/>
          <w:sz w:val="20"/>
          <w:szCs w:val="20"/>
        </w:rPr>
        <w:fldChar w:fldCharType="end"/>
      </w:r>
      <w:r w:rsidRPr="00973FEA">
        <w:rPr>
          <w:rFonts w:cstheme="minorHAnsi"/>
          <w:sz w:val="20"/>
          <w:szCs w:val="20"/>
        </w:rPr>
        <w:t>.</w:t>
      </w:r>
    </w:p>
    <w:p w14:paraId="7348E373"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rPr>
        <w:t xml:space="preserve">This underscores the pivotal role of Masjids </w:t>
      </w:r>
      <w:r w:rsidRPr="00973FEA">
        <w:rPr>
          <w:rFonts w:cstheme="minorHAnsi"/>
          <w:sz w:val="20"/>
          <w:szCs w:val="20"/>
          <w:u w:val="single"/>
        </w:rPr>
        <w:t>or Mosques</w:t>
      </w:r>
      <w:r w:rsidRPr="00973FEA">
        <w:rPr>
          <w:rFonts w:cstheme="minorHAnsi"/>
          <w:sz w:val="20"/>
          <w:szCs w:val="20"/>
        </w:rPr>
        <w:t xml:space="preserve"> as the starting point for the establishment of Islamic civilization. From an architectural perspective, a </w:t>
      </w:r>
      <w:r w:rsidRPr="00973FEA">
        <w:rPr>
          <w:rFonts w:cstheme="minorHAnsi"/>
          <w:sz w:val="20"/>
          <w:szCs w:val="20"/>
          <w:u w:val="single"/>
        </w:rPr>
        <w:t>mosque</w:t>
      </w:r>
      <w:r w:rsidRPr="00973FEA">
        <w:rPr>
          <w:rFonts w:cstheme="minorHAnsi"/>
          <w:sz w:val="20"/>
          <w:szCs w:val="20"/>
        </w:rPr>
        <w:t xml:space="preserve"> </w:t>
      </w:r>
      <w:r w:rsidRPr="00973FEA">
        <w:rPr>
          <w:rFonts w:cstheme="minorHAnsi"/>
          <w:sz w:val="20"/>
          <w:szCs w:val="20"/>
          <w:u w:val="single"/>
        </w:rPr>
        <w:t>does</w:t>
      </w:r>
      <w:r w:rsidRPr="00973FEA">
        <w:rPr>
          <w:rFonts w:cstheme="minorHAnsi"/>
          <w:sz w:val="20"/>
          <w:szCs w:val="20"/>
        </w:rPr>
        <w:t xml:space="preserve"> not only symbolize the presence of Islam within an area but also delineates its impact and significance in the broader civilization </w:t>
      </w:r>
      <w:r w:rsidRPr="00973FEA">
        <w:rPr>
          <w:rFonts w:cstheme="minorHAnsi"/>
          <w:sz w:val="20"/>
          <w:szCs w:val="20"/>
        </w:rPr>
        <w:fldChar w:fldCharType="begin"/>
      </w:r>
      <w:r w:rsidRPr="00973FEA">
        <w:rPr>
          <w:rFonts w:cstheme="minorHAnsi"/>
          <w:sz w:val="20"/>
          <w:szCs w:val="20"/>
        </w:rPr>
        <w:instrText xml:space="preserve"> ADDIN ZOTERO_ITEM CSL_CITATION {"citationID":"ktjwUrw5","properties":{"formattedCitation":"[47]","plainCitation":"[47]","noteIndex":0},"citationItems":[{"id":3727,"uris":["http://zotero.org/users/local/Rj7jaPwM/items/MQS4FA5L"],"itemData":{"id":3727,"type":"article-journal","abstract":"The simplicity and austerity of the first Masjid or Mosque in Islam contrasted with the wide array, diversity and occasional grandeur of Mosque forms. A review of the historiography of the mosque often generates a stereotype view of the ‘archetypical’ form of domes and arches. What is missing is a discourse as to what constitutes a more spiritually-linked framework linking Islam to the formative ideas and eventual compositions of mosques in the modern world. The present diversity of the Islamic world including cultures in the Far East and the Western world necessitates a rethinking of what fundamentally constitutes the spiritual basis of space in Masjid. A historical and critical view of the mosque as a global type-form should be reviewed rather than the persistent hold of its Arab-Islamic origins in driving the notion of archetypes in Mosque design. The history of mosque was contrived from the Oriental perspectives and historical writings of the Islamic civilisation on architecture. As part and parcel of the reconciliation of the fundamentals of Islam in the field of architecture, this discourse aims to uncover common principles that can embrace the increasing diversity and dialectic of the ummah. The discourse attempts a re-look into how the spiritual ethos of Islam can be brought into a formal discourse of mosque architecture. It is hoped that if such forms can be read as the physical materialisation of inherent values of Islam, then it can account for the historical and formal evolution of mosque architecture throughout the world. In this sense, more fundamental principles can embrace its diversity and tolerance that has been its hallmark of Islam since its expansion outside the Arabian Peninsula. The study reviewed selected mosques of the globe including the mosques from the Malay Archipelago region or the Nusantara. The study hopes to reflect certain intentions and predisposition that linked ultimately to spirituality, identity and a certain monumentality needed in reading the multiple variations of the universal type-form Mosque, as the house of Allah.","container-title":"Advanced Science Letters","DOI":"10.1166/asl.2016.7558","ISSN":"1936-6612","issue":"9","journalAbbreviation":"adv sci lett","language":"en","page":"2164-2169","source":"DOI.org (Crossref)","title":"A Historiography of the Mosque: Reconciling a Renaissance of Spirituality in the Material Forms of Islamic Architecture","title-short":"A Historiography of the Mosque","volume":"22","author":[{"family":"Nawawi","given":"Norwina Mohd"},{"family":"Jahn Kassim","given":"Puteri Shireen"},{"family":"Hamat","given":"Sufian"}],"issued":{"date-parts":[["2016",9,1]]}}}],"schema":"https://github.com/citation-style-language/schema/raw/master/csl-citation.json"}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[47]</w:t>
      </w:r>
      <w:r w:rsidRPr="00973FEA">
        <w:rPr>
          <w:rFonts w:cstheme="minorHAnsi"/>
          <w:sz w:val="20"/>
          <w:szCs w:val="20"/>
        </w:rPr>
        <w:fldChar w:fldCharType="end"/>
      </w:r>
      <w:r w:rsidRPr="00973FEA">
        <w:rPr>
          <w:rFonts w:cstheme="minorHAnsi"/>
          <w:sz w:val="20"/>
          <w:szCs w:val="20"/>
        </w:rPr>
        <w:t xml:space="preserve">. It is essential to recognize that the architectural value of a </w:t>
      </w:r>
      <w:r w:rsidRPr="00973FEA">
        <w:rPr>
          <w:rFonts w:cstheme="minorHAnsi"/>
          <w:sz w:val="20"/>
          <w:szCs w:val="20"/>
          <w:u w:val="single"/>
        </w:rPr>
        <w:t>mosque</w:t>
      </w:r>
      <w:r w:rsidRPr="00973FEA">
        <w:rPr>
          <w:rFonts w:cstheme="minorHAnsi"/>
          <w:sz w:val="20"/>
          <w:szCs w:val="20"/>
        </w:rPr>
        <w:t xml:space="preserve"> goes beyond the physical structure; it truly reflects its Islamic influence when Muslims actively engage with it through prayers and social assistance </w:t>
      </w:r>
      <w:r w:rsidRPr="00973FEA">
        <w:rPr>
          <w:rFonts w:cstheme="minorHAnsi"/>
          <w:sz w:val="20"/>
          <w:szCs w:val="20"/>
        </w:rPr>
        <w:fldChar w:fldCharType="begin"/>
      </w:r>
      <w:r w:rsidRPr="00973FEA">
        <w:rPr>
          <w:rFonts w:cstheme="minorHAnsi"/>
          <w:sz w:val="20"/>
          <w:szCs w:val="20"/>
        </w:rPr>
        <w:instrText xml:space="preserve"> ADDIN ZOTERO_ITEM CSL_CITATION {"citationID":"GxBriiHN","properties":{"formattedCitation":"[47]","plainCitation":"[47]","noteIndex":0},"citationItems":[{"id":3727,"uris":["http://zotero.org/users/local/Rj7jaPwM/items/MQS4FA5L"],"itemData":{"id":3727,"type":"article-journal","abstract":"The simplicity and austerity of the first Masjid or Mosque in Islam contrasted with the wide array, diversity and occasional grandeur of Mosque forms. A review of the historiography of the mosque often generates a stereotype view of the ‘archetypical’ form of domes and arches. What is missing is a discourse as to what constitutes a more spiritually-linked framework linking Islam to the formative ideas and eventual compositions of mosques in the modern world. The present diversity of the Islamic world including cultures in the Far East and the Western world necessitates a rethinking of what fundamentally constitutes the spiritual basis of space in Masjid. A historical and critical view of the mosque as a global type-form should be reviewed rather than the persistent hold of its Arab-Islamic origins in driving the notion of archetypes in Mosque design. The history of mosque was contrived from the Oriental perspectives and historical writings of the Islamic civilisation on architecture. As part and parcel of the reconciliation of the fundamentals of Islam in the field of architecture, this discourse aims to uncover common principles that can embrace the increasing diversity and dialectic of the ummah. The discourse attempts a re-look into how the spiritual ethos of Islam can be brought into a formal discourse of mosque architecture. It is hoped that if such forms can be read as the physical materialisation of inherent values of Islam, then it can account for the historical and formal evolution of mosque architecture throughout the world. In this sense, more fundamental principles can embrace its diversity and tolerance that has been its hallmark of Islam since its expansion outside the Arabian Peninsula. The study reviewed selected mosques of the globe including the mosques from the Malay Archipelago region or the Nusantara. The study hopes to reflect certain intentions and predisposition that linked ultimately to spirituality, identity and a certain monumentality needed in reading the multiple variations of the universal type-form Mosque, as the house of Allah.","container-title":"Advanced Science Letters","DOI":"10.1166/asl.2016.7558","ISSN":"1936-6612","issue":"9","journalAbbreviation":"adv sci lett","language":"en","page":"2164-2169","source":"DOI.org (Crossref)","title":"A Historiography of the Mosque: Reconciling a Renaissance of Spirituality in the Material Forms of Islamic Architecture","title-short":"A Historiography of the Mosque","volume":"22","author":[{"family":"Nawawi","given":"Norwina Mohd"},{"family":"Jahn Kassim","given":"Puteri Shireen"},{"family":"Hamat","given":"Sufian"}],"issued":{"date-parts":[["2016",9,1]]}}}],"schema":"https://github.com/citation-style-language/schema/raw/master/csl-citation.json"}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[47]</w:t>
      </w:r>
      <w:r w:rsidRPr="00973FEA">
        <w:rPr>
          <w:rFonts w:cstheme="minorHAnsi"/>
          <w:sz w:val="20"/>
          <w:szCs w:val="20"/>
        </w:rPr>
        <w:fldChar w:fldCharType="end"/>
      </w:r>
      <w:r w:rsidRPr="00973FEA">
        <w:rPr>
          <w:rFonts w:cstheme="minorHAnsi"/>
          <w:sz w:val="20"/>
          <w:szCs w:val="20"/>
        </w:rPr>
        <w:t>.</w:t>
      </w:r>
    </w:p>
    <w:p w14:paraId="4E4AA38B"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u w:val="single"/>
        </w:rPr>
        <w:t>A mosque</w:t>
      </w:r>
      <w:r w:rsidRPr="00973FEA">
        <w:rPr>
          <w:rFonts w:cstheme="minorHAnsi"/>
          <w:sz w:val="20"/>
          <w:szCs w:val="20"/>
        </w:rPr>
        <w:t xml:space="preserve"> stands out as a structure that distinctly embodies Islamic purpose in terms of its use, users, and architectural identity. However, the influence of Islamic values can be extended architecturally to </w:t>
      </w:r>
      <w:r w:rsidRPr="00973FEA">
        <w:rPr>
          <w:rFonts w:cstheme="minorHAnsi"/>
          <w:sz w:val="20"/>
          <w:szCs w:val="20"/>
          <w:u w:val="single"/>
        </w:rPr>
        <w:t>other function</w:t>
      </w:r>
      <w:r w:rsidRPr="00973FEA">
        <w:rPr>
          <w:rFonts w:cstheme="minorHAnsi"/>
          <w:sz w:val="20"/>
          <w:szCs w:val="20"/>
        </w:rPr>
        <w:t>s, ranging from educational institutions (</w:t>
      </w:r>
      <w:r w:rsidRPr="00973FEA">
        <w:rPr>
          <w:rFonts w:cstheme="minorHAnsi"/>
          <w:i/>
          <w:sz w:val="20"/>
          <w:szCs w:val="20"/>
        </w:rPr>
        <w:t>madrasahs</w:t>
      </w:r>
      <w:r w:rsidRPr="00973FEA">
        <w:rPr>
          <w:rFonts w:cstheme="minorHAnsi"/>
          <w:sz w:val="20"/>
          <w:szCs w:val="20"/>
        </w:rPr>
        <w:t xml:space="preserve">) to residential buildings. Indeed, evidence </w:t>
      </w:r>
      <w:r w:rsidRPr="00973FEA">
        <w:rPr>
          <w:rFonts w:cstheme="minorHAnsi"/>
          <w:sz w:val="20"/>
          <w:szCs w:val="20"/>
        </w:rPr>
        <w:lastRenderedPageBreak/>
        <w:t xml:space="preserve">suggests that the alignment of </w:t>
      </w:r>
      <w:proofErr w:type="spellStart"/>
      <w:r w:rsidRPr="00973FEA">
        <w:rPr>
          <w:rFonts w:cstheme="minorHAnsi"/>
          <w:sz w:val="20"/>
          <w:szCs w:val="20"/>
        </w:rPr>
        <w:t>mentifacts</w:t>
      </w:r>
      <w:proofErr w:type="spellEnd"/>
      <w:r w:rsidRPr="00973FEA">
        <w:rPr>
          <w:rFonts w:cstheme="minorHAnsi"/>
          <w:sz w:val="20"/>
          <w:szCs w:val="20"/>
        </w:rPr>
        <w:t xml:space="preserve"> and </w:t>
      </w:r>
      <w:proofErr w:type="spellStart"/>
      <w:r w:rsidRPr="00973FEA">
        <w:rPr>
          <w:rFonts w:cstheme="minorHAnsi"/>
          <w:sz w:val="20"/>
          <w:szCs w:val="20"/>
        </w:rPr>
        <w:t>sociofacts</w:t>
      </w:r>
      <w:proofErr w:type="spellEnd"/>
      <w:r w:rsidRPr="00973FEA">
        <w:rPr>
          <w:rFonts w:cstheme="minorHAnsi"/>
          <w:sz w:val="20"/>
          <w:szCs w:val="20"/>
        </w:rPr>
        <w:t xml:space="preserve"> in a </w:t>
      </w:r>
      <w:r w:rsidRPr="00973FEA">
        <w:rPr>
          <w:rFonts w:cstheme="minorHAnsi"/>
          <w:sz w:val="20"/>
          <w:szCs w:val="20"/>
          <w:u w:val="single"/>
        </w:rPr>
        <w:t>mosque</w:t>
      </w:r>
      <w:r w:rsidRPr="00973FEA">
        <w:rPr>
          <w:rFonts w:cstheme="minorHAnsi"/>
          <w:sz w:val="20"/>
          <w:szCs w:val="20"/>
        </w:rPr>
        <w:t xml:space="preserve"> holds significance, and if misguided, the </w:t>
      </w:r>
      <w:r w:rsidRPr="00973FEA">
        <w:rPr>
          <w:rFonts w:cstheme="minorHAnsi"/>
          <w:sz w:val="20"/>
          <w:szCs w:val="20"/>
          <w:u w:val="single"/>
        </w:rPr>
        <w:t>mosque</w:t>
      </w:r>
      <w:r w:rsidRPr="00973FEA">
        <w:rPr>
          <w:rFonts w:cstheme="minorHAnsi"/>
          <w:sz w:val="20"/>
          <w:szCs w:val="20"/>
        </w:rPr>
        <w:t xml:space="preserve"> may not be considered </w:t>
      </w:r>
      <w:r w:rsidRPr="00973FEA">
        <w:rPr>
          <w:rFonts w:cstheme="minorHAnsi"/>
          <w:sz w:val="20"/>
          <w:szCs w:val="20"/>
          <w:u w:val="single"/>
        </w:rPr>
        <w:t>a ‘genuine’</w:t>
      </w:r>
      <w:r w:rsidRPr="00973FEA">
        <w:rPr>
          <w:rFonts w:cstheme="minorHAnsi"/>
          <w:sz w:val="20"/>
          <w:szCs w:val="20"/>
        </w:rPr>
        <w:t xml:space="preserve"> Islamic architecture. This assertion </w:t>
      </w:r>
      <w:r w:rsidRPr="00973FEA">
        <w:rPr>
          <w:rFonts w:cstheme="minorHAnsi"/>
          <w:sz w:val="20"/>
          <w:szCs w:val="20"/>
          <w:u w:val="single"/>
        </w:rPr>
        <w:t>is supported by</w:t>
      </w:r>
      <w:r w:rsidRPr="00973FEA">
        <w:rPr>
          <w:rFonts w:cstheme="minorHAnsi"/>
          <w:sz w:val="20"/>
          <w:szCs w:val="20"/>
        </w:rPr>
        <w:t xml:space="preserve"> the Quran, specifically Al-Tawbah (</w:t>
      </w:r>
      <w:r w:rsidRPr="00973FEA">
        <w:rPr>
          <w:rFonts w:cstheme="minorHAnsi"/>
          <w:sz w:val="20"/>
          <w:szCs w:val="20"/>
          <w:u w:val="single"/>
        </w:rPr>
        <w:t>Verse 107-109).</w:t>
      </w:r>
      <w:r w:rsidRPr="00973FEA">
        <w:rPr>
          <w:rFonts w:cstheme="minorHAnsi"/>
          <w:sz w:val="20"/>
          <w:szCs w:val="20"/>
        </w:rPr>
        <w:t xml:space="preserve"> The verses highlight the existence of </w:t>
      </w:r>
      <w:r w:rsidRPr="00973FEA">
        <w:rPr>
          <w:rFonts w:cstheme="minorHAnsi"/>
          <w:sz w:val="20"/>
          <w:szCs w:val="20"/>
          <w:u w:val="single"/>
        </w:rPr>
        <w:t>mosques</w:t>
      </w:r>
      <w:r w:rsidRPr="00973FEA">
        <w:rPr>
          <w:rFonts w:cstheme="minorHAnsi"/>
          <w:sz w:val="20"/>
          <w:szCs w:val="20"/>
        </w:rPr>
        <w:t xml:space="preserve"> falling into the category of </w:t>
      </w:r>
      <w:proofErr w:type="spellStart"/>
      <w:r w:rsidRPr="00973FEA">
        <w:rPr>
          <w:rFonts w:cstheme="minorHAnsi"/>
          <w:i/>
          <w:sz w:val="20"/>
          <w:szCs w:val="20"/>
        </w:rPr>
        <w:t>Ḍirār</w:t>
      </w:r>
      <w:proofErr w:type="spellEnd"/>
      <w:r w:rsidRPr="00973FEA">
        <w:rPr>
          <w:rFonts w:cstheme="minorHAnsi"/>
          <w:sz w:val="20"/>
          <w:szCs w:val="20"/>
        </w:rPr>
        <w:t>, indicating harm or damage to society.</w:t>
      </w:r>
    </w:p>
    <w:p w14:paraId="2070F393"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rPr>
        <w:t xml:space="preserve">The passage explicitly conveys that individuals constructing a </w:t>
      </w:r>
      <w:r w:rsidRPr="00973FEA">
        <w:rPr>
          <w:rFonts w:cstheme="minorHAnsi"/>
          <w:sz w:val="20"/>
          <w:szCs w:val="20"/>
          <w:u w:val="single"/>
        </w:rPr>
        <w:t>mosque</w:t>
      </w:r>
      <w:r w:rsidRPr="00973FEA">
        <w:rPr>
          <w:rFonts w:cstheme="minorHAnsi"/>
          <w:sz w:val="20"/>
          <w:szCs w:val="20"/>
        </w:rPr>
        <w:t xml:space="preserve"> </w:t>
      </w:r>
      <w:r w:rsidRPr="00973FEA">
        <w:rPr>
          <w:rFonts w:cstheme="minorHAnsi"/>
          <w:sz w:val="20"/>
          <w:szCs w:val="20"/>
          <w:u w:val="single"/>
        </w:rPr>
        <w:t>without</w:t>
      </w:r>
      <w:r w:rsidRPr="00973FEA">
        <w:rPr>
          <w:rFonts w:cstheme="minorHAnsi"/>
          <w:sz w:val="20"/>
          <w:szCs w:val="20"/>
        </w:rPr>
        <w:t xml:space="preserve"> a sincere intention to worship Allah and support the community will face punishment from Allah. Conversely, those who build a mosque with the pure intention of pleasing Allah will be rewarded. The passage has been cited to justify the demolition of mosques believed to </w:t>
      </w:r>
      <w:r w:rsidRPr="00973FEA">
        <w:rPr>
          <w:rFonts w:cstheme="minorHAnsi"/>
          <w:sz w:val="20"/>
          <w:szCs w:val="20"/>
          <w:u w:val="single"/>
        </w:rPr>
        <w:t>have been</w:t>
      </w:r>
      <w:r w:rsidRPr="00973FEA">
        <w:rPr>
          <w:rFonts w:cstheme="minorHAnsi"/>
          <w:sz w:val="20"/>
          <w:szCs w:val="20"/>
        </w:rPr>
        <w:t xml:space="preserve"> erected with malicious intent. This perspective </w:t>
      </w:r>
      <w:r w:rsidRPr="00973FEA">
        <w:rPr>
          <w:rFonts w:cstheme="minorHAnsi"/>
          <w:sz w:val="20"/>
          <w:szCs w:val="20"/>
          <w:u w:val="single"/>
        </w:rPr>
        <w:t>highlights</w:t>
      </w:r>
      <w:r w:rsidRPr="00973FEA">
        <w:rPr>
          <w:rFonts w:cstheme="minorHAnsi"/>
          <w:sz w:val="20"/>
          <w:szCs w:val="20"/>
        </w:rPr>
        <w:t xml:space="preserve"> the significance of aligning </w:t>
      </w:r>
      <w:proofErr w:type="spellStart"/>
      <w:r w:rsidRPr="00973FEA">
        <w:rPr>
          <w:rFonts w:cstheme="minorHAnsi"/>
          <w:sz w:val="20"/>
          <w:szCs w:val="20"/>
        </w:rPr>
        <w:t>mentifacts</w:t>
      </w:r>
      <w:proofErr w:type="spellEnd"/>
      <w:r w:rsidRPr="00973FEA">
        <w:rPr>
          <w:rFonts w:cstheme="minorHAnsi"/>
          <w:sz w:val="20"/>
          <w:szCs w:val="20"/>
        </w:rPr>
        <w:t xml:space="preserve"> and </w:t>
      </w:r>
      <w:proofErr w:type="spellStart"/>
      <w:r w:rsidRPr="00973FEA">
        <w:rPr>
          <w:rFonts w:cstheme="minorHAnsi"/>
          <w:sz w:val="20"/>
          <w:szCs w:val="20"/>
        </w:rPr>
        <w:t>sociofacts</w:t>
      </w:r>
      <w:proofErr w:type="spellEnd"/>
      <w:r w:rsidRPr="00973FEA">
        <w:rPr>
          <w:rFonts w:cstheme="minorHAnsi"/>
          <w:sz w:val="20"/>
          <w:szCs w:val="20"/>
        </w:rPr>
        <w:t xml:space="preserve"> in the creation of Islamic architecture, emphasizing the paramount importance of pure intentions in constructing places of worship.</w:t>
      </w:r>
    </w:p>
    <w:p w14:paraId="283D0D58"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rPr>
        <w:t xml:space="preserve">Hence, to construct the artifact of Islamic architecture, it is imperative to commence with the right Islamic </w:t>
      </w:r>
      <w:proofErr w:type="spellStart"/>
      <w:r w:rsidRPr="00973FEA">
        <w:rPr>
          <w:rFonts w:cstheme="minorHAnsi"/>
          <w:sz w:val="20"/>
          <w:szCs w:val="20"/>
        </w:rPr>
        <w:t>mentifact</w:t>
      </w:r>
      <w:proofErr w:type="spellEnd"/>
      <w:r w:rsidRPr="00973FEA">
        <w:rPr>
          <w:rFonts w:cstheme="minorHAnsi"/>
          <w:sz w:val="20"/>
          <w:szCs w:val="20"/>
        </w:rPr>
        <w:t xml:space="preserve"> and </w:t>
      </w:r>
      <w:proofErr w:type="spellStart"/>
      <w:r w:rsidRPr="00973FEA">
        <w:rPr>
          <w:rFonts w:cstheme="minorHAnsi"/>
          <w:sz w:val="20"/>
          <w:szCs w:val="20"/>
        </w:rPr>
        <w:t>sociofact</w:t>
      </w:r>
      <w:proofErr w:type="spellEnd"/>
      <w:r w:rsidRPr="00973FEA">
        <w:rPr>
          <w:rFonts w:cstheme="minorHAnsi"/>
          <w:sz w:val="20"/>
          <w:szCs w:val="20"/>
        </w:rPr>
        <w:t xml:space="preserve">. This developmental framework can be applied to the examination and analysis of historical Islamic architecture, as well as the creation of contemporary Islamic architecture according to its context. </w:t>
      </w:r>
    </w:p>
    <w:p w14:paraId="4935B29F"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rPr>
        <w:t xml:space="preserve">The contextual aspect of time plays a crucial role in discussing </w:t>
      </w:r>
      <w:r w:rsidRPr="00973FEA">
        <w:rPr>
          <w:rFonts w:cstheme="minorHAnsi"/>
          <w:sz w:val="20"/>
          <w:szCs w:val="20"/>
          <w:u w:val="single"/>
        </w:rPr>
        <w:t>the</w:t>
      </w:r>
      <w:r w:rsidRPr="00973FEA">
        <w:rPr>
          <w:rFonts w:cstheme="minorHAnsi"/>
          <w:sz w:val="20"/>
          <w:szCs w:val="20"/>
        </w:rPr>
        <w:t xml:space="preserve"> developmental framework in the artifact category. Despite distinctions between contemporary and </w:t>
      </w:r>
      <w:r w:rsidRPr="00973FEA">
        <w:rPr>
          <w:rFonts w:cstheme="minorHAnsi"/>
          <w:sz w:val="20"/>
          <w:szCs w:val="20"/>
          <w:u w:val="single"/>
        </w:rPr>
        <w:t>Islamic heritage architecture</w:t>
      </w:r>
      <w:r w:rsidRPr="00973FEA">
        <w:rPr>
          <w:rFonts w:cstheme="minorHAnsi"/>
          <w:sz w:val="20"/>
          <w:szCs w:val="20"/>
        </w:rPr>
        <w:t xml:space="preserve"> </w:t>
      </w:r>
      <w:r w:rsidRPr="00973FEA">
        <w:rPr>
          <w:rFonts w:cstheme="minorHAnsi"/>
          <w:sz w:val="20"/>
          <w:szCs w:val="20"/>
        </w:rPr>
        <w:fldChar w:fldCharType="begin"/>
      </w:r>
      <w:r w:rsidRPr="00973FEA">
        <w:rPr>
          <w:rFonts w:cstheme="minorHAnsi"/>
          <w:sz w:val="20"/>
          <w:szCs w:val="20"/>
        </w:rPr>
        <w:instrText xml:space="preserve"> ADDIN ZOTERO_ITEM CSL_CITATION {"citationID":"L5M3g2Yg","properties":{"formattedCitation":"[48], [49]","plainCitation":"[48], [49]","noteIndex":0},"citationItems":[{"id":4184,"uris":["http://zotero.org/users/local/Rj7jaPwM/items/DVQ982U8"],"itemData":{"id":4184,"type":"article-journal","abstract":"The Islamic Civilization is considered as the greatest and most impressive age of the ancient ages in our Arabian Region, because of its distinct personality which regenerated and renewed continuously to accommodate the various natures and traditions of each era. And our students should be aware by the Islamic Architecture creative concepts and aesthetic values, so they can use it in the right way to generate and create successful projects in the Contemporary Architecture which are compatible with our cultural background in the Arabian Region. And on the other hand, reflect the environmental features of their countries and the new technology in Architecture. Taking into account the possibility of investment the cultural heritage to benefit from the ideas and p i iples of e i o e tal desig i Isla i a hite tu e. As i st u to s, it s our responsibility to help the students and encourage them to design projects which are compatible with the surrounding environment and reflect the Islamic cultural determinations in modern contemporary forms.","DOI":"10.13140/RG.2.1.1928.7208","language":"en","note":"publisher: Unpublished","source":"DOI.org (Datacite)","title":"Contemporary Islamic Architecture towards preserving Islamic heritage","URL":"http://rgdoi.net/10.13140/RG.2.1.1928.7208","author":[{"family":"Abowardah","given":"Eman"}],"accessed":{"date-parts":[["2024",2,8]]},"issued":{"date-parts":[["2015"]]}}},{"id":4186,"uris":["http://zotero.org/users/local/Rj7jaPwM/items/IKY8IB6J"],"itemData":{"id":4186,"type":"article-journal","abstract":"Contemporary architecture in the Arab-Islamic World is facing the challenge of finding a distinctive character that combines both the heritage of the regional building traditions and the modern society lifestyle. Since few apparent attempts aim to articulate an identity for regional architecture, this research investigates the work of the Jordanian architect, Ayman Zuaiter. Their jobs attempt to integrate the cultural values and traditions with the contemporary Arab-Islamic architecture and seek to express and represent the spirit, values, and underlying principles of the regional heritage. This study aims to offer a deeper understanding of design as both method and production, contributing in turn to understanding regional and socio-economic considerations behind forms. This study will be based on the analysis of one of Zuaiter's residential buildings, Al-Tabba'a House. The research method is mainly exploratory, which combines a review of the project primarily in terms of cultural context; responding to the site itself (understanding regional and socio-economic considerations behind forms); concepts and how techniques helped them appear the way they are; multiple personal interviews with the architect aiming to understand his design strategies to revive traditions; and the external influences that affect the design process. This study shows that Islamic Values could be delivered through each design feature in Ayman Zuaiter’s work of contemporary Arab architecture.","container-title":"Journal of Islamic Architecture","DOI":"10.18860/jia.v6i1.7848","ISSN":"2356-4644, 2086-2636","issue":"1","journalAbbreviation":"JIA","page":"48-57","source":"DOI.org (Crossref)","title":"REVIVING ISLAMIC VALUES IN CONTEMPORARY ARAB ARCHITECTURE |CASE STUDY","volume":"6","author":[{"family":"Alqub","given":"Heba"},{"family":"Mellin","given":"Robert"}],"issued":{"date-parts":[["2020",6,9]]}}}],"schema":"https://github.com/citation-style-language/schema/raw/master/csl-citation.json"}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[48], [49]</w:t>
      </w:r>
      <w:r w:rsidRPr="00973FEA">
        <w:rPr>
          <w:rFonts w:cstheme="minorHAnsi"/>
          <w:sz w:val="20"/>
          <w:szCs w:val="20"/>
        </w:rPr>
        <w:fldChar w:fldCharType="end"/>
      </w:r>
      <w:r w:rsidRPr="00973FEA">
        <w:rPr>
          <w:rFonts w:cstheme="minorHAnsi"/>
          <w:sz w:val="20"/>
          <w:szCs w:val="20"/>
        </w:rPr>
        <w:t xml:space="preserve">, the latter is widely acknowledged to possess unique qualities </w:t>
      </w:r>
      <w:r w:rsidRPr="00973FEA">
        <w:rPr>
          <w:rFonts w:cstheme="minorHAnsi"/>
          <w:sz w:val="20"/>
          <w:szCs w:val="20"/>
        </w:rPr>
        <w:fldChar w:fldCharType="begin"/>
      </w:r>
      <w:r w:rsidRPr="00973FEA">
        <w:rPr>
          <w:rFonts w:cstheme="minorHAnsi"/>
          <w:sz w:val="20"/>
          <w:szCs w:val="20"/>
        </w:rPr>
        <w:instrText xml:space="preserve"> ADDIN ZOTERO_ITEM CSL_CITATION {"citationID":"GiRyytYr","properties":{"formattedCitation":"[7], [50]","plainCitation":"[7], [50]","noteIndex":0},"citationItems":[{"id":3654,"uris":["http://zotero.org/users/local/Rj7jaPwM/items/UAQ6J5GL"],"itemData":{"id":3654,"type":"article-journal","container-title":"Architectural History","DOI":"10.2307/1568797","ISSN":"0066622X","journalAbbreviation":"Architectural History","language":"en","page":"1","source":"DOI.org (Crossref)","title":"Studying Islamic Architecture: Challenges and Perspectives","title-short":"Studying Islamic Architecture","volume":"46","author":[{"family":"Hillenbrand","given":"Robert"}],"issued":{"date-parts":[["2003"]]}}},{"id":4178,"uris":["http://zotero.org/users/local/Rj7jaPwM/items/GU2HMIA4"],"itemData":{"id":4178,"type":"article-journal","abstract":"Islamic architecture is often thought as a history course and thus finds its material limited to the cataloguing and studying of legacies of successive empires or various geographic regions of the Islamic world. In practice, adherent professionals tend to reproduce high styles such as Umayyad, Abassid, Fatimid, Ottoman, etc., or recycle well known elements such as the minarets, courtyards, and mashrabiyyahs. This approach, endorsed by the present comprehensive Islamic revival, is believed to be the way to defend and revitalize the identity of Muslim societies that was initially affected by colonization and now is being offended by globalization. However, this approach often clashes with the contemporary trends in architecture that do not necessarily oppose the essence of Islamic architecture. Furthermore, it sometimes lead to an erroneous belief that consists of relating a priori forms to Islam and that clashes with the timeless and universal character of the Islamic religion. The key question to be asked then is, beyond this historicist view, what would be an “Islamic architecture” of nowadays that originates from the essence of Islam and that responds to contemporary conditions, needs, aspirations of present Muslim societies and individuals. To what extends can Islamic architecture benefits from modern progress and contemporary thought in resurrecting itself without loosing its essence. The hypothesis of the study is that, just as early Muslim architecture started from the adoption, use and re-use of early pre-Islamic architectures before reaching originality, this process, called Islamization, could also take place nowadays with the contemporary thought that is mostly developed in Western and non-Islamic environments. Mechanisms in Islam that allowed the “absorption” of pre-existing civilizations should thus structure the islamization approach and serve the scholars and professionals to reach the new Islamic architecture. The objectives of the paper consist of counter-criticizing orientalists’ views that overwhelm our libraries and references systems, and that consider the first stage of Islamic civilization, within which architecture is part, as a mere cut-and-paste process and, at best, a synthesis of these pre-Islamic heritages, and overcoming the prevailing historicist approach, and open new scopes for future generations to instate a new era of islamization that permits digesting the contemporary Western thoughts in a conscious, critical, and constructive way.","container-title":"Journal of Islamic Architecture","DOI":"10.18860/jia.v1i2.1720","ISSN":"2356-4644, 2086-2636","issue":"2","journalAbbreviation":"JIA","language":"en","source":"DOI.org (Crossref)","title":"ISLAMIZATION OF CONTEMPORARY ARCHITECTURE: SHIFTING THE PARADIGM OF ISLAMIC ARCHITECTURE","title-short":"ISLAMIZATION OF CONTEMPORARY ARCHITECTURE","URL":"http://ejournal.uin-malang.ac.id/index.php/JIA/article/view/1720","volume":"1","author":[{"family":"Hamouche","given":"Mustapha Ben-"}],"accessed":{"date-parts":[["2024",2,8]]},"issued":{"date-parts":[["2012",3,29]]}}}],"schema":"https://github.com/citation-style-language/schema/raw/master/csl-citation.json"}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[7], [50]</w:t>
      </w:r>
      <w:r w:rsidRPr="00973FEA">
        <w:rPr>
          <w:rFonts w:cstheme="minorHAnsi"/>
          <w:sz w:val="20"/>
          <w:szCs w:val="20"/>
        </w:rPr>
        <w:fldChar w:fldCharType="end"/>
      </w:r>
      <w:r w:rsidRPr="00973FEA">
        <w:rPr>
          <w:rFonts w:cstheme="minorHAnsi"/>
          <w:sz w:val="20"/>
          <w:szCs w:val="20"/>
        </w:rPr>
        <w:t xml:space="preserve">. </w:t>
      </w:r>
      <w:r w:rsidRPr="00973FEA">
        <w:rPr>
          <w:rFonts w:cstheme="minorHAnsi"/>
          <w:sz w:val="20"/>
          <w:szCs w:val="20"/>
          <w:u w:val="single"/>
        </w:rPr>
        <w:t>Islamic heritage</w:t>
      </w:r>
      <w:r w:rsidRPr="00973FEA">
        <w:rPr>
          <w:rFonts w:cstheme="minorHAnsi"/>
          <w:sz w:val="20"/>
          <w:szCs w:val="20"/>
        </w:rPr>
        <w:t xml:space="preserve"> architecture, exemplified by structures like the great mosques of Cordoba, Edirne, and Shah Jahan, employed local geometry, materials, and building methods to convey the order, harmony, and unity of Islamic architecture uniquely. Similarly, the Islamic architecture of the past significantly differs from its contemporary counterpart. For instance, the heritage of Islamic architecture in Indonesia contrasts with present-day Islamic architecture in the country, primarily due to disparities in socio-political conditions and varying technological capabilities in its development. </w:t>
      </w:r>
    </w:p>
    <w:p w14:paraId="2C126CCF"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rPr>
        <w:t xml:space="preserve">The contextual aspect of geographical location in Islamic architecture is </w:t>
      </w:r>
      <w:r w:rsidRPr="00973FEA">
        <w:rPr>
          <w:rFonts w:cstheme="minorHAnsi"/>
          <w:sz w:val="20"/>
          <w:szCs w:val="20"/>
          <w:u w:val="single"/>
        </w:rPr>
        <w:t>also of utmost importance</w:t>
      </w:r>
      <w:r w:rsidRPr="00973FEA">
        <w:rPr>
          <w:rFonts w:cstheme="minorHAnsi"/>
          <w:sz w:val="20"/>
          <w:szCs w:val="20"/>
        </w:rPr>
        <w:t xml:space="preserve">, illustrated by the distinct characteristics expected in Islamic architecture in, for example, Indonesia compared to </w:t>
      </w:r>
      <w:r w:rsidRPr="00973FEA">
        <w:rPr>
          <w:rFonts w:cstheme="minorHAnsi"/>
          <w:sz w:val="20"/>
          <w:szCs w:val="20"/>
          <w:u w:val="single"/>
        </w:rPr>
        <w:t>those</w:t>
      </w:r>
      <w:r w:rsidRPr="00973FEA">
        <w:rPr>
          <w:rFonts w:cstheme="minorHAnsi"/>
          <w:sz w:val="20"/>
          <w:szCs w:val="20"/>
        </w:rPr>
        <w:t xml:space="preserve"> in Arabia. Recognizing the evolving contextual influences over time is crucial for understanding and appreciating the diverse expressions of Islamic architecture across different eras and regions </w:t>
      </w:r>
      <w:r w:rsidRPr="00973FEA">
        <w:rPr>
          <w:rFonts w:cstheme="minorHAnsi"/>
          <w:sz w:val="20"/>
          <w:szCs w:val="20"/>
        </w:rPr>
        <w:fldChar w:fldCharType="begin"/>
      </w:r>
      <w:r w:rsidRPr="00973FEA">
        <w:rPr>
          <w:rFonts w:cstheme="minorHAnsi"/>
          <w:sz w:val="20"/>
          <w:szCs w:val="20"/>
        </w:rPr>
        <w:instrText xml:space="preserve"> ADDIN ZOTERO_ITEM CSL_CITATION {"citationID":"nZIDfXr0","properties":{"formattedCitation":"[48]","plainCitation":"[48]","noteIndex":0},"citationItems":[{"id":4184,"uris":["http://zotero.org/users/local/Rj7jaPwM/items/DVQ982U8"],"itemData":{"id":4184,"type":"article-journal","abstract":"The Islamic Civilization is considered as the greatest and most impressive age of the ancient ages in our Arabian Region, because of its distinct personality which regenerated and renewed continuously to accommodate the various natures and traditions of each era. And our students should be aware by the Islamic Architecture creative concepts and aesthetic values, so they can use it in the right way to generate and create successful projects in the Contemporary Architecture which are compatible with our cultural background in the Arabian Region. And on the other hand, reflect the environmental features of their countries and the new technology in Architecture. Taking into account the possibility of investment the cultural heritage to benefit from the ideas and p i iples of e i o e tal desig i Isla i a hite tu e. As i st u to s, it s our responsibility to help the students and encourage them to design projects which are compatible with the surrounding environment and reflect the Islamic cultural determinations in modern contemporary forms.","DOI":"10.13140/RG.2.1.1928.7208","language":"en","note":"publisher: Unpublished","source":"DOI.org (Datacite)","title":"Contemporary Islamic Architecture towards preserving Islamic heritage","URL":"http://rgdoi.net/10.13140/RG.2.1.1928.7208","author":[{"family":"Abowardah","given":"Eman"}],"accessed":{"date-parts":[["2024",2,8]]},"issued":{"date-parts":[["2015"]]}}}],"schema":"https://github.com/citation-style-language/schema/raw/master/csl-citation.json"}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[48]</w:t>
      </w:r>
      <w:r w:rsidRPr="00973FEA">
        <w:rPr>
          <w:rFonts w:cstheme="minorHAnsi"/>
          <w:sz w:val="20"/>
          <w:szCs w:val="20"/>
        </w:rPr>
        <w:fldChar w:fldCharType="end"/>
      </w:r>
      <w:r w:rsidRPr="00973FEA">
        <w:rPr>
          <w:rFonts w:cstheme="minorHAnsi"/>
          <w:sz w:val="20"/>
          <w:szCs w:val="20"/>
        </w:rPr>
        <w:t xml:space="preserve">. These disparities are significant enough to make it inappropriate to equate them directly. </w:t>
      </w:r>
    </w:p>
    <w:p w14:paraId="59E4FC04"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rPr>
        <w:t xml:space="preserve">This concept of contextual considerations aligns with the wisdom of Islamic jurisprudence, specifically the notion of </w:t>
      </w:r>
      <w:r w:rsidRPr="00973FEA">
        <w:rPr>
          <w:rFonts w:cstheme="minorHAnsi"/>
          <w:i/>
          <w:sz w:val="20"/>
          <w:szCs w:val="20"/>
          <w:u w:val="single"/>
        </w:rPr>
        <w:t>'</w:t>
      </w:r>
      <w:proofErr w:type="spellStart"/>
      <w:r w:rsidRPr="00973FEA">
        <w:rPr>
          <w:rFonts w:cstheme="minorHAnsi"/>
          <w:i/>
          <w:sz w:val="20"/>
          <w:szCs w:val="20"/>
          <w:u w:val="single"/>
        </w:rPr>
        <w:t>Urf</w:t>
      </w:r>
      <w:proofErr w:type="spellEnd"/>
      <w:r w:rsidRPr="00973FEA">
        <w:rPr>
          <w:rFonts w:cstheme="minorHAnsi"/>
          <w:sz w:val="20"/>
          <w:szCs w:val="20"/>
        </w:rPr>
        <w:t xml:space="preserve"> (</w:t>
      </w:r>
      <w:proofErr w:type="spellStart"/>
      <w:r w:rsidRPr="00973FEA">
        <w:rPr>
          <w:rFonts w:cstheme="minorHAnsi"/>
          <w:sz w:val="20"/>
          <w:szCs w:val="20"/>
        </w:rPr>
        <w:t>العرف</w:t>
      </w:r>
      <w:proofErr w:type="spellEnd"/>
      <w:r w:rsidRPr="00973FEA">
        <w:rPr>
          <w:rFonts w:cstheme="minorHAnsi"/>
          <w:sz w:val="20"/>
          <w:szCs w:val="20"/>
        </w:rPr>
        <w:t xml:space="preserve">). In Islam, </w:t>
      </w:r>
      <w:r w:rsidRPr="00973FEA">
        <w:rPr>
          <w:rFonts w:cstheme="minorHAnsi"/>
          <w:i/>
          <w:sz w:val="20"/>
          <w:szCs w:val="20"/>
          <w:u w:val="single"/>
        </w:rPr>
        <w:t>'</w:t>
      </w:r>
      <w:proofErr w:type="spellStart"/>
      <w:r w:rsidRPr="00973FEA">
        <w:rPr>
          <w:rFonts w:cstheme="minorHAnsi"/>
          <w:i/>
          <w:sz w:val="20"/>
          <w:szCs w:val="20"/>
          <w:u w:val="single"/>
        </w:rPr>
        <w:t>Urf</w:t>
      </w:r>
      <w:proofErr w:type="spellEnd"/>
      <w:r w:rsidRPr="00973FEA">
        <w:rPr>
          <w:rFonts w:cstheme="minorHAnsi"/>
          <w:sz w:val="20"/>
          <w:szCs w:val="20"/>
        </w:rPr>
        <w:t xml:space="preserve"> refers to customary practices and norms acknowledged by a specific community. It holds a substantial role in Islamic legal (</w:t>
      </w:r>
      <w:proofErr w:type="spellStart"/>
      <w:r w:rsidRPr="00973FEA">
        <w:rPr>
          <w:rFonts w:cstheme="minorHAnsi"/>
          <w:i/>
          <w:sz w:val="20"/>
          <w:szCs w:val="20"/>
          <w:u w:val="single"/>
        </w:rPr>
        <w:t>fiqh</w:t>
      </w:r>
      <w:proofErr w:type="spellEnd"/>
      <w:r w:rsidRPr="00973FEA">
        <w:rPr>
          <w:rFonts w:cstheme="minorHAnsi"/>
          <w:sz w:val="20"/>
          <w:szCs w:val="20"/>
        </w:rPr>
        <w:t>) and ethical frameworks (</w:t>
      </w:r>
      <w:proofErr w:type="spellStart"/>
      <w:r w:rsidRPr="00973FEA">
        <w:rPr>
          <w:rFonts w:cstheme="minorHAnsi"/>
          <w:i/>
          <w:iCs/>
          <w:sz w:val="20"/>
          <w:szCs w:val="20"/>
        </w:rPr>
        <w:t>akhlaq</w:t>
      </w:r>
      <w:proofErr w:type="spellEnd"/>
      <w:r w:rsidRPr="00973FEA">
        <w:rPr>
          <w:rFonts w:cstheme="minorHAnsi"/>
          <w:sz w:val="20"/>
          <w:szCs w:val="20"/>
        </w:rPr>
        <w:t xml:space="preserve">), subject to specific conditions and limitations. </w:t>
      </w:r>
      <w:r w:rsidRPr="00973FEA">
        <w:rPr>
          <w:rFonts w:cstheme="minorHAnsi"/>
          <w:i/>
          <w:sz w:val="20"/>
          <w:szCs w:val="20"/>
          <w:u w:val="single"/>
        </w:rPr>
        <w:t>'</w:t>
      </w:r>
      <w:proofErr w:type="spellStart"/>
      <w:r w:rsidRPr="00973FEA">
        <w:rPr>
          <w:rFonts w:cstheme="minorHAnsi"/>
          <w:i/>
          <w:sz w:val="20"/>
          <w:szCs w:val="20"/>
          <w:u w:val="single"/>
        </w:rPr>
        <w:t>Urf</w:t>
      </w:r>
      <w:proofErr w:type="spellEnd"/>
      <w:r w:rsidRPr="00973FEA">
        <w:rPr>
          <w:rFonts w:cstheme="minorHAnsi"/>
          <w:sz w:val="20"/>
          <w:szCs w:val="20"/>
        </w:rPr>
        <w:t xml:space="preserve"> is valued for its adherence to Islamic principles and its non-contradiction with explicit local rulings. This recognition </w:t>
      </w:r>
      <w:r w:rsidRPr="00973FEA">
        <w:rPr>
          <w:rFonts w:cstheme="minorHAnsi"/>
          <w:sz w:val="20"/>
          <w:szCs w:val="20"/>
          <w:u w:val="single"/>
        </w:rPr>
        <w:t>emphasizes</w:t>
      </w:r>
      <w:r w:rsidRPr="00973FEA">
        <w:rPr>
          <w:rFonts w:cstheme="minorHAnsi"/>
          <w:sz w:val="20"/>
          <w:szCs w:val="20"/>
        </w:rPr>
        <w:t xml:space="preserve"> the significance of accommodating regional variations and cultural nuances within the broader framework of Islamic architectural practices </w:t>
      </w:r>
      <w:r w:rsidRPr="00973FEA">
        <w:rPr>
          <w:rFonts w:cstheme="minorHAnsi"/>
          <w:sz w:val="20"/>
          <w:szCs w:val="20"/>
        </w:rPr>
        <w:fldChar w:fldCharType="begin"/>
      </w:r>
      <w:r w:rsidRPr="00973FEA">
        <w:rPr>
          <w:rFonts w:cstheme="minorHAnsi"/>
          <w:sz w:val="20"/>
          <w:szCs w:val="20"/>
        </w:rPr>
        <w:instrText xml:space="preserve"> ADDIN ZOTERO_ITEM CSL_CITATION {"citationID":"OsqkRq4s","properties":{"formattedCitation":"[50], [51]","plainCitation":"[50], [51]","noteIndex":0},"citationItems":[{"id":4204,"uris":["http://zotero.org/users/local/Rj7jaPwM/items/88NYJYWI"],"itemData":{"id":4204,"type":"article-journal","abstract":"Customs, traditions and usages of people are considered as sources of law in almost all jurisprudences of the world. In Islaic law „Urf (custom) and „ādah (tradition) are considered important sources of law. Numerous injunctions of the Islamic Fiqh are based on customs and usages of the people. From the period of the Prophet of Islam to the development of law schools custom („urf) was considered as a source for law making activities. In this article „urf as a source of Islamic Fiqh has been studied.","container-title":"American International Journal of Contemporary Research","ISSN":"2162139X, 2162142X","journalAbbreviation":"AIJCR","language":"en","source":"DOI.org (Crossref)","title":"‘Urf -o-Ādah (Custom and Usage) as a Source of Islamic law","author":[{"family":"Ghani","given":"Hafiz Abdul"}],"issued":{"date-parts":[["2011"]]}}},{"id":4178,"uris":["http://zotero.org/users/local/Rj7jaPwM/items/GU2HMIA4"],"itemData":{"id":4178,"type":"article-journal","abstract":"Islamic architecture is often thought as a history course and thus finds its material limited to the cataloguing and studying of legacies of successive empires or various geographic regions of the Islamic world. In practice, adherent professionals tend to reproduce high styles such as Umayyad, Abassid, Fatimid, Ottoman, etc., or recycle well known elements such as the minarets, courtyards, and mashrabiyyahs. This approach, endorsed by the present comprehensive Islamic revival, is believed to be the way to defend and revitalize the identity of Muslim societies that was initially affected by colonization and now is being offended by globalization. However, this approach often clashes with the contemporary trends in architecture that do not necessarily oppose the essence of Islamic architecture. Furthermore, it sometimes lead to an erroneous belief that consists of relating a priori forms to Islam and that clashes with the timeless and universal character of the Islamic religion. The key question to be asked then is, beyond this historicist view, what would be an “Islamic architecture” of nowadays that originates from the essence of Islam and that responds to contemporary conditions, needs, aspirations of present Muslim societies and individuals. To what extends can Islamic architecture benefits from modern progress and contemporary thought in resurrecting itself without loosing its essence. The hypothesis of the study is that, just as early Muslim architecture started from the adoption, use and re-use of early pre-Islamic architectures before reaching originality, this process, called Islamization, could also take place nowadays with the contemporary thought that is mostly developed in Western and non-Islamic environments. Mechanisms in Islam that allowed the “absorption” of pre-existing civilizations should thus structure the islamization approach and serve the scholars and professionals to reach the new Islamic architecture. The objectives of the paper consist of counter-criticizing orientalists’ views that overwhelm our libraries and references systems, and that consider the first stage of Islamic civilization, within which architecture is part, as a mere cut-and-paste process and, at best, a synthesis of these pre-Islamic heritages, and overcoming the prevailing historicist approach, and open new scopes for future generations to instate a new era of islamization that permits digesting the contemporary Western thoughts in a conscious, critical, and constructive way.","container-title":"Journal of Islamic Architecture","DOI":"10.18860/jia.v1i2.1720","ISSN":"2356-4644, 2086-2636","issue":"2","journalAbbreviation":"JIA","language":"en","source":"DOI.org (Crossref)","title":"ISLAMIZATION OF CONTEMPORARY ARCHITECTURE: SHIFTING THE PARADIGM OF ISLAMIC ARCHITECTURE","title-short":"ISLAMIZATION OF CONTEMPORARY ARCHITECTURE","URL":"http://ejournal.uin-malang.ac.id/index.php/JIA/article/view/1720","volume":"1","author":[{"family":"Hamouche","given":"Mustapha Ben-"}],"accessed":{"date-parts":[["2024",2,8]]},"issued":{"date-parts":[["2012",3,29]]}}}],"schema":"https://github.com/citation-style-language/schema/raw/master/csl-citation.json"}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[50], [51]</w:t>
      </w:r>
      <w:r w:rsidRPr="00973FEA">
        <w:rPr>
          <w:rFonts w:cstheme="minorHAnsi"/>
          <w:sz w:val="20"/>
          <w:szCs w:val="20"/>
        </w:rPr>
        <w:fldChar w:fldCharType="end"/>
      </w:r>
      <w:r w:rsidRPr="00973FEA">
        <w:rPr>
          <w:rFonts w:cstheme="minorHAnsi"/>
          <w:sz w:val="20"/>
          <w:szCs w:val="20"/>
        </w:rPr>
        <w:t xml:space="preserve">. </w:t>
      </w:r>
    </w:p>
    <w:p w14:paraId="40A515D9"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rPr>
        <w:t xml:space="preserve">The concept of </w:t>
      </w:r>
      <w:r w:rsidRPr="00973FEA">
        <w:rPr>
          <w:rFonts w:cstheme="minorHAnsi"/>
          <w:i/>
          <w:sz w:val="20"/>
          <w:szCs w:val="20"/>
          <w:u w:val="single"/>
        </w:rPr>
        <w:t>'</w:t>
      </w:r>
      <w:proofErr w:type="spellStart"/>
      <w:r w:rsidRPr="00973FEA">
        <w:rPr>
          <w:rFonts w:cstheme="minorHAnsi"/>
          <w:i/>
          <w:sz w:val="20"/>
          <w:szCs w:val="20"/>
          <w:u w:val="single"/>
        </w:rPr>
        <w:t>Urf</w:t>
      </w:r>
      <w:proofErr w:type="spellEnd"/>
      <w:r w:rsidRPr="00973FEA">
        <w:rPr>
          <w:rFonts w:cstheme="minorHAnsi"/>
          <w:sz w:val="20"/>
          <w:szCs w:val="20"/>
        </w:rPr>
        <w:t>, mentioned in the Quran and Hadith, serves as the basis for acknowledging local wisdom and traditions (</w:t>
      </w:r>
      <w:proofErr w:type="spellStart"/>
      <w:r w:rsidRPr="00973FEA">
        <w:rPr>
          <w:rFonts w:cstheme="minorHAnsi"/>
          <w:i/>
          <w:sz w:val="20"/>
          <w:szCs w:val="20"/>
        </w:rPr>
        <w:t>adat</w:t>
      </w:r>
      <w:proofErr w:type="spellEnd"/>
      <w:r w:rsidRPr="00973FEA">
        <w:rPr>
          <w:rFonts w:cstheme="minorHAnsi"/>
          <w:sz w:val="20"/>
          <w:szCs w:val="20"/>
        </w:rPr>
        <w:t>) as acceptable ones and even a source of Islamic Law within a particular context. The Quranic verse, "</w:t>
      </w:r>
      <w:r w:rsidRPr="00973FEA">
        <w:rPr>
          <w:rFonts w:cstheme="minorHAnsi"/>
          <w:sz w:val="20"/>
          <w:szCs w:val="20"/>
          <w:u w:val="single"/>
        </w:rPr>
        <w:t>Be gracious, enjoin what is right, and turn away from those who act ignorantly"</w:t>
      </w:r>
      <w:r w:rsidRPr="00973FEA">
        <w:rPr>
          <w:rFonts w:cstheme="minorHAnsi"/>
          <w:sz w:val="20"/>
          <w:szCs w:val="20"/>
        </w:rPr>
        <w:t xml:space="preserve"> [Quran; </w:t>
      </w:r>
      <w:r w:rsidRPr="00973FEA">
        <w:rPr>
          <w:rFonts w:cstheme="minorHAnsi"/>
          <w:sz w:val="20"/>
          <w:szCs w:val="20"/>
          <w:u w:val="single"/>
        </w:rPr>
        <w:t>Surah</w:t>
      </w:r>
      <w:r w:rsidRPr="00973FEA">
        <w:rPr>
          <w:rFonts w:cstheme="minorHAnsi"/>
          <w:sz w:val="20"/>
          <w:szCs w:val="20"/>
        </w:rPr>
        <w:t xml:space="preserve"> Al-</w:t>
      </w:r>
      <w:proofErr w:type="spellStart"/>
      <w:r w:rsidRPr="00973FEA">
        <w:rPr>
          <w:rFonts w:cstheme="minorHAnsi"/>
          <w:sz w:val="20"/>
          <w:szCs w:val="20"/>
        </w:rPr>
        <w:t>A’raf</w:t>
      </w:r>
      <w:proofErr w:type="spellEnd"/>
      <w:r w:rsidRPr="00973FEA">
        <w:rPr>
          <w:rFonts w:cstheme="minorHAnsi"/>
          <w:sz w:val="20"/>
          <w:szCs w:val="20"/>
        </w:rPr>
        <w:t xml:space="preserve">; </w:t>
      </w:r>
      <w:r w:rsidRPr="00973FEA">
        <w:rPr>
          <w:rFonts w:cstheme="minorHAnsi"/>
          <w:sz w:val="20"/>
          <w:szCs w:val="20"/>
          <w:u w:val="single"/>
        </w:rPr>
        <w:t>Verse 199</w:t>
      </w:r>
      <w:r w:rsidRPr="00973FEA">
        <w:rPr>
          <w:rFonts w:cstheme="minorHAnsi"/>
          <w:sz w:val="20"/>
          <w:szCs w:val="20"/>
        </w:rPr>
        <w:t>], underscores the importance of positive customs and behaviours.</w:t>
      </w:r>
    </w:p>
    <w:p w14:paraId="1843EAFE"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rPr>
        <w:t xml:space="preserve">The Hadith further underscores the concept of </w:t>
      </w:r>
      <w:r w:rsidRPr="00973FEA">
        <w:rPr>
          <w:rFonts w:cstheme="minorHAnsi"/>
          <w:i/>
          <w:sz w:val="20"/>
          <w:szCs w:val="20"/>
          <w:u w:val="single"/>
        </w:rPr>
        <w:t>'</w:t>
      </w:r>
      <w:proofErr w:type="spellStart"/>
      <w:r w:rsidRPr="00973FEA">
        <w:rPr>
          <w:rFonts w:cstheme="minorHAnsi"/>
          <w:i/>
          <w:sz w:val="20"/>
          <w:szCs w:val="20"/>
          <w:u w:val="single"/>
        </w:rPr>
        <w:t>Urf</w:t>
      </w:r>
      <w:proofErr w:type="spellEnd"/>
      <w:r w:rsidRPr="00973FEA">
        <w:rPr>
          <w:rFonts w:cstheme="minorHAnsi"/>
          <w:sz w:val="20"/>
          <w:szCs w:val="20"/>
        </w:rPr>
        <w:t xml:space="preserve"> by emphasizing that what Muslims collectively regard as good is considered good in the sight of God.</w:t>
      </w:r>
    </w:p>
    <w:p w14:paraId="009ADEDB" w14:textId="77777777" w:rsidR="00973FEA" w:rsidRPr="00973FEA" w:rsidRDefault="00973FEA" w:rsidP="00973FEA">
      <w:pPr>
        <w:widowControl w:val="0"/>
        <w:ind w:left="284" w:firstLine="283"/>
        <w:jc w:val="right"/>
        <w:rPr>
          <w:rFonts w:cstheme="minorHAnsi"/>
          <w:sz w:val="20"/>
          <w:szCs w:val="20"/>
        </w:rPr>
      </w:pPr>
      <w:proofErr w:type="spellStart"/>
      <w:r w:rsidRPr="00973FEA">
        <w:rPr>
          <w:rFonts w:cstheme="minorHAnsi"/>
          <w:sz w:val="20"/>
          <w:szCs w:val="20"/>
        </w:rPr>
        <w:t>مَا</w:t>
      </w:r>
      <w:proofErr w:type="spellEnd"/>
      <w:r w:rsidRPr="00973FEA">
        <w:rPr>
          <w:rFonts w:cstheme="minorHAnsi"/>
          <w:sz w:val="20"/>
          <w:szCs w:val="20"/>
        </w:rPr>
        <w:t xml:space="preserve"> </w:t>
      </w:r>
      <w:proofErr w:type="spellStart"/>
      <w:r w:rsidRPr="00973FEA">
        <w:rPr>
          <w:rFonts w:cstheme="minorHAnsi"/>
          <w:sz w:val="20"/>
          <w:szCs w:val="20"/>
        </w:rPr>
        <w:t>رَأَهُ</w:t>
      </w:r>
      <w:proofErr w:type="spellEnd"/>
      <w:r w:rsidRPr="00973FEA">
        <w:rPr>
          <w:rFonts w:cstheme="minorHAnsi"/>
          <w:sz w:val="20"/>
          <w:szCs w:val="20"/>
        </w:rPr>
        <w:t xml:space="preserve"> </w:t>
      </w:r>
      <w:proofErr w:type="spellStart"/>
      <w:r w:rsidRPr="00973FEA">
        <w:rPr>
          <w:rFonts w:cstheme="minorHAnsi"/>
          <w:sz w:val="20"/>
          <w:szCs w:val="20"/>
        </w:rPr>
        <w:t>الْمُسْلِمُونَ</w:t>
      </w:r>
      <w:proofErr w:type="spellEnd"/>
      <w:r w:rsidRPr="00973FEA">
        <w:rPr>
          <w:rFonts w:cstheme="minorHAnsi"/>
          <w:sz w:val="20"/>
          <w:szCs w:val="20"/>
        </w:rPr>
        <w:t xml:space="preserve"> </w:t>
      </w:r>
      <w:proofErr w:type="spellStart"/>
      <w:r w:rsidRPr="00973FEA">
        <w:rPr>
          <w:rFonts w:cstheme="minorHAnsi"/>
          <w:sz w:val="20"/>
          <w:szCs w:val="20"/>
        </w:rPr>
        <w:t>حسنًا</w:t>
      </w:r>
      <w:proofErr w:type="spellEnd"/>
      <w:r w:rsidRPr="00973FEA">
        <w:rPr>
          <w:rFonts w:cstheme="minorHAnsi"/>
          <w:sz w:val="20"/>
          <w:szCs w:val="20"/>
        </w:rPr>
        <w:t xml:space="preserve"> </w:t>
      </w:r>
      <w:proofErr w:type="spellStart"/>
      <w:r w:rsidRPr="00973FEA">
        <w:rPr>
          <w:rFonts w:cstheme="minorHAnsi"/>
          <w:sz w:val="20"/>
          <w:szCs w:val="20"/>
        </w:rPr>
        <w:t>فهو</w:t>
      </w:r>
      <w:proofErr w:type="spellEnd"/>
      <w:r w:rsidRPr="00973FEA">
        <w:rPr>
          <w:rFonts w:cstheme="minorHAnsi"/>
          <w:sz w:val="20"/>
          <w:szCs w:val="20"/>
        </w:rPr>
        <w:t xml:space="preserve"> </w:t>
      </w:r>
      <w:proofErr w:type="spellStart"/>
      <w:r w:rsidRPr="00973FEA">
        <w:rPr>
          <w:rFonts w:cstheme="minorHAnsi"/>
          <w:sz w:val="20"/>
          <w:szCs w:val="20"/>
        </w:rPr>
        <w:t>عندَ</w:t>
      </w:r>
      <w:proofErr w:type="spellEnd"/>
      <w:r w:rsidRPr="00973FEA">
        <w:rPr>
          <w:rFonts w:cstheme="minorHAnsi"/>
          <w:sz w:val="20"/>
          <w:szCs w:val="20"/>
        </w:rPr>
        <w:t xml:space="preserve"> </w:t>
      </w:r>
      <w:proofErr w:type="spellStart"/>
      <w:r w:rsidRPr="00973FEA">
        <w:rPr>
          <w:rFonts w:cstheme="minorHAnsi"/>
          <w:sz w:val="20"/>
          <w:szCs w:val="20"/>
        </w:rPr>
        <w:t>اللهِ</w:t>
      </w:r>
      <w:proofErr w:type="spellEnd"/>
      <w:r w:rsidRPr="00973FEA">
        <w:rPr>
          <w:rFonts w:cstheme="minorHAnsi"/>
          <w:sz w:val="20"/>
          <w:szCs w:val="20"/>
        </w:rPr>
        <w:t xml:space="preserve"> </w:t>
      </w:r>
      <w:proofErr w:type="spellStart"/>
      <w:r w:rsidRPr="00973FEA">
        <w:rPr>
          <w:rFonts w:cstheme="minorHAnsi"/>
          <w:sz w:val="20"/>
          <w:szCs w:val="20"/>
        </w:rPr>
        <w:t>حسنٌ</w:t>
      </w:r>
      <w:proofErr w:type="spellEnd"/>
    </w:p>
    <w:p w14:paraId="50641D19"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rPr>
        <w:t xml:space="preserve">[Hadith; Ahmad; 3600]. This foundational concept extends to Islamic architecture, where respect for local wisdom is a key principle </w:t>
      </w:r>
      <w:r w:rsidRPr="00973FEA">
        <w:rPr>
          <w:rFonts w:cstheme="minorHAnsi"/>
          <w:sz w:val="20"/>
          <w:szCs w:val="20"/>
        </w:rPr>
        <w:fldChar w:fldCharType="begin"/>
      </w:r>
      <w:r w:rsidRPr="00973FEA">
        <w:rPr>
          <w:rFonts w:cstheme="minorHAnsi"/>
          <w:sz w:val="20"/>
          <w:szCs w:val="20"/>
        </w:rPr>
        <w:instrText xml:space="preserve"> ADDIN ZOTERO_ITEM CSL_CITATION {"citationID":"U6vUdSwd","properties":{"formattedCitation":"[52]","plainCitation":"[52]","noteIndex":0},"citationItems":[{"id":4206,"uris":["http://zotero.org/users/local/Rj7jaPwM/items/WYUGBKZR"],"itemData":{"id":4206,"type":"article-journal","container-title":"Journal of Architectural and Planning Research","page":"108-127","title":"The\" Urf\" and its role in diversifying the architecture of traditional Islamic cities.","author":[{"family":"Hakim","given":"Besim S"}],"issued":{"date-parts":[["1994"]]}}}],"schema":"https://github.com/citation-style-language/schema/raw/master/csl-citation.json"}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[52]</w:t>
      </w:r>
      <w:r w:rsidRPr="00973FEA">
        <w:rPr>
          <w:rFonts w:cstheme="minorHAnsi"/>
          <w:sz w:val="20"/>
          <w:szCs w:val="20"/>
        </w:rPr>
        <w:fldChar w:fldCharType="end"/>
      </w:r>
      <w:r w:rsidRPr="00973FEA">
        <w:rPr>
          <w:rFonts w:cstheme="minorHAnsi"/>
          <w:sz w:val="20"/>
          <w:szCs w:val="20"/>
        </w:rPr>
        <w:t xml:space="preserve">. It signifies that Islamic architecture recognizes the significance of diverse locales with varying climates and socio-cultural atmospheres. </w:t>
      </w:r>
      <w:r w:rsidRPr="00973FEA">
        <w:rPr>
          <w:rFonts w:cstheme="minorHAnsi"/>
          <w:sz w:val="20"/>
          <w:szCs w:val="20"/>
          <w:u w:val="single"/>
        </w:rPr>
        <w:t>The example is</w:t>
      </w:r>
      <w:r w:rsidRPr="00973FEA">
        <w:rPr>
          <w:rFonts w:cstheme="minorHAnsi"/>
          <w:sz w:val="20"/>
          <w:szCs w:val="20"/>
        </w:rPr>
        <w:t xml:space="preserve"> the acculturation of pre-Islamic culture in Javanese Islamic architecture </w:t>
      </w:r>
      <w:r w:rsidRPr="00973FEA">
        <w:rPr>
          <w:rFonts w:cstheme="minorHAnsi"/>
          <w:sz w:val="20"/>
          <w:szCs w:val="20"/>
        </w:rPr>
        <w:fldChar w:fldCharType="begin"/>
      </w:r>
      <w:r w:rsidRPr="00973FEA">
        <w:rPr>
          <w:rFonts w:cstheme="minorHAnsi"/>
          <w:sz w:val="20"/>
          <w:szCs w:val="20"/>
        </w:rPr>
        <w:instrText xml:space="preserve"> ADDIN ZOTERO_ITEM CSL_CITATION {"citationID":"kgLjGOwO","properties":{"formattedCitation":"[53], [54]","plainCitation":"[53], [54]","noteIndex":0},"citationItems":[{"id":4208,"uris":["http://zotero.org/users/local/Rj7jaPwM/items/I2CDRQCS"],"itemData":{"id":4208,"type":"article-journal","abstract":"Javanese Islamic architecture appears to be highly influenced by previous cultures, even though Islam has brought a new civilisation since the 13th century in Indonesia. The classical mosques and houses seem to follow Javanese and Hindu-Buddhist principles in their buildings, elements and spatial arrangements. This paper examines how the Javanese adapted their architecture to meet Islamic values w hile preserving their previous traditions. The concept of architectural synchronisation in Javanese architecture is examined from the traces observed in the temple dioramas, depictions of contemporary cultural products, and several traditional buildings. The adoptions and adaptations that appear in some significant objects such as old mosques and houses are traced back to previous transformation principles. Architectural harmonisation for new needs seemingly bases on religion as the most potent driving aspect. However, what is interesting is that in the case of Java, embracing a new religion does not mean forgetting existing traditions. On the other hand, the principle of acculturation has created a peaceful transition in architecture. Some evidence suggests that Javanese high culture, such as the classical grand mosque and the joglo house, succeeded in translating Javanese and Hindu-Buddhist ideas into Islamic architecture in very distinctive ways.","container-title":"JOURNAL OF ARCHITECTURE AND URBANISM","DOI":"10.3846/jau.2021.13709","ISSN":"2029-7955, 2029-7947","issue":"1","language":"en","page":"9-18","source":"DOI.org (Crossref)","title":"JAVANESE ISLAMIC ARCHITECTURE: ADOPTION AND ADAPTATION OF JAVANESE AND HINDU-BUDDHIST CULTURES IN INDONESIA","title-short":"JAVANESE ISLAMIC ARCHITECTURE","volume":"45","author":[{"family":"Idham","given":"Noor Cholis"}],"issued":{"date-parts":[["2021",2,1]]}}},{"id":4227,"uris":["http://zotero.org/users/local/Rj7jaPwM/items/YB28WRX8"],"itemData":{"id":4227,"type":"book","ISBN":"978-1-80327-049-4","language":"en","note":"DOI: 10.2307/j.ctv2b07tsb","publisher":"Archaeopress Publishing Ltd","source":"DOI.org (Crossref)","title":"The Continuity of Pre-Islamic Motifs in Javanese Mosque Ornamentation, Indonesia","URL":"http://www.jstor.org/stable/10.2307/j.ctv2b07tsb","author":[{"family":"Lee-Niinioja","given":"Hee Sook"}],"accessed":{"date-parts":[["2024",2,9]]},"issued":{"date-parts":[["2022",2,10]]}}}],"schema":"https://github.com/citation-style-language/schema/raw/master/csl-citation.json"}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[53], [54]</w:t>
      </w:r>
      <w:r w:rsidRPr="00973FEA">
        <w:rPr>
          <w:rFonts w:cstheme="minorHAnsi"/>
          <w:sz w:val="20"/>
          <w:szCs w:val="20"/>
        </w:rPr>
        <w:fldChar w:fldCharType="end"/>
      </w:r>
      <w:r w:rsidRPr="00973FEA">
        <w:rPr>
          <w:rFonts w:cstheme="minorHAnsi"/>
          <w:sz w:val="20"/>
          <w:szCs w:val="20"/>
        </w:rPr>
        <w:t>.</w:t>
      </w:r>
    </w:p>
    <w:p w14:paraId="2BBD2200"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rPr>
        <w:t xml:space="preserve">The question of how to regenerate Islamic architecture today </w:t>
      </w:r>
      <w:r w:rsidRPr="00973FEA">
        <w:rPr>
          <w:rFonts w:cstheme="minorHAnsi"/>
          <w:sz w:val="20"/>
          <w:szCs w:val="20"/>
          <w:u w:val="single"/>
        </w:rPr>
        <w:t>arises</w:t>
      </w:r>
      <w:r w:rsidRPr="00973FEA">
        <w:rPr>
          <w:rFonts w:cstheme="minorHAnsi"/>
          <w:sz w:val="20"/>
          <w:szCs w:val="20"/>
        </w:rPr>
        <w:t xml:space="preserve"> —whether to replicate </w:t>
      </w:r>
      <w:r w:rsidRPr="00973FEA">
        <w:rPr>
          <w:rFonts w:cstheme="minorHAnsi"/>
          <w:sz w:val="20"/>
          <w:szCs w:val="20"/>
          <w:u w:val="single"/>
        </w:rPr>
        <w:t>Islamic</w:t>
      </w:r>
      <w:r w:rsidRPr="00973FEA">
        <w:rPr>
          <w:rFonts w:cstheme="minorHAnsi"/>
          <w:sz w:val="20"/>
          <w:szCs w:val="20"/>
        </w:rPr>
        <w:t xml:space="preserve"> </w:t>
      </w:r>
      <w:r w:rsidRPr="00973FEA">
        <w:rPr>
          <w:rFonts w:cstheme="minorHAnsi"/>
          <w:sz w:val="20"/>
          <w:szCs w:val="20"/>
          <w:u w:val="single"/>
        </w:rPr>
        <w:t>heritage</w:t>
      </w:r>
      <w:r w:rsidRPr="00973FEA">
        <w:rPr>
          <w:rFonts w:cstheme="minorHAnsi"/>
          <w:sz w:val="20"/>
          <w:szCs w:val="20"/>
        </w:rPr>
        <w:t xml:space="preserve"> architecture or distil its essence for contemporary application. The key lies in adhering to the principles of </w:t>
      </w:r>
      <w:proofErr w:type="spellStart"/>
      <w:r w:rsidRPr="00973FEA">
        <w:rPr>
          <w:rFonts w:cstheme="minorHAnsi"/>
          <w:sz w:val="20"/>
          <w:szCs w:val="20"/>
        </w:rPr>
        <w:t>mentifact</w:t>
      </w:r>
      <w:proofErr w:type="spellEnd"/>
      <w:r w:rsidRPr="00973FEA">
        <w:rPr>
          <w:rFonts w:cstheme="minorHAnsi"/>
          <w:sz w:val="20"/>
          <w:szCs w:val="20"/>
        </w:rPr>
        <w:t xml:space="preserve"> and </w:t>
      </w:r>
      <w:proofErr w:type="spellStart"/>
      <w:r w:rsidRPr="00973FEA">
        <w:rPr>
          <w:rFonts w:cstheme="minorHAnsi"/>
          <w:sz w:val="20"/>
          <w:szCs w:val="20"/>
        </w:rPr>
        <w:t>sociofact</w:t>
      </w:r>
      <w:proofErr w:type="spellEnd"/>
      <w:r w:rsidRPr="00973FEA">
        <w:rPr>
          <w:rFonts w:cstheme="minorHAnsi"/>
          <w:sz w:val="20"/>
          <w:szCs w:val="20"/>
        </w:rPr>
        <w:t xml:space="preserve">. By doing so, one can strike a balance between preserving the heritage's spirit and adapting it to today's context. </w:t>
      </w:r>
    </w:p>
    <w:p w14:paraId="11CE17BE"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u w:val="single"/>
        </w:rPr>
        <w:t>A common</w:t>
      </w:r>
      <w:r w:rsidRPr="00973FEA">
        <w:rPr>
          <w:rFonts w:cstheme="minorHAnsi"/>
          <w:sz w:val="20"/>
          <w:szCs w:val="20"/>
        </w:rPr>
        <w:t xml:space="preserve"> approach observed among Muslim architects is a disregard for the past, resulting in Western-oriented Muslim architecture that ignores the Islamic spirit and undermines traditional culture. This path is deemed inappropriate for the development of Islamic architecture as it fails to incorporate the essential characteristics necessary to be recognized as Islamic. Preserving the distinctive Islamic identity, rooted in both tradition and culture, is paramount for the meaningful creation of Islamic architecture.</w:t>
      </w:r>
    </w:p>
    <w:p w14:paraId="2A71A147"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rPr>
        <w:t xml:space="preserve">In this regard, within the category of artifacts, several indicators of Islamic principles stand as benchmarks for contemporary Islamic architecture. One significant principle involves creating Islamic characteristics and refraining from imitating the architectural characteristics of other religions, as emphasized in the Hadith of the </w:t>
      </w:r>
      <w:r w:rsidRPr="00973FEA">
        <w:rPr>
          <w:rFonts w:cstheme="minorHAnsi"/>
          <w:sz w:val="20"/>
          <w:szCs w:val="20"/>
          <w:u w:val="single"/>
        </w:rPr>
        <w:lastRenderedPageBreak/>
        <w:t>Prophet, which says</w:t>
      </w:r>
      <w:r w:rsidRPr="00973FEA">
        <w:rPr>
          <w:rFonts w:cstheme="minorHAnsi"/>
          <w:sz w:val="20"/>
          <w:szCs w:val="20"/>
        </w:rPr>
        <w:t>:</w:t>
      </w:r>
    </w:p>
    <w:p w14:paraId="6444DEAF" w14:textId="77777777" w:rsidR="00973FEA" w:rsidRPr="00973FEA" w:rsidRDefault="00973FEA" w:rsidP="00973FEA">
      <w:pPr>
        <w:widowControl w:val="0"/>
        <w:ind w:left="284" w:firstLine="283"/>
        <w:jc w:val="right"/>
        <w:rPr>
          <w:rFonts w:cstheme="minorHAnsi"/>
          <w:sz w:val="20"/>
          <w:szCs w:val="20"/>
        </w:rPr>
      </w:pPr>
      <w:r w:rsidRPr="00973FEA">
        <w:rPr>
          <w:rFonts w:cstheme="minorHAnsi"/>
          <w:sz w:val="20"/>
          <w:szCs w:val="20"/>
        </w:rPr>
        <w:t xml:space="preserve"> </w:t>
      </w:r>
      <w:proofErr w:type="spellStart"/>
      <w:r w:rsidRPr="00973FEA">
        <w:rPr>
          <w:rFonts w:cstheme="minorHAnsi"/>
          <w:sz w:val="20"/>
          <w:szCs w:val="20"/>
        </w:rPr>
        <w:t>من</w:t>
      </w:r>
      <w:proofErr w:type="spellEnd"/>
      <w:r w:rsidRPr="00973FEA">
        <w:rPr>
          <w:rFonts w:cstheme="minorHAnsi"/>
          <w:sz w:val="20"/>
          <w:szCs w:val="20"/>
        </w:rPr>
        <w:t xml:space="preserve"> </w:t>
      </w:r>
      <w:proofErr w:type="spellStart"/>
      <w:r w:rsidRPr="00973FEA">
        <w:rPr>
          <w:rFonts w:cstheme="minorHAnsi"/>
          <w:sz w:val="20"/>
          <w:szCs w:val="20"/>
        </w:rPr>
        <w:t>تشبه</w:t>
      </w:r>
      <w:proofErr w:type="spellEnd"/>
      <w:r w:rsidRPr="00973FEA">
        <w:rPr>
          <w:rFonts w:cstheme="minorHAnsi"/>
          <w:sz w:val="20"/>
          <w:szCs w:val="20"/>
        </w:rPr>
        <w:t xml:space="preserve"> </w:t>
      </w:r>
      <w:proofErr w:type="spellStart"/>
      <w:r w:rsidRPr="00973FEA">
        <w:rPr>
          <w:rFonts w:cstheme="minorHAnsi"/>
          <w:sz w:val="20"/>
          <w:szCs w:val="20"/>
        </w:rPr>
        <w:t>بقوم</w:t>
      </w:r>
      <w:proofErr w:type="spellEnd"/>
      <w:r w:rsidRPr="00973FEA">
        <w:rPr>
          <w:rFonts w:cstheme="minorHAnsi"/>
          <w:sz w:val="20"/>
          <w:szCs w:val="20"/>
        </w:rPr>
        <w:t xml:space="preserve"> </w:t>
      </w:r>
      <w:proofErr w:type="spellStart"/>
      <w:r w:rsidRPr="00973FEA">
        <w:rPr>
          <w:rFonts w:cstheme="minorHAnsi"/>
          <w:sz w:val="20"/>
          <w:szCs w:val="20"/>
        </w:rPr>
        <w:t>فهو</w:t>
      </w:r>
      <w:proofErr w:type="spellEnd"/>
      <w:r w:rsidRPr="00973FEA">
        <w:rPr>
          <w:rFonts w:cstheme="minorHAnsi"/>
          <w:sz w:val="20"/>
          <w:szCs w:val="20"/>
        </w:rPr>
        <w:t xml:space="preserve"> </w:t>
      </w:r>
      <w:proofErr w:type="spellStart"/>
      <w:r w:rsidRPr="00973FEA">
        <w:rPr>
          <w:rFonts w:cstheme="minorHAnsi"/>
          <w:sz w:val="20"/>
          <w:szCs w:val="20"/>
        </w:rPr>
        <w:t>منهم</w:t>
      </w:r>
      <w:proofErr w:type="spellEnd"/>
      <w:r w:rsidRPr="00973FEA">
        <w:rPr>
          <w:rFonts w:cstheme="minorHAnsi"/>
          <w:sz w:val="20"/>
          <w:szCs w:val="20"/>
        </w:rPr>
        <w:t xml:space="preserve"> </w:t>
      </w:r>
    </w:p>
    <w:p w14:paraId="411FBAC3"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rPr>
        <w:t xml:space="preserve">‘Whoever imitates any people is one of them’ [Hadith; Abu Dawood: 4031; Ahmad; 5114]. </w:t>
      </w:r>
    </w:p>
    <w:p w14:paraId="794CA6D9"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rPr>
        <w:t>In this context, "</w:t>
      </w:r>
      <w:r w:rsidRPr="00973FEA">
        <w:rPr>
          <w:rFonts w:cstheme="minorHAnsi"/>
          <w:sz w:val="20"/>
          <w:szCs w:val="20"/>
          <w:u w:val="single"/>
        </w:rPr>
        <w:t>any</w:t>
      </w:r>
      <w:r w:rsidRPr="00973FEA">
        <w:rPr>
          <w:rFonts w:cstheme="minorHAnsi"/>
          <w:sz w:val="20"/>
          <w:szCs w:val="20"/>
        </w:rPr>
        <w:t xml:space="preserve"> people" pertains to those who follow a particular religious belief. This principle </w:t>
      </w:r>
      <w:r w:rsidRPr="00973FEA">
        <w:rPr>
          <w:rFonts w:cstheme="minorHAnsi"/>
          <w:sz w:val="20"/>
          <w:szCs w:val="20"/>
          <w:u w:val="single"/>
        </w:rPr>
        <w:t>emphasizes</w:t>
      </w:r>
      <w:r w:rsidRPr="00973FEA">
        <w:rPr>
          <w:rFonts w:cstheme="minorHAnsi"/>
          <w:sz w:val="20"/>
          <w:szCs w:val="20"/>
        </w:rPr>
        <w:t xml:space="preserve"> the importance of maintaining distinctive Islamic architectural elements and avoiding the replication of features associated with other religious traditions. </w:t>
      </w:r>
    </w:p>
    <w:p w14:paraId="0CA9D523"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rPr>
        <w:t xml:space="preserve">Observed in this study are two practical paradigms in the creation of buildings with Islamic architectural character. The first involves incorporating Islamic features based on geometrical patterns and </w:t>
      </w:r>
      <w:r w:rsidRPr="00973FEA">
        <w:rPr>
          <w:rFonts w:cstheme="minorHAnsi"/>
          <w:sz w:val="20"/>
          <w:szCs w:val="20"/>
          <w:u w:val="single"/>
        </w:rPr>
        <w:t>arabesque</w:t>
      </w:r>
      <w:r w:rsidRPr="00973FEA">
        <w:rPr>
          <w:rFonts w:cstheme="minorHAnsi"/>
          <w:sz w:val="20"/>
          <w:szCs w:val="20"/>
        </w:rPr>
        <w:t xml:space="preserve"> elements </w:t>
      </w:r>
      <w:r w:rsidRPr="00973FEA">
        <w:rPr>
          <w:rFonts w:cstheme="minorHAnsi"/>
          <w:sz w:val="20"/>
          <w:szCs w:val="20"/>
        </w:rPr>
        <w:fldChar w:fldCharType="begin"/>
      </w:r>
      <w:r w:rsidRPr="00973FEA">
        <w:rPr>
          <w:rFonts w:cstheme="minorHAnsi"/>
          <w:sz w:val="20"/>
          <w:szCs w:val="20"/>
        </w:rPr>
        <w:instrText xml:space="preserve"> ADDIN ZOTERO_ITEM CSL_CITATION {"citationID":"6ipdizDs","properties":{"formattedCitation":"[55]","plainCitation":"[55]","noteIndex":0},"citationItems":[{"id":3783,"uris":["http://zotero.org/users/local/Rj7jaPwM/items/I8XC8UUZ"],"itemData":{"id":3783,"type":"book","call-number":"DS36.85 .A39 1986","event-place":"New York : London","ISBN":"978-0-02-910190-2","number-of-pages":"512","publisher":"Macmillan ; Collier Macmillan","publisher-place":"New York : London","source":"Library of Congress ISBN","title":"Cultural atlas of Islam","author":[{"family":"Al-Faruqi","given":"Ismaʼil R."},{"family":"Al Faruqi","given":"Lois Ibsen"}],"issued":{"date-parts":[["1986"]]}}}],"schema":"https://github.com/citation-style-language/schema/raw/master/csl-citation.json"}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[55]</w:t>
      </w:r>
      <w:r w:rsidRPr="00973FEA">
        <w:rPr>
          <w:rFonts w:cstheme="minorHAnsi"/>
          <w:sz w:val="20"/>
          <w:szCs w:val="20"/>
        </w:rPr>
        <w:fldChar w:fldCharType="end"/>
      </w:r>
      <w:r w:rsidRPr="00973FEA">
        <w:rPr>
          <w:rFonts w:cstheme="minorHAnsi"/>
          <w:sz w:val="20"/>
          <w:szCs w:val="20"/>
        </w:rPr>
        <w:t xml:space="preserve">, which depart from the aesthetic expression of faith </w:t>
      </w:r>
      <w:r w:rsidRPr="00973FEA">
        <w:rPr>
          <w:rFonts w:cstheme="minorHAnsi"/>
          <w:sz w:val="20"/>
          <w:szCs w:val="20"/>
        </w:rPr>
        <w:fldChar w:fldCharType="begin"/>
      </w:r>
      <w:r w:rsidRPr="00973FEA">
        <w:rPr>
          <w:rFonts w:cstheme="minorHAnsi"/>
          <w:sz w:val="20"/>
          <w:szCs w:val="20"/>
        </w:rPr>
        <w:instrText xml:space="preserve"> ADDIN ZOTERO_ITEM CSL_CITATION {"citationID":"iZtHgGXU","properties":{"formattedCitation":"[4], [56]","plainCitation":"[4], [56]","noteIndex":0},"citationItems":[{"id":3676,"uris":["http://zotero.org/users/local/Rj7jaPwM/items/DFTFY3SL"],"itemData":{"id":3676,"type":"article-journal","container-title":"The Journal of Aesthetics and Art Criticism","issue":"1,","language":"en","page":"69-75","source":"Zotero","title":"Islamic Aesthetics: An Alternative Way to Knowledge","volume":"65","author":[{"family":"Erzen","given":"Jale Nejdet"}],"issued":{"date-parts":[["2007"]]}}},{"id":4229,"uris":["http://zotero.org/users/local/Rj7jaPwM/items/9GZFNKPS"],"itemData":{"id":4229,"type":"article-journal","abstract":"This paper re-examines the claim of unity and universality of Islamic art, whose discussion usually disregards Islamic art and architecture in the Southeast Asian context. The question raised is where Islamic art in the Malay world should be put before the claim of the unity and universality of Islamic art and whether this claim is, thus, still valid. To meet this objective, the two heritages of Javanese Islamic art, Demak and Cirebon mosques and wayang, are presented and analyzed before such universal claim and pre-Islamic Javanese art. These Javanese expressions have unique features compared to those from the older Muslim world. The mosques lack geometric ornamentation and Qur’anic calligraphic decoration, and are rich with symbolism. However, both the mosques and wayang also clearly express the figurative designs. Thus, this paper argues that instead of geometric designs as the unified character of Islamic art as some argue, it should be the abstraction of motifs. This way, the universal claim of Islamic art accommodates the artistic expressions from the wider regions, including those from Southeast Asia. Besides the abstraction, these Javanese artistic expressions also shares other universal character of traditional development of Islamic art; its ability to always considering the local tradition while maintaining the basic principle of Islamic art. Javanese Islamic art is both Islamic and uniquely Javanese. In the midst of globalization and the contemporary tendency towards “Islamic authentication” by importing culture and tradition from the Middle East, including the mosque architecture, the latter character is vital. It tells that any direct import and implantation of other or foreign traditions to a certain region without any process of considering the local tradition and context has no basis and legitimation in Islamic artistic tradition.","container-title":"Sunan Kalijaga: International Journal of Islamic Civilization","DOI":"10.14421/skijic.v1i2.1364","ISSN":"2614-7262, 2614-5472","issue":"2","journalAbbreviation":"SKIJIC","language":"en","page":"171","source":"DOI.org (Crossref)","title":"Southeast Asian Islamic Art and Architecture: Re-Examining The Claim of the Unity and Universality of Islamic Art","title-short":"Southeast Asian Islamic Art and Architecture","volume":"1","author":[{"family":"Fina","given":"Lien Iffah Naf’atu"}],"issued":{"date-parts":[["2018",11,30]]}}}],"schema":"https://github.com/citation-style-language/schema/raw/master/csl-citation.json"}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[4], [56]</w:t>
      </w:r>
      <w:r w:rsidRPr="00973FEA">
        <w:rPr>
          <w:rFonts w:cstheme="minorHAnsi"/>
          <w:sz w:val="20"/>
          <w:szCs w:val="20"/>
        </w:rPr>
        <w:fldChar w:fldCharType="end"/>
      </w:r>
      <w:r w:rsidRPr="00973FEA">
        <w:rPr>
          <w:rFonts w:cstheme="minorHAnsi"/>
          <w:sz w:val="20"/>
          <w:szCs w:val="20"/>
        </w:rPr>
        <w:t xml:space="preserve">, while the second revolves around utilizing Islamic </w:t>
      </w:r>
      <w:r w:rsidRPr="00973FEA">
        <w:rPr>
          <w:rFonts w:cstheme="minorHAnsi"/>
          <w:sz w:val="20"/>
          <w:szCs w:val="20"/>
          <w:u w:val="single"/>
        </w:rPr>
        <w:t>symbols</w:t>
      </w:r>
      <w:r w:rsidRPr="00973FEA">
        <w:rPr>
          <w:rFonts w:cstheme="minorHAnsi"/>
          <w:sz w:val="20"/>
          <w:szCs w:val="20"/>
        </w:rPr>
        <w:t xml:space="preserve"> drawn from contextual elements and the Quran </w:t>
      </w:r>
      <w:r w:rsidRPr="00973FEA">
        <w:rPr>
          <w:rFonts w:cstheme="minorHAnsi"/>
          <w:sz w:val="20"/>
          <w:szCs w:val="20"/>
        </w:rPr>
        <w:fldChar w:fldCharType="begin"/>
      </w:r>
      <w:r w:rsidRPr="00973FEA">
        <w:rPr>
          <w:rFonts w:cstheme="minorHAnsi"/>
          <w:sz w:val="20"/>
          <w:szCs w:val="20"/>
        </w:rPr>
        <w:instrText xml:space="preserve"> ADDIN ZOTERO_ITEM CSL_CITATION {"citationID":"fVdTTCZi","properties":{"formattedCitation":"[53], [57], [58], [59], [60], [61], [62]","plainCitation":"[53], [57], [58], [59], [60], [61], [62]","noteIndex":0},"citationItems":[{"id":4208,"uris":["http://zotero.org/users/local/Rj7jaPwM/items/I2CDRQCS"],"itemData":{"id":4208,"type":"article-journal","abstract":"Javanese Islamic architecture appears to be highly influenced by previous cultures, even though Islam has brought a new civilisation since the 13th century in Indonesia. The classical mosques and houses seem to follow Javanese and Hindu-Buddhist principles in their buildings, elements and spatial arrangements. This paper examines how the Javanese adapted their architecture to meet Islamic values w hile preserving their previous traditions. The concept of architectural synchronisation in Javanese architecture is examined from the traces observed in the temple dioramas, depictions of contemporary cultural products, and several traditional buildings. The adoptions and adaptations that appear in some significant objects such as old mosques and houses are traced back to previous transformation principles. Architectural harmonisation for new needs seemingly bases on religion as the most potent driving aspect. However, what is interesting is that in the case of Java, embracing a new religion does not mean forgetting existing traditions. On the other hand, the principle of acculturation has created a peaceful transition in architecture. Some evidence suggests that Javanese high culture, such as the classical grand mosque and the joglo house, succeeded in translating Javanese and Hindu-Buddhist ideas into Islamic architecture in very distinctive ways.","container-title":"JOURNAL OF ARCHITECTURE AND URBANISM","DOI":"10.3846/jau.2021.13709","ISSN":"2029-7955, 2029-7947","issue":"1","language":"en","page":"9-18","source":"DOI.org (Crossref)","title":"JAVANESE ISLAMIC ARCHITECTURE: ADOPTION AND ADAPTATION OF JAVANESE AND HINDU-BUDDHIST CULTURES IN INDONESIA","title-short":"JAVANESE ISLAMIC ARCHITECTURE","volume":"45","author":[{"family":"Idham","given":"Noor Cholis"}],"issued":{"date-parts":[["2021",2,1]]}}},{"id":4222,"uris":["http://zotero.org/users/local/Rj7jaPwM/items/Y8X6MU7C"],"itemData":{"id":4222,"type":"paper-conference","abstract":"Architecture is an environmental product from the expression of values adopted by society. These values are passed down over time to become a culture eventually. The culture of a region is a result of interaction and acculturation that occur in a society. Through the design process, architecture analyzes the behaviors of the local community and its environmental conditions. In the globalization era, architectural representation becomes homogeneous. Therefore, to prevent local architecture from deteriorating, it becomes necessary to consider local architecture for developing campus design. This research aims to transform local architecture identity through design development in the context of campus design. Architectural expressions were analyzed to illustrate local culture as a descriptive effort. The observation was performed using an interview and observation guide sheet. A three-dimensional matrix was constructed to be an example of the design transformation process. The final result of this research is a transformation guideline for practitioners in achieving a cultural identity-based design.","container-title":"Proceedings of the 6th UPI International Conference on TVET 2020 (TVET 2020)","DOI":"10.2991/assehr.k.210203.089","event-place":"Bandung, Indonesia","event-title":"6th UPI International Conference on TVET 2020 (TVET 2020)","ISBN":"978-94-6239-328-8","language":"en","publisher":"Atlantis Press","publisher-place":"Bandung, Indonesia","source":"DOI.org (Crossref)","title":"Cultural Expression of Local Architecture for Developing Educational Campus Design:","title-short":"Cultural Expression of Local Architecture for Developing Educational Campus Design","URL":"https://www.atlantis-press.com/article/125952260","author":[{"family":"Huzaifa","given":"Riska Amelia"},{"family":"Barliana","given":"Mokhamad Syaom"},{"family":"Mardiana","given":"Riskha"}],"accessed":{"date-parts":[["2024",2,9]]},"issued":{"date-parts":[["2021"]]}}},{"id":4223,"uris":["http://zotero.org/users/local/Rj7jaPwM/items/AWB4ZG5H"],"itemData":{"id":4223,"type":"article-journal","abstract":"Plosokuning Mosque is the mosque with the most authenticity preserved compared to the other four Pathok Negoro mosques. Therefore, the disclosure of the symbolic value of the architectural aesthetic of the Plosokuning Mosque is a representation of environmental conservation efforts and historical buildings in Indonesia. The research method used was hermeneutics-philosophical with methodical elements: induction-deduction, internal coherence, holistic, historical balance, and heuristics. The methodical elements examined the architecture aesthetical meaning and the symbols attached to Plosokuning Mosque; in line with it, internal relations was searched and discovered, not isolated from the environment and its historical continuity, and then compiled findings about symbolism in the aesthetics of the mosque's architecture. The results showed that symbolism in the architectural aesthetics of the Plosokuning Mosque is an expression of the concept of Javanese cosmology and Javanese Islamic mysticism (Kejawen). In Javanese cosmology, humans are described as a microcosm (jagad cilik), the universe as a macrocosm (jagad gedhe), and the palace as the center of the cosmos. Kejawen is a complex of Javanese Islamic beliefs mixed with previous teachings, particularly Hindu and Buddhist teachings; The Plosokuning Mosque has elements that are integrated together as a symbol of the means for human contemplation towards insan kamil (perfect human). Thus, the top position of human being is makrifatullah (knowing Allah). It can be concluded that the aesthetic architectural related to the religion matter.","container-title":"Research, Society and Development","DOI":"10.33448/rsd-v9i11.10058","ISSN":"2525-3409","issue":"11","journalAbbreviation":"RSD","language":"en","page":"e41491110058","source":"DOI.org (Crossref)","title":"Symbolism in the aesthetics architectural of Plosokuning mosque Yogyakarta","volume":"9","author":[{"family":"Fauzi","given":"Fahrur"},{"family":"Munir","given":"Misnal"},{"family":"Mustansyir","given":"Rizal"}],"issued":{"date-parts":[["2020",11,19]]}}},{"id":4225,"uris":["http://zotero.org/users/local/Rj7jaPwM/items/DXEZUWGG"],"itemData":{"id":4225,"type":"article-journal","abstract":"This research investigates the reception of the Qur’ān within the realm of mosque architecture, traditionally assessed through the study of text integrated into mosque ornamentation. This article introduces a reception studies to Walisanga mosques architecture, encompassing considerations of spatial design, essence, illumination, and interior ambiance. Notably, this study diverges from conventional methods by abstaining from the inclusion of Qur’anic or hadith text. The primary objectives of this article are twofold: a) to elucidate the relationship between the architecture of traditional Indonesian mosques and the Qur’an and Hadith, and b) to unveil how architectural elements within traditional mosques visually interpret QS. 24:35 and the Hadith of Gabriel. In order to achieve a comprehensive analysis, this study employs both semantic and hermeneutic methodologies. The semantic approach is applied to dissect the atomistic structure of QS. 24:35 and the Hadith of Gabriel, with the intent of identifying foundational components that underpin the concept of tajug tumpang in traditional Indonesian mosque architecture. Subsequently, a hermeneutic approach is adopted to explore the interconnection between the verse QS. 24:35, the Hadith of Gabriel, and their architectural manifestations within the context of traditional Indonesian mosque construction.The result of the analysis culminates in the identification of two primary forms of architectural reception of QS. 24:35 and the Hadith of Gabriel within traditional Indonesian mosques. Firstly, instances wherein the textual meanings are directly translatable are actualized through elements such as light, lanterns, trees, and niches, all tailored to the Indonesian cultural milieu. Secondly, fundamental concepts derived from the Qur’an and Hadith, which resist tangible representation, are reinterpreted and incorporated into facets of spatial arrangement, lighting schemes, colour selections, ornamental details, and the harmonization of additional components, all resonating harmoniously with the Indonesian cultural identity.","issue":"2","language":"en","source":"Zotero","title":"Architectural Interpretations of Qur’anic and Hadith Influences in Traditional Indonesian Mosques During the Walisanga Era","author":[{"family":"Fikriyati","given":"Ulya"}],"issued":{"date-parts":[["2023"]]}}},{"id":4228,"uris":["http://zotero.org/users/local/Rj7jaPwM/items/B4Q8DS63"],"itemData":{"id":4228,"type":"paper-conference","abstract":"There are two main approaches to understanding Islamic Design and Architecture. First, an approach that emphasizes the object as a product of thought. Second, the approach by looking at Islamic ideas, values, and principles through religious sources and not speaking within the framework of objects. In the second approach, the values and principles of Islam expressed through the composition of forms and spaces in buildings. This study aims to find patterns and variations in the implementation of Islamic values and principles in the exterior and interior of buildings, especially mosque building. Case studies are several Wali mosques in Indonesia. Data obtained from physical observations, interviews, and visual documentation. The analysis conducted with an interpretive method that describes the physical characteristics and meanings of some study objects in-depth. This paper can conclude that Islamic expressions those related to the value of transcendence or the remembrance of monotheism can be found in Wali mosque and mausoleum. The results of this study are expected to be used as input for further studies on the search for 'forms' in Islamic design and architecture, especially the form of mosques in Indonesia.","container-title":"Proceedings of the Proceedings of the 1st Conference of Visual Art, Design, and Social Humanities by Faculty of Art and Design, CONVASH 2019,  2 November 2019, Surakarta, Central Java, Indonesia","DOI":"10.4108/eai.2-11-2019.2294889","event-place":"Surakarta, Indonesia","event-title":"Proceedings of the 1st Conference of Visual Art, Design, and Social Humanities by Faculty of Art and Design, CONVASH 2019,  2 November 2019, Surakarta, Central Java, Indonesia","ISBN":"978-1-63190-264-2","language":"en","publisher":"EAI","publisher-place":"Surakarta, Indonesia","source":"DOI.org (Crossref)","title":"Islamic Expression of Wali Mosque Interior and Architecture in Indonesia","URL":"http://eudl.eu/doi/10.4108/eai.2-11-2019.2294889","author":[{"family":"Budiono","given":"Budiono"},{"family":"Rachmawati","given":"Murni"},{"family":"Darjosanjoto","given":"Endang"},{"family":"Faqih","given":"Muhammad"}],"accessed":{"date-parts":[["2024",2,9]]},"issued":{"date-parts":[["2020"]]}}},{"id":4230,"uris":["http://zotero.org/users/local/Rj7jaPwM/items/5ZWK926E"],"itemData":{"id":4230,"type":"article-journal","abstract":"The island of Lombok in Central Indonesia is native to Muslim Sasak ethnicity, but before 1400 there was still animism with a natural object-oriented housing environment as a symbol of ‘the mother of all places’. After becoming Islam, it was adapted as ‘the mother of waiting space’ with a symbol of mosque architecture. The architecture of the mosque reflects the social, cultural and economic aspects of the people of Lombok. The large number of mosques shows that Islam is dominant in the lives of Sasak people. Its architecture in the early roofs was tile-roofed like a house, changed into a dome to show the identity of Islamic architecture. Intersubjectively the dome is accepted because it matches the shape of the food hood in Sasak culture. Many mosques adapt to high domes and towers, prominently in modest residential environments. This research is to understand the transformation that makes the number of mosques very large in Lombok. Using descriptive-analyticalqualitative methods based on environmental culture analyzes the symbolic meaning of mosque architecture in the Social, Economic and Sasak Cultural contexts.","container-title":"International Journal of Architecture, Arts and Applications","DOI":"10.11648/j.ijaaa.20190503.11","ISSN":"2472-1107","issue":"3","journalAbbreviation":"IJAAA","language":"en","page":"64","source":"DOI.org (Crossref)","title":"The Symbolic Meaning of Mosque Architecture as Adaptation to the Residential Environment, in the Social, Economic and Cultural Contexts in Lombok","volume":"5","author":[{"family":"Hidjaz","given":"Taufan"},{"family":"Soewarno","given":"Nurtati"},{"family":"Fitriany","given":"Detty"}],"issued":{"date-parts":[["2019"]]}}},{"id":4231,"uris":["http://zotero.org/users/local/Rj7jaPwM/items/QG62JK8N"],"itemData":{"id":4231,"type":"article-journal","abstract":"I slamic modernism appeared as a reformation movement based on two main ideas: purifying norms by rejecting deviation from religious practices, and adopting new ways of thinking to adapt to the modern world. In Indonesia the movement had an important role in the development of modern Islamic organizations and Islamic intellectuals. This movement had a special representative in the architecture of Achmad Noeman. Noeman is a modernist Muslim, and also a modernist architect; his architecture reﬂected modernism in Islam and in architecture. His designs inﬂuenced later Indonesian architects to interpret Islam rationally, critically, and creatively in endorsing Islamic building design. Noeman’s work received some criticisms, such as the neglect of the local context, but this corollates with criticism about modernism at large. The architecture of Achmad Noeman became the best example for the representation of Indonesian Islamic modernism. Through his architecture and designs, we can explore narratives about social movement within the paradigm of Islamic civilization.","container-title":"Nakhara: Journal of Environmental Design and Planning","language":"en","page":"113-126","source":"Zotero","title":"Architectural Representation of Islamic Modernism in Indonesia","volume":"7","author":[{"family":"Ekomadyo","given":"Agus S"}],"issued":{"date-parts":[["2011"]]}}}],"schema":"https://github.com/citation-style-language/schema/raw/master/csl-citation.json"}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[53], [57], [58], [59], [60], [61], [62]</w:t>
      </w:r>
      <w:r w:rsidRPr="00973FEA">
        <w:rPr>
          <w:rFonts w:cstheme="minorHAnsi"/>
          <w:sz w:val="20"/>
          <w:szCs w:val="20"/>
        </w:rPr>
        <w:fldChar w:fldCharType="end"/>
      </w:r>
      <w:r w:rsidRPr="00973FEA">
        <w:rPr>
          <w:rFonts w:cstheme="minorHAnsi"/>
          <w:sz w:val="20"/>
          <w:szCs w:val="20"/>
        </w:rPr>
        <w:t xml:space="preserve">. </w:t>
      </w:r>
    </w:p>
    <w:p w14:paraId="74E10DF8" w14:textId="6A624E65" w:rsidR="00973FEA" w:rsidRDefault="00973FEA" w:rsidP="00973FEA">
      <w:pPr>
        <w:ind w:left="284" w:firstLine="283"/>
        <w:jc w:val="both"/>
        <w:rPr>
          <w:rFonts w:cstheme="minorHAnsi"/>
          <w:sz w:val="20"/>
          <w:szCs w:val="20"/>
        </w:rPr>
      </w:pPr>
      <w:r w:rsidRPr="00973FEA">
        <w:rPr>
          <w:rFonts w:cstheme="minorHAnsi"/>
          <w:sz w:val="20"/>
          <w:szCs w:val="20"/>
        </w:rPr>
        <w:t xml:space="preserve">The first practical paradigm of Islamic architecture, often found in </w:t>
      </w:r>
      <w:r w:rsidRPr="00973FEA">
        <w:rPr>
          <w:rFonts w:cstheme="minorHAnsi"/>
          <w:sz w:val="20"/>
          <w:szCs w:val="20"/>
          <w:u w:val="single"/>
        </w:rPr>
        <w:t>Islamic heritage</w:t>
      </w:r>
      <w:r w:rsidRPr="00973FEA">
        <w:rPr>
          <w:rFonts w:cstheme="minorHAnsi"/>
          <w:sz w:val="20"/>
          <w:szCs w:val="20"/>
        </w:rPr>
        <w:t xml:space="preserve"> architecture, continues to be widely utilized today. This approach, as elucidated by Al-Faruqi </w:t>
      </w:r>
      <w:r w:rsidRPr="00973FEA">
        <w:rPr>
          <w:rFonts w:cstheme="minorHAnsi"/>
          <w:sz w:val="20"/>
          <w:szCs w:val="20"/>
        </w:rPr>
        <w:fldChar w:fldCharType="begin"/>
      </w:r>
      <w:r w:rsidRPr="00973FEA">
        <w:rPr>
          <w:rFonts w:cstheme="minorHAnsi"/>
          <w:sz w:val="20"/>
          <w:szCs w:val="20"/>
        </w:rPr>
        <w:instrText xml:space="preserve"> ADDIN ZOTERO_ITEM CSL_CITATION {"citationID":"QlOpEXK3","properties":{"formattedCitation":"[55]","plainCitation":"[55]","noteIndex":0},"citationItems":[{"id":3783,"uris":["http://zotero.org/users/local/Rj7jaPwM/items/I8XC8UUZ"],"itemData":{"id":3783,"type":"book","call-number":"DS36.85 .A39 1986","event-place":"New York : London","ISBN":"978-0-02-910190-2","number-of-pages":"512","publisher":"Macmillan ; Collier Macmillan","publisher-place":"New York : London","source":"Library of Congress ISBN","title":"Cultural atlas of Islam","author":[{"family":"Al-Faruqi","given":"Ismaʼil R."},{"family":"Al Faruqi","given":"Lois Ibsen"}],"issued":{"date-parts":[["1986"]]}}}],"schema":"https://github.com/citation-style-language/schema/raw/master/csl-citation.json"}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[55]</w:t>
      </w:r>
      <w:r w:rsidRPr="00973FEA">
        <w:rPr>
          <w:rFonts w:cstheme="minorHAnsi"/>
          <w:sz w:val="20"/>
          <w:szCs w:val="20"/>
        </w:rPr>
        <w:fldChar w:fldCharType="end"/>
      </w:r>
      <w:r w:rsidRPr="00973FEA">
        <w:rPr>
          <w:rFonts w:cstheme="minorHAnsi"/>
          <w:sz w:val="20"/>
          <w:szCs w:val="20"/>
        </w:rPr>
        <w:t xml:space="preserve">, encompasses the detailed elements of Islamic architecture rooted in core characteristics that are consistent and relevant across various forms of Islamic arts. </w:t>
      </w:r>
      <w:r w:rsidRPr="00973FEA">
        <w:rPr>
          <w:rFonts w:cstheme="minorHAnsi"/>
          <w:sz w:val="20"/>
          <w:szCs w:val="20"/>
          <w:u w:val="single"/>
        </w:rPr>
        <w:t>These also include</w:t>
      </w:r>
      <w:r w:rsidRPr="00973FEA">
        <w:rPr>
          <w:rFonts w:cstheme="minorHAnsi"/>
          <w:sz w:val="20"/>
          <w:szCs w:val="20"/>
        </w:rPr>
        <w:t xml:space="preserve"> the aesthetic treatment of space, incorporating diverse relationships between buildings </w:t>
      </w:r>
      <w:r w:rsidRPr="00973FEA">
        <w:rPr>
          <w:rFonts w:cstheme="minorHAnsi"/>
          <w:sz w:val="20"/>
          <w:szCs w:val="20"/>
        </w:rPr>
        <w:fldChar w:fldCharType="begin"/>
      </w:r>
      <w:r w:rsidRPr="00973FEA">
        <w:rPr>
          <w:rFonts w:cstheme="minorHAnsi"/>
          <w:sz w:val="20"/>
          <w:szCs w:val="20"/>
        </w:rPr>
        <w:instrText xml:space="preserve"> ADDIN ZOTERO_ITEM CSL_CITATION {"citationID":"lCTQmcuW","properties":{"formattedCitation":"[55], [63]","plainCitation":"[55], [63]","noteIndex":0},"citationItems":[{"id":3783,"uris":["http://zotero.org/users/local/Rj7jaPwM/items/I8XC8UUZ"],"itemData":{"id":3783,"type":"book","call-number":"DS36.85 .A39 1986","event-place":"New York : London","ISBN":"978-0-02-910190-2","number-of-pages":"512","publisher":"Macmillan ; Collier Macmillan","publisher-place":"New York : London","source":"Library of Congress ISBN","title":"Cultural atlas of Islam","author":[{"family":"Al-Faruqi","given":"Ismaʼil R."},{"family":"Al Faruqi","given":"Lois Ibsen"}],"issued":{"date-parts":[["1986"]]}}},{"id":3687,"uris":["http://zotero.org/users/local/Rj7jaPwM/items/BTAYQ628"],"itemData":{"id":3687,"type":"article-journal","language":"en","source":"Zotero","title":"SPACE IN AN ISLAMIC CITY: SOME URBAN DESIGN PATTERNS","author":[{"family":"AlSayyad","given":"Nezar"}],"issued":{"date-parts":[["2020"]]}}}],"schema":"https://github.com/citation-style-language/schema/raw/master/csl-citation.json"}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[55], [63]</w:t>
      </w:r>
      <w:r w:rsidRPr="00973FEA">
        <w:rPr>
          <w:rFonts w:cstheme="minorHAnsi"/>
          <w:sz w:val="20"/>
          <w:szCs w:val="20"/>
        </w:rPr>
        <w:fldChar w:fldCharType="end"/>
      </w:r>
      <w:r w:rsidRPr="00973FEA">
        <w:rPr>
          <w:rFonts w:cstheme="minorHAnsi"/>
          <w:sz w:val="20"/>
          <w:szCs w:val="20"/>
        </w:rPr>
        <w:t xml:space="preserve">. This enduring paradigm emphasizes a timeless connection to Islamic principles, maintaining a cohesive and harmonious expression in architectural design. Notable practices are </w:t>
      </w:r>
      <w:r w:rsidRPr="00973FEA">
        <w:rPr>
          <w:rFonts w:cstheme="minorHAnsi"/>
          <w:sz w:val="20"/>
          <w:szCs w:val="20"/>
        </w:rPr>
        <w:fldChar w:fldCharType="begin"/>
      </w:r>
      <w:r w:rsidRPr="00973FEA">
        <w:rPr>
          <w:rFonts w:cstheme="minorHAnsi"/>
          <w:sz w:val="20"/>
          <w:szCs w:val="20"/>
        </w:rPr>
        <w:instrText xml:space="preserve"> ADDIN ZOTERO_ITEM CSL_CITATION {"citationID":"8PkdfGky","properties":{"formattedCitation":"[55]","plainCitation":"[55]","noteIndex":0},"citationItems":[{"id":3783,"uris":["http://zotero.org/users/local/Rj7jaPwM/items/I8XC8UUZ"],"itemData":{"id":3783,"type":"book","call-number":"DS36.85 .A39 1986","event-place":"New York : London","ISBN":"978-0-02-910190-2","number-of-pages":"512","publisher":"Macmillan ; Collier Macmillan","publisher-place":"New York : London","source":"Library of Congress ISBN","title":"Cultural atlas of Islam","author":[{"family":"Al-Faruqi","given":"Ismaʼil R."},{"family":"Al Faruqi","given":"Lois Ibsen"}],"issued":{"date-parts":[["1986"]]}}}],"schema":"https://github.com/citation-style-language/schema/raw/master/csl-citation.json"}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[55]</w:t>
      </w:r>
      <w:r w:rsidRPr="00973FEA">
        <w:rPr>
          <w:rFonts w:cstheme="minorHAnsi"/>
          <w:sz w:val="20"/>
          <w:szCs w:val="20"/>
        </w:rPr>
        <w:fldChar w:fldCharType="end"/>
      </w:r>
      <w:r w:rsidRPr="00973FEA">
        <w:rPr>
          <w:rFonts w:cstheme="minorHAnsi"/>
          <w:sz w:val="20"/>
          <w:szCs w:val="20"/>
        </w:rPr>
        <w:t>:</w:t>
      </w:r>
    </w:p>
    <w:p w14:paraId="2F818651" w14:textId="77777777" w:rsidR="00973FEA" w:rsidRPr="006D42DD" w:rsidRDefault="00973FEA" w:rsidP="00973FEA">
      <w:pPr>
        <w:numPr>
          <w:ilvl w:val="0"/>
          <w:numId w:val="15"/>
        </w:numPr>
        <w:ind w:left="567" w:hanging="284"/>
        <w:jc w:val="both"/>
        <w:rPr>
          <w:rFonts w:cs="Calibri Light"/>
          <w:sz w:val="16"/>
          <w:szCs w:val="16"/>
        </w:rPr>
      </w:pPr>
      <w:r>
        <w:rPr>
          <w:rFonts w:cs="Calibri Light"/>
          <w:sz w:val="20"/>
          <w:szCs w:val="20"/>
        </w:rPr>
        <w:t>Abstraction - S</w:t>
      </w:r>
      <w:r w:rsidRPr="006D42DD">
        <w:rPr>
          <w:rFonts w:cs="Calibri Light"/>
          <w:sz w:val="20"/>
          <w:szCs w:val="20"/>
        </w:rPr>
        <w:t>pecial methods and techniques are developed a</w:t>
      </w:r>
      <w:r>
        <w:rPr>
          <w:rFonts w:cs="Calibri Light"/>
          <w:sz w:val="20"/>
          <w:szCs w:val="20"/>
        </w:rPr>
        <w:t xml:space="preserve">nd used to emphasize and </w:t>
      </w:r>
      <w:proofErr w:type="spellStart"/>
      <w:r w:rsidRPr="00A8018A">
        <w:rPr>
          <w:rFonts w:cs="Calibri Light"/>
          <w:sz w:val="20"/>
          <w:szCs w:val="20"/>
        </w:rPr>
        <w:t>fulfi</w:t>
      </w:r>
      <w:r>
        <w:rPr>
          <w:rFonts w:cs="Calibri Light"/>
          <w:sz w:val="20"/>
          <w:szCs w:val="20"/>
        </w:rPr>
        <w:t>l</w:t>
      </w:r>
      <w:r w:rsidRPr="00A8018A">
        <w:rPr>
          <w:rFonts w:cs="Calibri Light"/>
          <w:sz w:val="20"/>
          <w:szCs w:val="20"/>
        </w:rPr>
        <w:t>l</w:t>
      </w:r>
      <w:proofErr w:type="spellEnd"/>
      <w:r w:rsidRPr="006D42DD">
        <w:rPr>
          <w:rFonts w:cs="Calibri Light"/>
          <w:sz w:val="20"/>
          <w:szCs w:val="20"/>
        </w:rPr>
        <w:t xml:space="preserve"> the aesthetic goals of Islam </w:t>
      </w:r>
      <w:r w:rsidRPr="006D42DD">
        <w:rPr>
          <w:rFonts w:cs="Calibri Light"/>
          <w:sz w:val="20"/>
          <w:szCs w:val="20"/>
        </w:rPr>
        <w:fldChar w:fldCharType="begin"/>
      </w:r>
      <w:r w:rsidRPr="006D42DD">
        <w:rPr>
          <w:rFonts w:cs="Calibri Light"/>
          <w:sz w:val="20"/>
          <w:szCs w:val="20"/>
        </w:rPr>
        <w:instrText xml:space="preserve"> ADDIN ZOTERO_ITEM CSL_CITATION {"citationID":"MJvKuofd","properties":{"formattedCitation":"[4], [32]","plainCitation":"[4], [32]","noteIndex":0},"citationItems":[{"id":3676,"uris":["http://zotero.org/users/local/Rj7jaPwM/items/DFTFY3SL"],"itemData":{"id":3676,"type":"article-journal","container-title":"The Journal of Aesthetics and Art Criticism","issue":"1,","language":"en","page":"69-75","source":"Zotero","title":"Islamic Aesthetics: An Alternative Way to Knowledge","volume":"65","author":[{"family":"Erzen","given":"Jale Nejdet"}],"issued":{"date-parts":[["2007"]]}}},{"id":3743,"uris":["http://zotero.org/users/local/Rj7jaPwM/items/W9GWIKHU"],"itemData":{"id":3743,"type":"thesis","abstract":"The philosophy of Islamic moderation and abstraction in Islamic architecture\nCase study (Islamic decorative units)","event-place":"Nablus Palestine","genre":"Postgraduate","language":"ara","publisher":"An-Najah National University,","publisher-place":"Nablus Palestine","source":"Zotero","title":"Falsafatu al-Wasaṭiyyati al-Islāmiyyati wa at-Tajrīdi fī al-ʿImarōti al-Islāmiyyati Ḥālatan Dirāsiyyatan (al-Waḥdāt al-Zukhrafiyyati al-Islāmiyyati)","author":[{"family":"Al-Awawda","given":"Hassan Mahmoud Issa"}],"issued":{"date-parts":[["2009"]]}}}],"schema":"https://github.com/citation-style-language/schema/raw/master/csl-citation.json"} </w:instrText>
      </w:r>
      <w:r w:rsidRPr="006D42DD">
        <w:rPr>
          <w:rFonts w:cs="Calibri Light"/>
          <w:sz w:val="20"/>
          <w:szCs w:val="20"/>
        </w:rPr>
        <w:fldChar w:fldCharType="separate"/>
      </w:r>
      <w:r w:rsidRPr="006D42DD">
        <w:rPr>
          <w:rFonts w:cs="Calibri Light"/>
          <w:sz w:val="20"/>
          <w:szCs w:val="24"/>
        </w:rPr>
        <w:t>[4], [32]</w:t>
      </w:r>
      <w:r w:rsidRPr="006D42DD">
        <w:rPr>
          <w:rFonts w:cs="Calibri Light"/>
          <w:sz w:val="20"/>
          <w:szCs w:val="20"/>
        </w:rPr>
        <w:fldChar w:fldCharType="end"/>
      </w:r>
      <w:r w:rsidRPr="006D42DD">
        <w:rPr>
          <w:rFonts w:cs="Calibri Light"/>
          <w:sz w:val="20"/>
          <w:szCs w:val="20"/>
        </w:rPr>
        <w:t xml:space="preserve">, </w:t>
      </w:r>
      <w:r w:rsidRPr="006D42DD">
        <w:rPr>
          <w:rFonts w:cs="Calibri Light"/>
          <w:sz w:val="20"/>
          <w:szCs w:val="20"/>
        </w:rPr>
        <w:fldChar w:fldCharType="begin"/>
      </w:r>
      <w:r w:rsidRPr="006D42DD">
        <w:rPr>
          <w:rFonts w:cs="Calibri Light"/>
          <w:sz w:val="20"/>
          <w:szCs w:val="20"/>
        </w:rPr>
        <w:instrText xml:space="preserve"> ADDIN ZOTERO_ITEM CSL_CITATION {"citationID":"lC1EEnpD","properties":{"formattedCitation":"[55], [64], [65]","plainCitation":"[55], [64], [65]","noteIndex":0},"citationItems":[{"id":3783,"uris":["http://zotero.org/users/local/Rj7jaPwM/items/I8XC8UUZ"],"itemData":{"id":3783,"type":"book","call-number":"DS36.85 .A39 1986","event-place":"New York : London","ISBN":"978-0-02-910190-2","number-of-pages":"512","publisher":"Macmillan ; Collier Macmillan","publisher-place":"New York : London","source":"Library of Congress ISBN","title":"Cultural atlas of Islam","author":[{"family":"Al-Faruqi","given":"Ismaʼil R."},{"family":"Al Faruqi","given":"Lois Ibsen"}],"issued":{"date-parts":[["1986"]]}}},{"id":3797,"uris":["http://zotero.org/users/local/Rj7jaPwM/items/SVT5RK7K"],"itemData":{"id":3797,"type":"article-journal","abstract":"The study sought to establish the functional and aesthetic value of the relationship between sculpture and architecture. The success of an architectural work is dependent on the integration of the architectural work and its sculptural value, which is primarily dependent on the designer's understanding of the role of sculpture in architectural work. Architecture has become a rostrum for the art of relief sculpture, whether on the outside or inside of architectural structures. As a result, relief sculpture contributed to the enrichment of architecture with aesthetic values that combined form and content. The subject of the study is determined by the scarcity of studies on developing the appearance of mosque ornamentation through the use of geometrical abstraction. The research aims to use geometrical abstraction to create designs for use in the decoration of internal and external mosques. The inventive designs were transformed from two-dimensional to sculptural designs three-dimensional for use in the mosque. 23 designs were created using geometrical abstraction and converted into three-dimensional sculptural designs, and 10 designs were applied virtually on the inside and outside of the mosque using computer Programs. One of the most significant findings of the study is that geometrical abstraction can be used to create designs that suit all architectural formations used in architectural decoration inside and outside mosques.","container-title":"International Design Journal","DOI":"10.21608/idj.2022.261006","ISSN":"2090-9640","issue":"5","journalAbbreviation":"International Design Journal","language":"en","page":"291-302","source":"DOI.org (Crossref)","title":"Utilizing Islamic Geometric Abstraction Aesthetics in Creating Designs for Mosque Architectural Decoration","volume":"12","author":[{"family":"Ahmed","given":"Hatem"}],"issued":{"date-parts":[["2022",9,1]]}}},{"id":3798,"uris":["http://zotero.org/users/local/Rj7jaPwM/items/3TJ932Z8"],"itemData":{"id":3798,"type":"article-journal","abstract":"In the long run, these visual elements that will be derived from this study can be used to help researchers seeking to establish a future Islamic visual art education project, which the education curricula in the Arab and Islamic world need in a necessary and urgent way.","container-title":"Advanced Research &amp; Studies Journal","issue":"6","language":"en","source":"Zotero","title":"Abstraction Philosophy and Semantics in Islamic Art","volume":"11","author":[{"family":"Asfour","given":"Mazen Hamdi"},{"family":"Alameri","given":"Jehad"},{"family":"Ismail","given":"Haifa'A Bani"}],"issued":{"date-parts":[["2021"]]}}}],"schema":"https://github.com/citation-style-language/schema/raw/master/csl-citation.json"} </w:instrText>
      </w:r>
      <w:r w:rsidRPr="006D42DD">
        <w:rPr>
          <w:rFonts w:cs="Calibri Light"/>
          <w:sz w:val="20"/>
          <w:szCs w:val="20"/>
        </w:rPr>
        <w:fldChar w:fldCharType="separate"/>
      </w:r>
      <w:r w:rsidRPr="006D42DD">
        <w:rPr>
          <w:rFonts w:cs="Calibri Light"/>
          <w:sz w:val="20"/>
          <w:szCs w:val="24"/>
        </w:rPr>
        <w:t>[55], [64], [65]</w:t>
      </w:r>
      <w:r w:rsidRPr="006D42DD">
        <w:rPr>
          <w:rFonts w:cs="Calibri Light"/>
          <w:sz w:val="20"/>
          <w:szCs w:val="20"/>
        </w:rPr>
        <w:fldChar w:fldCharType="end"/>
      </w:r>
      <w:r w:rsidRPr="006D42DD">
        <w:rPr>
          <w:rFonts w:cs="Calibri Light"/>
          <w:sz w:val="20"/>
          <w:szCs w:val="20"/>
        </w:rPr>
        <w:t xml:space="preserve">. </w:t>
      </w:r>
    </w:p>
    <w:p w14:paraId="170A8BDF" w14:textId="77777777" w:rsidR="00973FEA" w:rsidRPr="006D42DD" w:rsidRDefault="00973FEA" w:rsidP="00973FEA">
      <w:pPr>
        <w:numPr>
          <w:ilvl w:val="0"/>
          <w:numId w:val="15"/>
        </w:numPr>
        <w:ind w:left="567" w:hanging="284"/>
        <w:jc w:val="both"/>
        <w:rPr>
          <w:rFonts w:cs="Calibri Light"/>
          <w:sz w:val="20"/>
          <w:szCs w:val="20"/>
        </w:rPr>
      </w:pPr>
      <w:r>
        <w:rPr>
          <w:rFonts w:cs="Calibri Light"/>
          <w:sz w:val="20"/>
          <w:szCs w:val="20"/>
        </w:rPr>
        <w:t>Unit/Module -</w:t>
      </w:r>
      <w:r w:rsidRPr="006D42DD">
        <w:rPr>
          <w:rFonts w:cs="Calibri Light"/>
          <w:sz w:val="20"/>
          <w:szCs w:val="20"/>
        </w:rPr>
        <w:t xml:space="preserve"> Islamic architecture </w:t>
      </w:r>
      <w:r>
        <w:rPr>
          <w:rFonts w:cs="Calibri Light"/>
          <w:sz w:val="20"/>
          <w:szCs w:val="20"/>
        </w:rPr>
        <w:t>is</w:t>
      </w:r>
      <w:r w:rsidRPr="006D42DD">
        <w:rPr>
          <w:rFonts w:cs="Calibri Light"/>
          <w:sz w:val="20"/>
          <w:szCs w:val="20"/>
        </w:rPr>
        <w:t xml:space="preserve"> often a fusion of courtyard units, with each open unit acting as a central point surrounded by additional rooms. These units are further divided into independent segments, serving various purposes </w:t>
      </w:r>
      <w:r w:rsidRPr="006D42DD">
        <w:rPr>
          <w:rFonts w:cs="Calibri Light"/>
          <w:sz w:val="20"/>
          <w:szCs w:val="20"/>
        </w:rPr>
        <w:fldChar w:fldCharType="begin"/>
      </w:r>
      <w:r w:rsidRPr="006D42DD">
        <w:rPr>
          <w:rFonts w:cs="Calibri Light"/>
          <w:sz w:val="20"/>
          <w:szCs w:val="20"/>
        </w:rPr>
        <w:instrText xml:space="preserve"> ADDIN ZOTERO_ITEM CSL_CITATION {"citationID":"OMSnKdSB","properties":{"formattedCitation":"[66], [67], [68]","plainCitation":"[66], [67], [68]","noteIndex":0},"citationItems":[{"id":3808,"uris":["http://zotero.org/users/local/Rj7jaPwM/items/6PBTZSUG"],"itemData":{"id":3808,"type":"article-journal","abstract":"Islam spread rapidly after its founding, encompassing much of North Africa, the Middle East, and Southeast Asia. The art of this vast region draws its distinctive character both from Islam itself and from the diverse cultural traditions of the world’s Muslims. Because Islam discouraged the use of figurative images, particularly in religious contexts- unlike Christian art- Islamic artists developed a rich vocabulary of aniconic, or nonfigural, ornament that is a hallmark of Islamic work. This vocabulary includes complex geometric patterns and the scrolling vines known outside the Islamic world as arabesques. Figural representation, to the extent it was permitted which varied from time to time and place to place, first developed most prominently in regions with strong pre-Islamic figural traditions, such as those that had been under the control of the Roman and Byzantine empires. Stylized forms for representing animals and plants developed in the regions that had been under the control of the Sassanian dynasty of Persia (modern Iran), the heirs of the artistic traditions of the ancient Near East, who ruled from 226 to 641. Because the Arabian birthplace of Islam had little art, these Persian and Roman Byzantine influences shaped Islamic art in its formative centuries.","issue":"2","language":"en","source":"Zotero","title":"Early Islamic Architecture and Structural Configurations","volume":"3","author":[{"family":"Kaptan","given":"Kubilay"}],"issued":{"date-parts":[["2013"]]}}},{"id":3638,"uris":["http://zotero.org/users/local/Rj7jaPwM/items/SU62B62G"],"itemData":{"id":3638,"type":"article-journal","abstract":"Principles of aBsthetics in Islamic architecture have been achieved through the analysis of the existing historical buildings and monuments. Nowadays we cannot copy the forms of our ancient architecture, but through the analysis of their forms, we can use the meaning of visual understanding of the physical aspect of our ancient architecture in the modern Islamic architecture (contemporary Islamic architect ure).","container-title":"Periodica Polytechnica Architecture","issue":"3-4","language":"en","page":"189-199","source":"Zotero","title":"Principles of Aesthetics in Islamic Architecture","volume":"35","author":[{"family":"Foroozani","given":"Muhammad"}],"issued":{"date-parts":[["1991"]]}}},{"id":3809,"uris":["http://zotero.org/users/local/Rj7jaPwM/items/N4KGCYLH"],"itemData":{"id":3809,"type":"article-journal","abstract":"The problem of the current research has been represented by the lack of studies on the foundations of forming the proportional relations in the Islamic architecture. The objective of the study was defined in an attempt to reveal the concepts and the items of the system of proportional relations in the Islamic architecture. The proportion in architecture either derived from the mathematical matrix or other disciplines are always concerned on the spatial system through measurement and form’s relations. The obtained conclusions show the authenticity of the system of proportional relations in the Islamic architecture which was based on two factors, the aesthetic sense related to the symbolic aesthetic systems and the acquired knowledge related to the mathematical geometrical systems of Muslims. Hence, the Islamic architecture compositions are correlated even though the functional types and the architectural styles of its architectural models are differentiated by a unified view of the constructs underlying the proportional relations system.","issue":"1","language":"en","source":"Zotero","title":"The Proportional Relations Systems of Islamic Architecture","volume":"3","author":[{"family":"Khalil","given":"Kadhim Fathel"},{"family":"Wahid","given":"Julaihi"}],"issued":{"date-parts":[["2013"]]}}}],"schema":"https://github.com/citation-style-language/schema/raw/master/csl-citation.json"} </w:instrText>
      </w:r>
      <w:r w:rsidRPr="006D42DD">
        <w:rPr>
          <w:rFonts w:cs="Calibri Light"/>
          <w:sz w:val="20"/>
          <w:szCs w:val="20"/>
        </w:rPr>
        <w:fldChar w:fldCharType="separate"/>
      </w:r>
      <w:r w:rsidRPr="006D42DD">
        <w:rPr>
          <w:rFonts w:cs="Calibri Light"/>
          <w:sz w:val="20"/>
          <w:szCs w:val="24"/>
        </w:rPr>
        <w:t>[66], [67], [68]</w:t>
      </w:r>
      <w:r w:rsidRPr="006D42DD">
        <w:rPr>
          <w:rFonts w:cs="Calibri Light"/>
          <w:sz w:val="20"/>
          <w:szCs w:val="20"/>
        </w:rPr>
        <w:fldChar w:fldCharType="end"/>
      </w:r>
      <w:r w:rsidRPr="006D42DD">
        <w:rPr>
          <w:rFonts w:cs="Calibri Light"/>
          <w:sz w:val="20"/>
          <w:szCs w:val="20"/>
        </w:rPr>
        <w:t>.</w:t>
      </w:r>
    </w:p>
    <w:p w14:paraId="0AA4B791" w14:textId="77777777" w:rsidR="00973FEA" w:rsidRPr="006D42DD" w:rsidRDefault="00973FEA" w:rsidP="00973FEA">
      <w:pPr>
        <w:numPr>
          <w:ilvl w:val="0"/>
          <w:numId w:val="15"/>
        </w:numPr>
        <w:ind w:left="567" w:hanging="284"/>
        <w:jc w:val="both"/>
        <w:rPr>
          <w:rFonts w:cs="Calibri Light"/>
          <w:sz w:val="20"/>
          <w:szCs w:val="20"/>
        </w:rPr>
      </w:pPr>
      <w:r>
        <w:rPr>
          <w:rFonts w:cs="Calibri Light"/>
          <w:sz w:val="20"/>
          <w:szCs w:val="20"/>
        </w:rPr>
        <w:t>Successive Combination -</w:t>
      </w:r>
      <w:r w:rsidRPr="006D42DD">
        <w:rPr>
          <w:rFonts w:cs="Calibri Light"/>
          <w:sz w:val="20"/>
          <w:szCs w:val="20"/>
        </w:rPr>
        <w:t xml:space="preserve"> Space </w:t>
      </w:r>
      <w:r w:rsidRPr="00A8018A">
        <w:rPr>
          <w:rFonts w:cs="Calibri Light"/>
          <w:sz w:val="20"/>
          <w:szCs w:val="20"/>
          <w:u w:val="single"/>
        </w:rPr>
        <w:t>modules are combined</w:t>
      </w:r>
      <w:r w:rsidRPr="006D42DD">
        <w:rPr>
          <w:rFonts w:cs="Calibri Light"/>
          <w:sz w:val="20"/>
          <w:szCs w:val="20"/>
        </w:rPr>
        <w:t xml:space="preserve"> at various levels to form larger configurations. Individual rooms, serving as basic modular elements, are assembled </w:t>
      </w:r>
      <w:r>
        <w:rPr>
          <w:rFonts w:cs="Calibri Light"/>
          <w:sz w:val="20"/>
          <w:szCs w:val="20"/>
        </w:rPr>
        <w:t>to fulfil</w:t>
      </w:r>
      <w:r w:rsidRPr="006D42DD">
        <w:rPr>
          <w:rFonts w:cs="Calibri Light"/>
          <w:sz w:val="20"/>
          <w:szCs w:val="20"/>
        </w:rPr>
        <w:t xml:space="preserve"> broader functional purposes. These additive segments harmoniously complement each other, creating a cohesive identity akin to pieces in a grand mosaic </w:t>
      </w:r>
      <w:r w:rsidRPr="006D42DD">
        <w:rPr>
          <w:rFonts w:cs="Calibri Light"/>
          <w:sz w:val="20"/>
          <w:szCs w:val="20"/>
        </w:rPr>
        <w:fldChar w:fldCharType="begin"/>
      </w:r>
      <w:r w:rsidRPr="006D42DD">
        <w:rPr>
          <w:rFonts w:cs="Calibri Light"/>
          <w:sz w:val="20"/>
          <w:szCs w:val="20"/>
        </w:rPr>
        <w:instrText xml:space="preserve"> ADDIN ZOTERO_ITEM CSL_CITATION {"citationID":"d47qdP80","properties":{"formattedCitation":"[68], [69]","plainCitation":"[68], [69]","noteIndex":0},"citationItems":[{"id":3809,"uris":["http://zotero.org/users/local/Rj7jaPwM/items/N4KGCYLH"],"itemData":{"id":3809,"type":"article-journal","abstract":"The problem of the current research has been represented by the lack of studies on the foundations of forming the proportional relations in the Islamic architecture. The objective of the study was defined in an attempt to reveal the concepts and the items of the system of proportional relations in the Islamic architecture. The proportion in architecture either derived from the mathematical matrix or other disciplines are always concerned on the spatial system through measurement and form’s relations. The obtained conclusions show the authenticity of the system of proportional relations in the Islamic architecture which was based on two factors, the aesthetic sense related to the symbolic aesthetic systems and the acquired knowledge related to the mathematical geometrical systems of Muslims. Hence, the Islamic architecture compositions are correlated even though the functional types and the architectural styles of its architectural models are differentiated by a unified view of the constructs underlying the proportional relations system.","issue":"1","language":"en","source":"Zotero","title":"The Proportional Relations Systems of Islamic Architecture","volume":"3","author":[{"family":"Khalil","given":"Kadhim Fathel"},{"family":"Wahid","given":"Julaihi"}],"issued":{"date-parts":[["2013"]]}}},{"id":3816,"uris":["http://zotero.org/users/local/Rj7jaPwM/items/3WRB223L"],"itemData":{"id":3816,"type":"article-journal","abstract":"Today, Islamic architecture manifests and evokes a kind of attitude towards the world of existence, which illuminates the intellectual and structural power of man. Although in most of the content approaches, the type of communication and interaction of man with the universe is considered as one of the influential topics in the field of creation of architectural work, but the concept of growth and excellence from the Islamic point of view is one of the concepts mixed with human life, but the influence of Islamic architectural features on the values of his excellence It is not very clear. This article tries to define excellence, culture, Islamic architecture and the teachings of Islam and the capacities of each and how they interact with each other from the perspective of Islam (based on the teachings of Islam), the relationship between them with a practical model in the field of Islamic architecture. and present a definition of Islamic architecture based on the exaltation of human cultural values. The research method is descriptive-analytical-fundamental logical reasoning. Logical inference proves that proper Islamic architecture can have capabilities corresponding to the levels of human existence and existence, and it helps people to find a proper understanding of the levels of the universe by using the values of human cultural excellence. According to the concepts, meanings and symbols of Islamic architecture and human excellence in religious teachings and the principles and rules of Islam in architecture, it can be concluded that the architectural features that influence human excellence are classified into six groups: the source of perfection and the path to God, avoidance of futility Harim, faith in God and Prophets, adornment and avoiding boasting and proper status; Each category takes advantage of its specific Islamic architectural features: multiplicity to unity and unity to multiplicity, dome, minaret, altar, avoidance of futility, hierarchy and introversion, light and centrality, sun, color and inscription, hierarchy and rhythm. And they are influenced and influenced by repetition.","container-title":"Sociology of Culture and Art","issue":"3","language":"en","page":"21-33","source":"Zotero","title":"Investigating the influence of Islamic architectural features on human values","volume":"5","author":[{"family":"Nikzadeh","given":"Hamid"},{"family":"Sinaei","given":"Behdad"}],"issued":{"date-parts":[["2023"]]}}}],"schema":"https://github.com/citation-style-language/schema/raw/master/csl-citation.json"} </w:instrText>
      </w:r>
      <w:r w:rsidRPr="006D42DD">
        <w:rPr>
          <w:rFonts w:cs="Calibri Light"/>
          <w:sz w:val="20"/>
          <w:szCs w:val="20"/>
        </w:rPr>
        <w:fldChar w:fldCharType="separate"/>
      </w:r>
      <w:r w:rsidRPr="006D42DD">
        <w:rPr>
          <w:rFonts w:cs="Calibri Light"/>
          <w:sz w:val="20"/>
          <w:szCs w:val="24"/>
        </w:rPr>
        <w:t>[68], [69]</w:t>
      </w:r>
      <w:r w:rsidRPr="006D42DD">
        <w:rPr>
          <w:rFonts w:cs="Calibri Light"/>
          <w:sz w:val="20"/>
          <w:szCs w:val="20"/>
        </w:rPr>
        <w:fldChar w:fldCharType="end"/>
      </w:r>
      <w:r w:rsidRPr="006D42DD">
        <w:rPr>
          <w:rFonts w:cs="Calibri Light"/>
          <w:sz w:val="20"/>
          <w:szCs w:val="20"/>
        </w:rPr>
        <w:t xml:space="preserve">. </w:t>
      </w:r>
    </w:p>
    <w:p w14:paraId="6C22E913" w14:textId="77777777" w:rsidR="00973FEA" w:rsidRPr="006D42DD" w:rsidRDefault="00973FEA" w:rsidP="00973FEA">
      <w:pPr>
        <w:numPr>
          <w:ilvl w:val="0"/>
          <w:numId w:val="15"/>
        </w:numPr>
        <w:ind w:left="567" w:hanging="284"/>
        <w:jc w:val="both"/>
        <w:rPr>
          <w:rFonts w:cs="Calibri Light"/>
          <w:sz w:val="20"/>
          <w:szCs w:val="20"/>
        </w:rPr>
      </w:pPr>
      <w:r>
        <w:rPr>
          <w:rFonts w:cs="Calibri Light"/>
          <w:sz w:val="20"/>
          <w:szCs w:val="20"/>
        </w:rPr>
        <w:t>Repetition - A</w:t>
      </w:r>
      <w:r w:rsidRPr="006D42DD">
        <w:rPr>
          <w:rFonts w:cs="Calibri Light"/>
          <w:sz w:val="20"/>
          <w:szCs w:val="20"/>
        </w:rPr>
        <w:t xml:space="preserve"> fundamental aspect of creati</w:t>
      </w:r>
      <w:r>
        <w:rPr>
          <w:rFonts w:cs="Calibri Light"/>
          <w:sz w:val="20"/>
          <w:szCs w:val="20"/>
        </w:rPr>
        <w:t xml:space="preserve">ng ornamentation in Islamic </w:t>
      </w:r>
      <w:r w:rsidRPr="00165A98">
        <w:rPr>
          <w:rFonts w:cs="Calibri Light"/>
          <w:sz w:val="20"/>
          <w:szCs w:val="20"/>
          <w:u w:val="single"/>
        </w:rPr>
        <w:t>art is</w:t>
      </w:r>
      <w:r w:rsidRPr="006D42DD">
        <w:rPr>
          <w:rFonts w:cs="Calibri Light"/>
          <w:sz w:val="20"/>
          <w:szCs w:val="20"/>
        </w:rPr>
        <w:t xml:space="preserve"> equally crucial in Islamic architecture </w:t>
      </w:r>
      <w:r w:rsidRPr="006D42DD">
        <w:rPr>
          <w:rFonts w:cs="Calibri Light"/>
          <w:sz w:val="20"/>
          <w:szCs w:val="20"/>
        </w:rPr>
        <w:fldChar w:fldCharType="begin"/>
      </w:r>
      <w:r w:rsidRPr="006D42DD">
        <w:rPr>
          <w:rFonts w:cs="Calibri Light"/>
          <w:sz w:val="20"/>
          <w:szCs w:val="20"/>
        </w:rPr>
        <w:instrText xml:space="preserve"> ADDIN ZOTERO_ITEM CSL_CITATION {"citationID":"A9NmezZ7","properties":{"formattedCitation":"[70]","plainCitation":"[70]","noteIndex":0},"citationItems":[{"id":3817,"uris":["http://zotero.org/users/local/Rj7jaPwM/items/JWT2DZQC"],"itemData":{"id":3817,"type":"article-journal","abstract":"The conventional view holds that girih (geometric star-and-polygon, or strapwork) patterns in medieval Islamic architecture were conceived by their designers as a network of zigzagging lines, where the lines were drafted directly with a straightedge and a compass. We show that by 1200 C.E. a conceptual breakthrough occurred in which girih patterns were reconceived as tessellations of a special set of equilateral polygons (“girih tiles”) decorated with lines. These tiles enabled the creation of increasingly complex periodic girih patterns, and by the 15th century, the tessellation approach was combined with self-similar transformations to construct nearly perfect quasi-crystalline Penrose patterns, five centuries before their discovery in the West.","container-title":"Science","DOI":"10.1126/science.1135491","ISSN":"0036-8075, 1095-9203","issue":"5815","journalAbbreviation":"Science","language":"en","page":"1106-1110","source":"DOI.org (Crossref)","title":"Decagonal and Quasi-Crystalline Tilings in Medieval Islamic Architecture","volume":"315","author":[{"family":"Lu","given":"Peter J."},{"family":"Steinhardt","given":"Paul J."}],"issued":{"date-parts":[["2007",2,23]]}}}],"schema":"https://github.com/citation-style-language/schema/raw/master/csl-citation.json"} </w:instrText>
      </w:r>
      <w:r w:rsidRPr="006D42DD">
        <w:rPr>
          <w:rFonts w:cs="Calibri Light"/>
          <w:sz w:val="20"/>
          <w:szCs w:val="20"/>
        </w:rPr>
        <w:fldChar w:fldCharType="separate"/>
      </w:r>
      <w:r w:rsidRPr="006D42DD">
        <w:rPr>
          <w:rFonts w:cs="Calibri Light"/>
          <w:sz w:val="20"/>
          <w:szCs w:val="24"/>
        </w:rPr>
        <w:t>[70]</w:t>
      </w:r>
      <w:r w:rsidRPr="006D42DD">
        <w:rPr>
          <w:rFonts w:cs="Calibri Light"/>
          <w:sz w:val="20"/>
          <w:szCs w:val="20"/>
        </w:rPr>
        <w:fldChar w:fldCharType="end"/>
      </w:r>
      <w:r w:rsidRPr="006D42DD">
        <w:rPr>
          <w:rFonts w:cs="Calibri Light"/>
          <w:sz w:val="20"/>
          <w:szCs w:val="20"/>
        </w:rPr>
        <w:t xml:space="preserve">. Units, forming successive combinations of open or enclosed spaces, are replicated in diverse forms within additive spaces. This repetitive pattern extends to internal units of structures, parks, and combinations of buildings within architectural complexes, fostering symmetrical harmony </w:t>
      </w:r>
      <w:r>
        <w:rPr>
          <w:rFonts w:cs="Calibri Light"/>
          <w:sz w:val="20"/>
          <w:szCs w:val="20"/>
        </w:rPr>
        <w:t xml:space="preserve">and </w:t>
      </w:r>
      <w:r w:rsidRPr="006D42DD">
        <w:rPr>
          <w:rFonts w:cs="Calibri Light"/>
          <w:sz w:val="20"/>
          <w:szCs w:val="20"/>
        </w:rPr>
        <w:t>unity among element</w:t>
      </w:r>
      <w:r>
        <w:rPr>
          <w:rFonts w:cs="Calibri Light"/>
          <w:sz w:val="20"/>
          <w:szCs w:val="20"/>
        </w:rPr>
        <w:t>s and enhancing the quality of a</w:t>
      </w:r>
      <w:r w:rsidRPr="006D42DD">
        <w:rPr>
          <w:rFonts w:cs="Calibri Light"/>
          <w:sz w:val="20"/>
          <w:szCs w:val="20"/>
        </w:rPr>
        <w:t xml:space="preserve">rabesque additive space </w:t>
      </w:r>
      <w:r w:rsidRPr="006D42DD">
        <w:rPr>
          <w:rFonts w:cs="Calibri Light"/>
          <w:sz w:val="20"/>
          <w:szCs w:val="20"/>
        </w:rPr>
        <w:fldChar w:fldCharType="begin"/>
      </w:r>
      <w:r w:rsidRPr="006D42DD">
        <w:rPr>
          <w:rFonts w:cs="Calibri Light"/>
          <w:sz w:val="20"/>
          <w:szCs w:val="20"/>
        </w:rPr>
        <w:instrText xml:space="preserve"> ADDIN ZOTERO_ITEM CSL_CITATION {"citationID":"7TfMnuXH","properties":{"formattedCitation":"[67]","plainCitation":"[67]","noteIndex":0},"citationItems":[{"id":3638,"uris":["http://zotero.org/users/local/Rj7jaPwM/items/SU62B62G"],"itemData":{"id":3638,"type":"article-journal","abstract":"Principles of aBsthetics in Islamic architecture have been achieved through the analysis of the existing historical buildings and monuments. Nowadays we cannot copy the forms of our ancient architecture, but through the analysis of their forms, we can use the meaning of visual understanding of the physical aspect of our ancient architecture in the modern Islamic architecture (contemporary Islamic architect ure).","container-title":"Periodica Polytechnica Architecture","issue":"3-4","language":"en","page":"189-199","source":"Zotero","title":"Principles of Aesthetics in Islamic Architecture","volume":"35","author":[{"family":"Foroozani","given":"Muhammad"}],"issued":{"date-parts":[["1991"]]}}}],"schema":"https://github.com/citation-style-language/schema/raw/master/csl-citation.json"} </w:instrText>
      </w:r>
      <w:r w:rsidRPr="006D42DD">
        <w:rPr>
          <w:rFonts w:cs="Calibri Light"/>
          <w:sz w:val="20"/>
          <w:szCs w:val="20"/>
        </w:rPr>
        <w:fldChar w:fldCharType="separate"/>
      </w:r>
      <w:r w:rsidRPr="006D42DD">
        <w:rPr>
          <w:rFonts w:cs="Calibri Light"/>
          <w:sz w:val="20"/>
          <w:szCs w:val="24"/>
        </w:rPr>
        <w:t>[67]</w:t>
      </w:r>
      <w:r w:rsidRPr="006D42DD">
        <w:rPr>
          <w:rFonts w:cs="Calibri Light"/>
          <w:sz w:val="20"/>
          <w:szCs w:val="20"/>
        </w:rPr>
        <w:fldChar w:fldCharType="end"/>
      </w:r>
      <w:r w:rsidRPr="006D42DD">
        <w:rPr>
          <w:rFonts w:cs="Calibri Light"/>
          <w:sz w:val="20"/>
          <w:szCs w:val="20"/>
        </w:rPr>
        <w:t xml:space="preserve">. </w:t>
      </w:r>
    </w:p>
    <w:p w14:paraId="12546EF9" w14:textId="77777777" w:rsidR="00973FEA" w:rsidRPr="006D42DD" w:rsidRDefault="00973FEA" w:rsidP="00973FEA">
      <w:pPr>
        <w:numPr>
          <w:ilvl w:val="0"/>
          <w:numId w:val="15"/>
        </w:numPr>
        <w:ind w:left="567" w:hanging="284"/>
        <w:jc w:val="both"/>
        <w:rPr>
          <w:rFonts w:cs="Calibri Light"/>
          <w:sz w:val="20"/>
          <w:szCs w:val="20"/>
        </w:rPr>
      </w:pPr>
      <w:r>
        <w:rPr>
          <w:rFonts w:cs="Calibri Light"/>
          <w:sz w:val="20"/>
          <w:szCs w:val="20"/>
        </w:rPr>
        <w:t xml:space="preserve">Dynamism - </w:t>
      </w:r>
      <w:r w:rsidRPr="006D42DD">
        <w:rPr>
          <w:rFonts w:cs="Calibri Light"/>
          <w:sz w:val="20"/>
          <w:szCs w:val="20"/>
        </w:rPr>
        <w:t>Understanding Islamic architecture requires exploring i</w:t>
      </w:r>
      <w:r>
        <w:rPr>
          <w:rFonts w:cs="Calibri Light"/>
          <w:sz w:val="20"/>
          <w:szCs w:val="20"/>
        </w:rPr>
        <w:t xml:space="preserve">ts spatial units deeply. It </w:t>
      </w:r>
      <w:r w:rsidRPr="001D6A88">
        <w:rPr>
          <w:rFonts w:cs="Calibri Light"/>
          <w:sz w:val="20"/>
          <w:szCs w:val="20"/>
          <w:u w:val="single"/>
        </w:rPr>
        <w:t>does not</w:t>
      </w:r>
      <w:r w:rsidRPr="006D42DD">
        <w:rPr>
          <w:rFonts w:cs="Calibri Light"/>
          <w:sz w:val="20"/>
          <w:szCs w:val="20"/>
        </w:rPr>
        <w:t xml:space="preserve"> follow a linear development leading to a single aesthetic climax, making a comprehensive understanding elusive from a distance </w:t>
      </w:r>
      <w:r w:rsidRPr="006D42DD">
        <w:rPr>
          <w:rFonts w:cs="Calibri Light"/>
          <w:sz w:val="20"/>
          <w:szCs w:val="20"/>
        </w:rPr>
        <w:fldChar w:fldCharType="begin"/>
      </w:r>
      <w:r w:rsidRPr="006D42DD">
        <w:rPr>
          <w:rFonts w:cs="Calibri Light"/>
          <w:sz w:val="20"/>
          <w:szCs w:val="20"/>
        </w:rPr>
        <w:instrText xml:space="preserve"> ADDIN ZOTERO_ITEM CSL_CITATION {"citationID":"MxGbkvtt","properties":{"formattedCitation":"[67]","plainCitation":"[67]","noteIndex":0},"citationItems":[{"id":3638,"uris":["http://zotero.org/users/local/Rj7jaPwM/items/SU62B62G"],"itemData":{"id":3638,"type":"article-journal","abstract":"Principles of aBsthetics in Islamic architecture have been achieved through the analysis of the existing historical buildings and monuments. Nowadays we cannot copy the forms of our ancient architecture, but through the analysis of their forms, we can use the meaning of visual understanding of the physical aspect of our ancient architecture in the modern Islamic architecture (contemporary Islamic architect ure).","container-title":"Periodica Polytechnica Architecture","issue":"3-4","language":"en","page":"189-199","source":"Zotero","title":"Principles of Aesthetics in Islamic Architecture","volume":"35","author":[{"family":"Foroozani","given":"Muhammad"}],"issued":{"date-parts":[["1991"]]}}}],"schema":"https://github.com/citation-style-language/schema/raw/master/csl-citation.json"} </w:instrText>
      </w:r>
      <w:r w:rsidRPr="006D42DD">
        <w:rPr>
          <w:rFonts w:cs="Calibri Light"/>
          <w:sz w:val="20"/>
          <w:szCs w:val="20"/>
        </w:rPr>
        <w:fldChar w:fldCharType="separate"/>
      </w:r>
      <w:r w:rsidRPr="006D42DD">
        <w:rPr>
          <w:rFonts w:cs="Calibri Light"/>
          <w:sz w:val="20"/>
          <w:szCs w:val="24"/>
        </w:rPr>
        <w:t>[67]</w:t>
      </w:r>
      <w:r w:rsidRPr="006D42DD">
        <w:rPr>
          <w:rFonts w:cs="Calibri Light"/>
          <w:sz w:val="20"/>
          <w:szCs w:val="20"/>
        </w:rPr>
        <w:fldChar w:fldCharType="end"/>
      </w:r>
      <w:r w:rsidRPr="006D42DD">
        <w:rPr>
          <w:rFonts w:cs="Calibri Light"/>
          <w:sz w:val="20"/>
          <w:szCs w:val="20"/>
        </w:rPr>
        <w:t>.</w:t>
      </w:r>
    </w:p>
    <w:p w14:paraId="4C31FDAE" w14:textId="77777777" w:rsidR="00973FEA" w:rsidRPr="006D42DD" w:rsidRDefault="00973FEA" w:rsidP="00973FEA">
      <w:pPr>
        <w:numPr>
          <w:ilvl w:val="0"/>
          <w:numId w:val="15"/>
        </w:numPr>
        <w:ind w:left="567" w:hanging="284"/>
        <w:jc w:val="both"/>
        <w:rPr>
          <w:rFonts w:cs="Calibri Light"/>
          <w:sz w:val="20"/>
          <w:szCs w:val="20"/>
        </w:rPr>
      </w:pPr>
      <w:r>
        <w:rPr>
          <w:rFonts w:cs="Calibri Light"/>
          <w:sz w:val="20"/>
          <w:szCs w:val="20"/>
        </w:rPr>
        <w:t xml:space="preserve">Complexity - </w:t>
      </w:r>
      <w:r w:rsidRPr="006D42DD">
        <w:rPr>
          <w:rFonts w:cs="Calibri Light"/>
          <w:sz w:val="20"/>
          <w:szCs w:val="20"/>
        </w:rPr>
        <w:t xml:space="preserve">It is integral to understand Islamic architecture, with its layers, repetitive patterns, and dynamic experiences contributing to an overall sense of complexity </w:t>
      </w:r>
      <w:r w:rsidRPr="006D42DD">
        <w:rPr>
          <w:rFonts w:cs="Calibri Light"/>
          <w:sz w:val="20"/>
          <w:szCs w:val="20"/>
        </w:rPr>
        <w:fldChar w:fldCharType="begin"/>
      </w:r>
      <w:r w:rsidRPr="006D42DD">
        <w:rPr>
          <w:rFonts w:cs="Calibri Light"/>
          <w:sz w:val="20"/>
          <w:szCs w:val="20"/>
        </w:rPr>
        <w:instrText xml:space="preserve"> ADDIN ZOTERO_ITEM CSL_CITATION {"citationID":"iHP8o4lc","properties":{"formattedCitation":"[71]","plainCitation":"[71]","noteIndex":0},"citationItems":[{"id":3807,"uris":["http://zotero.org/users/local/Rj7jaPwM/items/5BFIPSSM"],"itemData":{"id":3807,"type":"article-journal","language":"en","source":"Zotero","title":"Traditional Complex Modularity in Islamic and Persian Architecture: Interpretations in Muqarnas and Patkâné Crafts, Focusing on their Prefabricated Essence","author":[{"family":"Dadkhah","given":"Negin"},{"family":"Safaeipour","given":"Hadi"},{"family":"Memarian","given":"Gholamhossein"}],"issued":{"date-parts":[["2012"]]}}}],"schema":"https://github.com/citation-style-language/schema/raw/master/csl-citation.json"} </w:instrText>
      </w:r>
      <w:r w:rsidRPr="006D42DD">
        <w:rPr>
          <w:rFonts w:cs="Calibri Light"/>
          <w:sz w:val="20"/>
          <w:szCs w:val="20"/>
        </w:rPr>
        <w:fldChar w:fldCharType="separate"/>
      </w:r>
      <w:r w:rsidRPr="006D42DD">
        <w:rPr>
          <w:rFonts w:cs="Calibri Light"/>
          <w:sz w:val="20"/>
          <w:szCs w:val="24"/>
        </w:rPr>
        <w:t>[71]</w:t>
      </w:r>
      <w:r w:rsidRPr="006D42DD">
        <w:rPr>
          <w:rFonts w:cs="Calibri Light"/>
          <w:sz w:val="20"/>
          <w:szCs w:val="20"/>
        </w:rPr>
        <w:fldChar w:fldCharType="end"/>
      </w:r>
      <w:r w:rsidRPr="006D42DD">
        <w:rPr>
          <w:rFonts w:cs="Calibri Light"/>
          <w:sz w:val="20"/>
          <w:szCs w:val="20"/>
        </w:rPr>
        <w:t xml:space="preserve">. </w:t>
      </w:r>
    </w:p>
    <w:p w14:paraId="7F3F54E6" w14:textId="77777777" w:rsidR="00973FEA" w:rsidRDefault="00973FEA" w:rsidP="00973FEA">
      <w:pPr>
        <w:ind w:left="284" w:firstLine="283"/>
        <w:jc w:val="both"/>
        <w:rPr>
          <w:rFonts w:cstheme="minorHAnsi"/>
          <w:sz w:val="20"/>
          <w:szCs w:val="20"/>
        </w:rPr>
      </w:pPr>
    </w:p>
    <w:p w14:paraId="7BB3D42A"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rPr>
        <w:t xml:space="preserve">The second practical paradigm of Islamic architecture involves the incorporation of representations of Islamic symbols </w:t>
      </w:r>
      <w:r w:rsidRPr="00973FEA">
        <w:rPr>
          <w:rFonts w:cstheme="minorHAnsi"/>
          <w:sz w:val="20"/>
          <w:szCs w:val="20"/>
        </w:rPr>
        <w:fldChar w:fldCharType="begin"/>
      </w:r>
      <w:r w:rsidRPr="00973FEA">
        <w:rPr>
          <w:rFonts w:cstheme="minorHAnsi"/>
          <w:sz w:val="20"/>
          <w:szCs w:val="20"/>
        </w:rPr>
        <w:instrText xml:space="preserve"> ADDIN ZOTERO_ITEM CSL_CITATION {"citationID":"ubl3rbOw","properties":{"formattedCitation":"[72]","plainCitation":"[72]","noteIndex":0},"citationItems":[{"id":3657,"uris":["http://zotero.org/users/local/Rj7jaPwM/items/YUGZGZME"],"itemData":{"id":3657,"type":"article-journal","abstract":"OlegGrabarhasarguedthattherewasnota systemofvisualsymbolisnIslamic culturec; onsequentliytis difficutltoholdthatan Islamicarchitectureexists;thatis,if weweretostandbeforea mosqueandtrytoexperiencietaestheticalloyrsee whatkind ofbuildingitis wewouldnotbe able tosaythatitis a mosque.In thispaperweargue againstthispropositionW. ef, irstp,resenta briefanalysisofGrabars' viewS. econd,we criticallyevaluatethisviewT. hirdw, eexplicatehowthemosqueas an architecturtayl pe embodiesuniquelyIslamicsymbolsW. eshallillustrattehispointbyan analysisofone basicIslamicsymbolt: heMihrab.Thethesiswe defendis thatthereare basicIslamic symbolasndthatthesesymbolisnhereinthemosque.Itis thisfactthatlendscredibility totheclaimthatan Islamicarchitectureexists.","language":"en","page":"197-214","source":"Zotero","title":"Does an Islamic Architecture Exist?","author":[{"family":"Al-Jasmi","given":"Abdullah"},{"family":"work(s):","given":"Michael H. Mitias Reviewed"}],"issued":{"date-parts":[["2004"]]}}}],"schema":"https://github.com/citation-style-language/schema/raw/master/csl-citation.json"}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[72]</w:t>
      </w:r>
      <w:r w:rsidRPr="00973FEA">
        <w:rPr>
          <w:rFonts w:cstheme="minorHAnsi"/>
          <w:sz w:val="20"/>
          <w:szCs w:val="20"/>
        </w:rPr>
        <w:fldChar w:fldCharType="end"/>
      </w:r>
      <w:r w:rsidRPr="00973FEA">
        <w:rPr>
          <w:rFonts w:cstheme="minorHAnsi"/>
          <w:sz w:val="20"/>
          <w:szCs w:val="20"/>
        </w:rPr>
        <w:t xml:space="preserve">. This approach extends beyond the six primary characteristics, preserving Islamic features in a broader sense. Notably, this paradigm is prevalent in many traditional Islamic buildings in Asia. </w:t>
      </w:r>
      <w:r w:rsidRPr="00973FEA">
        <w:rPr>
          <w:rFonts w:cstheme="minorHAnsi"/>
          <w:sz w:val="20"/>
          <w:szCs w:val="20"/>
          <w:u w:val="single"/>
        </w:rPr>
        <w:t>The examples are shown in Figure 1 and 2</w:t>
      </w:r>
      <w:r w:rsidRPr="00973FEA">
        <w:rPr>
          <w:rFonts w:cstheme="minorHAnsi"/>
          <w:sz w:val="20"/>
          <w:szCs w:val="20"/>
        </w:rPr>
        <w:t>, where a significant number of structures are not necessarily built by Muslims or individuals deeply educated in Islam. This highlights the transcendent and inclusive nature of Islamic architecture, where symbolic representations play a key role in expressing Islamic identity and values.</w:t>
      </w:r>
    </w:p>
    <w:p w14:paraId="3CDF5634" w14:textId="1D3362DD" w:rsidR="00973FEA" w:rsidRPr="00973FEA" w:rsidRDefault="00973FEA" w:rsidP="00973FEA">
      <w:pPr>
        <w:jc w:val="center"/>
        <w:rPr>
          <w:rFonts w:cs="Calibri Light"/>
          <w:sz w:val="20"/>
          <w:szCs w:val="20"/>
        </w:rPr>
      </w:pPr>
      <w:r w:rsidRPr="00973FEA">
        <w:rPr>
          <w:rFonts w:cs="Calibri Light"/>
          <w:noProof/>
          <w:sz w:val="20"/>
          <w:szCs w:val="20"/>
          <w:lang w:val="en-US"/>
        </w:rPr>
        <w:drawing>
          <wp:inline distT="0" distB="0" distL="0" distR="0" wp14:anchorId="415EA752" wp14:editId="6745C470">
            <wp:extent cx="3458094" cy="1674872"/>
            <wp:effectExtent l="0" t="0" r="0" b="1905"/>
            <wp:docPr id="1094409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409021" name=""/>
                    <pic:cNvPicPr/>
                  </pic:nvPicPr>
                  <pic:blipFill>
                    <a:blip r:embed="rId11"/>
                    <a:stretch>
                      <a:fillRect/>
                    </a:stretch>
                  </pic:blipFill>
                  <pic:spPr>
                    <a:xfrm>
                      <a:off x="0" y="0"/>
                      <a:ext cx="3479388" cy="1685185"/>
                    </a:xfrm>
                    <a:prstGeom prst="rect">
                      <a:avLst/>
                    </a:prstGeom>
                  </pic:spPr>
                </pic:pic>
              </a:graphicData>
            </a:graphic>
          </wp:inline>
        </w:drawing>
      </w:r>
    </w:p>
    <w:p w14:paraId="117A5A24" w14:textId="77777777" w:rsidR="00F4380B" w:rsidRDefault="00F4380B" w:rsidP="00973FEA">
      <w:pPr>
        <w:jc w:val="center"/>
        <w:rPr>
          <w:rFonts w:cs="Calibri Light"/>
          <w:bCs/>
          <w:sz w:val="16"/>
          <w:szCs w:val="16"/>
        </w:rPr>
      </w:pPr>
    </w:p>
    <w:p w14:paraId="5EFAE7F9" w14:textId="43899DDF" w:rsidR="00973FEA" w:rsidRPr="00973FEA" w:rsidRDefault="00973FEA" w:rsidP="00973FEA">
      <w:pPr>
        <w:jc w:val="center"/>
        <w:rPr>
          <w:rFonts w:cs="Calibri Light"/>
          <w:bCs/>
          <w:sz w:val="16"/>
          <w:szCs w:val="16"/>
        </w:rPr>
      </w:pPr>
      <w:r w:rsidRPr="00973FEA">
        <w:rPr>
          <w:rFonts w:cs="Calibri Light"/>
          <w:bCs/>
          <w:sz w:val="16"/>
          <w:szCs w:val="16"/>
        </w:rPr>
        <w:t xml:space="preserve">Figure 1. The Symbolic representation of </w:t>
      </w:r>
      <w:r w:rsidRPr="00973FEA">
        <w:rPr>
          <w:rFonts w:cs="Calibri Light"/>
          <w:bCs/>
          <w:sz w:val="16"/>
          <w:szCs w:val="16"/>
          <w:u w:val="single"/>
        </w:rPr>
        <w:t>Islamic Theosophy</w:t>
      </w:r>
      <w:r w:rsidRPr="00973FEA">
        <w:rPr>
          <w:rFonts w:cs="Calibri Light"/>
          <w:bCs/>
          <w:sz w:val="16"/>
          <w:szCs w:val="16"/>
        </w:rPr>
        <w:t xml:space="preserve"> in traditional Islamic Architecture in Java, Indonesia </w:t>
      </w:r>
      <w:r w:rsidRPr="00973FEA">
        <w:rPr>
          <w:rFonts w:cs="Calibri Light"/>
          <w:bCs/>
          <w:sz w:val="16"/>
          <w:szCs w:val="16"/>
        </w:rPr>
        <w:fldChar w:fldCharType="begin"/>
      </w:r>
      <w:r w:rsidRPr="00973FEA">
        <w:rPr>
          <w:rFonts w:cs="Calibri Light"/>
          <w:bCs/>
          <w:sz w:val="16"/>
          <w:szCs w:val="16"/>
        </w:rPr>
        <w:instrText xml:space="preserve"> ADDIN ZOTERO_ITEM CSL_CITATION {"citationID":"faqdF95I","properties":{"formattedCitation":"[58]","plainCitation":"[58]","dontUpdate":true,"noteIndex":0},"citationItems":[{"id":4228,"uris":["http://zotero.org/users/local/Rj7jaPwM/items/B4Q8DS63"],"itemData":{"id":4228,"type":"paper-conference","abstract":"There are two main approaches to understanding Islamic Design and Architecture. First, an approach that emphasizes the object as a product of thought. Second, the approach by looking at Islamic ideas, values, and principles through religious sources and not speaking within the framework of objects. In the second approach, the values and principles of Islam expressed through the composition of forms and spaces in buildings. This study aims to find patterns and variations in the implementation of Islamic values and principles in the exterior and interior of buildings, especially mosque building. Case studies are several Wali mosques in Indonesia. Data obtained from physical observations, interviews, and visual documentation. The analysis conducted with an interpretive method that describes the physical characteristics and meanings of some study objects in-depth. This paper can conclude that Islamic expressions those related to the value of transcendence or the remembrance of monotheism can be found in Wali mosque and mausoleum. The results of this study are expected to be used as input for further studies on the search for 'forms' in Islamic design and architecture, especially the form of mosques in Indonesia.","container-title":"Proceedings of the Proceedings of the 1st Conference of Visual Art, Design, and Social Humanities by Faculty of Art and Design, CONVASH 2019,  2 November 2019, Surakarta, Central Java, Indonesia","DOI":"10.4108/eai.2-11-2019.2294889","event-place":"Surakarta, Indonesia","event-title":"Proceedings of the 1st Conference of Visual Art, Design, and Social Humanities by Faculty of Art and Design, CONVASH 2019,  2 November 2019, Surakarta, Central Java, Indonesia","ISBN":"978-1-63190-264-2","language":"en","publisher":"EAI","publisher-place":"Surakarta, Indonesia","source":"DOI.org (Crossref)","title":"Islamic Expression of Wali Mosque Interior and Architecture in Indonesia","URL":"http://eudl.eu/doi/10.4108/eai.2-11-2019.2294889","author":[{"family":"Budiono","given":"Budiono"},{"family":"Rachmawati","given":"Murni"},{"family":"Darjosanjoto","given":"Endang"},{"family":"Faqih","given":"Muhammad"}],"accessed":{"date-parts":[["2024",2,9]]},"issued":{"date-parts":[["2020"]]}}}],"schema":"https://github.com/citation-style-language/schema/raw/master/csl-citation.json"} </w:instrText>
      </w:r>
      <w:r w:rsidRPr="00973FEA">
        <w:rPr>
          <w:rFonts w:cs="Calibri Light"/>
          <w:bCs/>
          <w:sz w:val="16"/>
          <w:szCs w:val="16"/>
        </w:rPr>
        <w:fldChar w:fldCharType="separate"/>
      </w:r>
      <w:r w:rsidRPr="00973FEA">
        <w:rPr>
          <w:rFonts w:cs="Calibri Light"/>
          <w:bCs/>
          <w:sz w:val="16"/>
          <w:szCs w:val="16"/>
        </w:rPr>
        <w:t>[Source: 58]</w:t>
      </w:r>
      <w:r w:rsidRPr="00973FEA">
        <w:rPr>
          <w:rFonts w:cs="Calibri Light"/>
          <w:bCs/>
          <w:sz w:val="16"/>
          <w:szCs w:val="16"/>
        </w:rPr>
        <w:fldChar w:fldCharType="end"/>
      </w:r>
      <w:r w:rsidRPr="00973FEA">
        <w:rPr>
          <w:rFonts w:cs="Calibri Light"/>
          <w:bCs/>
          <w:sz w:val="16"/>
          <w:szCs w:val="16"/>
        </w:rPr>
        <w:t>.</w:t>
      </w:r>
    </w:p>
    <w:p w14:paraId="5AA2288D" w14:textId="77777777" w:rsidR="00973FEA" w:rsidRPr="00973FEA" w:rsidRDefault="00973FEA" w:rsidP="00973FEA">
      <w:pPr>
        <w:jc w:val="both"/>
        <w:rPr>
          <w:rFonts w:cs="Calibri Light"/>
          <w:sz w:val="20"/>
          <w:szCs w:val="20"/>
        </w:rPr>
      </w:pPr>
    </w:p>
    <w:p w14:paraId="19FA950C" w14:textId="77777777" w:rsidR="00973FEA" w:rsidRPr="00F4380B" w:rsidRDefault="00973FEA" w:rsidP="00973FEA">
      <w:pPr>
        <w:jc w:val="center"/>
        <w:rPr>
          <w:rFonts w:cs="Calibri Light"/>
          <w:sz w:val="16"/>
          <w:szCs w:val="16"/>
        </w:rPr>
      </w:pPr>
      <w:r w:rsidRPr="00F4380B">
        <w:rPr>
          <w:rFonts w:cs="Calibri Light"/>
          <w:noProof/>
          <w:sz w:val="16"/>
          <w:szCs w:val="16"/>
          <w:lang w:val="en-US"/>
        </w:rPr>
        <w:lastRenderedPageBreak/>
        <w:drawing>
          <wp:inline distT="0" distB="0" distL="0" distR="0" wp14:anchorId="7A8DD9BF" wp14:editId="2EE76528">
            <wp:extent cx="2654935" cy="1685925"/>
            <wp:effectExtent l="0" t="0" r="0" b="9525"/>
            <wp:docPr id="329026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026262" name=""/>
                    <pic:cNvPicPr/>
                  </pic:nvPicPr>
                  <pic:blipFill>
                    <a:blip r:embed="rId12"/>
                    <a:stretch>
                      <a:fillRect/>
                    </a:stretch>
                  </pic:blipFill>
                  <pic:spPr>
                    <a:xfrm>
                      <a:off x="0" y="0"/>
                      <a:ext cx="2654935" cy="1685925"/>
                    </a:xfrm>
                    <a:prstGeom prst="rect">
                      <a:avLst/>
                    </a:prstGeom>
                  </pic:spPr>
                </pic:pic>
              </a:graphicData>
            </a:graphic>
          </wp:inline>
        </w:drawing>
      </w:r>
    </w:p>
    <w:p w14:paraId="17BAD76F" w14:textId="77777777" w:rsidR="00F4380B" w:rsidRDefault="00F4380B" w:rsidP="00973FEA">
      <w:pPr>
        <w:ind w:left="284"/>
        <w:jc w:val="center"/>
        <w:rPr>
          <w:rFonts w:cs="Calibri Light"/>
          <w:sz w:val="16"/>
          <w:szCs w:val="16"/>
        </w:rPr>
      </w:pPr>
    </w:p>
    <w:p w14:paraId="3D34AF72" w14:textId="1DC7DECB" w:rsidR="00973FEA" w:rsidRPr="00F4380B" w:rsidRDefault="00973FEA" w:rsidP="00973FEA">
      <w:pPr>
        <w:ind w:left="284"/>
        <w:jc w:val="center"/>
        <w:rPr>
          <w:rFonts w:cs="Calibri Light"/>
          <w:sz w:val="16"/>
          <w:szCs w:val="16"/>
        </w:rPr>
      </w:pPr>
      <w:r w:rsidRPr="00F4380B">
        <w:rPr>
          <w:rFonts w:cs="Calibri Light"/>
          <w:sz w:val="16"/>
          <w:szCs w:val="16"/>
        </w:rPr>
        <w:t xml:space="preserve">Figure 2. The symbolic representation of pumpkin in traditional Islamic Architecture in Masjid Agung Banten, Indonesia </w:t>
      </w:r>
      <w:r w:rsidRPr="00F4380B">
        <w:rPr>
          <w:rFonts w:cs="Calibri Light"/>
          <w:sz w:val="16"/>
          <w:szCs w:val="16"/>
        </w:rPr>
        <w:fldChar w:fldCharType="begin"/>
      </w:r>
      <w:r w:rsidRPr="00F4380B">
        <w:rPr>
          <w:rFonts w:cs="Calibri Light"/>
          <w:sz w:val="16"/>
          <w:szCs w:val="16"/>
        </w:rPr>
        <w:instrText xml:space="preserve"> ADDIN ZOTERO_ITEM CSL_CITATION {"citationID":"lsyxRa45","properties":{"formattedCitation":"[55]","plainCitation":"[55]","dontUpdate":true,"noteIndex":0},"citationItems":[{"id":4222,"uris":["http://zotero.org/users/local/Rj7jaPwM/items/Y8X6MU7C"],"itemData":{"id":4222,"type":"paper-conference","abstract":"Architecture is an environmental product from the expression of values adopted by society. These values are passed down over time to become a culture eventually. The culture of a region is a result of interaction and acculturation that occur in a society. Through the design process, architecture analyzes the behaviors of the local community and its environmental conditions. In the globalization era, architectural representation becomes homogeneous. Therefore, to prevent local architecture from deteriorating, it becomes necessary to consider local architecture for developing campus design. This research aims to transform local architecture identity through design development in the context of campus design. Architectural expressions were analyzed to illustrate local culture as a descriptive effort. The observation was performed using an interview and observation guide sheet. A three-dimensional matrix was constructed to be an example of the design transformation process. The final result of this research is a transformation guideline for practitioners in achieving a cultural identity-based design.","container-title":"Proceedings of the 6th UPI International Conference on TVET 2020 (TVET 2020)","DOI":"10.2991/assehr.k.210203.089","event-place":"Bandung, Indonesia","event-title":"6th UPI International Conference on TVET 2020 (TVET 2020)","ISBN":"978-94-6239-328-8","language":"en","publisher":"Atlantis Press","publisher-place":"Bandung, Indonesia","source":"DOI.org (Crossref)","title":"Cultural Expression of Local Architecture for Developing Educational Campus Design:","title-short":"Cultural Expression of Local Architecture for Developing Educational Campus Design","URL":"https://www.atlantis-press.com/article/125952260","author":[{"family":"Huzaifa","given":"Riska Amelia"},{"family":"Barliana","given":"Mokhamad Syaom"},{"family":"Mardiana","given":"Riskha"}],"accessed":{"date-parts":[["2024",2,9]]},"issued":{"date-parts":[["2021"]]}}}],"schema":"https://github.com/citation-style-language/schema/raw/master/csl-citation.json"} </w:instrText>
      </w:r>
      <w:r w:rsidRPr="00F4380B">
        <w:rPr>
          <w:rFonts w:cs="Calibri Light"/>
          <w:sz w:val="16"/>
          <w:szCs w:val="16"/>
        </w:rPr>
        <w:fldChar w:fldCharType="separate"/>
      </w:r>
      <w:r w:rsidRPr="00F4380B">
        <w:rPr>
          <w:rFonts w:cs="Calibri Light"/>
          <w:sz w:val="16"/>
          <w:szCs w:val="16"/>
        </w:rPr>
        <w:t>[Source: 55]</w:t>
      </w:r>
      <w:r w:rsidRPr="00F4380B">
        <w:rPr>
          <w:rFonts w:cs="Calibri Light"/>
          <w:sz w:val="16"/>
          <w:szCs w:val="16"/>
        </w:rPr>
        <w:fldChar w:fldCharType="end"/>
      </w:r>
      <w:r w:rsidRPr="00F4380B">
        <w:rPr>
          <w:rFonts w:cs="Calibri Light"/>
          <w:sz w:val="16"/>
          <w:szCs w:val="16"/>
        </w:rPr>
        <w:t>. Pumpkin in the Javanese traditional language is ‘</w:t>
      </w:r>
      <w:proofErr w:type="spellStart"/>
      <w:r w:rsidRPr="00F4380B">
        <w:rPr>
          <w:rFonts w:cs="Calibri Light"/>
          <w:i/>
          <w:iCs/>
          <w:sz w:val="16"/>
          <w:szCs w:val="16"/>
        </w:rPr>
        <w:t>waluh</w:t>
      </w:r>
      <w:proofErr w:type="spellEnd"/>
      <w:r w:rsidRPr="00F4380B">
        <w:rPr>
          <w:rFonts w:cs="Calibri Light"/>
          <w:i/>
          <w:iCs/>
          <w:sz w:val="16"/>
          <w:szCs w:val="16"/>
        </w:rPr>
        <w:t>’</w:t>
      </w:r>
      <w:r w:rsidRPr="00F4380B">
        <w:rPr>
          <w:rFonts w:cs="Calibri Light"/>
          <w:sz w:val="16"/>
          <w:szCs w:val="16"/>
        </w:rPr>
        <w:t>, which is almost the same as ‘</w:t>
      </w:r>
      <w:proofErr w:type="spellStart"/>
      <w:r w:rsidRPr="00F4380B">
        <w:rPr>
          <w:rFonts w:cs="Calibri Light"/>
          <w:i/>
          <w:iCs/>
          <w:sz w:val="16"/>
          <w:szCs w:val="16"/>
        </w:rPr>
        <w:t>Wallah</w:t>
      </w:r>
      <w:proofErr w:type="spellEnd"/>
      <w:r w:rsidRPr="00F4380B">
        <w:rPr>
          <w:rFonts w:cs="Calibri Light"/>
          <w:i/>
          <w:iCs/>
          <w:sz w:val="16"/>
          <w:szCs w:val="16"/>
        </w:rPr>
        <w:t>’</w:t>
      </w:r>
      <w:r w:rsidRPr="00F4380B">
        <w:rPr>
          <w:rFonts w:cs="Calibri Light"/>
          <w:sz w:val="16"/>
          <w:szCs w:val="16"/>
        </w:rPr>
        <w:t>, an Arabic word that means; ‘for Allah’.</w:t>
      </w:r>
    </w:p>
    <w:p w14:paraId="293B8A32" w14:textId="77777777" w:rsidR="00973FEA" w:rsidRPr="00973FEA" w:rsidRDefault="00973FEA" w:rsidP="00973FEA">
      <w:pPr>
        <w:jc w:val="both"/>
        <w:rPr>
          <w:rFonts w:cs="Calibri Light"/>
          <w:sz w:val="20"/>
          <w:szCs w:val="20"/>
        </w:rPr>
      </w:pPr>
    </w:p>
    <w:p w14:paraId="6C317B93"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rPr>
        <w:t xml:space="preserve">Furthermore, in the contemporary era, architects may use the Islamization technique </w:t>
      </w:r>
      <w:r w:rsidRPr="00973FEA">
        <w:rPr>
          <w:rFonts w:cstheme="minorHAnsi"/>
          <w:sz w:val="20"/>
          <w:szCs w:val="20"/>
          <w:u w:val="single"/>
        </w:rPr>
        <w:t>to combine traditional</w:t>
      </w:r>
      <w:r w:rsidRPr="00973FEA">
        <w:rPr>
          <w:rFonts w:cstheme="minorHAnsi"/>
          <w:sz w:val="20"/>
          <w:szCs w:val="20"/>
        </w:rPr>
        <w:t xml:space="preserve"> Islamic and contemporary knowledge </w:t>
      </w:r>
      <w:r w:rsidRPr="00973FEA">
        <w:rPr>
          <w:rFonts w:cstheme="minorHAnsi"/>
          <w:sz w:val="20"/>
          <w:szCs w:val="20"/>
        </w:rPr>
        <w:fldChar w:fldCharType="begin"/>
      </w:r>
      <w:r w:rsidRPr="00973FEA">
        <w:rPr>
          <w:rFonts w:cstheme="minorHAnsi"/>
          <w:sz w:val="20"/>
          <w:szCs w:val="20"/>
        </w:rPr>
        <w:instrText xml:space="preserve"> ADDIN ZOTERO_ITEM CSL_CITATION {"citationID":"nYVuLy3Y","properties":{"formattedCitation":"[50]","plainCitation":"[50]","noteIndex":0},"citationItems":[{"id":4178,"uris":["http://zotero.org/users/local/Rj7jaPwM/items/GU2HMIA4"],"itemData":{"id":4178,"type":"article-journal","abstract":"Islamic architecture is often thought as a history course and thus finds its material limited to the cataloguing and studying of legacies of successive empires or various geographic regions of the Islamic world. In practice, adherent professionals tend to reproduce high styles such as Umayyad, Abassid, Fatimid, Ottoman, etc., or recycle well known elements such as the minarets, courtyards, and mashrabiyyahs. This approach, endorsed by the present comprehensive Islamic revival, is believed to be the way to defend and revitalize the identity of Muslim societies that was initially affected by colonization and now is being offended by globalization. However, this approach often clashes with the contemporary trends in architecture that do not necessarily oppose the essence of Islamic architecture. Furthermore, it sometimes lead to an erroneous belief that consists of relating a priori forms to Islam and that clashes with the timeless and universal character of the Islamic religion. The key question to be asked then is, beyond this historicist view, what would be an “Islamic architecture” of nowadays that originates from the essence of Islam and that responds to contemporary conditions, needs, aspirations of present Muslim societies and individuals. To what extends can Islamic architecture benefits from modern progress and contemporary thought in resurrecting itself without loosing its essence. The hypothesis of the study is that, just as early Muslim architecture started from the adoption, use and re-use of early pre-Islamic architectures before reaching originality, this process, called Islamization, could also take place nowadays with the contemporary thought that is mostly developed in Western and non-Islamic environments. Mechanisms in Islam that allowed the “absorption” of pre-existing civilizations should thus structure the islamization approach and serve the scholars and professionals to reach the new Islamic architecture. The objectives of the paper consist of counter-criticizing orientalists’ views that overwhelm our libraries and references systems, and that consider the first stage of Islamic civilization, within which architecture is part, as a mere cut-and-paste process and, at best, a synthesis of these pre-Islamic heritages, and overcoming the prevailing historicist approach, and open new scopes for future generations to instate a new era of islamization that permits digesting the contemporary Western thoughts in a conscious, critical, and constructive way.","container-title":"Journal of Islamic Architecture","DOI":"10.18860/jia.v1i2.1720","ISSN":"2356-4644, 2086-2636","issue":"2","journalAbbreviation":"JIA","language":"en","source":"DOI.org (Crossref)","title":"ISLAMIZATION OF CONTEMPORARY ARCHITECTURE: SHIFTING THE PARADIGM OF ISLAMIC ARCHITECTURE","title-short":"ISLAMIZATION OF CONTEMPORARY ARCHITECTURE","URL":"http://ejournal.uin-malang.ac.id/index.php/JIA/article/view/1720","volume":"1","author":[{"family":"Hamouche","given":"Mustapha Ben-"}],"accessed":{"date-parts":[["2024",2,8]]},"issued":{"date-parts":[["2012",3,29]]}}}],"schema":"https://github.com/citation-style-language/schema/raw/master/csl-citation.json"}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[50]</w:t>
      </w:r>
      <w:r w:rsidRPr="00973FEA">
        <w:rPr>
          <w:rFonts w:cstheme="minorHAnsi"/>
          <w:sz w:val="20"/>
          <w:szCs w:val="20"/>
        </w:rPr>
        <w:fldChar w:fldCharType="end"/>
      </w:r>
      <w:r w:rsidRPr="00973FEA">
        <w:rPr>
          <w:rFonts w:cstheme="minorHAnsi"/>
          <w:sz w:val="20"/>
          <w:szCs w:val="20"/>
        </w:rPr>
        <w:t xml:space="preserve">. </w:t>
      </w:r>
      <w:r w:rsidRPr="00973FEA">
        <w:rPr>
          <w:rFonts w:cstheme="minorHAnsi"/>
          <w:sz w:val="20"/>
          <w:szCs w:val="20"/>
          <w:u w:val="single"/>
        </w:rPr>
        <w:t>Meanwhile</w:t>
      </w:r>
      <w:r w:rsidRPr="00973FEA">
        <w:rPr>
          <w:rFonts w:cstheme="minorHAnsi"/>
          <w:sz w:val="20"/>
          <w:szCs w:val="20"/>
        </w:rPr>
        <w:t xml:space="preserve">, builders have the opportunity to explore and adapt the possibilities offered by the machine age, much like craftsmen of the past explored the intricacies of geometrical and arabesque patterns </w:t>
      </w:r>
      <w:r w:rsidRPr="00973FEA">
        <w:rPr>
          <w:rFonts w:cstheme="minorHAnsi"/>
          <w:sz w:val="20"/>
          <w:szCs w:val="20"/>
        </w:rPr>
        <w:fldChar w:fldCharType="begin"/>
      </w:r>
      <w:r w:rsidRPr="00973FEA">
        <w:rPr>
          <w:rFonts w:cstheme="minorHAnsi"/>
          <w:sz w:val="20"/>
          <w:szCs w:val="20"/>
        </w:rPr>
        <w:instrText xml:space="preserve"> ADDIN ZOTERO_ITEM CSL_CITATION {"citationID":"YjBw3rUY","properties":{"formattedCitation":"[73]","plainCitation":"[73]","noteIndex":0},"citationItems":[{"id":3626,"uris":["http://zotero.org/users/local/Rj7jaPwM/items/9EAXG8VL"],"itemData":{"id":3626,"type":"article-journal","abstract":"This paper discusses the meaning of Islamic architecture and some of its salient characteristics. The discussion is divided into the following sections: (1) The meaning of Islamic architecture; (2) Islamic architecture as a means, not an end; (3) Two examples: the Islamic house and the mosque; (4) Pragmatism and Islamic architecture today; (5) Towards the revival of Islamic architecture. The paper seeks to enhance the awareness, both of the professionals and general readership, as to the importance of correctly conceptualizing and practicing Islamic architecture. The nature of the paper, along with its content, methodology and conclusions, is conceptual and philosophical, rather than empirical. The paper concludes that Islamic architecture is an architecture that embodies the message of Islam. It both facilitates the Muslims‘ realization of the Islamic purpose and its divine principles on earth, and promotes a lifestyle generated by such a philosophy and principles. At the core of Islamic architecture lies function with all of its dimensions: corporeal, cerebral and spiritual. The role of the form is an important one too, but only inasmuch as it supplements and enhances function.","issue":"2","language":"en","source":"Zotero","title":"Islamic Architecture and The Prospect of Its Revival Today","volume":"1","author":[{"family":"Omer","given":"Dr Spahic"}],"issued":{"date-parts":[["2011"]]}}}],"schema":"https://github.com/citation-style-language/schema/raw/master/csl-citation.json"}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[73]</w:t>
      </w:r>
      <w:r w:rsidRPr="00973FEA">
        <w:rPr>
          <w:rFonts w:cstheme="minorHAnsi"/>
          <w:sz w:val="20"/>
          <w:szCs w:val="20"/>
        </w:rPr>
        <w:fldChar w:fldCharType="end"/>
      </w:r>
      <w:r w:rsidRPr="00973FEA">
        <w:rPr>
          <w:rFonts w:cstheme="minorHAnsi"/>
          <w:sz w:val="20"/>
          <w:szCs w:val="20"/>
        </w:rPr>
        <w:t xml:space="preserve">. The choice of approach is flexible and should be guided by local conditions, opting for the method that is more readily accepted and provides </w:t>
      </w:r>
      <w:r w:rsidRPr="00973FEA">
        <w:rPr>
          <w:rFonts w:cstheme="minorHAnsi"/>
          <w:sz w:val="20"/>
          <w:szCs w:val="20"/>
          <w:u w:val="single"/>
        </w:rPr>
        <w:t>a</w:t>
      </w:r>
      <w:r w:rsidRPr="00973FEA">
        <w:rPr>
          <w:rFonts w:cstheme="minorHAnsi"/>
          <w:sz w:val="20"/>
          <w:szCs w:val="20"/>
        </w:rPr>
        <w:t xml:space="preserve"> greater value for both </w:t>
      </w:r>
      <w:r w:rsidRPr="00973FEA">
        <w:rPr>
          <w:rFonts w:cstheme="minorHAnsi"/>
          <w:sz w:val="20"/>
          <w:szCs w:val="20"/>
          <w:u w:val="single"/>
        </w:rPr>
        <w:t>the</w:t>
      </w:r>
      <w:r w:rsidRPr="00973FEA">
        <w:rPr>
          <w:rFonts w:cstheme="minorHAnsi"/>
          <w:sz w:val="20"/>
          <w:szCs w:val="20"/>
        </w:rPr>
        <w:t xml:space="preserve"> society and </w:t>
      </w:r>
      <w:r w:rsidRPr="00973FEA">
        <w:rPr>
          <w:rFonts w:cstheme="minorHAnsi"/>
          <w:sz w:val="20"/>
          <w:szCs w:val="20"/>
          <w:u w:val="single"/>
        </w:rPr>
        <w:t>Islam</w:t>
      </w:r>
      <w:r w:rsidRPr="00973FEA">
        <w:rPr>
          <w:rFonts w:cstheme="minorHAnsi"/>
          <w:sz w:val="20"/>
          <w:szCs w:val="20"/>
        </w:rPr>
        <w:t xml:space="preserve"> </w:t>
      </w:r>
      <w:r w:rsidRPr="00973FEA">
        <w:rPr>
          <w:rFonts w:cstheme="minorHAnsi"/>
          <w:sz w:val="20"/>
          <w:szCs w:val="20"/>
          <w:u w:val="single"/>
        </w:rPr>
        <w:t>as a religion</w:t>
      </w:r>
      <w:r w:rsidRPr="00973FEA">
        <w:rPr>
          <w:rFonts w:cstheme="minorHAnsi"/>
          <w:sz w:val="20"/>
          <w:szCs w:val="20"/>
        </w:rPr>
        <w:t>. This adaptability ensures that Islamic architecture remains relevant, responsive, and meaningful in diverse contexts.</w:t>
      </w:r>
    </w:p>
    <w:p w14:paraId="430C19EB" w14:textId="77777777" w:rsidR="00973FEA" w:rsidRPr="00973FEA" w:rsidRDefault="00973FEA" w:rsidP="00973FEA">
      <w:pPr>
        <w:pStyle w:val="ListParagraph"/>
        <w:jc w:val="both"/>
        <w:rPr>
          <w:rFonts w:asciiTheme="minorHAnsi" w:hAnsiTheme="minorHAnsi" w:cstheme="minorHAnsi"/>
          <w:b/>
          <w:bCs/>
          <w:sz w:val="18"/>
          <w:szCs w:val="18"/>
        </w:rPr>
      </w:pPr>
    </w:p>
    <w:p w14:paraId="1B904BE2" w14:textId="6CBB15D7" w:rsidR="00973FEA" w:rsidRDefault="00973FEA" w:rsidP="00973FEA">
      <w:pPr>
        <w:pStyle w:val="ListParagraph"/>
        <w:numPr>
          <w:ilvl w:val="0"/>
          <w:numId w:val="14"/>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DISCUSSION</w:t>
      </w:r>
    </w:p>
    <w:p w14:paraId="37FD3679"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rPr>
        <w:t xml:space="preserve">This study can be seen as an answer to the previous note </w:t>
      </w:r>
      <w:r w:rsidRPr="00973FEA">
        <w:rPr>
          <w:rFonts w:cstheme="minorHAnsi"/>
          <w:sz w:val="20"/>
          <w:szCs w:val="20"/>
          <w:u w:val="single"/>
        </w:rPr>
        <w:t>conducted</w:t>
      </w:r>
      <w:r w:rsidRPr="00973FEA">
        <w:rPr>
          <w:rFonts w:cstheme="minorHAnsi"/>
          <w:sz w:val="20"/>
          <w:szCs w:val="20"/>
        </w:rPr>
        <w:t xml:space="preserve"> by Ul-</w:t>
      </w:r>
      <w:proofErr w:type="spellStart"/>
      <w:r w:rsidRPr="00973FEA">
        <w:rPr>
          <w:rFonts w:cstheme="minorHAnsi"/>
          <w:sz w:val="20"/>
          <w:szCs w:val="20"/>
        </w:rPr>
        <w:t>huq</w:t>
      </w:r>
      <w:proofErr w:type="spellEnd"/>
      <w:r w:rsidRPr="00973FEA">
        <w:rPr>
          <w:rFonts w:cstheme="minorHAnsi"/>
          <w:sz w:val="20"/>
          <w:szCs w:val="20"/>
        </w:rPr>
        <w:t xml:space="preserve"> and Haque </w:t>
      </w:r>
      <w:r w:rsidRPr="00973FEA">
        <w:rPr>
          <w:rFonts w:cstheme="minorHAnsi"/>
          <w:sz w:val="20"/>
          <w:szCs w:val="20"/>
        </w:rPr>
        <w:fldChar w:fldCharType="begin"/>
      </w:r>
      <w:r w:rsidRPr="00973FEA">
        <w:rPr>
          <w:rFonts w:cstheme="minorHAnsi"/>
          <w:sz w:val="20"/>
          <w:szCs w:val="20"/>
        </w:rPr>
        <w:instrText xml:space="preserve"> ADDIN ZOTERO_ITEM CSL_CITATION {"citationID":"p9TN0Gq6","properties":{"formattedCitation":"[12]","plainCitation":"[12]","noteIndex":0},"citationItems":[{"id":3789,"uris":["http://zotero.org/users/local/Rj7jaPwM/items/BPEX52JQ"],"itemData":{"id":3789,"type":"paper-conference","container-title":"UIA 2017 Seoul World Architects Congress","page":"34-41","title":"Does Islamic Architecture Reflect Islam (Faith)?","volume":"1","author":[{"family":"Ul Huq","given":"Masum"},{"family":"Haque2","given":"Afrina"}],"issued":{"date-parts":[["2017"]]}}}],"schema":"https://github.com/citation-style-language/schema/raw/master/csl-citation.json"}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[12]</w:t>
      </w:r>
      <w:r w:rsidRPr="00973FEA">
        <w:rPr>
          <w:rFonts w:cstheme="minorHAnsi"/>
          <w:sz w:val="20"/>
          <w:szCs w:val="20"/>
        </w:rPr>
        <w:fldChar w:fldCharType="end"/>
      </w:r>
      <w:r w:rsidRPr="00973FEA">
        <w:rPr>
          <w:rFonts w:cstheme="minorHAnsi"/>
          <w:sz w:val="20"/>
          <w:szCs w:val="20"/>
        </w:rPr>
        <w:t xml:space="preserve"> on Islamic architecture, which </w:t>
      </w:r>
      <w:r w:rsidRPr="00973FEA">
        <w:rPr>
          <w:rFonts w:cstheme="minorHAnsi"/>
          <w:sz w:val="20"/>
          <w:szCs w:val="20"/>
          <w:u w:val="single"/>
        </w:rPr>
        <w:t>concerns</w:t>
      </w:r>
      <w:r w:rsidRPr="00973FEA">
        <w:rPr>
          <w:rFonts w:cstheme="minorHAnsi"/>
          <w:sz w:val="20"/>
          <w:szCs w:val="20"/>
        </w:rPr>
        <w:t xml:space="preserve"> how one sees and does Islamic architecture. </w:t>
      </w:r>
      <w:r w:rsidRPr="00973FEA">
        <w:rPr>
          <w:rFonts w:cstheme="minorHAnsi"/>
          <w:sz w:val="20"/>
          <w:szCs w:val="20"/>
          <w:u w:val="single"/>
        </w:rPr>
        <w:t>It is also</w:t>
      </w:r>
      <w:r w:rsidRPr="00973FEA">
        <w:rPr>
          <w:rFonts w:cstheme="minorHAnsi"/>
          <w:sz w:val="20"/>
          <w:szCs w:val="20"/>
        </w:rPr>
        <w:t xml:space="preserve"> a continuation of the previous argument on the theory of Islamic architecture </w:t>
      </w:r>
      <w:r w:rsidRPr="00973FEA">
        <w:rPr>
          <w:rFonts w:cstheme="minorHAnsi"/>
          <w:sz w:val="20"/>
          <w:szCs w:val="20"/>
        </w:rPr>
        <w:fldChar w:fldCharType="begin"/>
      </w:r>
      <w:r w:rsidRPr="00973FEA">
        <w:rPr>
          <w:rFonts w:cstheme="minorHAnsi"/>
          <w:sz w:val="20"/>
          <w:szCs w:val="20"/>
        </w:rPr>
        <w:instrText xml:space="preserve"> ADDIN ZOTERO_ITEM CSL_CITATION {"citationID":"Fpng3HbT","properties":{"formattedCitation":"[74]","plainCitation":"[74]","noteIndex":0},"citationItems":[{"id":4180,"uris":["http://zotero.org/users/local/Rj7jaPwM/items/EVQVL49W"],"itemData":{"id":4180,"type":"article-journal","container-title":"The Culture of Islamic Architecture and Urbanism","DOI":"10.29252/ciauj.3.2.17","ISSN":"2383-0247","issue":"2","journalAbbreviation":"CIAUJ","language":"fa","page":"17-31","source":"DOI.org (Crossref)","title":"Theory of Islamic Architecture vs. Islamic Theory of Architecture: A Critical Appraisal of the Contemporary Theoretical and Practical Approaches from the Islamic Perspective","title-short":"Theory of Islamic Architecture vs. Islamic Theory of Architecture","volume":"3","author":[{"family":"Nari Ghomi","given":"Masood"},{"literal":"Technical and Vocational University of Qom"}],"issued":{"date-parts":[["2018",1,1]]}}}],"schema":"https://github.com/citation-style-language/schema/raw/master/csl-citation.json"}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[74]</w:t>
      </w:r>
      <w:r w:rsidRPr="00973FEA">
        <w:rPr>
          <w:rFonts w:cstheme="minorHAnsi"/>
          <w:sz w:val="20"/>
          <w:szCs w:val="20"/>
        </w:rPr>
        <w:fldChar w:fldCharType="end"/>
      </w:r>
      <w:r w:rsidRPr="00973FEA">
        <w:rPr>
          <w:rFonts w:cstheme="minorHAnsi"/>
          <w:sz w:val="20"/>
          <w:szCs w:val="20"/>
        </w:rPr>
        <w:t xml:space="preserve"> and </w:t>
      </w:r>
      <w:r w:rsidRPr="00973FEA">
        <w:rPr>
          <w:rFonts w:cstheme="minorHAnsi"/>
          <w:sz w:val="20"/>
          <w:szCs w:val="20"/>
          <w:u w:val="single"/>
        </w:rPr>
        <w:t>an effort</w:t>
      </w:r>
      <w:r w:rsidRPr="00973FEA">
        <w:rPr>
          <w:rFonts w:cstheme="minorHAnsi"/>
          <w:sz w:val="20"/>
          <w:szCs w:val="20"/>
        </w:rPr>
        <w:t xml:space="preserve"> to synthesize Islamic values for architecture </w:t>
      </w:r>
      <w:r w:rsidRPr="00973FEA">
        <w:rPr>
          <w:rFonts w:cstheme="minorHAnsi"/>
          <w:sz w:val="20"/>
          <w:szCs w:val="20"/>
        </w:rPr>
        <w:fldChar w:fldCharType="begin"/>
      </w:r>
      <w:r w:rsidRPr="00973FEA">
        <w:rPr>
          <w:rFonts w:cstheme="minorHAnsi"/>
          <w:sz w:val="20"/>
          <w:szCs w:val="20"/>
        </w:rPr>
        <w:instrText xml:space="preserve"> ADDIN ZOTERO_ITEM CSL_CITATION {"citationID":"jpMgGjak","properties":{"formattedCitation":"[4], [49], [50], [73]","plainCitation":"[4], [49], [50], [73]","noteIndex":0},"citationItems":[{"id":3676,"uris":["http://zotero.org/users/local/Rj7jaPwM/items/DFTFY3SL"],"itemData":{"id":3676,"type":"article-journal","container-title":"The Journal of Aesthetics and Art Criticism","issue":"1,","language":"en","page":"69-75","source":"Zotero","title":"Islamic Aesthetics: An Alternative Way to Knowledge","volume":"65","author":[{"family":"Erzen","given":"Jale Nejdet"}],"issued":{"date-parts":[["2007"]]}}},{"id":4186,"uris":["http://zotero.org/users/local/Rj7jaPwM/items/IKY8IB6J"],"itemData":{"id":4186,"type":"article-journal","abstract":"Contemporary architecture in the Arab-Islamic World is facing the challenge of finding a distinctive character that combines both the heritage of the regional building traditions and the modern society lifestyle. Since few apparent attempts aim to articulate an identity for regional architecture, this research investigates the work of the Jordanian architect, Ayman Zuaiter. Their jobs attempt to integrate the cultural values and traditions with the contemporary Arab-Islamic architecture and seek to express and represent the spirit, values, and underlying principles of the regional heritage. This study aims to offer a deeper understanding of design as both method and production, contributing in turn to understanding regional and socio-economic considerations behind forms. This study will be based on the analysis of one of Zuaiter's residential buildings, Al-Tabba'a House. The research method is mainly exploratory, which combines a review of the project primarily in terms of cultural context; responding to the site itself (understanding regional and socio-economic considerations behind forms); concepts and how techniques helped them appear the way they are; multiple personal interviews with the architect aiming to understand his design strategies to revive traditions; and the external influences that affect the design process. This study shows that Islamic Values could be delivered through each design feature in Ayman Zuaiter’s work of contemporary Arab architecture.","container-title":"Journal of Islamic Architecture","DOI":"10.18860/jia.v6i1.7848","ISSN":"2356-4644, 2086-2636","issue":"1","journalAbbreviation":"JIA","page":"48-57","source":"DOI.org (Crossref)","title":"REVIVING ISLAMIC VALUES IN CONTEMPORARY ARAB ARCHITECTURE |CASE STUDY","volume":"6","author":[{"family":"Alqub","given":"Heba"},{"family":"Mellin","given":"Robert"}],"issued":{"date-parts":[["2020",6,9]]}}},{"id":4178,"uris":["http://zotero.org/users/local/Rj7jaPwM/items/GU2HMIA4"],"itemData":{"id":4178,"type":"article-journal","abstract":"Islamic architecture is often thought as a history course and thus finds its material limited to the cataloguing and studying of legacies of successive empires or various geographic regions of the Islamic world. In practice, adherent professionals tend to reproduce high styles such as Umayyad, Abassid, Fatimid, Ottoman, etc., or recycle well known elements such as the minarets, courtyards, and mashrabiyyahs. This approach, endorsed by the present comprehensive Islamic revival, is believed to be the way to defend and revitalize the identity of Muslim societies that was initially affected by colonization and now is being offended by globalization. However, this approach often clashes with the contemporary trends in architecture that do not necessarily oppose the essence of Islamic architecture. Furthermore, it sometimes lead to an erroneous belief that consists of relating a priori forms to Islam and that clashes with the timeless and universal character of the Islamic religion. The key question to be asked then is, beyond this historicist view, what would be an “Islamic architecture” of nowadays that originates from the essence of Islam and that responds to contemporary conditions, needs, aspirations of present Muslim societies and individuals. To what extends can Islamic architecture benefits from modern progress and contemporary thought in resurrecting itself without loosing its essence. The hypothesis of the study is that, just as early Muslim architecture started from the adoption, use and re-use of early pre-Islamic architectures before reaching originality, this process, called Islamization, could also take place nowadays with the contemporary thought that is mostly developed in Western and non-Islamic environments. Mechanisms in Islam that allowed the “absorption” of pre-existing civilizations should thus structure the islamization approach and serve the scholars and professionals to reach the new Islamic architecture. The objectives of the paper consist of counter-criticizing orientalists’ views that overwhelm our libraries and references systems, and that consider the first stage of Islamic civilization, within which architecture is part, as a mere cut-and-paste process and, at best, a synthesis of these pre-Islamic heritages, and overcoming the prevailing historicist approach, and open new scopes for future generations to instate a new era of islamization that permits digesting the contemporary Western thoughts in a conscious, critical, and constructive way.","container-title":"Journal of Islamic Architecture","DOI":"10.18860/jia.v1i2.1720","ISSN":"2356-4644, 2086-2636","issue":"2","journalAbbreviation":"JIA","language":"en","source":"DOI.org (Crossref)","title":"ISLAMIZATION OF CONTEMPORARY ARCHITECTURE: SHIFTING THE PARADIGM OF ISLAMIC ARCHITECTURE","title-short":"ISLAMIZATION OF CONTEMPORARY ARCHITECTURE","URL":"http://ejournal.uin-malang.ac.id/index.php/JIA/article/view/1720","volume":"1","author":[{"family":"Hamouche","given":"Mustapha Ben-"}],"accessed":{"date-parts":[["2024",2,8]]},"issued":{"date-parts":[["2012",3,29]]}}},{"id":3626,"uris":["http://zotero.org/users/local/Rj7jaPwM/items/9EAXG8VL"],"itemData":{"id":3626,"type":"article-journal","abstract":"This paper discusses the meaning of Islamic architecture and some of its salient characteristics. The discussion is divided into the following sections: (1) The meaning of Islamic architecture; (2) Islamic architecture as a means, not an end; (3) Two examples: the Islamic house and the mosque; (4) Pragmatism and Islamic architecture today; (5) Towards the revival of Islamic architecture. The paper seeks to enhance the awareness, both of the professionals and general readership, as to the importance of correctly conceptualizing and practicing Islamic architecture. The nature of the paper, along with its content, methodology and conclusions, is conceptual and philosophical, rather than empirical. The paper concludes that Islamic architecture is an architecture that embodies the message of Islam. It both facilitates the Muslims‘ realization of the Islamic purpose and its divine principles on earth, and promotes a lifestyle generated by such a philosophy and principles. At the core of Islamic architecture lies function with all of its dimensions: corporeal, cerebral and spiritual. The role of the form is an important one too, but only inasmuch as it supplements and enhances function.","issue":"2","language":"en","source":"Zotero","title":"Islamic Architecture and The Prospect of Its Revival Today","volume":"1","author":[{"family":"Omer","given":"Dr Spahic"}],"issued":{"date-parts":[["2011"]]}}}],"schema":"https://github.com/citation-style-language/schema/raw/master/csl-citation.json"}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[4], [49], [50], [73]</w:t>
      </w:r>
      <w:r w:rsidRPr="00973FEA">
        <w:rPr>
          <w:rFonts w:cstheme="minorHAnsi"/>
          <w:sz w:val="20"/>
          <w:szCs w:val="20"/>
        </w:rPr>
        <w:fldChar w:fldCharType="end"/>
      </w:r>
      <w:r w:rsidRPr="00973FEA">
        <w:rPr>
          <w:rFonts w:cstheme="minorHAnsi"/>
          <w:sz w:val="20"/>
          <w:szCs w:val="20"/>
        </w:rPr>
        <w:t xml:space="preserve">, which ask what Islam wants from architecture. </w:t>
      </w:r>
    </w:p>
    <w:p w14:paraId="081F9BD3"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rPr>
        <w:t xml:space="preserve">Based on the results of this study, Islamic architecture can be understood through three interconnected dimensions: </w:t>
      </w:r>
      <w:proofErr w:type="spellStart"/>
      <w:r w:rsidRPr="00973FEA">
        <w:rPr>
          <w:rFonts w:cstheme="minorHAnsi"/>
          <w:sz w:val="20"/>
          <w:szCs w:val="20"/>
        </w:rPr>
        <w:t>Mentifact</w:t>
      </w:r>
      <w:proofErr w:type="spellEnd"/>
      <w:r w:rsidRPr="00973FEA">
        <w:rPr>
          <w:rFonts w:cstheme="minorHAnsi"/>
          <w:sz w:val="20"/>
          <w:szCs w:val="20"/>
        </w:rPr>
        <w:t xml:space="preserve">, </w:t>
      </w:r>
      <w:proofErr w:type="spellStart"/>
      <w:r w:rsidRPr="00973FEA">
        <w:rPr>
          <w:rFonts w:cstheme="minorHAnsi"/>
          <w:sz w:val="20"/>
          <w:szCs w:val="20"/>
        </w:rPr>
        <w:t>Sociofact</w:t>
      </w:r>
      <w:proofErr w:type="spellEnd"/>
      <w:r w:rsidRPr="00973FEA">
        <w:rPr>
          <w:rFonts w:cstheme="minorHAnsi"/>
          <w:sz w:val="20"/>
          <w:szCs w:val="20"/>
        </w:rPr>
        <w:t xml:space="preserve">, and Artifact. The </w:t>
      </w:r>
      <w:proofErr w:type="spellStart"/>
      <w:r w:rsidRPr="00973FEA">
        <w:rPr>
          <w:rFonts w:cstheme="minorHAnsi"/>
          <w:sz w:val="20"/>
          <w:szCs w:val="20"/>
        </w:rPr>
        <w:t>Mentifact</w:t>
      </w:r>
      <w:proofErr w:type="spellEnd"/>
      <w:r w:rsidRPr="00973FEA">
        <w:rPr>
          <w:rFonts w:cstheme="minorHAnsi"/>
          <w:sz w:val="20"/>
          <w:szCs w:val="20"/>
        </w:rPr>
        <w:t xml:space="preserve"> category encompasses the convictions, principles, and notions that guide the creation of Islamic structures. </w:t>
      </w:r>
      <w:proofErr w:type="spellStart"/>
      <w:r w:rsidRPr="00973FEA">
        <w:rPr>
          <w:rFonts w:cstheme="minorHAnsi"/>
          <w:sz w:val="20"/>
          <w:szCs w:val="20"/>
        </w:rPr>
        <w:t>Sociofacts</w:t>
      </w:r>
      <w:proofErr w:type="spellEnd"/>
      <w:r w:rsidRPr="00973FEA">
        <w:rPr>
          <w:rFonts w:cstheme="minorHAnsi"/>
          <w:sz w:val="20"/>
          <w:szCs w:val="20"/>
        </w:rPr>
        <w:t xml:space="preserve"> describe the influenced and influencing social and cultural conditions, including the needs of the local population, such as the neighbouring community. The term Artifact refers to the actual structures themselves, encompassing their components, symbolism, and ornamentation.</w:t>
      </w:r>
    </w:p>
    <w:p w14:paraId="3FA9954A"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rPr>
        <w:t xml:space="preserve">This framework allows for a multifaceted analysis of Islamic architecture at various levels. It reveals that architecture does not solely reflect the values of artifacts; rather, it embodies </w:t>
      </w:r>
      <w:proofErr w:type="spellStart"/>
      <w:r w:rsidRPr="00973FEA">
        <w:rPr>
          <w:rFonts w:cstheme="minorHAnsi"/>
          <w:sz w:val="20"/>
          <w:szCs w:val="20"/>
        </w:rPr>
        <w:t>mentifact</w:t>
      </w:r>
      <w:proofErr w:type="spellEnd"/>
      <w:r w:rsidRPr="00973FEA">
        <w:rPr>
          <w:rFonts w:cstheme="minorHAnsi"/>
          <w:sz w:val="20"/>
          <w:szCs w:val="20"/>
        </w:rPr>
        <w:t xml:space="preserve"> and </w:t>
      </w:r>
      <w:proofErr w:type="spellStart"/>
      <w:r w:rsidRPr="00973FEA">
        <w:rPr>
          <w:rFonts w:cstheme="minorHAnsi"/>
          <w:sz w:val="20"/>
          <w:szCs w:val="20"/>
        </w:rPr>
        <w:t>sociofact</w:t>
      </w:r>
      <w:proofErr w:type="spellEnd"/>
      <w:r w:rsidRPr="00973FEA">
        <w:rPr>
          <w:rFonts w:cstheme="minorHAnsi"/>
          <w:sz w:val="20"/>
          <w:szCs w:val="20"/>
        </w:rPr>
        <w:t xml:space="preserve"> concepts that align with the principles and values of </w:t>
      </w:r>
      <w:r w:rsidRPr="00973FEA">
        <w:rPr>
          <w:rFonts w:cstheme="minorHAnsi"/>
          <w:sz w:val="20"/>
          <w:szCs w:val="20"/>
          <w:u w:val="single"/>
        </w:rPr>
        <w:t>Islam as a religion</w:t>
      </w:r>
      <w:r w:rsidRPr="00973FEA">
        <w:rPr>
          <w:rFonts w:cstheme="minorHAnsi"/>
          <w:sz w:val="20"/>
          <w:szCs w:val="20"/>
        </w:rPr>
        <w:t xml:space="preserve">. In line with previous viewpoints, Islamic architecture is more than just a mere creation </w:t>
      </w:r>
      <w:r w:rsidRPr="00973FEA">
        <w:rPr>
          <w:rFonts w:cstheme="minorHAnsi"/>
          <w:sz w:val="20"/>
          <w:szCs w:val="20"/>
        </w:rPr>
        <w:fldChar w:fldCharType="begin"/>
      </w:r>
      <w:r w:rsidRPr="00973FEA">
        <w:rPr>
          <w:rFonts w:cstheme="minorHAnsi"/>
          <w:sz w:val="20"/>
          <w:szCs w:val="20"/>
        </w:rPr>
        <w:instrText xml:space="preserve"> ADDIN ZOTERO_ITEM CSL_CITATION {"citationID":"mhnVzYiC","properties":{"formattedCitation":"[1], [2], [3]","plainCitation":"[1], [2], [3]","noteIndex":0},"citationItems":[{"id":3700,"uris":["http://zotero.org/users/local/Rj7jaPwM/items/YBNADNN9"],"itemData":{"id":3700,"type":"article-journal","container-title":"Majallat al-Majmaʿ al-ʿIlmi al-Masri","DOI":"10.21608/jfnile.2015.88419","ISSN":"2682-4779","issue":"90","journalAbbreviation":"Majallat al-Majmaʿ al-ʿIlmi al-Masri","language":"en","page":"21-61","source":"DOI.org (Crossref)","title":"Islamic Concepts of Building and Architecture","volume":"90","author":[{"family":"Azab","given":"Khaled"}],"issued":{"date-parts":[["2015",5,1]]}}},{"id":"QCoNWly0/VAwvpbWP","uris":["http://zotero.org/users/local/Rj7jaPwM/items/V9RGZ8TU"],"itemData":{"id":3735,"type":"book","edition":"0","ISBN":"978-1-136-85131-5","language":"en","note":"DOI: 10.4324/9781315028767","publisher":"Routledge","source":"DOI.org (Crossref)","title":"Understanding Islamic Architecture","URL":"https://www.taylorfrancis.com/books/9781136851315","author":[{"family":"Petruccioli","given":"Attilo"},{"family":"Pirani","given":"Khalil K."}],"accessed":{"date-parts":[["2023",10,16]]},"issued":{"date-parts":[["2013",9,13]]}}},{"id":3460,"uris":["http://zotero.org/users/local/Rj7jaPwM/items/GC8HW4QW"],"itemData":{"id":3460,"type":"article-journal","abstract":"The main problem of the theory in the arena of islamic architecture is affected by some of its Western thoughts, and stereotyping the islamic architecture according to Western thoughts; this leads to the breakdown of the foundations in the islamic architecture. It is a myth that islamic architecture is subjected to the influence from foreign architectures. This paper will highlight the dialectical concept of islamic architecture or muslim buildings and the areas of recognition in islamic architecture. It will also widen the knowledge in the characteristics of each point in time according to the stages of islamic architecture from the prophetic age moving through the architecture outside the city of Medina, the Caliphs, the Umayyad, Abbasid, and architectural models by spatial and time periods, taking Iraq as the example to explain how the Islam influents on architecture and vice versa.","container-title":"Journal of Islamic Architecture","DOI":"10.18860/jia.v2i2.2202","ISSN":"2356-4644, 2086-2636","issue":"2","journalAbbreviation":"JIA","language":"en","source":"DOI.org (Crossref)","title":"Architecture in The Islamic Civilization: Muslim Building or Islamic Architecture","title-short":"ARCHITECTURE IN THE ISLAMIC CIVILIZATION","URL":"http://ejournal.uin-malang.ac.id/index.php/JIA/article/view/2202","volume":"2","author":[{"family":"Yassin","given":"Ayat Ali"},{"family":"Utaberta","given":"Dr. Nangkula"}],"accessed":{"date-parts":[["2023",9,18]]},"issued":{"date-parts":[["2012",12,28]]}}}],"schema":"https://github.com/citation-style-language/schema/raw/master/csl-citation.json"}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[1], [2], [3]</w:t>
      </w:r>
      <w:r w:rsidRPr="00973FEA">
        <w:rPr>
          <w:rFonts w:cstheme="minorHAnsi"/>
          <w:sz w:val="20"/>
          <w:szCs w:val="20"/>
        </w:rPr>
        <w:fldChar w:fldCharType="end"/>
      </w:r>
      <w:r w:rsidRPr="00973FEA">
        <w:rPr>
          <w:rFonts w:cstheme="minorHAnsi"/>
          <w:sz w:val="20"/>
          <w:szCs w:val="20"/>
        </w:rPr>
        <w:t>. Therefore, this paper serves as a valuable addition to the existing discourses on Islamic architecture.</w:t>
      </w:r>
    </w:p>
    <w:p w14:paraId="67D11517"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rPr>
        <w:t xml:space="preserve">Furthermore, these dimensions operate as a developmental stage framework for architecture, emphasizing the organization of </w:t>
      </w:r>
      <w:proofErr w:type="spellStart"/>
      <w:r w:rsidRPr="00973FEA">
        <w:rPr>
          <w:rFonts w:cstheme="minorHAnsi"/>
          <w:sz w:val="20"/>
          <w:szCs w:val="20"/>
        </w:rPr>
        <w:t>mentifact</w:t>
      </w:r>
      <w:proofErr w:type="spellEnd"/>
      <w:r w:rsidRPr="00973FEA">
        <w:rPr>
          <w:rFonts w:cstheme="minorHAnsi"/>
          <w:sz w:val="20"/>
          <w:szCs w:val="20"/>
        </w:rPr>
        <w:t xml:space="preserve"> first, followed by </w:t>
      </w:r>
      <w:proofErr w:type="spellStart"/>
      <w:r w:rsidRPr="00973FEA">
        <w:rPr>
          <w:rFonts w:cstheme="minorHAnsi"/>
          <w:sz w:val="20"/>
          <w:szCs w:val="20"/>
        </w:rPr>
        <w:t>sociofact</w:t>
      </w:r>
      <w:proofErr w:type="spellEnd"/>
      <w:r w:rsidRPr="00973FEA">
        <w:rPr>
          <w:rFonts w:cstheme="minorHAnsi"/>
          <w:sz w:val="20"/>
          <w:szCs w:val="20"/>
        </w:rPr>
        <w:t xml:space="preserve">, </w:t>
      </w:r>
      <w:r w:rsidRPr="00973FEA">
        <w:rPr>
          <w:rFonts w:cstheme="minorHAnsi"/>
          <w:sz w:val="20"/>
          <w:szCs w:val="20"/>
          <w:u w:val="single"/>
        </w:rPr>
        <w:t>and</w:t>
      </w:r>
      <w:r w:rsidRPr="00973FEA">
        <w:rPr>
          <w:rFonts w:cstheme="minorHAnsi"/>
          <w:sz w:val="20"/>
          <w:szCs w:val="20"/>
        </w:rPr>
        <w:t xml:space="preserve"> </w:t>
      </w:r>
      <w:r w:rsidRPr="00973FEA">
        <w:rPr>
          <w:rFonts w:cstheme="minorHAnsi"/>
          <w:sz w:val="20"/>
          <w:szCs w:val="20"/>
          <w:u w:val="single"/>
        </w:rPr>
        <w:t>artifact</w:t>
      </w:r>
      <w:r w:rsidRPr="00973FEA">
        <w:rPr>
          <w:rFonts w:cstheme="minorHAnsi"/>
          <w:sz w:val="20"/>
          <w:szCs w:val="20"/>
        </w:rPr>
        <w:t xml:space="preserve">. This framework also establishes a priority for Islamic architecture, where the utmost importance is placed on </w:t>
      </w:r>
      <w:proofErr w:type="spellStart"/>
      <w:r w:rsidRPr="00973FEA">
        <w:rPr>
          <w:rFonts w:cstheme="minorHAnsi"/>
          <w:sz w:val="20"/>
          <w:szCs w:val="20"/>
        </w:rPr>
        <w:t>mentifact</w:t>
      </w:r>
      <w:proofErr w:type="spellEnd"/>
      <w:r w:rsidRPr="00973FEA">
        <w:rPr>
          <w:rFonts w:cstheme="minorHAnsi"/>
          <w:sz w:val="20"/>
          <w:szCs w:val="20"/>
        </w:rPr>
        <w:t xml:space="preserve">, followed by </w:t>
      </w:r>
      <w:proofErr w:type="spellStart"/>
      <w:r w:rsidRPr="00973FEA">
        <w:rPr>
          <w:rFonts w:cstheme="minorHAnsi"/>
          <w:sz w:val="20"/>
          <w:szCs w:val="20"/>
        </w:rPr>
        <w:t>sociofact</w:t>
      </w:r>
      <w:proofErr w:type="spellEnd"/>
      <w:r w:rsidRPr="00973FEA">
        <w:rPr>
          <w:rFonts w:cstheme="minorHAnsi"/>
          <w:sz w:val="20"/>
          <w:szCs w:val="20"/>
        </w:rPr>
        <w:t xml:space="preserve">, </w:t>
      </w:r>
      <w:r w:rsidRPr="00973FEA">
        <w:rPr>
          <w:rFonts w:cstheme="minorHAnsi"/>
          <w:sz w:val="20"/>
          <w:szCs w:val="20"/>
          <w:u w:val="single"/>
        </w:rPr>
        <w:t>and</w:t>
      </w:r>
      <w:r w:rsidRPr="00973FEA">
        <w:rPr>
          <w:rFonts w:cstheme="minorHAnsi"/>
          <w:sz w:val="20"/>
          <w:szCs w:val="20"/>
        </w:rPr>
        <w:t xml:space="preserve"> artifact. Consequently, even if a structure exhibits Islamic characteristics or is </w:t>
      </w:r>
      <w:proofErr w:type="spellStart"/>
      <w:r w:rsidRPr="00973FEA">
        <w:rPr>
          <w:rFonts w:cstheme="minorHAnsi"/>
          <w:sz w:val="20"/>
          <w:szCs w:val="20"/>
        </w:rPr>
        <w:t>labeled</w:t>
      </w:r>
      <w:proofErr w:type="spellEnd"/>
      <w:r w:rsidRPr="00973FEA">
        <w:rPr>
          <w:rFonts w:cstheme="minorHAnsi"/>
          <w:sz w:val="20"/>
          <w:szCs w:val="20"/>
        </w:rPr>
        <w:t xml:space="preserve"> as an Islamic building, it is not considered truly Islamic if the </w:t>
      </w:r>
      <w:proofErr w:type="spellStart"/>
      <w:r w:rsidRPr="00973FEA">
        <w:rPr>
          <w:rFonts w:cstheme="minorHAnsi"/>
          <w:sz w:val="20"/>
          <w:szCs w:val="20"/>
        </w:rPr>
        <w:t>mentifact</w:t>
      </w:r>
      <w:proofErr w:type="spellEnd"/>
      <w:r w:rsidRPr="00973FEA">
        <w:rPr>
          <w:rFonts w:cstheme="minorHAnsi"/>
          <w:sz w:val="20"/>
          <w:szCs w:val="20"/>
        </w:rPr>
        <w:t xml:space="preserve"> and </w:t>
      </w:r>
      <w:proofErr w:type="spellStart"/>
      <w:r w:rsidRPr="00973FEA">
        <w:rPr>
          <w:rFonts w:cstheme="minorHAnsi"/>
          <w:sz w:val="20"/>
          <w:szCs w:val="20"/>
        </w:rPr>
        <w:t>sociofact</w:t>
      </w:r>
      <w:proofErr w:type="spellEnd"/>
      <w:r w:rsidRPr="00973FEA">
        <w:rPr>
          <w:rFonts w:cstheme="minorHAnsi"/>
          <w:sz w:val="20"/>
          <w:szCs w:val="20"/>
        </w:rPr>
        <w:t xml:space="preserve"> are not aligned with the correct path of Islam. </w:t>
      </w:r>
    </w:p>
    <w:p w14:paraId="5B23120F"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rPr>
        <w:t xml:space="preserve">Islamic architecture is fundamentally grounded in </w:t>
      </w:r>
      <w:proofErr w:type="spellStart"/>
      <w:r w:rsidRPr="00973FEA">
        <w:rPr>
          <w:rFonts w:cstheme="minorHAnsi"/>
          <w:sz w:val="20"/>
          <w:szCs w:val="20"/>
        </w:rPr>
        <w:t>mentifact</w:t>
      </w:r>
      <w:proofErr w:type="spellEnd"/>
      <w:r w:rsidRPr="00973FEA">
        <w:rPr>
          <w:rFonts w:cstheme="minorHAnsi"/>
          <w:sz w:val="20"/>
          <w:szCs w:val="20"/>
        </w:rPr>
        <w:t xml:space="preserve"> and </w:t>
      </w:r>
      <w:proofErr w:type="spellStart"/>
      <w:r w:rsidRPr="00973FEA">
        <w:rPr>
          <w:rFonts w:cstheme="minorHAnsi"/>
          <w:sz w:val="20"/>
          <w:szCs w:val="20"/>
        </w:rPr>
        <w:t>sociofact</w:t>
      </w:r>
      <w:proofErr w:type="spellEnd"/>
      <w:r w:rsidRPr="00973FEA">
        <w:rPr>
          <w:rFonts w:cstheme="minorHAnsi"/>
          <w:sz w:val="20"/>
          <w:szCs w:val="20"/>
        </w:rPr>
        <w:t xml:space="preserve">, where artifacts serve as the vehicles for expressing </w:t>
      </w:r>
      <w:proofErr w:type="spellStart"/>
      <w:r w:rsidRPr="00973FEA">
        <w:rPr>
          <w:rFonts w:cstheme="minorHAnsi"/>
          <w:sz w:val="20"/>
          <w:szCs w:val="20"/>
        </w:rPr>
        <w:t>mentifact</w:t>
      </w:r>
      <w:proofErr w:type="spellEnd"/>
      <w:r w:rsidRPr="00973FEA">
        <w:rPr>
          <w:rFonts w:cstheme="minorHAnsi"/>
          <w:sz w:val="20"/>
          <w:szCs w:val="20"/>
        </w:rPr>
        <w:t xml:space="preserve">. </w:t>
      </w:r>
      <w:r w:rsidRPr="00973FEA">
        <w:rPr>
          <w:rFonts w:cstheme="minorHAnsi"/>
          <w:sz w:val="20"/>
          <w:szCs w:val="20"/>
          <w:u w:val="single"/>
        </w:rPr>
        <w:t>Influencing</w:t>
      </w:r>
      <w:r w:rsidRPr="00973FEA">
        <w:rPr>
          <w:rFonts w:cstheme="minorHAnsi"/>
          <w:sz w:val="20"/>
          <w:szCs w:val="20"/>
        </w:rPr>
        <w:t xml:space="preserve"> how people perceive and interact with Islamic structures, </w:t>
      </w:r>
      <w:proofErr w:type="spellStart"/>
      <w:r w:rsidRPr="00973FEA">
        <w:rPr>
          <w:rFonts w:cstheme="minorHAnsi"/>
          <w:sz w:val="20"/>
          <w:szCs w:val="20"/>
        </w:rPr>
        <w:t>sociofacts</w:t>
      </w:r>
      <w:proofErr w:type="spellEnd"/>
      <w:r w:rsidRPr="00973FEA">
        <w:rPr>
          <w:rFonts w:cstheme="minorHAnsi"/>
          <w:sz w:val="20"/>
          <w:szCs w:val="20"/>
        </w:rPr>
        <w:t xml:space="preserve">, and artifacts also </w:t>
      </w:r>
      <w:r w:rsidRPr="00973FEA">
        <w:rPr>
          <w:rFonts w:cstheme="minorHAnsi"/>
          <w:sz w:val="20"/>
          <w:szCs w:val="20"/>
          <w:u w:val="single"/>
        </w:rPr>
        <w:t>exerts</w:t>
      </w:r>
      <w:r w:rsidRPr="00973FEA">
        <w:rPr>
          <w:rFonts w:cstheme="minorHAnsi"/>
          <w:sz w:val="20"/>
          <w:szCs w:val="20"/>
        </w:rPr>
        <w:t xml:space="preserve"> an impact on </w:t>
      </w:r>
      <w:proofErr w:type="spellStart"/>
      <w:r w:rsidRPr="00973FEA">
        <w:rPr>
          <w:rFonts w:cstheme="minorHAnsi"/>
          <w:sz w:val="20"/>
          <w:szCs w:val="20"/>
        </w:rPr>
        <w:t>mentifact</w:t>
      </w:r>
      <w:proofErr w:type="spellEnd"/>
      <w:r w:rsidRPr="00973FEA">
        <w:rPr>
          <w:rFonts w:cstheme="minorHAnsi"/>
          <w:sz w:val="20"/>
          <w:szCs w:val="20"/>
        </w:rPr>
        <w:t xml:space="preserve">. The Islamization of modern contemporary architecture is applicable, but it reveals layers of abstract concepts due to the mental basis of </w:t>
      </w:r>
      <w:proofErr w:type="spellStart"/>
      <w:r w:rsidRPr="00973FEA">
        <w:rPr>
          <w:rFonts w:cstheme="minorHAnsi"/>
          <w:sz w:val="20"/>
          <w:szCs w:val="20"/>
        </w:rPr>
        <w:t>mentifact</w:t>
      </w:r>
      <w:proofErr w:type="spellEnd"/>
      <w:r w:rsidRPr="00973FEA">
        <w:rPr>
          <w:rFonts w:cstheme="minorHAnsi"/>
          <w:sz w:val="20"/>
          <w:szCs w:val="20"/>
        </w:rPr>
        <w:t xml:space="preserve">. These added perspectives </w:t>
      </w:r>
      <w:r w:rsidRPr="00973FEA">
        <w:rPr>
          <w:rFonts w:cstheme="minorHAnsi"/>
          <w:sz w:val="20"/>
          <w:szCs w:val="20"/>
          <w:u w:val="single"/>
        </w:rPr>
        <w:t>that</w:t>
      </w:r>
      <w:r w:rsidRPr="00973FEA">
        <w:rPr>
          <w:rFonts w:cstheme="minorHAnsi"/>
          <w:sz w:val="20"/>
          <w:szCs w:val="20"/>
        </w:rPr>
        <w:t xml:space="preserve"> present a challenge to the synthesis of </w:t>
      </w:r>
      <w:r w:rsidRPr="00973FEA">
        <w:rPr>
          <w:rFonts w:cstheme="minorHAnsi"/>
          <w:sz w:val="20"/>
          <w:szCs w:val="20"/>
          <w:u w:val="single"/>
        </w:rPr>
        <w:t>Islamic heritage</w:t>
      </w:r>
      <w:r w:rsidRPr="00973FEA">
        <w:rPr>
          <w:rFonts w:cstheme="minorHAnsi"/>
          <w:sz w:val="20"/>
          <w:szCs w:val="20"/>
        </w:rPr>
        <w:t xml:space="preserve"> architecture in the Islamization and modernization process of </w:t>
      </w:r>
      <w:r w:rsidRPr="00973FEA">
        <w:rPr>
          <w:rFonts w:cstheme="minorHAnsi"/>
          <w:sz w:val="20"/>
          <w:szCs w:val="20"/>
          <w:u w:val="single"/>
        </w:rPr>
        <w:t>Islamic heritage</w:t>
      </w:r>
      <w:r w:rsidRPr="00973FEA">
        <w:rPr>
          <w:rFonts w:cstheme="minorHAnsi"/>
          <w:sz w:val="20"/>
          <w:szCs w:val="20"/>
        </w:rPr>
        <w:t xml:space="preserve"> architecture, as previously discussed by </w:t>
      </w:r>
      <w:proofErr w:type="spellStart"/>
      <w:r w:rsidRPr="00973FEA">
        <w:rPr>
          <w:rFonts w:cstheme="minorHAnsi"/>
          <w:sz w:val="20"/>
          <w:szCs w:val="20"/>
        </w:rPr>
        <w:t>Hamourche</w:t>
      </w:r>
      <w:proofErr w:type="spellEnd"/>
      <w:r w:rsidRPr="00973FEA">
        <w:rPr>
          <w:rFonts w:cstheme="minorHAnsi"/>
          <w:sz w:val="20"/>
          <w:szCs w:val="20"/>
        </w:rPr>
        <w:t xml:space="preserve"> </w:t>
      </w:r>
      <w:r w:rsidRPr="00973FEA">
        <w:rPr>
          <w:rFonts w:cstheme="minorHAnsi"/>
          <w:sz w:val="20"/>
          <w:szCs w:val="20"/>
        </w:rPr>
        <w:fldChar w:fldCharType="begin"/>
      </w:r>
      <w:r w:rsidRPr="00973FEA">
        <w:rPr>
          <w:rFonts w:cstheme="minorHAnsi"/>
          <w:sz w:val="20"/>
          <w:szCs w:val="20"/>
        </w:rPr>
        <w:instrText xml:space="preserve"> ADDIN ZOTERO_ITEM CSL_CITATION {"citationID":"7Q8o4xED","properties":{"formattedCitation":"[50]","plainCitation":"[50]","noteIndex":0},"citationItems":[{"id":4178,"uris":["http://zotero.org/users/local/Rj7jaPwM/items/GU2HMIA4"],"itemData":{"id":4178,"type":"article-journal","abstract":"Islamic architecture is often thought as a history course and thus finds its material limited to the cataloguing and studying of legacies of successive empires or various geographic regions of the Islamic world. In practice, adherent professionals tend to reproduce high styles such as Umayyad, Abassid, Fatimid, Ottoman, etc., or recycle well known elements such as the minarets, courtyards, and mashrabiyyahs. This approach, endorsed by the present comprehensive Islamic revival, is believed to be the way to defend and revitalize the identity of Muslim societies that was initially affected by colonization and now is being offended by globalization. However, this approach often clashes with the contemporary trends in architecture that do not necessarily oppose the essence of Islamic architecture. Furthermore, it sometimes lead to an erroneous belief that consists of relating a priori forms to Islam and that clashes with the timeless and universal character of the Islamic religion. The key question to be asked then is, beyond this historicist view, what would be an “Islamic architecture” of nowadays that originates from the essence of Islam and that responds to contemporary conditions, needs, aspirations of present Muslim societies and individuals. To what extends can Islamic architecture benefits from modern progress and contemporary thought in resurrecting itself without loosing its essence. The hypothesis of the study is that, just as early Muslim architecture started from the adoption, use and re-use of early pre-Islamic architectures before reaching originality, this process, called Islamization, could also take place nowadays with the contemporary thought that is mostly developed in Western and non-Islamic environments. Mechanisms in Islam that allowed the “absorption” of pre-existing civilizations should thus structure the islamization approach and serve the scholars and professionals to reach the new Islamic architecture. The objectives of the paper consist of counter-criticizing orientalists’ views that overwhelm our libraries and references systems, and that consider the first stage of Islamic civilization, within which architecture is part, as a mere cut-and-paste process and, at best, a synthesis of these pre-Islamic heritages, and overcoming the prevailing historicist approach, and open new scopes for future generations to instate a new era of islamization that permits digesting the contemporary Western thoughts in a conscious, critical, and constructive way.","container-title":"Journal of Islamic Architecture","DOI":"10.18860/jia.v1i2.1720","ISSN":"2356-4644, 2086-2636","issue":"2","journalAbbreviation":"JIA","language":"en","source":"DOI.org (Crossref)","title":"ISLAMIZATION OF CONTEMPORARY ARCHITECTURE: SHIFTING THE PARADIGM OF ISLAMIC ARCHITECTURE","title-short":"ISLAMIZATION OF CONTEMPORARY ARCHITECTURE","URL":"http://ejournal.uin-malang.ac.id/index.php/JIA/article/view/1720","volume":"1","author":[{"family":"Hamouche","given":"Mustapha Ben-"}],"accessed":{"date-parts":[["2024",2,8]]},"issued":{"date-parts":[["2012",3,29]]}}}],"schema":"https://github.com/citation-style-language/schema/raw/master/csl-citation.json"}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[50]</w:t>
      </w:r>
      <w:r w:rsidRPr="00973FEA">
        <w:rPr>
          <w:rFonts w:cstheme="minorHAnsi"/>
          <w:sz w:val="20"/>
          <w:szCs w:val="20"/>
        </w:rPr>
        <w:fldChar w:fldCharType="end"/>
      </w:r>
      <w:r w:rsidRPr="00973FEA">
        <w:rPr>
          <w:rFonts w:cstheme="minorHAnsi"/>
          <w:sz w:val="20"/>
          <w:szCs w:val="20"/>
        </w:rPr>
        <w:t xml:space="preserve"> and Erzen </w:t>
      </w:r>
      <w:r w:rsidRPr="00973FEA">
        <w:rPr>
          <w:rFonts w:cstheme="minorHAnsi"/>
          <w:sz w:val="20"/>
          <w:szCs w:val="20"/>
        </w:rPr>
        <w:fldChar w:fldCharType="begin"/>
      </w:r>
      <w:r w:rsidRPr="00973FEA">
        <w:rPr>
          <w:rFonts w:cstheme="minorHAnsi"/>
          <w:sz w:val="20"/>
          <w:szCs w:val="20"/>
        </w:rPr>
        <w:instrText xml:space="preserve"> ADDIN ZOTERO_ITEM CSL_CITATION {"citationID":"LXJ9SXkY","properties":{"formattedCitation":"[4]","plainCitation":"[4]","noteIndex":0},"citationItems":[{"id":3676,"uris":["http://zotero.org/users/local/Rj7jaPwM/items/DFTFY3SL"],"itemData":{"id":3676,"type":"article-journal","container-title":"The Journal of Aesthetics and Art Criticism","issue":"1,","language":"en","page":"69-75","source":"Zotero","title":"Islamic Aesthetics: An Alternative Way to Knowledge","volume":"65","author":[{"family":"Erzen","given":"Jale Nejdet"}],"issued":{"date-parts":[["2007"]]}}}],"schema":"https://github.com/citation-style-language/schema/raw/master/csl-citation.json"}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[4]</w:t>
      </w:r>
      <w:r w:rsidRPr="00973FEA">
        <w:rPr>
          <w:rFonts w:cstheme="minorHAnsi"/>
          <w:sz w:val="20"/>
          <w:szCs w:val="20"/>
        </w:rPr>
        <w:fldChar w:fldCharType="end"/>
      </w:r>
      <w:r w:rsidRPr="00973FEA">
        <w:rPr>
          <w:rFonts w:cstheme="minorHAnsi"/>
          <w:sz w:val="20"/>
          <w:szCs w:val="20"/>
        </w:rPr>
        <w:t>.</w:t>
      </w:r>
    </w:p>
    <w:p w14:paraId="6B78A935"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rPr>
        <w:t xml:space="preserve">Structuring Islamic architecture using the three proposed dimensions enhances its applicability, yet it introduces challenges when evaluating existing architecture </w:t>
      </w:r>
      <w:proofErr w:type="spellStart"/>
      <w:r w:rsidRPr="00973FEA">
        <w:rPr>
          <w:rFonts w:cstheme="minorHAnsi"/>
          <w:sz w:val="20"/>
          <w:szCs w:val="20"/>
        </w:rPr>
        <w:t>labeled</w:t>
      </w:r>
      <w:proofErr w:type="spellEnd"/>
      <w:r w:rsidRPr="00973FEA">
        <w:rPr>
          <w:rFonts w:cstheme="minorHAnsi"/>
          <w:sz w:val="20"/>
          <w:szCs w:val="20"/>
        </w:rPr>
        <w:t xml:space="preserve"> as Islamic, which further emphasizes the opinions of previous researchers </w:t>
      </w:r>
      <w:r w:rsidRPr="00973FEA">
        <w:rPr>
          <w:rFonts w:cstheme="minorHAnsi"/>
          <w:sz w:val="20"/>
          <w:szCs w:val="20"/>
        </w:rPr>
        <w:fldChar w:fldCharType="begin"/>
      </w:r>
      <w:r w:rsidRPr="00973FEA">
        <w:rPr>
          <w:rFonts w:cstheme="minorHAnsi"/>
          <w:sz w:val="20"/>
          <w:szCs w:val="20"/>
        </w:rPr>
        <w:instrText xml:space="preserve"> ADDIN ZOTERO_ITEM CSL_CITATION {"citationID":"yhBtn3Mw","properties":{"formattedCitation":"[7]","plainCitation":"[7]","noteIndex":0},"citationItems":[{"id":3654,"uris":["http://zotero.org/users/local/Rj7jaPwM/items/UAQ6J5GL"],"itemData":{"id":3654,"type":"article-journal","container-title":"Architectural History","DOI":"10.2307/1568797","ISSN":"0066622X","journalAbbreviation":"Architectural History","language":"en","page":"1","source":"DOI.org (Crossref)","title":"Studying Islamic Architecture: Challenges and Perspectives","title-short":"Studying Islamic Architecture","volume":"46","author":[{"family":"Hillenbrand","given":"Robert"}],"issued":{"date-parts":[["2003"]]}}}],"schema":"https://github.com/citation-style-language/schema/raw/master/csl-citation.json"}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[7]</w:t>
      </w:r>
      <w:r w:rsidRPr="00973FEA">
        <w:rPr>
          <w:rFonts w:cstheme="minorHAnsi"/>
          <w:sz w:val="20"/>
          <w:szCs w:val="20"/>
        </w:rPr>
        <w:fldChar w:fldCharType="end"/>
      </w:r>
      <w:r w:rsidRPr="00973FEA">
        <w:rPr>
          <w:rFonts w:cstheme="minorHAnsi"/>
          <w:sz w:val="20"/>
          <w:szCs w:val="20"/>
        </w:rPr>
        <w:t xml:space="preserve">. This </w:t>
      </w:r>
      <w:r w:rsidRPr="00973FEA">
        <w:rPr>
          <w:rFonts w:cstheme="minorHAnsi"/>
          <w:sz w:val="20"/>
          <w:szCs w:val="20"/>
          <w:u w:val="single"/>
        </w:rPr>
        <w:t>primarily happens</w:t>
      </w:r>
      <w:r w:rsidRPr="00973FEA">
        <w:rPr>
          <w:rFonts w:cstheme="minorHAnsi"/>
          <w:sz w:val="20"/>
          <w:szCs w:val="20"/>
        </w:rPr>
        <w:t xml:space="preserve"> because it emphasizes abstract elements such as intentions and </w:t>
      </w:r>
      <w:proofErr w:type="spellStart"/>
      <w:r w:rsidRPr="00973FEA">
        <w:rPr>
          <w:rFonts w:cstheme="minorHAnsi"/>
          <w:i/>
          <w:iCs/>
          <w:sz w:val="20"/>
          <w:szCs w:val="20"/>
        </w:rPr>
        <w:t>akhlaq</w:t>
      </w:r>
      <w:proofErr w:type="spellEnd"/>
      <w:r w:rsidRPr="00973FEA">
        <w:rPr>
          <w:rFonts w:cstheme="minorHAnsi"/>
          <w:sz w:val="20"/>
          <w:szCs w:val="20"/>
        </w:rPr>
        <w:t xml:space="preserve"> based on Islam in the </w:t>
      </w:r>
      <w:r w:rsidRPr="00973FEA">
        <w:rPr>
          <w:rFonts w:cstheme="minorHAnsi"/>
          <w:sz w:val="20"/>
          <w:szCs w:val="20"/>
          <w:u w:val="single"/>
        </w:rPr>
        <w:t>philosophical aspects</w:t>
      </w:r>
      <w:r w:rsidRPr="00973FEA">
        <w:rPr>
          <w:rFonts w:cstheme="minorHAnsi"/>
          <w:sz w:val="20"/>
          <w:szCs w:val="20"/>
        </w:rPr>
        <w:t xml:space="preserve">, which can be difficult to </w:t>
      </w:r>
      <w:r w:rsidRPr="00973FEA">
        <w:rPr>
          <w:rFonts w:cstheme="minorHAnsi"/>
          <w:sz w:val="20"/>
          <w:szCs w:val="20"/>
          <w:u w:val="single"/>
        </w:rPr>
        <w:t>fully assess</w:t>
      </w:r>
      <w:r w:rsidRPr="00973FEA">
        <w:rPr>
          <w:rFonts w:cstheme="minorHAnsi"/>
          <w:sz w:val="20"/>
          <w:szCs w:val="20"/>
        </w:rPr>
        <w:t xml:space="preserve"> due to their inherently subjective nature. Additionally, a thorough understanding of the wealth of </w:t>
      </w:r>
      <w:proofErr w:type="spellStart"/>
      <w:r w:rsidRPr="00973FEA">
        <w:rPr>
          <w:rFonts w:cstheme="minorHAnsi"/>
          <w:i/>
          <w:sz w:val="20"/>
          <w:szCs w:val="20"/>
          <w:u w:val="single"/>
        </w:rPr>
        <w:t>fiqh</w:t>
      </w:r>
      <w:proofErr w:type="spellEnd"/>
      <w:r w:rsidRPr="00973FEA">
        <w:rPr>
          <w:rFonts w:cstheme="minorHAnsi"/>
          <w:sz w:val="20"/>
          <w:szCs w:val="20"/>
        </w:rPr>
        <w:t xml:space="preserve"> studies is essential, and this knowledge, although recorded in ancient and modern Islamic references, demands </w:t>
      </w:r>
      <w:r w:rsidRPr="00973FEA">
        <w:rPr>
          <w:rFonts w:cstheme="minorHAnsi"/>
          <w:sz w:val="20"/>
          <w:szCs w:val="20"/>
          <w:u w:val="single"/>
        </w:rPr>
        <w:t>a comprehensive</w:t>
      </w:r>
      <w:r w:rsidRPr="00973FEA">
        <w:rPr>
          <w:rFonts w:cstheme="minorHAnsi"/>
          <w:sz w:val="20"/>
          <w:szCs w:val="20"/>
        </w:rPr>
        <w:t xml:space="preserve"> and extensive familiarity with the subject matter. Nevertheless, these dimensions provide </w:t>
      </w:r>
      <w:r w:rsidRPr="00973FEA">
        <w:rPr>
          <w:rFonts w:cstheme="minorHAnsi"/>
          <w:sz w:val="20"/>
          <w:szCs w:val="20"/>
        </w:rPr>
        <w:lastRenderedPageBreak/>
        <w:t xml:space="preserve">additional avenues for analysis, building upon the work of previous researchers </w:t>
      </w:r>
      <w:r w:rsidRPr="00973FEA">
        <w:rPr>
          <w:rFonts w:cstheme="minorHAnsi"/>
          <w:sz w:val="20"/>
          <w:szCs w:val="20"/>
        </w:rPr>
        <w:fldChar w:fldCharType="begin"/>
      </w:r>
      <w:r w:rsidRPr="00973FEA">
        <w:rPr>
          <w:rFonts w:cstheme="minorHAnsi"/>
          <w:sz w:val="20"/>
          <w:szCs w:val="20"/>
        </w:rPr>
        <w:instrText xml:space="preserve"> ADDIN ZOTERO_ITEM CSL_CITATION {"citationID":"VCoAez0M","properties":{"formattedCitation":"[49], [73]","plainCitation":"[49], [73]","noteIndex":0},"citationItems":[{"id":4186,"uris":["http://zotero.org/users/local/Rj7jaPwM/items/IKY8IB6J"],"itemData":{"id":4186,"type":"article-journal","abstract":"Contemporary architecture in the Arab-Islamic World is facing the challenge of finding a distinctive character that combines both the heritage of the regional building traditions and the modern society lifestyle. Since few apparent attempts aim to articulate an identity for regional architecture, this research investigates the work of the Jordanian architect, Ayman Zuaiter. Their jobs attempt to integrate the cultural values and traditions with the contemporary Arab-Islamic architecture and seek to express and represent the spirit, values, and underlying principles of the regional heritage. This study aims to offer a deeper understanding of design as both method and production, contributing in turn to understanding regional and socio-economic considerations behind forms. This study will be based on the analysis of one of Zuaiter's residential buildings, Al-Tabba'a House. The research method is mainly exploratory, which combines a review of the project primarily in terms of cultural context; responding to the site itself (understanding regional and socio-economic considerations behind forms); concepts and how techniques helped them appear the way they are; multiple personal interviews with the architect aiming to understand his design strategies to revive traditions; and the external influences that affect the design process. This study shows that Islamic Values could be delivered through each design feature in Ayman Zuaiter’s work of contemporary Arab architecture.","container-title":"Journal of Islamic Architecture","DOI":"10.18860/jia.v6i1.7848","ISSN":"2356-4644, 2086-2636","issue":"1","journalAbbreviation":"JIA","page":"48-57","source":"DOI.org (Crossref)","title":"REVIVING ISLAMIC VALUES IN CONTEMPORARY ARAB ARCHITECTURE |CASE STUDY","volume":"6","author":[{"family":"Alqub","given":"Heba"},{"family":"Mellin","given":"Robert"}],"issued":{"date-parts":[["2020",6,9]]}}},{"id":3626,"uris":["http://zotero.org/users/local/Rj7jaPwM/items/9EAXG8VL"],"itemData":{"id":3626,"type":"article-journal","abstract":"This paper discusses the meaning of Islamic architecture and some of its salient characteristics. The discussion is divided into the following sections: (1) The meaning of Islamic architecture; (2) Islamic architecture as a means, not an end; (3) Two examples: the Islamic house and the mosque; (4) Pragmatism and Islamic architecture today; (5) Towards the revival of Islamic architecture. The paper seeks to enhance the awareness, both of the professionals and general readership, as to the importance of correctly conceptualizing and practicing Islamic architecture. The nature of the paper, along with its content, methodology and conclusions, is conceptual and philosophical, rather than empirical. The paper concludes that Islamic architecture is an architecture that embodies the message of Islam. It both facilitates the Muslims‘ realization of the Islamic purpose and its divine principles on earth, and promotes a lifestyle generated by such a philosophy and principles. At the core of Islamic architecture lies function with all of its dimensions: corporeal, cerebral and spiritual. The role of the form is an important one too, but only inasmuch as it supplements and enhances function.","issue":"2","language":"en","source":"Zotero","title":"Islamic Architecture and The Prospect of Its Revival Today","volume":"1","author":[{"family":"Omer","given":"Dr Spahic"}],"issued":{"date-parts":[["2011"]]}}}],"schema":"https://github.com/citation-style-language/schema/raw/master/csl-citation.json"}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[49], [73]</w:t>
      </w:r>
      <w:r w:rsidRPr="00973FEA">
        <w:rPr>
          <w:rFonts w:cstheme="minorHAnsi"/>
          <w:sz w:val="20"/>
          <w:szCs w:val="20"/>
        </w:rPr>
        <w:fldChar w:fldCharType="end"/>
      </w:r>
      <w:r w:rsidRPr="00973FEA">
        <w:rPr>
          <w:rFonts w:cstheme="minorHAnsi"/>
          <w:sz w:val="20"/>
          <w:szCs w:val="20"/>
        </w:rPr>
        <w:t xml:space="preserve"> and </w:t>
      </w:r>
      <w:r w:rsidRPr="00973FEA">
        <w:rPr>
          <w:rFonts w:cstheme="minorHAnsi"/>
          <w:sz w:val="20"/>
          <w:szCs w:val="20"/>
          <w:u w:val="single"/>
        </w:rPr>
        <w:t>offer</w:t>
      </w:r>
      <w:r w:rsidRPr="00973FEA">
        <w:rPr>
          <w:rFonts w:cstheme="minorHAnsi"/>
          <w:sz w:val="20"/>
          <w:szCs w:val="20"/>
        </w:rPr>
        <w:t xml:space="preserve"> a comprehensive framework for understanding and assessing the various elements that contribute to the Islamic character of architectural structures.</w:t>
      </w:r>
    </w:p>
    <w:p w14:paraId="0F003557"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rPr>
        <w:t xml:space="preserve">This study challenges previous research on needs and wants in Islamic buildings </w:t>
      </w:r>
      <w:r w:rsidRPr="00973FEA">
        <w:rPr>
          <w:rFonts w:cstheme="minorHAnsi"/>
          <w:sz w:val="20"/>
          <w:szCs w:val="20"/>
        </w:rPr>
        <w:fldChar w:fldCharType="begin"/>
      </w:r>
      <w:r w:rsidRPr="00973FEA">
        <w:rPr>
          <w:rFonts w:cstheme="minorHAnsi"/>
          <w:sz w:val="20"/>
          <w:szCs w:val="20"/>
        </w:rPr>
        <w:instrText xml:space="preserve"> ADDIN ZOTERO_ITEM CSL_CITATION {"citationID":"RcegLWN3","properties":{"formattedCitation":"[75]","plainCitation":"[75]","noteIndex":0},"citationItems":[{"id":4232,"uris":["http://zotero.org/users/local/Rj7jaPwM/items/ID87EDFC"],"itemData":{"id":4232,"type":"article-journal","abstract":"Generally, the study on mosque architecture focuses partly on classifying mosque forms or exploring the historical, socio-cultural, and political meanings behind the architectural design of mosques. This study puts forward a new concept of an interesting relationship between the needs of Islamic ritual activities and the wants of certain traditions that underlie the diversity of mosque architectural forms in Indonesia. Therefore, the search for these two essential aspects of mosque architecture is important to position the diversity of mosque architectural forms in the context of architectural design that continues to evolve. In line with these issues, this study analyzes the concepts of needs and wants that underlie the design of traditional, and contemporary mosques in West Java. The analysis process is carried out by comparing ideograms that represent the concept of the need for Islamic fiqh-based ritual activities, with typograms that represent the elements of the scope and mosque space in the study cases. Furthermore, the analysis results show that the expression of the architectural form of the mosque in each case study is more influenced by the wants of the pious congregation and the personal wants of the architect.","container-title":"Linguistics and Culture Review","DOI":"10.37028/lingcure.v5nS3.1535","language":"en","page":"381-395","source":"Zotero","title":"Needs and Wants in Mosque Architecture: A Study of Traditional and Modern Mosques in West Java-Indonesia","volume":"5","author":[{"family":"Wirakusumah","given":"Indri Astrina"}],"issued":{"date-parts":[["2021"]]}}}],"schema":"https://github.com/citation-style-language/schema/raw/master/csl-citation.json"}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[75]</w:t>
      </w:r>
      <w:r w:rsidRPr="00973FEA">
        <w:rPr>
          <w:rFonts w:cstheme="minorHAnsi"/>
          <w:sz w:val="20"/>
          <w:szCs w:val="20"/>
        </w:rPr>
        <w:fldChar w:fldCharType="end"/>
      </w:r>
      <w:r w:rsidRPr="00973FEA">
        <w:rPr>
          <w:rFonts w:cstheme="minorHAnsi"/>
          <w:sz w:val="20"/>
          <w:szCs w:val="20"/>
        </w:rPr>
        <w:t xml:space="preserve"> by highlighting the complexity of these variables. The </w:t>
      </w:r>
      <w:proofErr w:type="spellStart"/>
      <w:r w:rsidRPr="00973FEA">
        <w:rPr>
          <w:rFonts w:cstheme="minorHAnsi"/>
          <w:sz w:val="20"/>
          <w:szCs w:val="20"/>
        </w:rPr>
        <w:t>mentifact-sociofact</w:t>
      </w:r>
      <w:proofErr w:type="spellEnd"/>
      <w:r w:rsidRPr="00973FEA">
        <w:rPr>
          <w:rFonts w:cstheme="minorHAnsi"/>
          <w:sz w:val="20"/>
          <w:szCs w:val="20"/>
        </w:rPr>
        <w:t xml:space="preserve"> paradigm demonstrates that assessing needs and wants as factors in the development of Islamic buildings requires a nuanced analysis that delves into multiple layers, including the study of morals, </w:t>
      </w:r>
      <w:proofErr w:type="spellStart"/>
      <w:r w:rsidRPr="00973FEA">
        <w:rPr>
          <w:rFonts w:cstheme="minorHAnsi"/>
          <w:i/>
          <w:sz w:val="20"/>
          <w:szCs w:val="20"/>
        </w:rPr>
        <w:t>fiqh</w:t>
      </w:r>
      <w:proofErr w:type="spellEnd"/>
      <w:r w:rsidRPr="00973FEA">
        <w:rPr>
          <w:rFonts w:cstheme="minorHAnsi"/>
          <w:sz w:val="20"/>
          <w:szCs w:val="20"/>
        </w:rPr>
        <w:t>, and intentions. This complexity is especially evident when examining the community building the Islamic structures, emphasizing the necessity of in-depth questioning and understanding.</w:t>
      </w:r>
    </w:p>
    <w:p w14:paraId="160B116A"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rPr>
        <w:t xml:space="preserve">Hence, according to the artifact paradigm in this study, it is not accurate to assert that </w:t>
      </w:r>
      <w:r w:rsidRPr="00973FEA">
        <w:rPr>
          <w:rFonts w:cstheme="minorHAnsi"/>
          <w:sz w:val="20"/>
          <w:szCs w:val="20"/>
          <w:u w:val="single"/>
        </w:rPr>
        <w:t>arabesque-geometric</w:t>
      </w:r>
      <w:r w:rsidRPr="00973FEA">
        <w:rPr>
          <w:rFonts w:cstheme="minorHAnsi"/>
          <w:sz w:val="20"/>
          <w:szCs w:val="20"/>
        </w:rPr>
        <w:t xml:space="preserve"> patterns and the Islamic symbolic approach to architectural elements in Islamic architecture are merely based on 'want' and are, therefore, redundant. Geometric patterns, including arabesque designs, often symbolize the divine unity and order of the universe. They are purposefully utilized to evoke awe and wonder in the audience to enhance religiousness and interest in the glory of Islam. The Islamic belief in the unity of God and the beauty of creation is directly mirrored in the intentional use of geometric patterns, revealing a deeper purpose beyond mere desire or preference. Moreover, the symbolic approach serves as a means to impart knowledge about the Islamic religion to </w:t>
      </w:r>
      <w:r w:rsidRPr="00973FEA">
        <w:rPr>
          <w:rFonts w:cstheme="minorHAnsi"/>
          <w:sz w:val="20"/>
          <w:szCs w:val="20"/>
          <w:u w:val="single"/>
        </w:rPr>
        <w:t>the</w:t>
      </w:r>
      <w:r w:rsidRPr="00973FEA">
        <w:rPr>
          <w:rFonts w:cstheme="minorHAnsi"/>
          <w:sz w:val="20"/>
          <w:szCs w:val="20"/>
        </w:rPr>
        <w:t xml:space="preserve"> observers in a more engaging manner. Additionally, it functions as a foundation for expressing hopes and prayers to God for the building, adding a deeper layer of meaning and spiritual significance to the architectural elements.</w:t>
      </w:r>
    </w:p>
    <w:p w14:paraId="41A7DBEF"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rPr>
        <w:t>The significance of community in Islamic architecture is another illustration. Mosques, for instance, are gathering places where people gather to pray, learn, and socialize, in addition to being places of worship. Mosques are built with large open spaces that can hold sizable crowds of people, reflecting their social function.</w:t>
      </w:r>
    </w:p>
    <w:p w14:paraId="5FAD4427"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rPr>
        <w:t xml:space="preserve">This study provides an answer to the previous question posed by Grabar </w:t>
      </w:r>
      <w:r w:rsidRPr="00973FEA">
        <w:rPr>
          <w:rFonts w:cstheme="minorHAnsi"/>
          <w:sz w:val="20"/>
          <w:szCs w:val="20"/>
        </w:rPr>
        <w:fldChar w:fldCharType="begin"/>
      </w:r>
      <w:r w:rsidRPr="00973FEA">
        <w:rPr>
          <w:rFonts w:cstheme="minorHAnsi"/>
          <w:sz w:val="20"/>
          <w:szCs w:val="20"/>
        </w:rPr>
        <w:instrText xml:space="preserve"> ADDIN ZOTERO_ITEM CSL_CITATION {"citationID":"5fLsqBtt","properties":{"formattedCitation":"[72]","plainCitation":"[72]","noteIndex":0},"citationItems":[{"id":3657,"uris":["http://zotero.org/users/local/Rj7jaPwM/items/YUGZGZME"],"itemData":{"id":3657,"type":"article-journal","abstract":"OlegGrabarhasarguedthattherewasnota systemofvisualsymbolisnIslamic culturec; onsequentliytis difficutltoholdthatan Islamicarchitectureexists;thatis,if weweretostandbeforea mosqueandtrytoexperiencietaestheticalloyrsee whatkind ofbuildingitis wewouldnotbe able tosaythatitis a mosque.In thispaperweargue againstthispropositionW. ef, irstp,resenta briefanalysisofGrabars' viewS. econd,we criticallyevaluatethisviewT. hirdw, eexplicatehowthemosqueas an architecturtayl pe embodiesuniquelyIslamicsymbolsW. eshallillustrattehispointbyan analysisofone basicIslamicsymbolt: heMihrab.Thethesiswe defendis thatthereare basicIslamic symbolasndthatthesesymbolisnhereinthemosque.Itis thisfactthatlendscredibility totheclaimthatan Islamicarchitectureexists.","language":"en","page":"197-214","source":"Zotero","title":"Does an Islamic Architecture Exist?","author":[{"family":"Al-Jasmi","given":"Abdullah"},{"family":"work(s):","given":"Michael H. Mitias Reviewed"}],"issued":{"date-parts":[["2004"]]}}}],"schema":"https://github.com/citation-style-language/schema/raw/master/csl-citation.json"}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[72]</w:t>
      </w:r>
      <w:r w:rsidRPr="00973FEA">
        <w:rPr>
          <w:rFonts w:cstheme="minorHAnsi"/>
          <w:sz w:val="20"/>
          <w:szCs w:val="20"/>
        </w:rPr>
        <w:fldChar w:fldCharType="end"/>
      </w:r>
      <w:r w:rsidRPr="00973FEA">
        <w:rPr>
          <w:rFonts w:cstheme="minorHAnsi"/>
          <w:sz w:val="20"/>
          <w:szCs w:val="20"/>
        </w:rPr>
        <w:t xml:space="preserve">, indicating that the role of artifacts </w:t>
      </w:r>
      <w:r w:rsidRPr="00973FEA">
        <w:rPr>
          <w:rFonts w:cstheme="minorHAnsi"/>
          <w:sz w:val="20"/>
          <w:szCs w:val="20"/>
          <w:u w:val="single"/>
        </w:rPr>
        <w:t xml:space="preserve">in Islamic architecture </w:t>
      </w:r>
      <w:r w:rsidRPr="00973FEA">
        <w:rPr>
          <w:rFonts w:cstheme="minorHAnsi"/>
          <w:sz w:val="20"/>
          <w:szCs w:val="20"/>
        </w:rPr>
        <w:t xml:space="preserve">is not necessarily more important than the role of its underlying dimensions. While the physical dimension of Islamic architecture is evident, as argued by Jasmi and </w:t>
      </w:r>
      <w:proofErr w:type="spellStart"/>
      <w:r w:rsidRPr="00973FEA">
        <w:rPr>
          <w:rFonts w:cstheme="minorHAnsi"/>
          <w:sz w:val="20"/>
          <w:szCs w:val="20"/>
        </w:rPr>
        <w:t>Mitias</w:t>
      </w:r>
      <w:proofErr w:type="spellEnd"/>
      <w:r w:rsidRPr="00973FEA">
        <w:rPr>
          <w:rFonts w:cstheme="minorHAnsi"/>
          <w:sz w:val="20"/>
          <w:szCs w:val="20"/>
        </w:rPr>
        <w:t xml:space="preserve"> </w:t>
      </w:r>
      <w:r w:rsidRPr="00973FEA">
        <w:rPr>
          <w:rFonts w:cstheme="minorHAnsi"/>
          <w:sz w:val="20"/>
          <w:szCs w:val="20"/>
        </w:rPr>
        <w:fldChar w:fldCharType="begin"/>
      </w:r>
      <w:r w:rsidRPr="00973FEA">
        <w:rPr>
          <w:rFonts w:cstheme="minorHAnsi"/>
          <w:sz w:val="20"/>
          <w:szCs w:val="20"/>
        </w:rPr>
        <w:instrText xml:space="preserve"> ADDIN ZOTERO_ITEM CSL_CITATION {"citationID":"s7YVnIV5","properties":{"formattedCitation":"[72]","plainCitation":"[72]","noteIndex":0},"citationItems":[{"id":3657,"uris":["http://zotero.org/users/local/Rj7jaPwM/items/YUGZGZME"],"itemData":{"id":3657,"type":"article-journal","abstract":"OlegGrabarhasarguedthattherewasnota systemofvisualsymbolisnIslamic culturec; onsequentliytis difficutltoholdthatan Islamicarchitectureexists;thatis,if weweretostandbeforea mosqueandtrytoexperiencietaestheticalloyrsee whatkind ofbuildingitis wewouldnotbe able tosaythatitis a mosque.In thispaperweargue againstthispropositionW. ef, irstp,resenta briefanalysisofGrabars' viewS. econd,we criticallyevaluatethisviewT. hirdw, eexplicatehowthemosqueas an architecturtayl pe embodiesuniquelyIslamicsymbolsW. eshallillustrattehispointbyan analysisofone basicIslamicsymbolt: heMihrab.Thethesiswe defendis thatthereare basicIslamic symbolasndthatthesesymbolisnhereinthemosque.Itis thisfactthatlendscredibility totheclaimthatan Islamicarchitectureexists.","language":"en","page":"197-214","source":"Zotero","title":"Does an Islamic Architecture Exist?","author":[{"family":"Al-Jasmi","given":"Abdullah"},{"family":"work(s):","given":"Michael H. Mitias Reviewed"}],"issued":{"date-parts":[["2004"]]}}}],"schema":"https://github.com/citation-style-language/schema/raw/master/csl-citation.json"}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[72]</w:t>
      </w:r>
      <w:r w:rsidRPr="00973FEA">
        <w:rPr>
          <w:rFonts w:cstheme="minorHAnsi"/>
          <w:sz w:val="20"/>
          <w:szCs w:val="20"/>
        </w:rPr>
        <w:fldChar w:fldCharType="end"/>
      </w:r>
      <w:r w:rsidRPr="00973FEA">
        <w:rPr>
          <w:rFonts w:cstheme="minorHAnsi"/>
          <w:sz w:val="20"/>
          <w:szCs w:val="20"/>
        </w:rPr>
        <w:t>, this study goes a step further by highlighting the developmental aspect. It reveals a red line that connects God, religion, and architectural formations, rooted in comprehensive classical references that are rare, if not absent, in other religions or other paradigms. This emphasizes the unique and intricate relationship between Islamic architecture and its spiritual, cultural, and religious foundations.</w:t>
      </w:r>
    </w:p>
    <w:p w14:paraId="151C6E54"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rPr>
        <w:t xml:space="preserve">This study also concurs with previous studies </w:t>
      </w:r>
      <w:r w:rsidRPr="00973FEA">
        <w:rPr>
          <w:rFonts w:cstheme="minorHAnsi"/>
          <w:sz w:val="20"/>
          <w:szCs w:val="20"/>
        </w:rPr>
        <w:fldChar w:fldCharType="begin"/>
      </w:r>
      <w:r w:rsidRPr="00973FEA">
        <w:rPr>
          <w:rFonts w:cstheme="minorHAnsi"/>
          <w:sz w:val="20"/>
          <w:szCs w:val="20"/>
        </w:rPr>
        <w:instrText xml:space="preserve"> ADDIN ZOTERO_ITEM CSL_CITATION {"citationID":"tAI2p7OW","properties":{"formattedCitation":"[56]","plainCitation":"[56]","noteIndex":0},"citationItems":[{"id":4229,"uris":["http://zotero.org/users/local/Rj7jaPwM/items/9GZFNKPS"],"itemData":{"id":4229,"type":"article-journal","abstract":"This paper re-examines the claim of unity and universality of Islamic art, whose discussion usually disregards Islamic art and architecture in the Southeast Asian context. The question raised is where Islamic art in the Malay world should be put before the claim of the unity and universality of Islamic art and whether this claim is, thus, still valid. To meet this objective, the two heritages of Javanese Islamic art, Demak and Cirebon mosques and wayang, are presented and analyzed before such universal claim and pre-Islamic Javanese art. These Javanese expressions have unique features compared to those from the older Muslim world. The mosques lack geometric ornamentation and Qur’anic calligraphic decoration, and are rich with symbolism. However, both the mosques and wayang also clearly express the figurative designs. Thus, this paper argues that instead of geometric designs as the unified character of Islamic art as some argue, it should be the abstraction of motifs. This way, the universal claim of Islamic art accommodates the artistic expressions from the wider regions, including those from Southeast Asia. Besides the abstraction, these Javanese artistic expressions also shares other universal character of traditional development of Islamic art; its ability to always considering the local tradition while maintaining the basic principle of Islamic art. Javanese Islamic art is both Islamic and uniquely Javanese. In the midst of globalization and the contemporary tendency towards “Islamic authentication” by importing culture and tradition from the Middle East, including the mosque architecture, the latter character is vital. It tells that any direct import and implantation of other or foreign traditions to a certain region without any process of considering the local tradition and context has no basis and legitimation in Islamic artistic tradition.","container-title":"Sunan Kalijaga: International Journal of Islamic Civilization","DOI":"10.14421/skijic.v1i2.1364","ISSN":"2614-7262, 2614-5472","issue":"2","journalAbbreviation":"SKIJIC","language":"en","page":"171","source":"DOI.org (Crossref)","title":"Southeast Asian Islamic Art and Architecture: Re-Examining The Claim of the Unity and Universality of Islamic Art","title-short":"Southeast Asian Islamic Art and Architecture","volume":"1","author":[{"family":"Fina","given":"Lien Iffah Naf’atu"}],"issued":{"date-parts":[["2018",11,30]]}}}],"schema":"https://github.com/citation-style-language/schema/raw/master/csl-citation.json"} </w:instrText>
      </w:r>
      <w:r w:rsidRPr="00973FEA">
        <w:rPr>
          <w:rFonts w:cstheme="minorHAnsi"/>
          <w:sz w:val="20"/>
          <w:szCs w:val="20"/>
        </w:rPr>
        <w:fldChar w:fldCharType="separate"/>
      </w:r>
      <w:r w:rsidRPr="00973FEA">
        <w:rPr>
          <w:rFonts w:cstheme="minorHAnsi"/>
          <w:sz w:val="20"/>
          <w:szCs w:val="20"/>
        </w:rPr>
        <w:t>[56]</w:t>
      </w:r>
      <w:r w:rsidRPr="00973FEA">
        <w:rPr>
          <w:rFonts w:cstheme="minorHAnsi"/>
          <w:sz w:val="20"/>
          <w:szCs w:val="20"/>
        </w:rPr>
        <w:fldChar w:fldCharType="end"/>
      </w:r>
      <w:r w:rsidRPr="00973FEA">
        <w:rPr>
          <w:rFonts w:cstheme="minorHAnsi"/>
          <w:sz w:val="20"/>
          <w:szCs w:val="20"/>
        </w:rPr>
        <w:t xml:space="preserve"> and adds proof </w:t>
      </w:r>
      <w:r w:rsidRPr="00973FEA">
        <w:rPr>
          <w:rFonts w:cstheme="minorHAnsi"/>
          <w:sz w:val="20"/>
          <w:szCs w:val="20"/>
          <w:u w:val="single"/>
        </w:rPr>
        <w:t>of</w:t>
      </w:r>
      <w:r w:rsidRPr="00973FEA">
        <w:rPr>
          <w:rFonts w:cstheme="minorHAnsi"/>
          <w:sz w:val="20"/>
          <w:szCs w:val="20"/>
        </w:rPr>
        <w:t xml:space="preserve"> references, which underscores the significance of respecting locality and avoiding the Arabization of Islamic buildings in non-Arab contexts. While this approach is commendable, Islamic architecture also advocates for the respect of the relationship between an artifact and a </w:t>
      </w:r>
      <w:proofErr w:type="spellStart"/>
      <w:r w:rsidRPr="00973FEA">
        <w:rPr>
          <w:rFonts w:cstheme="minorHAnsi"/>
          <w:sz w:val="20"/>
          <w:szCs w:val="20"/>
        </w:rPr>
        <w:t>sociofact</w:t>
      </w:r>
      <w:proofErr w:type="spellEnd"/>
      <w:r w:rsidRPr="00973FEA">
        <w:rPr>
          <w:rFonts w:cstheme="minorHAnsi"/>
          <w:sz w:val="20"/>
          <w:szCs w:val="20"/>
        </w:rPr>
        <w:t xml:space="preserve">. </w:t>
      </w:r>
      <w:r w:rsidRPr="00973FEA">
        <w:rPr>
          <w:rFonts w:cstheme="minorHAnsi"/>
          <w:sz w:val="20"/>
          <w:szCs w:val="20"/>
          <w:u w:val="single"/>
        </w:rPr>
        <w:t>It is evident</w:t>
      </w:r>
      <w:r w:rsidRPr="00973FEA">
        <w:rPr>
          <w:rFonts w:cstheme="minorHAnsi"/>
          <w:sz w:val="20"/>
          <w:szCs w:val="20"/>
        </w:rPr>
        <w:t xml:space="preserve"> in how it has </w:t>
      </w:r>
      <w:r w:rsidRPr="00973FEA">
        <w:rPr>
          <w:rFonts w:cstheme="minorHAnsi"/>
          <w:sz w:val="20"/>
          <w:szCs w:val="20"/>
          <w:u w:val="single"/>
        </w:rPr>
        <w:t>been adapted to</w:t>
      </w:r>
      <w:r w:rsidRPr="00973FEA">
        <w:rPr>
          <w:rFonts w:cstheme="minorHAnsi"/>
          <w:sz w:val="20"/>
          <w:szCs w:val="20"/>
        </w:rPr>
        <w:t xml:space="preserve"> various environments and cultures. For instance, mosques in hot climates are designed differently from those in cold climates, reflecting the changing needs of communities based on climate variations. In hotter climates, mosques often feature spacious courtyards that provide shaded areas for people to gather and interact. This adaptation highlights the responsiveness of Islamic architecture to the socio-cultural and climatic contexts of diverse regions.</w:t>
      </w:r>
    </w:p>
    <w:p w14:paraId="7EC13E0A" w14:textId="77777777" w:rsidR="00973FEA" w:rsidRPr="00973FEA" w:rsidRDefault="00973FEA" w:rsidP="00973FEA">
      <w:pPr>
        <w:widowControl w:val="0"/>
        <w:ind w:left="284" w:firstLine="283"/>
        <w:jc w:val="both"/>
        <w:rPr>
          <w:rFonts w:cstheme="minorHAnsi"/>
          <w:sz w:val="20"/>
          <w:szCs w:val="20"/>
        </w:rPr>
      </w:pPr>
      <w:r w:rsidRPr="00973FEA">
        <w:rPr>
          <w:rFonts w:cstheme="minorHAnsi"/>
          <w:sz w:val="20"/>
          <w:szCs w:val="20"/>
        </w:rPr>
        <w:t xml:space="preserve">Therefore, Islamic architecture should not be perceived solely as an artifact; rather, it should be deeply rooted in its </w:t>
      </w:r>
      <w:proofErr w:type="spellStart"/>
      <w:r w:rsidRPr="00973FEA">
        <w:rPr>
          <w:rFonts w:cstheme="minorHAnsi"/>
          <w:sz w:val="20"/>
          <w:szCs w:val="20"/>
        </w:rPr>
        <w:t>sociofact</w:t>
      </w:r>
      <w:proofErr w:type="spellEnd"/>
      <w:r w:rsidRPr="00973FEA">
        <w:rPr>
          <w:rFonts w:cstheme="minorHAnsi"/>
          <w:sz w:val="20"/>
          <w:szCs w:val="20"/>
        </w:rPr>
        <w:t xml:space="preserve"> </w:t>
      </w:r>
      <w:r w:rsidRPr="00973FEA">
        <w:rPr>
          <w:rFonts w:cstheme="minorHAnsi"/>
          <w:sz w:val="20"/>
          <w:szCs w:val="20"/>
          <w:u w:val="single"/>
        </w:rPr>
        <w:t>that, in turn, is</w:t>
      </w:r>
      <w:r w:rsidRPr="00973FEA">
        <w:rPr>
          <w:rFonts w:cstheme="minorHAnsi"/>
          <w:sz w:val="20"/>
          <w:szCs w:val="20"/>
        </w:rPr>
        <w:t xml:space="preserve"> based on its </w:t>
      </w:r>
      <w:proofErr w:type="spellStart"/>
      <w:r w:rsidRPr="00973FEA">
        <w:rPr>
          <w:rFonts w:cstheme="minorHAnsi"/>
          <w:sz w:val="20"/>
          <w:szCs w:val="20"/>
        </w:rPr>
        <w:t>mentifact</w:t>
      </w:r>
      <w:proofErr w:type="spellEnd"/>
      <w:r w:rsidRPr="00973FEA">
        <w:rPr>
          <w:rFonts w:cstheme="minorHAnsi"/>
          <w:sz w:val="20"/>
          <w:szCs w:val="20"/>
        </w:rPr>
        <w:t xml:space="preserve">. When structures </w:t>
      </w:r>
      <w:r w:rsidRPr="00973FEA">
        <w:rPr>
          <w:rFonts w:cstheme="minorHAnsi"/>
          <w:sz w:val="20"/>
          <w:szCs w:val="20"/>
          <w:u w:val="single"/>
        </w:rPr>
        <w:t>labelled</w:t>
      </w:r>
      <w:r w:rsidRPr="00973FEA">
        <w:rPr>
          <w:rFonts w:cstheme="minorHAnsi"/>
          <w:sz w:val="20"/>
          <w:szCs w:val="20"/>
        </w:rPr>
        <w:t xml:space="preserve"> as Islamic architecture deviate from alignment with either the </w:t>
      </w:r>
      <w:proofErr w:type="spellStart"/>
      <w:r w:rsidRPr="00973FEA">
        <w:rPr>
          <w:rFonts w:cstheme="minorHAnsi"/>
          <w:sz w:val="20"/>
          <w:szCs w:val="20"/>
        </w:rPr>
        <w:t>sociofact</w:t>
      </w:r>
      <w:proofErr w:type="spellEnd"/>
      <w:r w:rsidRPr="00973FEA">
        <w:rPr>
          <w:rFonts w:cstheme="minorHAnsi"/>
          <w:sz w:val="20"/>
          <w:szCs w:val="20"/>
        </w:rPr>
        <w:t xml:space="preserve"> or the </w:t>
      </w:r>
      <w:proofErr w:type="spellStart"/>
      <w:r w:rsidRPr="00973FEA">
        <w:rPr>
          <w:rFonts w:cstheme="minorHAnsi"/>
          <w:sz w:val="20"/>
          <w:szCs w:val="20"/>
        </w:rPr>
        <w:t>mentifact</w:t>
      </w:r>
      <w:proofErr w:type="spellEnd"/>
      <w:r w:rsidRPr="00973FEA">
        <w:rPr>
          <w:rFonts w:cstheme="minorHAnsi"/>
          <w:sz w:val="20"/>
          <w:szCs w:val="20"/>
        </w:rPr>
        <w:t>, they cannot be genuinely considered Islamic; their classification would be limited to their physical form alone. This emphasizes the holistic nature of Islamic architecture, where the spiritual, cultural, and societal dimensions are integral to its authentic representation.</w:t>
      </w:r>
    </w:p>
    <w:p w14:paraId="033077AC" w14:textId="75E76DF3" w:rsidR="00973FEA" w:rsidRPr="00973FEA" w:rsidRDefault="00973FEA" w:rsidP="00973FEA">
      <w:pPr>
        <w:ind w:left="284" w:firstLine="283"/>
        <w:jc w:val="both"/>
        <w:rPr>
          <w:rFonts w:asciiTheme="majorHAnsi" w:hAnsiTheme="majorHAnsi" w:cstheme="majorHAnsi"/>
          <w:sz w:val="20"/>
          <w:szCs w:val="20"/>
          <w:lang w:val="id-ID"/>
        </w:rPr>
      </w:pPr>
      <w:r w:rsidRPr="00973FEA">
        <w:rPr>
          <w:rFonts w:cstheme="minorHAnsi"/>
          <w:sz w:val="20"/>
          <w:szCs w:val="20"/>
        </w:rPr>
        <w:t xml:space="preserve">The interrelation between </w:t>
      </w:r>
      <w:proofErr w:type="spellStart"/>
      <w:r w:rsidRPr="00973FEA">
        <w:rPr>
          <w:rFonts w:cstheme="minorHAnsi"/>
          <w:sz w:val="20"/>
          <w:szCs w:val="20"/>
        </w:rPr>
        <w:t>mentifact</w:t>
      </w:r>
      <w:proofErr w:type="spellEnd"/>
      <w:r w:rsidRPr="00973FEA">
        <w:rPr>
          <w:rFonts w:cstheme="minorHAnsi"/>
          <w:sz w:val="20"/>
          <w:szCs w:val="20"/>
        </w:rPr>
        <w:t xml:space="preserve">, </w:t>
      </w:r>
      <w:proofErr w:type="spellStart"/>
      <w:r w:rsidRPr="00973FEA">
        <w:rPr>
          <w:rFonts w:cstheme="minorHAnsi"/>
          <w:sz w:val="20"/>
          <w:szCs w:val="20"/>
        </w:rPr>
        <w:t>sociofact</w:t>
      </w:r>
      <w:proofErr w:type="spellEnd"/>
      <w:r w:rsidRPr="00973FEA">
        <w:rPr>
          <w:rFonts w:cstheme="minorHAnsi"/>
          <w:sz w:val="20"/>
          <w:szCs w:val="20"/>
        </w:rPr>
        <w:t>, and artefact within the context of Islamic Architecture, as derived from prior theories, is visually represented in Figure 4</w:t>
      </w:r>
      <w:r w:rsidR="00F4380B">
        <w:rPr>
          <w:rFonts w:cstheme="minorHAnsi"/>
          <w:sz w:val="20"/>
          <w:szCs w:val="20"/>
        </w:rPr>
        <w:t>.</w:t>
      </w:r>
    </w:p>
    <w:p w14:paraId="4168C344" w14:textId="77777777" w:rsidR="00973FEA" w:rsidRDefault="00973FEA" w:rsidP="00973FEA">
      <w:pPr>
        <w:pStyle w:val="ListParagraph"/>
        <w:jc w:val="both"/>
        <w:rPr>
          <w:rFonts w:asciiTheme="majorHAnsi" w:hAnsiTheme="majorHAnsi" w:cstheme="majorHAnsi"/>
          <w:sz w:val="20"/>
          <w:szCs w:val="20"/>
          <w:lang w:val="id-ID"/>
        </w:rPr>
      </w:pPr>
    </w:p>
    <w:p w14:paraId="1B866DFA" w14:textId="77777777" w:rsidR="00973FEA" w:rsidRDefault="00973FEA" w:rsidP="00973FEA">
      <w:pPr>
        <w:widowControl w:val="0"/>
        <w:jc w:val="center"/>
        <w:rPr>
          <w:rFonts w:cstheme="minorHAnsi"/>
          <w:sz w:val="20"/>
          <w:szCs w:val="20"/>
        </w:rPr>
      </w:pPr>
      <w:r w:rsidRPr="005258B6">
        <w:rPr>
          <w:rFonts w:cs="Calibri Light"/>
          <w:noProof/>
          <w:lang w:val="en-US"/>
        </w:rPr>
        <w:lastRenderedPageBreak/>
        <w:drawing>
          <wp:inline distT="0" distB="0" distL="0" distR="0" wp14:anchorId="1BEE33A8" wp14:editId="1C406BC8">
            <wp:extent cx="4224760" cy="3704238"/>
            <wp:effectExtent l="0" t="0" r="4445" b="0"/>
            <wp:docPr id="1930837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37035" cy="3715001"/>
                    </a:xfrm>
                    <a:prstGeom prst="rect">
                      <a:avLst/>
                    </a:prstGeom>
                    <a:noFill/>
                    <a:ln>
                      <a:noFill/>
                    </a:ln>
                  </pic:spPr>
                </pic:pic>
              </a:graphicData>
            </a:graphic>
          </wp:inline>
        </w:drawing>
      </w:r>
    </w:p>
    <w:p w14:paraId="0BB0E438" w14:textId="77777777" w:rsidR="00973FEA" w:rsidRDefault="00973FEA" w:rsidP="00973FEA">
      <w:pPr>
        <w:jc w:val="center"/>
        <w:rPr>
          <w:rFonts w:cs="Calibri Light"/>
          <w:bCs/>
          <w:sz w:val="16"/>
          <w:szCs w:val="16"/>
        </w:rPr>
      </w:pPr>
    </w:p>
    <w:p w14:paraId="1252BEFD" w14:textId="77777777" w:rsidR="00F4380B" w:rsidRDefault="00F4380B" w:rsidP="00973FEA">
      <w:pPr>
        <w:jc w:val="center"/>
        <w:rPr>
          <w:rFonts w:cs="Calibri Light"/>
          <w:bCs/>
          <w:sz w:val="16"/>
          <w:szCs w:val="16"/>
        </w:rPr>
      </w:pPr>
    </w:p>
    <w:p w14:paraId="0F35BF07" w14:textId="4A71FF0F" w:rsidR="00973FEA" w:rsidRPr="00973FEA" w:rsidRDefault="00973FEA" w:rsidP="00973FEA">
      <w:pPr>
        <w:jc w:val="center"/>
        <w:rPr>
          <w:rFonts w:cs="Calibri Light"/>
          <w:bCs/>
          <w:sz w:val="16"/>
          <w:szCs w:val="16"/>
        </w:rPr>
      </w:pPr>
      <w:r w:rsidRPr="00973FEA">
        <w:rPr>
          <w:rFonts w:cs="Calibri Light"/>
          <w:bCs/>
          <w:sz w:val="16"/>
          <w:szCs w:val="16"/>
        </w:rPr>
        <w:t xml:space="preserve">Figure 4. Islamic architecture framework: </w:t>
      </w:r>
      <w:proofErr w:type="spellStart"/>
      <w:r w:rsidRPr="00973FEA">
        <w:rPr>
          <w:rFonts w:cs="Calibri Light"/>
          <w:bCs/>
          <w:sz w:val="16"/>
          <w:szCs w:val="16"/>
        </w:rPr>
        <w:t>Mentifact</w:t>
      </w:r>
      <w:proofErr w:type="spellEnd"/>
      <w:r w:rsidRPr="00973FEA">
        <w:rPr>
          <w:rFonts w:cs="Calibri Light"/>
          <w:bCs/>
          <w:sz w:val="16"/>
          <w:szCs w:val="16"/>
        </w:rPr>
        <w:t xml:space="preserve">, </w:t>
      </w:r>
      <w:proofErr w:type="spellStart"/>
      <w:r w:rsidRPr="00973FEA">
        <w:rPr>
          <w:rFonts w:cs="Calibri Light"/>
          <w:bCs/>
          <w:sz w:val="16"/>
          <w:szCs w:val="16"/>
        </w:rPr>
        <w:t>Sociofact</w:t>
      </w:r>
      <w:proofErr w:type="spellEnd"/>
      <w:r w:rsidRPr="00973FEA">
        <w:rPr>
          <w:rFonts w:cs="Calibri Light"/>
          <w:bCs/>
          <w:sz w:val="16"/>
          <w:szCs w:val="16"/>
        </w:rPr>
        <w:t>, and Artifact.</w:t>
      </w:r>
    </w:p>
    <w:p w14:paraId="50C06385" w14:textId="77777777" w:rsidR="00973FEA" w:rsidRPr="00973FEA" w:rsidRDefault="00973FEA" w:rsidP="00973FEA">
      <w:pPr>
        <w:pStyle w:val="ListParagraph"/>
        <w:jc w:val="both"/>
        <w:rPr>
          <w:rFonts w:asciiTheme="majorHAnsi" w:hAnsiTheme="majorHAnsi" w:cstheme="majorHAnsi"/>
          <w:sz w:val="20"/>
          <w:szCs w:val="20"/>
          <w:lang w:val="id-ID"/>
        </w:rPr>
      </w:pPr>
    </w:p>
    <w:p w14:paraId="4397BC75" w14:textId="2CA1BB1A"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722A2ACA" w14:textId="77777777" w:rsidR="00973FEA" w:rsidRPr="00835003" w:rsidRDefault="00973FEA" w:rsidP="00973FEA">
      <w:pPr>
        <w:widowControl w:val="0"/>
        <w:ind w:firstLine="425"/>
        <w:jc w:val="both"/>
        <w:rPr>
          <w:rFonts w:cstheme="minorHAnsi"/>
          <w:sz w:val="20"/>
          <w:szCs w:val="20"/>
        </w:rPr>
      </w:pPr>
      <w:r w:rsidRPr="00835003">
        <w:rPr>
          <w:rFonts w:cstheme="minorHAnsi"/>
          <w:sz w:val="20"/>
          <w:szCs w:val="20"/>
        </w:rPr>
        <w:t xml:space="preserve">This study yields two major results. Firstly, the Islamic architecture framework consisting of </w:t>
      </w:r>
      <w:proofErr w:type="spellStart"/>
      <w:r w:rsidRPr="00835003">
        <w:rPr>
          <w:rFonts w:cstheme="minorHAnsi"/>
          <w:sz w:val="20"/>
          <w:szCs w:val="20"/>
        </w:rPr>
        <w:t>Mentifact</w:t>
      </w:r>
      <w:proofErr w:type="spellEnd"/>
      <w:r w:rsidRPr="00835003">
        <w:rPr>
          <w:rFonts w:cstheme="minorHAnsi"/>
          <w:sz w:val="20"/>
          <w:szCs w:val="20"/>
        </w:rPr>
        <w:t xml:space="preserve">, </w:t>
      </w:r>
      <w:proofErr w:type="spellStart"/>
      <w:r w:rsidRPr="00835003">
        <w:rPr>
          <w:rFonts w:cstheme="minorHAnsi"/>
          <w:sz w:val="20"/>
          <w:szCs w:val="20"/>
        </w:rPr>
        <w:t>Sociofact</w:t>
      </w:r>
      <w:proofErr w:type="spellEnd"/>
      <w:r w:rsidRPr="00835003">
        <w:rPr>
          <w:rFonts w:cstheme="minorHAnsi"/>
          <w:sz w:val="20"/>
          <w:szCs w:val="20"/>
        </w:rPr>
        <w:t xml:space="preserve">, and Artifact is pivotal for comprehending Islamic architecture. Each of these concepts plays a crucial role in shaping the design and construction of Islamic buildings. By understanding the interplay between these three concepts, a deeper appreciation for the beauty and complexity of Islamic architecture can be attained. This framework emphasizes the necessity of a robust philosophical foundation for Islamic architecture, </w:t>
      </w:r>
      <w:r w:rsidRPr="008F5369">
        <w:rPr>
          <w:rFonts w:cstheme="minorHAnsi"/>
          <w:sz w:val="20"/>
          <w:szCs w:val="20"/>
          <w:u w:val="single"/>
        </w:rPr>
        <w:t>obtained</w:t>
      </w:r>
      <w:r w:rsidRPr="00835003">
        <w:rPr>
          <w:rFonts w:cstheme="minorHAnsi"/>
          <w:sz w:val="20"/>
          <w:szCs w:val="20"/>
        </w:rPr>
        <w:t xml:space="preserve"> from </w:t>
      </w:r>
      <w:r w:rsidRPr="008F5369">
        <w:rPr>
          <w:rFonts w:cstheme="minorHAnsi"/>
          <w:sz w:val="20"/>
          <w:szCs w:val="20"/>
          <w:u w:val="single"/>
        </w:rPr>
        <w:t>the</w:t>
      </w:r>
      <w:r>
        <w:rPr>
          <w:rFonts w:cstheme="minorHAnsi"/>
          <w:sz w:val="20"/>
          <w:szCs w:val="20"/>
        </w:rPr>
        <w:t xml:space="preserve"> Quran, </w:t>
      </w:r>
      <w:r w:rsidRPr="00835003">
        <w:rPr>
          <w:rFonts w:cstheme="minorHAnsi"/>
          <w:sz w:val="20"/>
          <w:szCs w:val="20"/>
        </w:rPr>
        <w:t xml:space="preserve">Hadith, </w:t>
      </w:r>
      <w:proofErr w:type="spellStart"/>
      <w:r w:rsidRPr="008F5369">
        <w:rPr>
          <w:rFonts w:cstheme="minorHAnsi"/>
          <w:i/>
          <w:sz w:val="20"/>
          <w:szCs w:val="20"/>
        </w:rPr>
        <w:t>Maqasid</w:t>
      </w:r>
      <w:proofErr w:type="spellEnd"/>
      <w:r w:rsidRPr="008F5369">
        <w:rPr>
          <w:rFonts w:cstheme="minorHAnsi"/>
          <w:i/>
          <w:sz w:val="20"/>
          <w:szCs w:val="20"/>
        </w:rPr>
        <w:t xml:space="preserve"> al-Shariah</w:t>
      </w:r>
      <w:r w:rsidRPr="00835003">
        <w:rPr>
          <w:rFonts w:cstheme="minorHAnsi"/>
          <w:sz w:val="20"/>
          <w:szCs w:val="20"/>
        </w:rPr>
        <w:t xml:space="preserve">, and the </w:t>
      </w:r>
      <w:r w:rsidRPr="008F5369">
        <w:rPr>
          <w:rFonts w:cstheme="minorHAnsi"/>
          <w:i/>
          <w:sz w:val="20"/>
          <w:szCs w:val="20"/>
        </w:rPr>
        <w:t>Fatwas</w:t>
      </w:r>
      <w:r w:rsidRPr="00835003">
        <w:rPr>
          <w:rFonts w:cstheme="minorHAnsi"/>
          <w:sz w:val="20"/>
          <w:szCs w:val="20"/>
        </w:rPr>
        <w:t xml:space="preserve"> of Islamic Scholars related to architecture and construction. Without this foundation, the authenticity of architecture being truly 'Islamic' becomes questionable, reducing it to a mere architectural style. While the philosophical basis is primarily rooted in the connection to Allah the Creator, it must also have a social foundation, making the relationships among individuals just as pivotal as the relationship between human beings and Allah.</w:t>
      </w:r>
    </w:p>
    <w:p w14:paraId="56B888A2" w14:textId="77777777" w:rsidR="00973FEA" w:rsidRPr="00835003" w:rsidRDefault="00973FEA" w:rsidP="00973FEA">
      <w:pPr>
        <w:widowControl w:val="0"/>
        <w:ind w:firstLine="425"/>
        <w:jc w:val="both"/>
        <w:rPr>
          <w:rFonts w:cstheme="minorHAnsi"/>
          <w:sz w:val="20"/>
          <w:szCs w:val="20"/>
        </w:rPr>
      </w:pPr>
      <w:r w:rsidRPr="00835003">
        <w:rPr>
          <w:rFonts w:cstheme="minorHAnsi"/>
          <w:sz w:val="20"/>
          <w:szCs w:val="20"/>
        </w:rPr>
        <w:t xml:space="preserve">Secondly, the framework should not be viewed in isolation; instead, it should be employed as a cohesive tool. This is especially pertinent for architects aspiring to create Islamic architecture that is both meaningful and impactful. The application of this framework is not confined solely to classical or Middle Eastern architecture; it is equally suitable for use in contemporary Islamic architecture worldwide. It provides a versatile and comprehensive approach that can guide architects in ensuring that their designs align with the principles of </w:t>
      </w:r>
      <w:proofErr w:type="spellStart"/>
      <w:r w:rsidRPr="00835003">
        <w:rPr>
          <w:rFonts w:cstheme="minorHAnsi"/>
          <w:sz w:val="20"/>
          <w:szCs w:val="20"/>
        </w:rPr>
        <w:t>Mentifact</w:t>
      </w:r>
      <w:proofErr w:type="spellEnd"/>
      <w:r w:rsidRPr="00835003">
        <w:rPr>
          <w:rFonts w:cstheme="minorHAnsi"/>
          <w:sz w:val="20"/>
          <w:szCs w:val="20"/>
        </w:rPr>
        <w:t xml:space="preserve">, </w:t>
      </w:r>
      <w:proofErr w:type="spellStart"/>
      <w:r w:rsidRPr="00835003">
        <w:rPr>
          <w:rFonts w:cstheme="minorHAnsi"/>
          <w:sz w:val="20"/>
          <w:szCs w:val="20"/>
        </w:rPr>
        <w:t>Sociofact</w:t>
      </w:r>
      <w:proofErr w:type="spellEnd"/>
      <w:r w:rsidRPr="00835003">
        <w:rPr>
          <w:rFonts w:cstheme="minorHAnsi"/>
          <w:sz w:val="20"/>
          <w:szCs w:val="20"/>
        </w:rPr>
        <w:t>, and Artifact, fostering a holistic and authentic representation of Islamic architecture across diverse cultural and geographical contexts.</w:t>
      </w:r>
    </w:p>
    <w:p w14:paraId="005E956F" w14:textId="77777777" w:rsidR="00973FEA" w:rsidRPr="00835003" w:rsidRDefault="00973FEA" w:rsidP="00973FEA">
      <w:pPr>
        <w:widowControl w:val="0"/>
        <w:ind w:firstLine="425"/>
        <w:jc w:val="both"/>
        <w:rPr>
          <w:rFonts w:cstheme="minorHAnsi"/>
          <w:sz w:val="20"/>
          <w:szCs w:val="20"/>
        </w:rPr>
      </w:pPr>
      <w:r w:rsidRPr="00835003">
        <w:rPr>
          <w:rFonts w:cstheme="minorHAnsi"/>
          <w:sz w:val="20"/>
          <w:szCs w:val="20"/>
        </w:rPr>
        <w:t>In light of these findings, the following recommendations are put forth:</w:t>
      </w:r>
    </w:p>
    <w:p w14:paraId="479769FD" w14:textId="77777777" w:rsidR="00973FEA" w:rsidRDefault="00973FEA" w:rsidP="00973FEA">
      <w:pPr>
        <w:pStyle w:val="ListParagraph"/>
        <w:widowControl w:val="0"/>
        <w:numPr>
          <w:ilvl w:val="0"/>
          <w:numId w:val="16"/>
        </w:numPr>
        <w:ind w:left="426"/>
        <w:jc w:val="both"/>
        <w:rPr>
          <w:rFonts w:cstheme="minorHAnsi"/>
          <w:sz w:val="20"/>
          <w:szCs w:val="20"/>
        </w:rPr>
      </w:pPr>
      <w:r w:rsidRPr="00543135">
        <w:rPr>
          <w:rFonts w:cstheme="minorHAnsi"/>
          <w:sz w:val="20"/>
          <w:szCs w:val="20"/>
        </w:rPr>
        <w:t xml:space="preserve">There is a pressing need to deepen our study </w:t>
      </w:r>
      <w:r w:rsidRPr="00E90477">
        <w:rPr>
          <w:rFonts w:cstheme="minorHAnsi"/>
          <w:sz w:val="20"/>
          <w:szCs w:val="20"/>
          <w:u w:val="single"/>
        </w:rPr>
        <w:t>regarding</w:t>
      </w:r>
      <w:r w:rsidRPr="00543135">
        <w:rPr>
          <w:rFonts w:cstheme="minorHAnsi"/>
          <w:sz w:val="20"/>
          <w:szCs w:val="20"/>
        </w:rPr>
        <w:t xml:space="preserve"> </w:t>
      </w:r>
      <w:r w:rsidRPr="008F5369">
        <w:rPr>
          <w:rFonts w:cstheme="minorHAnsi"/>
          <w:i/>
          <w:sz w:val="20"/>
          <w:szCs w:val="20"/>
          <w:u w:val="single"/>
        </w:rPr>
        <w:t>Aqidah, Akhlaq</w:t>
      </w:r>
      <w:r w:rsidRPr="00543135">
        <w:rPr>
          <w:rFonts w:cstheme="minorHAnsi"/>
          <w:sz w:val="20"/>
          <w:szCs w:val="20"/>
        </w:rPr>
        <w:t xml:space="preserve">, and </w:t>
      </w:r>
      <w:r w:rsidRPr="008F5369">
        <w:rPr>
          <w:rFonts w:cstheme="minorHAnsi"/>
          <w:i/>
          <w:sz w:val="20"/>
          <w:szCs w:val="20"/>
          <w:u w:val="single"/>
        </w:rPr>
        <w:t>Fiqh</w:t>
      </w:r>
      <w:r w:rsidRPr="00543135">
        <w:rPr>
          <w:rFonts w:cstheme="minorHAnsi"/>
          <w:sz w:val="20"/>
          <w:szCs w:val="20"/>
        </w:rPr>
        <w:t xml:space="preserve"> </w:t>
      </w:r>
      <w:r w:rsidRPr="00E90477">
        <w:rPr>
          <w:rFonts w:cstheme="minorHAnsi"/>
          <w:sz w:val="20"/>
          <w:szCs w:val="20"/>
          <w:u w:val="single"/>
        </w:rPr>
        <w:t>to advance</w:t>
      </w:r>
      <w:r w:rsidRPr="00543135">
        <w:rPr>
          <w:rFonts w:cstheme="minorHAnsi"/>
          <w:sz w:val="20"/>
          <w:szCs w:val="20"/>
        </w:rPr>
        <w:t xml:space="preserve"> the application of Islamic Architecture in contemporary times. This involves creating new architectural artifacts that reflect the distinctive qualities of Islamic culture amidst the prevailing dominance of modern non-Islamic cultural influences.</w:t>
      </w:r>
    </w:p>
    <w:p w14:paraId="16C9DE43" w14:textId="77777777" w:rsidR="00973FEA" w:rsidRDefault="00973FEA" w:rsidP="00973FEA">
      <w:pPr>
        <w:pStyle w:val="ListParagraph"/>
        <w:widowControl w:val="0"/>
        <w:numPr>
          <w:ilvl w:val="0"/>
          <w:numId w:val="16"/>
        </w:numPr>
        <w:ind w:left="426"/>
        <w:jc w:val="both"/>
        <w:rPr>
          <w:rFonts w:cstheme="minorHAnsi"/>
          <w:sz w:val="20"/>
          <w:szCs w:val="20"/>
        </w:rPr>
      </w:pPr>
      <w:r w:rsidRPr="00543135">
        <w:rPr>
          <w:rFonts w:cstheme="minorHAnsi"/>
          <w:sz w:val="20"/>
          <w:szCs w:val="20"/>
        </w:rPr>
        <w:t>It is essential to incorporate the social impact of architecture as a fundamental consideration in the architectural design process. This should extend to academia and architectural education, where the significance of the social effect needs to be emphasized in the learning process.</w:t>
      </w:r>
    </w:p>
    <w:p w14:paraId="59607FEA" w14:textId="77777777" w:rsidR="00973FEA" w:rsidRDefault="00973FEA" w:rsidP="00973FEA">
      <w:pPr>
        <w:pStyle w:val="ListParagraph"/>
        <w:widowControl w:val="0"/>
        <w:numPr>
          <w:ilvl w:val="0"/>
          <w:numId w:val="16"/>
        </w:numPr>
        <w:ind w:left="426"/>
        <w:jc w:val="both"/>
        <w:rPr>
          <w:rFonts w:cstheme="minorHAnsi"/>
          <w:sz w:val="20"/>
          <w:szCs w:val="20"/>
        </w:rPr>
      </w:pPr>
      <w:r w:rsidRPr="00543135">
        <w:rPr>
          <w:rFonts w:cstheme="minorHAnsi"/>
          <w:sz w:val="20"/>
          <w:szCs w:val="20"/>
        </w:rPr>
        <w:t xml:space="preserve">It is crucial to recognize the limitations of this study. While the framework offers a comprehensive exploration of the dimensions of Islamic architecture, it is important to recognize that explaining the entirety of the vast Islamic literature and its discussions in a single journal article is not feasible due to the inherent constraints </w:t>
      </w:r>
      <w:r w:rsidRPr="00543135">
        <w:rPr>
          <w:rFonts w:cstheme="minorHAnsi"/>
          <w:sz w:val="20"/>
          <w:szCs w:val="20"/>
        </w:rPr>
        <w:lastRenderedPageBreak/>
        <w:t xml:space="preserve">of such articles. Additionally, there are challenges in interpreting classical sources for practical application in architecture, rendering the detailed framework </w:t>
      </w:r>
      <w:r w:rsidRPr="008F5369">
        <w:rPr>
          <w:rFonts w:cstheme="minorHAnsi"/>
          <w:sz w:val="20"/>
          <w:szCs w:val="20"/>
          <w:u w:val="single"/>
        </w:rPr>
        <w:t>that is still</w:t>
      </w:r>
      <w:r w:rsidRPr="00543135">
        <w:rPr>
          <w:rFonts w:cstheme="minorHAnsi"/>
          <w:sz w:val="20"/>
          <w:szCs w:val="20"/>
        </w:rPr>
        <w:t xml:space="preserve"> incomplete. Moreover, practical issues may arise when applying the framework in real-world scenarios.</w:t>
      </w:r>
    </w:p>
    <w:p w14:paraId="66180A19" w14:textId="77777777" w:rsidR="00973FEA" w:rsidRPr="00543135" w:rsidRDefault="00973FEA" w:rsidP="00973FEA">
      <w:pPr>
        <w:pStyle w:val="ListParagraph"/>
        <w:widowControl w:val="0"/>
        <w:numPr>
          <w:ilvl w:val="0"/>
          <w:numId w:val="16"/>
        </w:numPr>
        <w:ind w:left="426"/>
        <w:jc w:val="both"/>
        <w:rPr>
          <w:rFonts w:cstheme="minorHAnsi"/>
          <w:sz w:val="20"/>
          <w:szCs w:val="20"/>
        </w:rPr>
      </w:pPr>
      <w:r w:rsidRPr="00202A7D">
        <w:rPr>
          <w:rFonts w:cstheme="minorHAnsi"/>
          <w:sz w:val="20"/>
          <w:szCs w:val="20"/>
          <w:u w:val="single"/>
        </w:rPr>
        <w:t>It is hoped</w:t>
      </w:r>
      <w:r>
        <w:rPr>
          <w:rFonts w:cstheme="minorHAnsi"/>
          <w:sz w:val="20"/>
          <w:szCs w:val="20"/>
        </w:rPr>
        <w:t xml:space="preserve"> </w:t>
      </w:r>
      <w:r w:rsidRPr="00543135">
        <w:rPr>
          <w:rFonts w:cstheme="minorHAnsi"/>
          <w:sz w:val="20"/>
          <w:szCs w:val="20"/>
        </w:rPr>
        <w:t xml:space="preserve">that future researchers will contribute to enriching this framework by conducting detailed analyses of other classical sources </w:t>
      </w:r>
      <w:r w:rsidRPr="00202A7D">
        <w:rPr>
          <w:rFonts w:cstheme="minorHAnsi"/>
          <w:sz w:val="20"/>
          <w:szCs w:val="20"/>
          <w:u w:val="single"/>
        </w:rPr>
        <w:t>that are</w:t>
      </w:r>
      <w:r>
        <w:rPr>
          <w:rFonts w:cstheme="minorHAnsi"/>
          <w:sz w:val="20"/>
          <w:szCs w:val="20"/>
        </w:rPr>
        <w:t xml:space="preserve"> </w:t>
      </w:r>
      <w:r w:rsidRPr="00543135">
        <w:rPr>
          <w:rFonts w:cstheme="minorHAnsi"/>
          <w:sz w:val="20"/>
          <w:szCs w:val="20"/>
        </w:rPr>
        <w:t>not covered in this study and exploring examples in contemporary practical applications. Continued research and application will contribute to the refinement and enhancement of the framework for a more nuanced understanding and effective implementation of Islamic architecture principles.</w:t>
      </w:r>
    </w:p>
    <w:p w14:paraId="2536EE23" w14:textId="77777777" w:rsidR="00502594" w:rsidRDefault="00502594" w:rsidP="00554438">
      <w:pPr>
        <w:jc w:val="both"/>
        <w:rPr>
          <w:rFonts w:asciiTheme="minorHAnsi" w:hAnsiTheme="minorHAnsi" w:cstheme="minorHAnsi"/>
          <w:b/>
          <w:bCs/>
        </w:rPr>
      </w:pPr>
    </w:p>
    <w:p w14:paraId="4272776B" w14:textId="1EF5DAAE"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311F83A9" w14:textId="77777777" w:rsidR="00973FEA" w:rsidRDefault="00973FEA" w:rsidP="00F4380B">
      <w:pPr>
        <w:widowControl w:val="0"/>
        <w:autoSpaceDE w:val="0"/>
        <w:autoSpaceDN w:val="0"/>
        <w:adjustRightInd w:val="0"/>
        <w:spacing w:before="20"/>
        <w:ind w:left="567" w:hanging="283"/>
        <w:jc w:val="both"/>
        <w:rPr>
          <w:rFonts w:asciiTheme="majorHAnsi" w:hAnsiTheme="majorHAnsi" w:cstheme="majorHAnsi"/>
          <w:sz w:val="20"/>
          <w:szCs w:val="20"/>
          <w:lang w:val="id-ID"/>
        </w:rPr>
      </w:pPr>
    </w:p>
    <w:p w14:paraId="622224F3"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[1]</w:t>
      </w:r>
      <w:r w:rsidRPr="00835003">
        <w:rPr>
          <w:rFonts w:asciiTheme="majorHAnsi" w:hAnsiTheme="majorHAnsi" w:cstheme="majorHAnsi"/>
          <w:sz w:val="20"/>
          <w:szCs w:val="20"/>
        </w:rPr>
        <w:tab/>
        <w:t xml:space="preserve">K. Azab, “Islamic Concepts of Building and Architecture,” </w:t>
      </w:r>
      <w:proofErr w:type="spellStart"/>
      <w:r w:rsidRPr="00835003">
        <w:rPr>
          <w:rFonts w:asciiTheme="majorHAnsi" w:hAnsiTheme="majorHAnsi" w:cstheme="majorHAnsi"/>
          <w:i/>
          <w:iCs/>
          <w:sz w:val="20"/>
          <w:szCs w:val="20"/>
        </w:rPr>
        <w:t>Majallat</w:t>
      </w:r>
      <w:proofErr w:type="spellEnd"/>
      <w:r w:rsidRPr="00835003">
        <w:rPr>
          <w:rFonts w:asciiTheme="majorHAnsi" w:hAnsiTheme="majorHAnsi" w:cstheme="majorHAnsi"/>
          <w:i/>
          <w:iCs/>
          <w:sz w:val="20"/>
          <w:szCs w:val="20"/>
        </w:rPr>
        <w:t xml:space="preserve"> al-</w:t>
      </w:r>
      <w:proofErr w:type="spellStart"/>
      <w:r w:rsidRPr="00835003">
        <w:rPr>
          <w:rFonts w:asciiTheme="majorHAnsi" w:hAnsiTheme="majorHAnsi" w:cstheme="majorHAnsi"/>
          <w:i/>
          <w:iCs/>
          <w:sz w:val="20"/>
          <w:szCs w:val="20"/>
        </w:rPr>
        <w:t>Majmaʿ</w:t>
      </w:r>
      <w:proofErr w:type="spellEnd"/>
      <w:r w:rsidRPr="00835003">
        <w:rPr>
          <w:rFonts w:asciiTheme="majorHAnsi" w:hAnsiTheme="majorHAnsi" w:cstheme="majorHAnsi"/>
          <w:i/>
          <w:iCs/>
          <w:sz w:val="20"/>
          <w:szCs w:val="20"/>
        </w:rPr>
        <w:t xml:space="preserve"> al-</w:t>
      </w:r>
      <w:proofErr w:type="spellStart"/>
      <w:r w:rsidRPr="00835003">
        <w:rPr>
          <w:rFonts w:asciiTheme="majorHAnsi" w:hAnsiTheme="majorHAnsi" w:cstheme="majorHAnsi"/>
          <w:i/>
          <w:iCs/>
          <w:sz w:val="20"/>
          <w:szCs w:val="20"/>
        </w:rPr>
        <w:t>ʿIlmi</w:t>
      </w:r>
      <w:proofErr w:type="spellEnd"/>
      <w:r w:rsidRPr="00835003">
        <w:rPr>
          <w:rFonts w:asciiTheme="majorHAnsi" w:hAnsiTheme="majorHAnsi" w:cstheme="majorHAnsi"/>
          <w:i/>
          <w:iCs/>
          <w:sz w:val="20"/>
          <w:szCs w:val="20"/>
        </w:rPr>
        <w:t xml:space="preserve"> al-Masri</w:t>
      </w:r>
      <w:r w:rsidRPr="00835003">
        <w:rPr>
          <w:rFonts w:asciiTheme="majorHAnsi" w:hAnsiTheme="majorHAnsi" w:cstheme="majorHAnsi"/>
          <w:sz w:val="20"/>
          <w:szCs w:val="20"/>
        </w:rPr>
        <w:t xml:space="preserve">, vol. 90, no. 90, pp. 21–61, May 2015,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10.21608/jfnile.2015.88419.</w:t>
      </w:r>
    </w:p>
    <w:p w14:paraId="52F07351"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[2]</w:t>
      </w:r>
      <w:r w:rsidRPr="00835003">
        <w:rPr>
          <w:rFonts w:asciiTheme="majorHAnsi" w:hAnsiTheme="majorHAnsi" w:cstheme="majorHAnsi"/>
          <w:sz w:val="20"/>
          <w:szCs w:val="20"/>
        </w:rPr>
        <w:tab/>
        <w:t xml:space="preserve">A. </w:t>
      </w:r>
      <w:proofErr w:type="spellStart"/>
      <w:r w:rsidRPr="00835003">
        <w:rPr>
          <w:rFonts w:asciiTheme="majorHAnsi" w:hAnsiTheme="majorHAnsi" w:cstheme="majorHAnsi"/>
          <w:sz w:val="20"/>
          <w:szCs w:val="20"/>
        </w:rPr>
        <w:t>Petruccioli</w:t>
      </w:r>
      <w:proofErr w:type="spellEnd"/>
      <w:r w:rsidRPr="00835003">
        <w:rPr>
          <w:rFonts w:asciiTheme="majorHAnsi" w:hAnsiTheme="majorHAnsi" w:cstheme="majorHAnsi"/>
          <w:sz w:val="20"/>
          <w:szCs w:val="20"/>
        </w:rPr>
        <w:t xml:space="preserve"> and K. K. Pirani, </w:t>
      </w:r>
      <w:r w:rsidRPr="00835003">
        <w:rPr>
          <w:rFonts w:asciiTheme="majorHAnsi" w:hAnsiTheme="majorHAnsi" w:cstheme="majorHAnsi"/>
          <w:i/>
          <w:iCs/>
          <w:sz w:val="20"/>
          <w:szCs w:val="20"/>
        </w:rPr>
        <w:t>Understanding Islamic Architecture</w:t>
      </w:r>
      <w:r w:rsidRPr="00835003">
        <w:rPr>
          <w:rFonts w:asciiTheme="majorHAnsi" w:hAnsiTheme="majorHAnsi" w:cstheme="majorHAnsi"/>
          <w:sz w:val="20"/>
          <w:szCs w:val="20"/>
        </w:rPr>
        <w:t xml:space="preserve">, 0 ed. Routledge, 2013.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10.4324/9781315028767.</w:t>
      </w:r>
    </w:p>
    <w:p w14:paraId="6D84B99F"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[3]</w:t>
      </w:r>
      <w:r w:rsidRPr="00835003">
        <w:rPr>
          <w:rFonts w:asciiTheme="majorHAnsi" w:hAnsiTheme="majorHAnsi" w:cstheme="majorHAnsi"/>
          <w:sz w:val="20"/>
          <w:szCs w:val="20"/>
        </w:rPr>
        <w:tab/>
        <w:t xml:space="preserve">A. A. Yassin and Dr. N. </w:t>
      </w:r>
      <w:proofErr w:type="spellStart"/>
      <w:r w:rsidRPr="00835003">
        <w:rPr>
          <w:rFonts w:asciiTheme="majorHAnsi" w:hAnsiTheme="majorHAnsi" w:cstheme="majorHAnsi"/>
          <w:sz w:val="20"/>
          <w:szCs w:val="20"/>
        </w:rPr>
        <w:t>Utaberta</w:t>
      </w:r>
      <w:proofErr w:type="spellEnd"/>
      <w:r w:rsidRPr="00835003">
        <w:rPr>
          <w:rFonts w:asciiTheme="majorHAnsi" w:hAnsiTheme="majorHAnsi" w:cstheme="majorHAnsi"/>
          <w:sz w:val="20"/>
          <w:szCs w:val="20"/>
        </w:rPr>
        <w:t xml:space="preserve">, “Architecture in The Islamic Civilization: Muslim Building or Islamic Architecture,” </w:t>
      </w:r>
      <w:r w:rsidRPr="00835003">
        <w:rPr>
          <w:rFonts w:asciiTheme="majorHAnsi" w:hAnsiTheme="majorHAnsi" w:cstheme="majorHAnsi"/>
          <w:i/>
          <w:iCs/>
          <w:sz w:val="20"/>
          <w:szCs w:val="20"/>
        </w:rPr>
        <w:t>J</w:t>
      </w:r>
      <w:r>
        <w:rPr>
          <w:rFonts w:asciiTheme="majorHAnsi" w:hAnsiTheme="majorHAnsi" w:cstheme="majorHAnsi"/>
          <w:i/>
          <w:iCs/>
          <w:sz w:val="20"/>
          <w:szCs w:val="20"/>
        </w:rPr>
        <w:t xml:space="preserve">ournal of </w:t>
      </w:r>
      <w:r w:rsidRPr="00835003">
        <w:rPr>
          <w:rFonts w:asciiTheme="majorHAnsi" w:hAnsiTheme="majorHAnsi" w:cstheme="majorHAnsi"/>
          <w:i/>
          <w:iCs/>
          <w:sz w:val="20"/>
          <w:szCs w:val="20"/>
        </w:rPr>
        <w:t>I</w:t>
      </w:r>
      <w:r>
        <w:rPr>
          <w:rFonts w:asciiTheme="majorHAnsi" w:hAnsiTheme="majorHAnsi" w:cstheme="majorHAnsi"/>
          <w:i/>
          <w:iCs/>
          <w:sz w:val="20"/>
          <w:szCs w:val="20"/>
        </w:rPr>
        <w:t xml:space="preserve">slamic </w:t>
      </w:r>
      <w:r w:rsidRPr="00835003">
        <w:rPr>
          <w:rFonts w:asciiTheme="majorHAnsi" w:hAnsiTheme="majorHAnsi" w:cstheme="majorHAnsi"/>
          <w:i/>
          <w:iCs/>
          <w:sz w:val="20"/>
          <w:szCs w:val="20"/>
        </w:rPr>
        <w:t>A</w:t>
      </w:r>
      <w:r>
        <w:rPr>
          <w:rFonts w:asciiTheme="majorHAnsi" w:hAnsiTheme="majorHAnsi" w:cstheme="majorHAnsi"/>
          <w:i/>
          <w:iCs/>
          <w:sz w:val="20"/>
          <w:szCs w:val="20"/>
        </w:rPr>
        <w:t>rchitecture</w:t>
      </w:r>
      <w:r w:rsidRPr="00835003">
        <w:rPr>
          <w:rFonts w:asciiTheme="majorHAnsi" w:hAnsiTheme="majorHAnsi" w:cstheme="majorHAnsi"/>
          <w:sz w:val="20"/>
          <w:szCs w:val="20"/>
        </w:rPr>
        <w:t xml:space="preserve">, vol. 2, no. 2, Dec. 2012,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10.18860/</w:t>
      </w:r>
      <w:proofErr w:type="gramStart"/>
      <w:r w:rsidRPr="00835003">
        <w:rPr>
          <w:rFonts w:asciiTheme="majorHAnsi" w:hAnsiTheme="majorHAnsi" w:cstheme="majorHAnsi"/>
          <w:sz w:val="20"/>
          <w:szCs w:val="20"/>
        </w:rPr>
        <w:t>jia.v</w:t>
      </w:r>
      <w:proofErr w:type="gramEnd"/>
      <w:r w:rsidRPr="00835003">
        <w:rPr>
          <w:rFonts w:asciiTheme="majorHAnsi" w:hAnsiTheme="majorHAnsi" w:cstheme="majorHAnsi"/>
          <w:sz w:val="20"/>
          <w:szCs w:val="20"/>
        </w:rPr>
        <w:t>2i2.2202.</w:t>
      </w:r>
    </w:p>
    <w:p w14:paraId="17D208BE"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[4]</w:t>
      </w:r>
      <w:r w:rsidRPr="00835003">
        <w:rPr>
          <w:rFonts w:asciiTheme="majorHAnsi" w:hAnsiTheme="majorHAnsi" w:cstheme="majorHAnsi"/>
          <w:sz w:val="20"/>
          <w:szCs w:val="20"/>
        </w:rPr>
        <w:tab/>
        <w:t xml:space="preserve">J. N. Erzen, “Islamic Aesthetics: An Alternative Way to Knowledge,” </w:t>
      </w:r>
      <w:r w:rsidRPr="00835003">
        <w:rPr>
          <w:rFonts w:asciiTheme="majorHAnsi" w:hAnsiTheme="majorHAnsi" w:cstheme="majorHAnsi"/>
          <w:i/>
          <w:iCs/>
          <w:sz w:val="20"/>
          <w:szCs w:val="20"/>
        </w:rPr>
        <w:t>The Journal of Aesthetics and Art Criticism</w:t>
      </w:r>
      <w:r w:rsidRPr="00835003">
        <w:rPr>
          <w:rFonts w:asciiTheme="majorHAnsi" w:hAnsiTheme="majorHAnsi" w:cstheme="majorHAnsi"/>
          <w:sz w:val="20"/>
          <w:szCs w:val="20"/>
        </w:rPr>
        <w:t>, vol. 65, no. 1, pp. 69–75, 2007.</w:t>
      </w:r>
    </w:p>
    <w:p w14:paraId="6FA61DCA"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[5]</w:t>
      </w:r>
      <w:r w:rsidRPr="00835003">
        <w:rPr>
          <w:rFonts w:asciiTheme="majorHAnsi" w:hAnsiTheme="majorHAnsi" w:cstheme="majorHAnsi"/>
          <w:sz w:val="20"/>
          <w:szCs w:val="20"/>
        </w:rPr>
        <w:tab/>
        <w:t xml:space="preserve">N. Rabbat, “What is Islamic architecture </w:t>
      </w:r>
      <w:proofErr w:type="gramStart"/>
      <w:r w:rsidRPr="00835003">
        <w:rPr>
          <w:rFonts w:asciiTheme="majorHAnsi" w:hAnsiTheme="majorHAnsi" w:cstheme="majorHAnsi"/>
          <w:sz w:val="20"/>
          <w:szCs w:val="20"/>
        </w:rPr>
        <w:t>anyway?,</w:t>
      </w:r>
      <w:proofErr w:type="gramEnd"/>
      <w:r w:rsidRPr="00835003">
        <w:rPr>
          <w:rFonts w:asciiTheme="majorHAnsi" w:hAnsiTheme="majorHAnsi" w:cstheme="majorHAnsi"/>
          <w:sz w:val="20"/>
          <w:szCs w:val="20"/>
        </w:rPr>
        <w:t xml:space="preserve">” </w:t>
      </w:r>
      <w:r w:rsidRPr="00835003">
        <w:rPr>
          <w:rFonts w:asciiTheme="majorHAnsi" w:hAnsiTheme="majorHAnsi" w:cstheme="majorHAnsi"/>
          <w:i/>
          <w:iCs/>
          <w:sz w:val="20"/>
          <w:szCs w:val="20"/>
        </w:rPr>
        <w:t>Journal of Art Historiography</w:t>
      </w:r>
      <w:r w:rsidRPr="00835003">
        <w:rPr>
          <w:rFonts w:asciiTheme="majorHAnsi" w:hAnsiTheme="majorHAnsi" w:cstheme="majorHAnsi"/>
          <w:sz w:val="20"/>
          <w:szCs w:val="20"/>
        </w:rPr>
        <w:t>, vol. 6, no. 1, 2012.</w:t>
      </w:r>
    </w:p>
    <w:p w14:paraId="52D1B422"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[6]</w:t>
      </w:r>
      <w:r w:rsidRPr="00835003">
        <w:rPr>
          <w:rFonts w:asciiTheme="majorHAnsi" w:hAnsiTheme="majorHAnsi" w:cstheme="majorHAnsi"/>
          <w:sz w:val="20"/>
          <w:szCs w:val="20"/>
        </w:rPr>
        <w:tab/>
        <w:t>S. Omer, “Al-</w:t>
      </w:r>
      <w:proofErr w:type="spellStart"/>
      <w:r w:rsidRPr="00835003">
        <w:rPr>
          <w:rFonts w:asciiTheme="majorHAnsi" w:hAnsiTheme="majorHAnsi" w:cstheme="majorHAnsi"/>
          <w:sz w:val="20"/>
          <w:szCs w:val="20"/>
        </w:rPr>
        <w:t>Wasatiyyah</w:t>
      </w:r>
      <w:proofErr w:type="spellEnd"/>
      <w:r w:rsidRPr="00835003">
        <w:rPr>
          <w:rFonts w:asciiTheme="majorHAnsi" w:hAnsiTheme="majorHAnsi" w:cstheme="majorHAnsi"/>
          <w:sz w:val="20"/>
          <w:szCs w:val="20"/>
        </w:rPr>
        <w:t xml:space="preserve"> and Some of its Implications for Islamic Built Environment,” </w:t>
      </w:r>
      <w:proofErr w:type="spellStart"/>
      <w:r w:rsidRPr="00835003">
        <w:rPr>
          <w:rFonts w:asciiTheme="majorHAnsi" w:hAnsiTheme="majorHAnsi" w:cstheme="majorHAnsi"/>
          <w:i/>
          <w:iCs/>
          <w:sz w:val="20"/>
          <w:szCs w:val="20"/>
        </w:rPr>
        <w:t>Pertanika</w:t>
      </w:r>
      <w:proofErr w:type="spellEnd"/>
      <w:r w:rsidRPr="00835003">
        <w:rPr>
          <w:rFonts w:asciiTheme="majorHAnsi" w:hAnsiTheme="majorHAnsi" w:cstheme="majorHAnsi"/>
          <w:i/>
          <w:iCs/>
          <w:sz w:val="20"/>
          <w:szCs w:val="20"/>
        </w:rPr>
        <w:t xml:space="preserve"> Journal of Social Sciences &amp; Humanities</w:t>
      </w:r>
      <w:r w:rsidRPr="00835003">
        <w:rPr>
          <w:rFonts w:asciiTheme="majorHAnsi" w:hAnsiTheme="majorHAnsi" w:cstheme="majorHAnsi"/>
          <w:sz w:val="20"/>
          <w:szCs w:val="20"/>
        </w:rPr>
        <w:t>, vol. 23, no. 4, 2015.</w:t>
      </w:r>
    </w:p>
    <w:p w14:paraId="51F86FF7"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[7]</w:t>
      </w:r>
      <w:r w:rsidRPr="00835003">
        <w:rPr>
          <w:rFonts w:asciiTheme="majorHAnsi" w:hAnsiTheme="majorHAnsi" w:cstheme="majorHAnsi"/>
          <w:sz w:val="20"/>
          <w:szCs w:val="20"/>
        </w:rPr>
        <w:tab/>
        <w:t xml:space="preserve">R. Hillenbrand, “Studying Islamic Architecture: Challenges and Perspectives,” </w:t>
      </w:r>
      <w:r w:rsidRPr="00835003">
        <w:rPr>
          <w:rFonts w:asciiTheme="majorHAnsi" w:hAnsiTheme="majorHAnsi" w:cstheme="majorHAnsi"/>
          <w:i/>
          <w:iCs/>
          <w:sz w:val="20"/>
          <w:szCs w:val="20"/>
        </w:rPr>
        <w:t>Architectural History</w:t>
      </w:r>
      <w:r w:rsidRPr="00835003">
        <w:rPr>
          <w:rFonts w:asciiTheme="majorHAnsi" w:hAnsiTheme="majorHAnsi" w:cstheme="majorHAnsi"/>
          <w:sz w:val="20"/>
          <w:szCs w:val="20"/>
        </w:rPr>
        <w:t xml:space="preserve">, vol. 46, p. 1, 2003,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10.2307/1568797.</w:t>
      </w:r>
    </w:p>
    <w:p w14:paraId="42EC3AFC"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[8]</w:t>
      </w:r>
      <w:r w:rsidRPr="00835003">
        <w:rPr>
          <w:rFonts w:asciiTheme="majorHAnsi" w:hAnsiTheme="majorHAnsi" w:cstheme="majorHAnsi"/>
          <w:sz w:val="20"/>
          <w:szCs w:val="20"/>
        </w:rPr>
        <w:tab/>
        <w:t xml:space="preserve">B. S. Hakim, </w:t>
      </w:r>
      <w:r w:rsidRPr="00835003">
        <w:rPr>
          <w:rFonts w:asciiTheme="majorHAnsi" w:hAnsiTheme="majorHAnsi" w:cstheme="majorHAnsi"/>
          <w:i/>
          <w:iCs/>
          <w:sz w:val="20"/>
          <w:szCs w:val="20"/>
        </w:rPr>
        <w:t>Arabic-Islamic cities: building and planning principles</w:t>
      </w:r>
      <w:r w:rsidRPr="00835003">
        <w:rPr>
          <w:rFonts w:asciiTheme="majorHAnsi" w:hAnsiTheme="majorHAnsi" w:cstheme="majorHAnsi"/>
          <w:sz w:val="20"/>
          <w:szCs w:val="20"/>
        </w:rPr>
        <w:t xml:space="preserve">. London: New </w:t>
      </w:r>
      <w:proofErr w:type="gramStart"/>
      <w:r w:rsidRPr="00835003">
        <w:rPr>
          <w:rFonts w:asciiTheme="majorHAnsi" w:hAnsiTheme="majorHAnsi" w:cstheme="majorHAnsi"/>
          <w:sz w:val="20"/>
          <w:szCs w:val="20"/>
        </w:rPr>
        <w:t>York :</w:t>
      </w:r>
      <w:proofErr w:type="gramEnd"/>
      <w:r w:rsidRPr="00835003">
        <w:rPr>
          <w:rFonts w:asciiTheme="majorHAnsi" w:hAnsiTheme="majorHAnsi" w:cstheme="majorHAnsi"/>
          <w:sz w:val="20"/>
          <w:szCs w:val="20"/>
        </w:rPr>
        <w:t xml:space="preserve"> KPI, 1986.</w:t>
      </w:r>
    </w:p>
    <w:p w14:paraId="7B9FB0BB"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[9]</w:t>
      </w:r>
      <w:r w:rsidRPr="00835003">
        <w:rPr>
          <w:rFonts w:asciiTheme="majorHAnsi" w:hAnsiTheme="majorHAnsi" w:cstheme="majorHAnsi"/>
          <w:sz w:val="20"/>
          <w:szCs w:val="20"/>
        </w:rPr>
        <w:tab/>
        <w:t xml:space="preserve">M. F. Mahmoud and M. I. </w:t>
      </w:r>
      <w:proofErr w:type="spellStart"/>
      <w:r w:rsidRPr="00835003">
        <w:rPr>
          <w:rFonts w:asciiTheme="majorHAnsi" w:hAnsiTheme="majorHAnsi" w:cstheme="majorHAnsi"/>
          <w:sz w:val="20"/>
          <w:szCs w:val="20"/>
        </w:rPr>
        <w:t>Elbelkasy</w:t>
      </w:r>
      <w:proofErr w:type="spellEnd"/>
      <w:r w:rsidRPr="00835003">
        <w:rPr>
          <w:rFonts w:asciiTheme="majorHAnsi" w:hAnsiTheme="majorHAnsi" w:cstheme="majorHAnsi"/>
          <w:sz w:val="20"/>
          <w:szCs w:val="20"/>
        </w:rPr>
        <w:t xml:space="preserve">, “Islamic architecture: between moulding and flexibility,” presented at the ISLAMIC HERITAGE ARCHITECTURE AND ART 2016, Valencia, Spain, May 2016, pp. 49–59.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10.2495/IHA160051.</w:t>
      </w:r>
    </w:p>
    <w:p w14:paraId="384BF84F"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[10]</w:t>
      </w:r>
      <w:r w:rsidRPr="00835003">
        <w:rPr>
          <w:rFonts w:asciiTheme="majorHAnsi" w:hAnsiTheme="majorHAnsi" w:cstheme="majorHAnsi"/>
          <w:sz w:val="20"/>
          <w:szCs w:val="20"/>
        </w:rPr>
        <w:tab/>
        <w:t xml:space="preserve">M. Z. M. Taib and M. T. Rasdi, “Islamic Architecture Evolution: Perception and Behaviour,” </w:t>
      </w:r>
      <w:r w:rsidRPr="00835003">
        <w:rPr>
          <w:rFonts w:asciiTheme="majorHAnsi" w:hAnsiTheme="majorHAnsi" w:cstheme="majorHAnsi"/>
          <w:i/>
          <w:iCs/>
          <w:sz w:val="20"/>
          <w:szCs w:val="20"/>
        </w:rPr>
        <w:t xml:space="preserve">Procedia - Social and </w:t>
      </w:r>
      <w:proofErr w:type="spellStart"/>
      <w:r w:rsidRPr="00835003">
        <w:rPr>
          <w:rFonts w:asciiTheme="majorHAnsi" w:hAnsiTheme="majorHAnsi" w:cstheme="majorHAnsi"/>
          <w:i/>
          <w:iCs/>
          <w:sz w:val="20"/>
          <w:szCs w:val="20"/>
        </w:rPr>
        <w:t>Behavioral</w:t>
      </w:r>
      <w:proofErr w:type="spellEnd"/>
      <w:r w:rsidRPr="00835003">
        <w:rPr>
          <w:rFonts w:asciiTheme="majorHAnsi" w:hAnsiTheme="majorHAnsi" w:cstheme="majorHAnsi"/>
          <w:i/>
          <w:iCs/>
          <w:sz w:val="20"/>
          <w:szCs w:val="20"/>
        </w:rPr>
        <w:t xml:space="preserve"> Sciences</w:t>
      </w:r>
      <w:r w:rsidRPr="00835003">
        <w:rPr>
          <w:rFonts w:asciiTheme="majorHAnsi" w:hAnsiTheme="majorHAnsi" w:cstheme="majorHAnsi"/>
          <w:sz w:val="20"/>
          <w:szCs w:val="20"/>
        </w:rPr>
        <w:t xml:space="preserve">, vol. 49, pp. 293–303, 2012,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10.1016/j.sbspro.2012.07.027.</w:t>
      </w:r>
    </w:p>
    <w:p w14:paraId="5581CAA3"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[11]</w:t>
      </w:r>
      <w:r w:rsidRPr="00835003">
        <w:rPr>
          <w:rFonts w:asciiTheme="majorHAnsi" w:hAnsiTheme="majorHAnsi" w:cstheme="majorHAnsi"/>
          <w:sz w:val="20"/>
          <w:szCs w:val="20"/>
        </w:rPr>
        <w:tab/>
        <w:t xml:space="preserve">S. Omer, “The Significance of Building Pursuits in Islam,” </w:t>
      </w:r>
      <w:r w:rsidRPr="00835003">
        <w:rPr>
          <w:rFonts w:asciiTheme="majorHAnsi" w:hAnsiTheme="majorHAnsi" w:cstheme="majorHAnsi"/>
          <w:i/>
          <w:iCs/>
          <w:sz w:val="20"/>
          <w:szCs w:val="20"/>
        </w:rPr>
        <w:t>J</w:t>
      </w:r>
      <w:r>
        <w:rPr>
          <w:rFonts w:asciiTheme="majorHAnsi" w:hAnsiTheme="majorHAnsi" w:cstheme="majorHAnsi"/>
          <w:i/>
          <w:iCs/>
          <w:sz w:val="20"/>
          <w:szCs w:val="20"/>
        </w:rPr>
        <w:t xml:space="preserve">ournal of </w:t>
      </w:r>
      <w:r w:rsidRPr="00835003">
        <w:rPr>
          <w:rFonts w:asciiTheme="majorHAnsi" w:hAnsiTheme="majorHAnsi" w:cstheme="majorHAnsi"/>
          <w:i/>
          <w:iCs/>
          <w:sz w:val="20"/>
          <w:szCs w:val="20"/>
        </w:rPr>
        <w:t>I</w:t>
      </w:r>
      <w:r>
        <w:rPr>
          <w:rFonts w:asciiTheme="majorHAnsi" w:hAnsiTheme="majorHAnsi" w:cstheme="majorHAnsi"/>
          <w:i/>
          <w:iCs/>
          <w:sz w:val="20"/>
          <w:szCs w:val="20"/>
        </w:rPr>
        <w:t xml:space="preserve">slamic </w:t>
      </w:r>
      <w:r w:rsidRPr="00835003">
        <w:rPr>
          <w:rFonts w:asciiTheme="majorHAnsi" w:hAnsiTheme="majorHAnsi" w:cstheme="majorHAnsi"/>
          <w:i/>
          <w:iCs/>
          <w:sz w:val="20"/>
          <w:szCs w:val="20"/>
        </w:rPr>
        <w:t>A</w:t>
      </w:r>
      <w:r>
        <w:rPr>
          <w:rFonts w:asciiTheme="majorHAnsi" w:hAnsiTheme="majorHAnsi" w:cstheme="majorHAnsi"/>
          <w:i/>
          <w:iCs/>
          <w:sz w:val="20"/>
          <w:szCs w:val="20"/>
        </w:rPr>
        <w:t>rchitecture</w:t>
      </w:r>
      <w:r w:rsidRPr="00835003">
        <w:rPr>
          <w:rFonts w:asciiTheme="majorHAnsi" w:hAnsiTheme="majorHAnsi" w:cstheme="majorHAnsi"/>
          <w:sz w:val="20"/>
          <w:szCs w:val="20"/>
        </w:rPr>
        <w:t xml:space="preserve">, vol. 2, no. 3, Feb. 2014,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10.18860/</w:t>
      </w:r>
      <w:proofErr w:type="gramStart"/>
      <w:r w:rsidRPr="00835003">
        <w:rPr>
          <w:rFonts w:asciiTheme="majorHAnsi" w:hAnsiTheme="majorHAnsi" w:cstheme="majorHAnsi"/>
          <w:sz w:val="20"/>
          <w:szCs w:val="20"/>
        </w:rPr>
        <w:t>jia.v</w:t>
      </w:r>
      <w:proofErr w:type="gramEnd"/>
      <w:r w:rsidRPr="00835003">
        <w:rPr>
          <w:rFonts w:asciiTheme="majorHAnsi" w:hAnsiTheme="majorHAnsi" w:cstheme="majorHAnsi"/>
          <w:sz w:val="20"/>
          <w:szCs w:val="20"/>
        </w:rPr>
        <w:t>2i3.2464.</w:t>
      </w:r>
    </w:p>
    <w:p w14:paraId="6F47A42E"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[12]</w:t>
      </w:r>
      <w:r w:rsidRPr="00835003">
        <w:rPr>
          <w:rFonts w:asciiTheme="majorHAnsi" w:hAnsiTheme="majorHAnsi" w:cstheme="majorHAnsi"/>
          <w:sz w:val="20"/>
          <w:szCs w:val="20"/>
        </w:rPr>
        <w:tab/>
        <w:t>M. Ul Huq and A. Haque, “Does Islamic Architecture Reflect Islam (Faith</w:t>
      </w:r>
      <w:proofErr w:type="gramStart"/>
      <w:r w:rsidRPr="00835003">
        <w:rPr>
          <w:rFonts w:asciiTheme="majorHAnsi" w:hAnsiTheme="majorHAnsi" w:cstheme="majorHAnsi"/>
          <w:sz w:val="20"/>
          <w:szCs w:val="20"/>
        </w:rPr>
        <w:t>)?,</w:t>
      </w:r>
      <w:proofErr w:type="gramEnd"/>
      <w:r w:rsidRPr="00835003">
        <w:rPr>
          <w:rFonts w:asciiTheme="majorHAnsi" w:hAnsiTheme="majorHAnsi" w:cstheme="majorHAnsi"/>
          <w:sz w:val="20"/>
          <w:szCs w:val="20"/>
        </w:rPr>
        <w:t xml:space="preserve">” in </w:t>
      </w:r>
      <w:r w:rsidRPr="00835003">
        <w:rPr>
          <w:rFonts w:asciiTheme="majorHAnsi" w:hAnsiTheme="majorHAnsi" w:cstheme="majorHAnsi"/>
          <w:i/>
          <w:iCs/>
          <w:sz w:val="20"/>
          <w:szCs w:val="20"/>
        </w:rPr>
        <w:t>UIA 2017 Seoul World Architects Congress</w:t>
      </w:r>
      <w:r w:rsidRPr="00835003">
        <w:rPr>
          <w:rFonts w:asciiTheme="majorHAnsi" w:hAnsiTheme="majorHAnsi" w:cstheme="majorHAnsi"/>
          <w:sz w:val="20"/>
          <w:szCs w:val="20"/>
        </w:rPr>
        <w:t>, 2017, pp. 34–41.</w:t>
      </w:r>
    </w:p>
    <w:p w14:paraId="2A72782A"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[13]</w:t>
      </w:r>
      <w:r w:rsidRPr="00835003">
        <w:rPr>
          <w:rFonts w:asciiTheme="majorHAnsi" w:hAnsiTheme="majorHAnsi" w:cstheme="majorHAnsi"/>
          <w:sz w:val="20"/>
          <w:szCs w:val="20"/>
        </w:rPr>
        <w:tab/>
        <w:t xml:space="preserve">F. Nasrollahi, “Transcendent Soul of the Muslim Architect and Spiritual Impact of the Islamic Architecture: Islamic Architecture and mundus </w:t>
      </w:r>
      <w:proofErr w:type="spellStart"/>
      <w:r w:rsidRPr="00835003">
        <w:rPr>
          <w:rFonts w:asciiTheme="majorHAnsi" w:hAnsiTheme="majorHAnsi" w:cstheme="majorHAnsi"/>
          <w:sz w:val="20"/>
          <w:szCs w:val="20"/>
        </w:rPr>
        <w:t>imaginalis</w:t>
      </w:r>
      <w:proofErr w:type="spellEnd"/>
      <w:r w:rsidRPr="00835003">
        <w:rPr>
          <w:rFonts w:asciiTheme="majorHAnsi" w:hAnsiTheme="majorHAnsi" w:cstheme="majorHAnsi"/>
          <w:sz w:val="20"/>
          <w:szCs w:val="20"/>
        </w:rPr>
        <w:t xml:space="preserve">,” </w:t>
      </w:r>
      <w:r w:rsidRPr="00835003">
        <w:rPr>
          <w:rFonts w:asciiTheme="majorHAnsi" w:hAnsiTheme="majorHAnsi" w:cstheme="majorHAnsi"/>
          <w:i/>
          <w:iCs/>
          <w:sz w:val="20"/>
          <w:szCs w:val="20"/>
        </w:rPr>
        <w:t>JISC</w:t>
      </w:r>
      <w:r w:rsidRPr="00835003">
        <w:rPr>
          <w:rFonts w:asciiTheme="majorHAnsi" w:hAnsiTheme="majorHAnsi" w:cstheme="majorHAnsi"/>
          <w:sz w:val="20"/>
          <w:szCs w:val="20"/>
        </w:rPr>
        <w:t xml:space="preserve">, vol. 3, no. 2, 2015,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10.15640/</w:t>
      </w:r>
      <w:proofErr w:type="gramStart"/>
      <w:r w:rsidRPr="00835003">
        <w:rPr>
          <w:rFonts w:asciiTheme="majorHAnsi" w:hAnsiTheme="majorHAnsi" w:cstheme="majorHAnsi"/>
          <w:sz w:val="20"/>
          <w:szCs w:val="20"/>
        </w:rPr>
        <w:t>jisc.v</w:t>
      </w:r>
      <w:proofErr w:type="gramEnd"/>
      <w:r w:rsidRPr="00835003">
        <w:rPr>
          <w:rFonts w:asciiTheme="majorHAnsi" w:hAnsiTheme="majorHAnsi" w:cstheme="majorHAnsi"/>
          <w:sz w:val="20"/>
          <w:szCs w:val="20"/>
        </w:rPr>
        <w:t>3n2a10.</w:t>
      </w:r>
    </w:p>
    <w:p w14:paraId="0478BC0D"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[14]</w:t>
      </w:r>
      <w:r w:rsidRPr="00835003">
        <w:rPr>
          <w:rFonts w:asciiTheme="majorHAnsi" w:hAnsiTheme="majorHAnsi" w:cstheme="majorHAnsi"/>
          <w:sz w:val="20"/>
          <w:szCs w:val="20"/>
        </w:rPr>
        <w:tab/>
        <w:t>Y. Yulianto, “</w:t>
      </w:r>
      <w:proofErr w:type="spellStart"/>
      <w:r w:rsidRPr="00835003">
        <w:rPr>
          <w:rFonts w:asciiTheme="majorHAnsi" w:hAnsiTheme="majorHAnsi" w:cstheme="majorHAnsi"/>
          <w:sz w:val="20"/>
          <w:szCs w:val="20"/>
        </w:rPr>
        <w:t>Hakikat</w:t>
      </w:r>
      <w:proofErr w:type="spellEnd"/>
      <w:r w:rsidRPr="00835003">
        <w:rPr>
          <w:rFonts w:asciiTheme="majorHAnsi" w:hAnsiTheme="majorHAnsi" w:cstheme="majorHAnsi"/>
          <w:sz w:val="20"/>
          <w:szCs w:val="20"/>
        </w:rPr>
        <w:t xml:space="preserve">, </w:t>
      </w:r>
      <w:proofErr w:type="spellStart"/>
      <w:r w:rsidRPr="00835003">
        <w:rPr>
          <w:rFonts w:asciiTheme="majorHAnsi" w:hAnsiTheme="majorHAnsi" w:cstheme="majorHAnsi"/>
          <w:sz w:val="20"/>
          <w:szCs w:val="20"/>
        </w:rPr>
        <w:t>Epistimologi</w:t>
      </w:r>
      <w:proofErr w:type="spellEnd"/>
      <w:r w:rsidRPr="00835003">
        <w:rPr>
          <w:rFonts w:asciiTheme="majorHAnsi" w:hAnsiTheme="majorHAnsi" w:cstheme="majorHAnsi"/>
          <w:sz w:val="20"/>
          <w:szCs w:val="20"/>
        </w:rPr>
        <w:t xml:space="preserve"> Islam, dan Strategi </w:t>
      </w:r>
      <w:proofErr w:type="spellStart"/>
      <w:r w:rsidRPr="00835003">
        <w:rPr>
          <w:rFonts w:asciiTheme="majorHAnsi" w:hAnsiTheme="majorHAnsi" w:cstheme="majorHAnsi"/>
          <w:sz w:val="20"/>
          <w:szCs w:val="20"/>
        </w:rPr>
        <w:t>Istinbath</w:t>
      </w:r>
      <w:proofErr w:type="spellEnd"/>
      <w:r w:rsidRPr="00835003">
        <w:rPr>
          <w:rFonts w:asciiTheme="majorHAnsi" w:hAnsiTheme="majorHAnsi" w:cstheme="majorHAnsi"/>
          <w:sz w:val="20"/>
          <w:szCs w:val="20"/>
        </w:rPr>
        <w:t xml:space="preserve"> Al Ahkam </w:t>
      </w:r>
      <w:proofErr w:type="spellStart"/>
      <w:r w:rsidRPr="00835003">
        <w:rPr>
          <w:rFonts w:asciiTheme="majorHAnsi" w:hAnsiTheme="majorHAnsi" w:cstheme="majorHAnsi"/>
          <w:sz w:val="20"/>
          <w:szCs w:val="20"/>
        </w:rPr>
        <w:t>Fikih</w:t>
      </w:r>
      <w:proofErr w:type="spellEnd"/>
      <w:r w:rsidRPr="00835003">
        <w:rPr>
          <w:rFonts w:asciiTheme="majorHAnsi" w:hAnsiTheme="majorHAnsi" w:cstheme="majorHAnsi"/>
          <w:sz w:val="20"/>
          <w:szCs w:val="20"/>
        </w:rPr>
        <w:t xml:space="preserve"> </w:t>
      </w:r>
      <w:proofErr w:type="spellStart"/>
      <w:r w:rsidRPr="00835003">
        <w:rPr>
          <w:rFonts w:asciiTheme="majorHAnsi" w:hAnsiTheme="majorHAnsi" w:cstheme="majorHAnsi"/>
          <w:sz w:val="20"/>
          <w:szCs w:val="20"/>
        </w:rPr>
        <w:t>Arsitektur</w:t>
      </w:r>
      <w:proofErr w:type="spellEnd"/>
      <w:r w:rsidRPr="00835003">
        <w:rPr>
          <w:rFonts w:asciiTheme="majorHAnsi" w:hAnsiTheme="majorHAnsi" w:cstheme="majorHAnsi"/>
          <w:sz w:val="20"/>
          <w:szCs w:val="20"/>
        </w:rPr>
        <w:t xml:space="preserve">,” </w:t>
      </w:r>
      <w:r w:rsidRPr="00835003">
        <w:rPr>
          <w:rFonts w:asciiTheme="majorHAnsi" w:hAnsiTheme="majorHAnsi" w:cstheme="majorHAnsi"/>
          <w:i/>
          <w:iCs/>
          <w:sz w:val="20"/>
          <w:szCs w:val="20"/>
        </w:rPr>
        <w:t>SJIM</w:t>
      </w:r>
      <w:r w:rsidRPr="00835003">
        <w:rPr>
          <w:rFonts w:asciiTheme="majorHAnsi" w:hAnsiTheme="majorHAnsi" w:cstheme="majorHAnsi"/>
          <w:sz w:val="20"/>
          <w:szCs w:val="20"/>
        </w:rPr>
        <w:t xml:space="preserve">, vol. 4, no. 2, pp. 151–169, Dec. 2019,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10.22515/</w:t>
      </w:r>
      <w:proofErr w:type="gramStart"/>
      <w:r w:rsidRPr="00835003">
        <w:rPr>
          <w:rFonts w:asciiTheme="majorHAnsi" w:hAnsiTheme="majorHAnsi" w:cstheme="majorHAnsi"/>
          <w:sz w:val="20"/>
          <w:szCs w:val="20"/>
        </w:rPr>
        <w:t>shahih.v</w:t>
      </w:r>
      <w:proofErr w:type="gramEnd"/>
      <w:r w:rsidRPr="00835003">
        <w:rPr>
          <w:rFonts w:asciiTheme="majorHAnsi" w:hAnsiTheme="majorHAnsi" w:cstheme="majorHAnsi"/>
          <w:sz w:val="20"/>
          <w:szCs w:val="20"/>
        </w:rPr>
        <w:t>4i2.1867.</w:t>
      </w:r>
    </w:p>
    <w:p w14:paraId="26D2FB91"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[15]</w:t>
      </w:r>
      <w:r w:rsidRPr="00835003">
        <w:rPr>
          <w:rFonts w:asciiTheme="majorHAnsi" w:hAnsiTheme="majorHAnsi" w:cstheme="majorHAnsi"/>
          <w:sz w:val="20"/>
          <w:szCs w:val="20"/>
        </w:rPr>
        <w:tab/>
        <w:t>M. Bin Hamu, “l-</w:t>
      </w:r>
      <w:proofErr w:type="spellStart"/>
      <w:r w:rsidRPr="00835003">
        <w:rPr>
          <w:rFonts w:asciiTheme="majorHAnsi" w:hAnsiTheme="majorHAnsi" w:cstheme="majorHAnsi"/>
          <w:sz w:val="20"/>
          <w:szCs w:val="20"/>
        </w:rPr>
        <w:t>Dārar</w:t>
      </w:r>
      <w:proofErr w:type="spellEnd"/>
      <w:r w:rsidRPr="00835003">
        <w:rPr>
          <w:rFonts w:asciiTheme="majorHAnsi" w:hAnsiTheme="majorHAnsi" w:cstheme="majorHAnsi"/>
          <w:sz w:val="20"/>
          <w:szCs w:val="20"/>
        </w:rPr>
        <w:t xml:space="preserve"> </w:t>
      </w:r>
      <w:proofErr w:type="spellStart"/>
      <w:r w:rsidRPr="00835003">
        <w:rPr>
          <w:rFonts w:asciiTheme="majorHAnsi" w:hAnsiTheme="majorHAnsi" w:cstheme="majorHAnsi"/>
          <w:sz w:val="20"/>
          <w:szCs w:val="20"/>
        </w:rPr>
        <w:t>ʿalā</w:t>
      </w:r>
      <w:proofErr w:type="spellEnd"/>
      <w:r w:rsidRPr="00835003">
        <w:rPr>
          <w:rFonts w:asciiTheme="majorHAnsi" w:hAnsiTheme="majorHAnsi" w:cstheme="majorHAnsi"/>
          <w:sz w:val="20"/>
          <w:szCs w:val="20"/>
        </w:rPr>
        <w:t xml:space="preserve"> al-</w:t>
      </w:r>
      <w:proofErr w:type="spellStart"/>
      <w:r w:rsidRPr="00835003">
        <w:rPr>
          <w:rFonts w:asciiTheme="majorHAnsi" w:hAnsiTheme="majorHAnsi" w:cstheme="majorHAnsi"/>
          <w:sz w:val="20"/>
          <w:szCs w:val="20"/>
        </w:rPr>
        <w:t>Masākin</w:t>
      </w:r>
      <w:proofErr w:type="spellEnd"/>
      <w:r w:rsidRPr="00835003">
        <w:rPr>
          <w:rFonts w:asciiTheme="majorHAnsi" w:hAnsiTheme="majorHAnsi" w:cstheme="majorHAnsi"/>
          <w:sz w:val="20"/>
          <w:szCs w:val="20"/>
        </w:rPr>
        <w:t xml:space="preserve"> min </w:t>
      </w:r>
      <w:proofErr w:type="spellStart"/>
      <w:r w:rsidRPr="00835003">
        <w:rPr>
          <w:rFonts w:asciiTheme="majorHAnsi" w:hAnsiTheme="majorHAnsi" w:cstheme="majorHAnsi"/>
          <w:sz w:val="20"/>
          <w:szCs w:val="20"/>
        </w:rPr>
        <w:t>khātir</w:t>
      </w:r>
      <w:proofErr w:type="spellEnd"/>
      <w:r w:rsidRPr="00835003">
        <w:rPr>
          <w:rFonts w:asciiTheme="majorHAnsi" w:hAnsiTheme="majorHAnsi" w:cstheme="majorHAnsi"/>
          <w:sz w:val="20"/>
          <w:szCs w:val="20"/>
        </w:rPr>
        <w:t xml:space="preserve"> </w:t>
      </w:r>
      <w:proofErr w:type="spellStart"/>
      <w:r w:rsidRPr="00835003">
        <w:rPr>
          <w:rFonts w:asciiTheme="majorHAnsi" w:hAnsiTheme="majorHAnsi" w:cstheme="majorHAnsi"/>
          <w:sz w:val="20"/>
          <w:szCs w:val="20"/>
        </w:rPr>
        <w:t>fiqh</w:t>
      </w:r>
      <w:proofErr w:type="spellEnd"/>
      <w:r w:rsidRPr="00835003">
        <w:rPr>
          <w:rFonts w:asciiTheme="majorHAnsi" w:hAnsiTheme="majorHAnsi" w:cstheme="majorHAnsi"/>
          <w:sz w:val="20"/>
          <w:szCs w:val="20"/>
        </w:rPr>
        <w:t xml:space="preserve"> </w:t>
      </w:r>
      <w:proofErr w:type="spellStart"/>
      <w:r w:rsidRPr="00835003">
        <w:rPr>
          <w:rFonts w:asciiTheme="majorHAnsi" w:hAnsiTheme="majorHAnsi" w:cstheme="majorHAnsi"/>
          <w:sz w:val="20"/>
          <w:szCs w:val="20"/>
        </w:rPr>
        <w:t>ʿimārati</w:t>
      </w:r>
      <w:proofErr w:type="spellEnd"/>
      <w:r w:rsidRPr="00835003">
        <w:rPr>
          <w:rFonts w:asciiTheme="majorHAnsi" w:hAnsiTheme="majorHAnsi" w:cstheme="majorHAnsi"/>
          <w:sz w:val="20"/>
          <w:szCs w:val="20"/>
        </w:rPr>
        <w:t xml:space="preserve"> al-</w:t>
      </w:r>
      <w:proofErr w:type="spellStart"/>
      <w:r w:rsidRPr="00835003">
        <w:rPr>
          <w:rFonts w:asciiTheme="majorHAnsi" w:hAnsiTheme="majorHAnsi" w:cstheme="majorHAnsi"/>
          <w:sz w:val="20"/>
          <w:szCs w:val="20"/>
        </w:rPr>
        <w:t>madā’in</w:t>
      </w:r>
      <w:proofErr w:type="spellEnd"/>
      <w:r w:rsidRPr="00835003">
        <w:rPr>
          <w:rFonts w:asciiTheme="majorHAnsi" w:hAnsiTheme="majorHAnsi" w:cstheme="majorHAnsi"/>
          <w:sz w:val="20"/>
          <w:szCs w:val="20"/>
        </w:rPr>
        <w:t xml:space="preserve"> al-</w:t>
      </w:r>
      <w:proofErr w:type="spellStart"/>
      <w:r w:rsidRPr="00835003">
        <w:rPr>
          <w:rFonts w:asciiTheme="majorHAnsi" w:hAnsiTheme="majorHAnsi" w:cstheme="majorHAnsi"/>
          <w:sz w:val="20"/>
          <w:szCs w:val="20"/>
        </w:rPr>
        <w:t>islāmiyya</w:t>
      </w:r>
      <w:proofErr w:type="spellEnd"/>
      <w:r w:rsidRPr="00835003">
        <w:rPr>
          <w:rFonts w:asciiTheme="majorHAnsi" w:hAnsiTheme="majorHAnsi" w:cstheme="majorHAnsi"/>
          <w:sz w:val="20"/>
          <w:szCs w:val="20"/>
        </w:rPr>
        <w:t xml:space="preserve">,” </w:t>
      </w:r>
      <w:r w:rsidRPr="00835003">
        <w:rPr>
          <w:rFonts w:asciiTheme="majorHAnsi" w:hAnsiTheme="majorHAnsi" w:cstheme="majorHAnsi"/>
          <w:i/>
          <w:iCs/>
          <w:sz w:val="20"/>
          <w:szCs w:val="20"/>
        </w:rPr>
        <w:t>HKP</w:t>
      </w:r>
      <w:r w:rsidRPr="00835003">
        <w:rPr>
          <w:rFonts w:asciiTheme="majorHAnsi" w:hAnsiTheme="majorHAnsi" w:cstheme="majorHAnsi"/>
          <w:sz w:val="20"/>
          <w:szCs w:val="20"/>
        </w:rPr>
        <w:t xml:space="preserve">, vol. 10, no. 38, pp. 64–72, Dec. 2017,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10.12816/0047296.</w:t>
      </w:r>
    </w:p>
    <w:p w14:paraId="0709B00A"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[16]</w:t>
      </w:r>
      <w:r w:rsidRPr="00835003">
        <w:rPr>
          <w:rFonts w:asciiTheme="majorHAnsi" w:hAnsiTheme="majorHAnsi" w:cstheme="majorHAnsi"/>
          <w:sz w:val="20"/>
          <w:szCs w:val="20"/>
        </w:rPr>
        <w:tab/>
        <w:t xml:space="preserve">A. B. H. Ahmad, W. K. </w:t>
      </w:r>
      <w:proofErr w:type="spellStart"/>
      <w:r w:rsidRPr="00835003">
        <w:rPr>
          <w:rFonts w:asciiTheme="majorHAnsi" w:hAnsiTheme="majorHAnsi" w:cstheme="majorHAnsi"/>
          <w:sz w:val="20"/>
          <w:szCs w:val="20"/>
        </w:rPr>
        <w:t>Mujani</w:t>
      </w:r>
      <w:proofErr w:type="spellEnd"/>
      <w:r w:rsidRPr="00835003">
        <w:rPr>
          <w:rFonts w:asciiTheme="majorHAnsi" w:hAnsiTheme="majorHAnsi" w:cstheme="majorHAnsi"/>
          <w:sz w:val="20"/>
          <w:szCs w:val="20"/>
        </w:rPr>
        <w:t xml:space="preserve">, and R. Othman, “Architecture according to the Perspective of the Qur’an: An Evaluation,” </w:t>
      </w:r>
      <w:r w:rsidRPr="00835003">
        <w:rPr>
          <w:rFonts w:asciiTheme="majorHAnsi" w:hAnsiTheme="majorHAnsi" w:cstheme="majorHAnsi"/>
          <w:i/>
          <w:iCs/>
          <w:sz w:val="20"/>
          <w:szCs w:val="20"/>
        </w:rPr>
        <w:t>IJARBSS</w:t>
      </w:r>
      <w:r w:rsidRPr="00835003">
        <w:rPr>
          <w:rFonts w:asciiTheme="majorHAnsi" w:hAnsiTheme="majorHAnsi" w:cstheme="majorHAnsi"/>
          <w:sz w:val="20"/>
          <w:szCs w:val="20"/>
        </w:rPr>
        <w:t xml:space="preserve">, vol. 7, no. 8, p. Pages 478-484, Sep. 2017,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10.6007/IJARBSS/v7-i8/3254.</w:t>
      </w:r>
    </w:p>
    <w:p w14:paraId="19B31241"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[17]</w:t>
      </w:r>
      <w:r w:rsidRPr="00835003">
        <w:rPr>
          <w:rFonts w:asciiTheme="majorHAnsi" w:hAnsiTheme="majorHAnsi" w:cstheme="majorHAnsi"/>
          <w:sz w:val="20"/>
          <w:szCs w:val="20"/>
        </w:rPr>
        <w:tab/>
        <w:t xml:space="preserve">A. Rapoport, “Theory, Culture and Housing,” </w:t>
      </w:r>
      <w:r w:rsidRPr="00835003">
        <w:rPr>
          <w:rFonts w:asciiTheme="majorHAnsi" w:hAnsiTheme="majorHAnsi" w:cstheme="majorHAnsi"/>
          <w:i/>
          <w:iCs/>
          <w:sz w:val="20"/>
          <w:szCs w:val="20"/>
        </w:rPr>
        <w:t>Housing, Theory and Society</w:t>
      </w:r>
      <w:r w:rsidRPr="00835003">
        <w:rPr>
          <w:rFonts w:asciiTheme="majorHAnsi" w:hAnsiTheme="majorHAnsi" w:cstheme="majorHAnsi"/>
          <w:sz w:val="20"/>
          <w:szCs w:val="20"/>
        </w:rPr>
        <w:t xml:space="preserve">, vol. 17, no. 4, pp. 145–165, Nov. 2000,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10.1080/140360900300108573.</w:t>
      </w:r>
    </w:p>
    <w:p w14:paraId="05CFF7F2"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[18]</w:t>
      </w:r>
      <w:r w:rsidRPr="00835003">
        <w:rPr>
          <w:rFonts w:asciiTheme="majorHAnsi" w:hAnsiTheme="majorHAnsi" w:cstheme="majorHAnsi"/>
          <w:sz w:val="20"/>
          <w:szCs w:val="20"/>
        </w:rPr>
        <w:tab/>
        <w:t xml:space="preserve">J. Beyers, “Religion and culture: Revisiting a close relative,” </w:t>
      </w:r>
      <w:r w:rsidRPr="00835003">
        <w:rPr>
          <w:rFonts w:asciiTheme="majorHAnsi" w:hAnsiTheme="majorHAnsi" w:cstheme="majorHAnsi"/>
          <w:i/>
          <w:iCs/>
          <w:sz w:val="20"/>
          <w:szCs w:val="20"/>
        </w:rPr>
        <w:t xml:space="preserve">HTS </w:t>
      </w:r>
      <w:proofErr w:type="spellStart"/>
      <w:r w:rsidRPr="00835003">
        <w:rPr>
          <w:rFonts w:asciiTheme="majorHAnsi" w:hAnsiTheme="majorHAnsi" w:cstheme="majorHAnsi"/>
          <w:i/>
          <w:iCs/>
          <w:sz w:val="20"/>
          <w:szCs w:val="20"/>
        </w:rPr>
        <w:t>Teologiese</w:t>
      </w:r>
      <w:proofErr w:type="spellEnd"/>
      <w:r w:rsidRPr="00835003">
        <w:rPr>
          <w:rFonts w:asciiTheme="majorHAnsi" w:hAnsiTheme="majorHAnsi" w:cstheme="majorHAnsi"/>
          <w:i/>
          <w:iCs/>
          <w:sz w:val="20"/>
          <w:szCs w:val="20"/>
        </w:rPr>
        <w:t xml:space="preserve"> Studies / Theological Studies</w:t>
      </w:r>
      <w:r w:rsidRPr="00835003">
        <w:rPr>
          <w:rFonts w:asciiTheme="majorHAnsi" w:hAnsiTheme="majorHAnsi" w:cstheme="majorHAnsi"/>
          <w:sz w:val="20"/>
          <w:szCs w:val="20"/>
        </w:rPr>
        <w:t xml:space="preserve">, vol. 73, no. 1, p. 9 pages, Feb. 2017,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10.4102/</w:t>
      </w:r>
      <w:proofErr w:type="gramStart"/>
      <w:r w:rsidRPr="00835003">
        <w:rPr>
          <w:rFonts w:asciiTheme="majorHAnsi" w:hAnsiTheme="majorHAnsi" w:cstheme="majorHAnsi"/>
          <w:sz w:val="20"/>
          <w:szCs w:val="20"/>
        </w:rPr>
        <w:t>hts.v</w:t>
      </w:r>
      <w:proofErr w:type="gramEnd"/>
      <w:r w:rsidRPr="00835003">
        <w:rPr>
          <w:rFonts w:asciiTheme="majorHAnsi" w:hAnsiTheme="majorHAnsi" w:cstheme="majorHAnsi"/>
          <w:sz w:val="20"/>
          <w:szCs w:val="20"/>
        </w:rPr>
        <w:t>73i1.3864.</w:t>
      </w:r>
    </w:p>
    <w:p w14:paraId="1667B876"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[19]</w:t>
      </w:r>
      <w:r w:rsidRPr="00835003">
        <w:rPr>
          <w:rFonts w:asciiTheme="majorHAnsi" w:hAnsiTheme="majorHAnsi" w:cstheme="majorHAnsi"/>
          <w:sz w:val="20"/>
          <w:szCs w:val="20"/>
        </w:rPr>
        <w:tab/>
        <w:t xml:space="preserve">D. Bidney, </w:t>
      </w:r>
      <w:r w:rsidRPr="00835003">
        <w:rPr>
          <w:rFonts w:asciiTheme="majorHAnsi" w:hAnsiTheme="majorHAnsi" w:cstheme="majorHAnsi"/>
          <w:i/>
          <w:iCs/>
          <w:sz w:val="20"/>
          <w:szCs w:val="20"/>
        </w:rPr>
        <w:t>Theoretical Anthropology</w:t>
      </w:r>
      <w:r w:rsidRPr="00835003">
        <w:rPr>
          <w:rFonts w:asciiTheme="majorHAnsi" w:hAnsiTheme="majorHAnsi" w:cstheme="majorHAnsi"/>
          <w:sz w:val="20"/>
          <w:szCs w:val="20"/>
        </w:rPr>
        <w:t>. New York, NY: Columbia University Press, 1967.</w:t>
      </w:r>
    </w:p>
    <w:p w14:paraId="241C4D87"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[20]</w:t>
      </w:r>
      <w:r w:rsidRPr="00835003">
        <w:rPr>
          <w:rFonts w:asciiTheme="majorHAnsi" w:hAnsiTheme="majorHAnsi" w:cstheme="majorHAnsi"/>
          <w:sz w:val="20"/>
          <w:szCs w:val="20"/>
        </w:rPr>
        <w:tab/>
        <w:t xml:space="preserve">L. A. White, </w:t>
      </w:r>
      <w:r w:rsidRPr="00835003">
        <w:rPr>
          <w:rFonts w:asciiTheme="majorHAnsi" w:hAnsiTheme="majorHAnsi" w:cstheme="majorHAnsi"/>
          <w:i/>
          <w:iCs/>
          <w:sz w:val="20"/>
          <w:szCs w:val="20"/>
        </w:rPr>
        <w:t>The Science of Culture, a Study of Man and Civilization</w:t>
      </w:r>
      <w:r w:rsidRPr="00835003">
        <w:rPr>
          <w:rFonts w:asciiTheme="majorHAnsi" w:hAnsiTheme="majorHAnsi" w:cstheme="majorHAnsi"/>
          <w:sz w:val="20"/>
          <w:szCs w:val="20"/>
        </w:rPr>
        <w:t>. Creative Media Partners, LLC, 2018.</w:t>
      </w:r>
    </w:p>
    <w:p w14:paraId="6CD6F288"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[21]</w:t>
      </w:r>
      <w:r w:rsidRPr="00835003">
        <w:rPr>
          <w:rFonts w:asciiTheme="majorHAnsi" w:hAnsiTheme="majorHAnsi" w:cstheme="majorHAnsi"/>
          <w:sz w:val="20"/>
          <w:szCs w:val="20"/>
        </w:rPr>
        <w:tab/>
        <w:t xml:space="preserve">J. S. Huxley, “Guest Editorial: Evolution, Cultural and Biological,” </w:t>
      </w:r>
      <w:r w:rsidRPr="00835003">
        <w:rPr>
          <w:rFonts w:asciiTheme="majorHAnsi" w:hAnsiTheme="majorHAnsi" w:cstheme="majorHAnsi"/>
          <w:i/>
          <w:iCs/>
          <w:sz w:val="20"/>
          <w:szCs w:val="20"/>
        </w:rPr>
        <w:t>Yearbook of Anthropology</w:t>
      </w:r>
      <w:r w:rsidRPr="00835003">
        <w:rPr>
          <w:rFonts w:asciiTheme="majorHAnsi" w:hAnsiTheme="majorHAnsi" w:cstheme="majorHAnsi"/>
          <w:sz w:val="20"/>
          <w:szCs w:val="20"/>
        </w:rPr>
        <w:t xml:space="preserve">, pp. 2–25, Jan. 1955,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10.1086/yearanth.0.3031134.</w:t>
      </w:r>
    </w:p>
    <w:p w14:paraId="0D2337FB"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[22]</w:t>
      </w:r>
      <w:r w:rsidRPr="00835003">
        <w:rPr>
          <w:rFonts w:asciiTheme="majorHAnsi" w:hAnsiTheme="majorHAnsi" w:cstheme="majorHAnsi"/>
          <w:sz w:val="20"/>
          <w:szCs w:val="20"/>
        </w:rPr>
        <w:tab/>
        <w:t xml:space="preserve">U. D’Ambrosio, “Mathematical Modelling as a Strategy for Building-Up Systems of Knowledge in Different Cultural Environments,” in </w:t>
      </w:r>
      <w:r w:rsidRPr="00835003">
        <w:rPr>
          <w:rFonts w:asciiTheme="majorHAnsi" w:hAnsiTheme="majorHAnsi" w:cstheme="majorHAnsi"/>
          <w:i/>
          <w:iCs/>
          <w:sz w:val="20"/>
          <w:szCs w:val="20"/>
        </w:rPr>
        <w:t>Mathematical Modelling in Education Research and Practice</w:t>
      </w:r>
      <w:r w:rsidRPr="00835003">
        <w:rPr>
          <w:rFonts w:asciiTheme="majorHAnsi" w:hAnsiTheme="majorHAnsi" w:cstheme="majorHAnsi"/>
          <w:sz w:val="20"/>
          <w:szCs w:val="20"/>
        </w:rPr>
        <w:t xml:space="preserve">, G. A. Stillman, W. Blum, and M. </w:t>
      </w:r>
      <w:proofErr w:type="spellStart"/>
      <w:r w:rsidRPr="00835003">
        <w:rPr>
          <w:rFonts w:asciiTheme="majorHAnsi" w:hAnsiTheme="majorHAnsi" w:cstheme="majorHAnsi"/>
          <w:sz w:val="20"/>
          <w:szCs w:val="20"/>
        </w:rPr>
        <w:t>Salett</w:t>
      </w:r>
      <w:proofErr w:type="spellEnd"/>
      <w:r w:rsidRPr="00835003">
        <w:rPr>
          <w:rFonts w:asciiTheme="majorHAnsi" w:hAnsiTheme="majorHAnsi" w:cstheme="majorHAnsi"/>
          <w:sz w:val="20"/>
          <w:szCs w:val="20"/>
        </w:rPr>
        <w:t xml:space="preserve"> </w:t>
      </w:r>
      <w:proofErr w:type="spellStart"/>
      <w:r w:rsidRPr="00835003">
        <w:rPr>
          <w:rFonts w:asciiTheme="majorHAnsi" w:hAnsiTheme="majorHAnsi" w:cstheme="majorHAnsi"/>
          <w:sz w:val="20"/>
          <w:szCs w:val="20"/>
        </w:rPr>
        <w:t>Biembengut</w:t>
      </w:r>
      <w:proofErr w:type="spellEnd"/>
      <w:r w:rsidRPr="00835003">
        <w:rPr>
          <w:rFonts w:asciiTheme="majorHAnsi" w:hAnsiTheme="majorHAnsi" w:cstheme="majorHAnsi"/>
          <w:sz w:val="20"/>
          <w:szCs w:val="20"/>
        </w:rPr>
        <w:t>, Eds., in International Perspectives on the Teaching and Learning of Mathematical Modelling</w:t>
      </w:r>
      <w:proofErr w:type="gramStart"/>
      <w:r w:rsidRPr="00835003">
        <w:rPr>
          <w:rFonts w:asciiTheme="majorHAnsi" w:hAnsiTheme="majorHAnsi" w:cstheme="majorHAnsi"/>
          <w:sz w:val="20"/>
          <w:szCs w:val="20"/>
        </w:rPr>
        <w:t>. ,</w:t>
      </w:r>
      <w:proofErr w:type="gramEnd"/>
      <w:r w:rsidRPr="00835003">
        <w:rPr>
          <w:rFonts w:asciiTheme="majorHAnsi" w:hAnsiTheme="majorHAnsi" w:cstheme="majorHAnsi"/>
          <w:sz w:val="20"/>
          <w:szCs w:val="20"/>
        </w:rPr>
        <w:t xml:space="preserve"> Cham: Springer International Publishing, 2015, pp. 35–44.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10.1007/978-3-319-18272-8_2.</w:t>
      </w:r>
    </w:p>
    <w:p w14:paraId="1B27534E"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[23]</w:t>
      </w:r>
      <w:r w:rsidRPr="00835003">
        <w:rPr>
          <w:rFonts w:asciiTheme="majorHAnsi" w:hAnsiTheme="majorHAnsi" w:cstheme="majorHAnsi"/>
          <w:sz w:val="20"/>
          <w:szCs w:val="20"/>
        </w:rPr>
        <w:tab/>
        <w:t>K. A. Jasmi, “</w:t>
      </w:r>
      <w:proofErr w:type="spellStart"/>
      <w:r w:rsidRPr="00835003">
        <w:rPr>
          <w:rFonts w:asciiTheme="majorHAnsi" w:hAnsiTheme="majorHAnsi" w:cstheme="majorHAnsi"/>
          <w:sz w:val="20"/>
          <w:szCs w:val="20"/>
        </w:rPr>
        <w:t>Dakwah</w:t>
      </w:r>
      <w:proofErr w:type="spellEnd"/>
      <w:r w:rsidRPr="00835003">
        <w:rPr>
          <w:rFonts w:asciiTheme="majorHAnsi" w:hAnsiTheme="majorHAnsi" w:cstheme="majorHAnsi"/>
          <w:sz w:val="20"/>
          <w:szCs w:val="20"/>
        </w:rPr>
        <w:t xml:space="preserve"> </w:t>
      </w:r>
      <w:proofErr w:type="spellStart"/>
      <w:r w:rsidRPr="00835003">
        <w:rPr>
          <w:rFonts w:asciiTheme="majorHAnsi" w:hAnsiTheme="majorHAnsi" w:cstheme="majorHAnsi"/>
          <w:sz w:val="20"/>
          <w:szCs w:val="20"/>
        </w:rPr>
        <w:t>Merupakan</w:t>
      </w:r>
      <w:proofErr w:type="spellEnd"/>
      <w:r w:rsidRPr="00835003">
        <w:rPr>
          <w:rFonts w:asciiTheme="majorHAnsi" w:hAnsiTheme="majorHAnsi" w:cstheme="majorHAnsi"/>
          <w:sz w:val="20"/>
          <w:szCs w:val="20"/>
        </w:rPr>
        <w:t xml:space="preserve"> </w:t>
      </w:r>
      <w:proofErr w:type="spellStart"/>
      <w:r w:rsidRPr="00835003">
        <w:rPr>
          <w:rFonts w:asciiTheme="majorHAnsi" w:hAnsiTheme="majorHAnsi" w:cstheme="majorHAnsi"/>
          <w:sz w:val="20"/>
          <w:szCs w:val="20"/>
        </w:rPr>
        <w:t>Kerja</w:t>
      </w:r>
      <w:proofErr w:type="spellEnd"/>
      <w:r w:rsidRPr="00835003">
        <w:rPr>
          <w:rFonts w:asciiTheme="majorHAnsi" w:hAnsiTheme="majorHAnsi" w:cstheme="majorHAnsi"/>
          <w:sz w:val="20"/>
          <w:szCs w:val="20"/>
        </w:rPr>
        <w:t xml:space="preserve"> Utama </w:t>
      </w:r>
      <w:proofErr w:type="spellStart"/>
      <w:r w:rsidRPr="00835003">
        <w:rPr>
          <w:rFonts w:asciiTheme="majorHAnsi" w:hAnsiTheme="majorHAnsi" w:cstheme="majorHAnsi"/>
          <w:sz w:val="20"/>
          <w:szCs w:val="20"/>
        </w:rPr>
        <w:t>Umat</w:t>
      </w:r>
      <w:proofErr w:type="spellEnd"/>
      <w:r w:rsidRPr="00835003">
        <w:rPr>
          <w:rFonts w:asciiTheme="majorHAnsi" w:hAnsiTheme="majorHAnsi" w:cstheme="majorHAnsi"/>
          <w:sz w:val="20"/>
          <w:szCs w:val="20"/>
        </w:rPr>
        <w:t xml:space="preserve"> Islam: Surah Ali ‘Imran (3: 104-112),” </w:t>
      </w:r>
      <w:r w:rsidRPr="007B117A">
        <w:rPr>
          <w:rFonts w:asciiTheme="majorHAnsi" w:hAnsiTheme="majorHAnsi" w:cstheme="majorHAnsi"/>
          <w:i/>
          <w:iCs/>
          <w:sz w:val="20"/>
          <w:szCs w:val="20"/>
        </w:rPr>
        <w:t xml:space="preserve">Program </w:t>
      </w:r>
      <w:proofErr w:type="spellStart"/>
      <w:r w:rsidRPr="007B117A">
        <w:rPr>
          <w:rFonts w:asciiTheme="majorHAnsi" w:hAnsiTheme="majorHAnsi" w:cstheme="majorHAnsi"/>
          <w:i/>
          <w:iCs/>
          <w:sz w:val="20"/>
          <w:szCs w:val="20"/>
        </w:rPr>
        <w:t>Budaya</w:t>
      </w:r>
      <w:proofErr w:type="spellEnd"/>
      <w:r w:rsidRPr="007B117A">
        <w:rPr>
          <w:rFonts w:asciiTheme="majorHAnsi" w:hAnsiTheme="majorHAnsi" w:cstheme="majorHAnsi"/>
          <w:i/>
          <w:iCs/>
          <w:sz w:val="20"/>
          <w:szCs w:val="20"/>
        </w:rPr>
        <w:t xml:space="preserve"> al-Quran </w:t>
      </w:r>
      <w:proofErr w:type="spellStart"/>
      <w:r w:rsidRPr="007B117A">
        <w:rPr>
          <w:rFonts w:asciiTheme="majorHAnsi" w:hAnsiTheme="majorHAnsi" w:cstheme="majorHAnsi"/>
          <w:i/>
          <w:iCs/>
          <w:sz w:val="20"/>
          <w:szCs w:val="20"/>
        </w:rPr>
        <w:t>Mingguan</w:t>
      </w:r>
      <w:proofErr w:type="spellEnd"/>
      <w:r w:rsidRPr="007B117A">
        <w:rPr>
          <w:rFonts w:asciiTheme="majorHAnsi" w:hAnsiTheme="majorHAnsi" w:cstheme="majorHAnsi"/>
          <w:i/>
          <w:iCs/>
          <w:sz w:val="20"/>
          <w:szCs w:val="20"/>
        </w:rPr>
        <w:t xml:space="preserve"> Siri 71 di Kolej Tun Fatimah</w:t>
      </w:r>
      <w:r>
        <w:rPr>
          <w:rFonts w:asciiTheme="majorHAnsi" w:hAnsiTheme="majorHAnsi" w:cstheme="majorHAnsi"/>
          <w:sz w:val="20"/>
          <w:szCs w:val="20"/>
        </w:rPr>
        <w:t xml:space="preserve">, </w:t>
      </w:r>
      <w:proofErr w:type="spellStart"/>
      <w:r w:rsidRPr="007B117A">
        <w:rPr>
          <w:rFonts w:asciiTheme="majorHAnsi" w:hAnsiTheme="majorHAnsi" w:cstheme="majorHAnsi"/>
          <w:sz w:val="20"/>
          <w:szCs w:val="20"/>
        </w:rPr>
        <w:t>Universiti</w:t>
      </w:r>
      <w:proofErr w:type="spellEnd"/>
      <w:r w:rsidRPr="007B117A">
        <w:rPr>
          <w:rFonts w:asciiTheme="majorHAnsi" w:hAnsiTheme="majorHAnsi" w:cstheme="majorHAnsi"/>
          <w:sz w:val="20"/>
          <w:szCs w:val="20"/>
        </w:rPr>
        <w:t xml:space="preserve"> </w:t>
      </w:r>
      <w:proofErr w:type="spellStart"/>
      <w:r w:rsidRPr="007B117A">
        <w:rPr>
          <w:rFonts w:asciiTheme="majorHAnsi" w:hAnsiTheme="majorHAnsi" w:cstheme="majorHAnsi"/>
          <w:sz w:val="20"/>
          <w:szCs w:val="20"/>
        </w:rPr>
        <w:t>Teknologi</w:t>
      </w:r>
      <w:proofErr w:type="spellEnd"/>
      <w:r w:rsidRPr="007B117A">
        <w:rPr>
          <w:rFonts w:asciiTheme="majorHAnsi" w:hAnsiTheme="majorHAnsi" w:cstheme="majorHAnsi"/>
          <w:sz w:val="20"/>
          <w:szCs w:val="20"/>
        </w:rPr>
        <w:t xml:space="preserve"> Malaysia</w:t>
      </w:r>
      <w:r>
        <w:rPr>
          <w:rFonts w:asciiTheme="majorHAnsi" w:hAnsiTheme="majorHAnsi" w:cstheme="majorHAnsi"/>
          <w:sz w:val="20"/>
          <w:szCs w:val="20"/>
        </w:rPr>
        <w:t xml:space="preserve">, </w:t>
      </w:r>
      <w:r w:rsidRPr="00835003">
        <w:rPr>
          <w:rFonts w:asciiTheme="majorHAnsi" w:hAnsiTheme="majorHAnsi" w:cstheme="majorHAnsi"/>
          <w:sz w:val="20"/>
          <w:szCs w:val="20"/>
        </w:rPr>
        <w:t>2021.</w:t>
      </w:r>
    </w:p>
    <w:p w14:paraId="4EB396E0"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lastRenderedPageBreak/>
        <w:t>[24]</w:t>
      </w:r>
      <w:r w:rsidRPr="00835003">
        <w:rPr>
          <w:rFonts w:asciiTheme="majorHAnsi" w:hAnsiTheme="majorHAnsi" w:cstheme="majorHAnsi"/>
          <w:sz w:val="20"/>
          <w:szCs w:val="20"/>
        </w:rPr>
        <w:tab/>
        <w:t xml:space="preserve">M. F. Gulen, </w:t>
      </w:r>
      <w:r w:rsidRPr="00835003">
        <w:rPr>
          <w:rFonts w:asciiTheme="majorHAnsi" w:hAnsiTheme="majorHAnsi" w:cstheme="majorHAnsi"/>
          <w:i/>
          <w:iCs/>
          <w:sz w:val="20"/>
          <w:szCs w:val="20"/>
        </w:rPr>
        <w:t>The Essentials of the Islamic Faith</w:t>
      </w:r>
      <w:r w:rsidRPr="00835003">
        <w:rPr>
          <w:rFonts w:asciiTheme="majorHAnsi" w:hAnsiTheme="majorHAnsi" w:cstheme="majorHAnsi"/>
          <w:sz w:val="20"/>
          <w:szCs w:val="20"/>
        </w:rPr>
        <w:t>. New Jersey USA: The Light Inc., 2005.</w:t>
      </w:r>
    </w:p>
    <w:p w14:paraId="5AAFEA69"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[25]</w:t>
      </w:r>
      <w:r w:rsidRPr="00835003">
        <w:rPr>
          <w:rFonts w:asciiTheme="majorHAnsi" w:hAnsiTheme="majorHAnsi" w:cstheme="majorHAnsi"/>
          <w:sz w:val="20"/>
          <w:szCs w:val="20"/>
        </w:rPr>
        <w:tab/>
        <w:t xml:space="preserve">A. </w:t>
      </w:r>
      <w:proofErr w:type="spellStart"/>
      <w:r w:rsidRPr="00835003">
        <w:rPr>
          <w:rFonts w:asciiTheme="majorHAnsi" w:hAnsiTheme="majorHAnsi" w:cstheme="majorHAnsi"/>
          <w:sz w:val="20"/>
          <w:szCs w:val="20"/>
        </w:rPr>
        <w:t>Bahnasi</w:t>
      </w:r>
      <w:proofErr w:type="spellEnd"/>
      <w:r w:rsidRPr="00835003">
        <w:rPr>
          <w:rFonts w:asciiTheme="majorHAnsi" w:hAnsiTheme="majorHAnsi" w:cstheme="majorHAnsi"/>
          <w:sz w:val="20"/>
          <w:szCs w:val="20"/>
        </w:rPr>
        <w:t xml:space="preserve">, </w:t>
      </w:r>
      <w:proofErr w:type="spellStart"/>
      <w:r w:rsidRPr="00835003">
        <w:rPr>
          <w:rFonts w:asciiTheme="majorHAnsi" w:hAnsiTheme="majorHAnsi" w:cstheme="majorHAnsi"/>
          <w:i/>
          <w:iCs/>
          <w:sz w:val="20"/>
          <w:szCs w:val="20"/>
        </w:rPr>
        <w:t>Funūn</w:t>
      </w:r>
      <w:proofErr w:type="spellEnd"/>
      <w:r w:rsidRPr="00835003">
        <w:rPr>
          <w:rFonts w:asciiTheme="majorHAnsi" w:hAnsiTheme="majorHAnsi" w:cstheme="majorHAnsi"/>
          <w:i/>
          <w:iCs/>
          <w:sz w:val="20"/>
          <w:szCs w:val="20"/>
        </w:rPr>
        <w:t xml:space="preserve"> al-</w:t>
      </w:r>
      <w:proofErr w:type="spellStart"/>
      <w:r w:rsidRPr="00835003">
        <w:rPr>
          <w:rFonts w:asciiTheme="majorHAnsi" w:hAnsiTheme="majorHAnsi" w:cstheme="majorHAnsi"/>
          <w:i/>
          <w:iCs/>
          <w:sz w:val="20"/>
          <w:szCs w:val="20"/>
        </w:rPr>
        <w:t>ʿimārati</w:t>
      </w:r>
      <w:proofErr w:type="spellEnd"/>
      <w:r w:rsidRPr="00835003">
        <w:rPr>
          <w:rFonts w:asciiTheme="majorHAnsi" w:hAnsiTheme="majorHAnsi" w:cstheme="majorHAnsi"/>
          <w:i/>
          <w:iCs/>
          <w:sz w:val="20"/>
          <w:szCs w:val="20"/>
        </w:rPr>
        <w:t xml:space="preserve"> al-</w:t>
      </w:r>
      <w:proofErr w:type="spellStart"/>
      <w:r w:rsidRPr="00835003">
        <w:rPr>
          <w:rFonts w:asciiTheme="majorHAnsi" w:hAnsiTheme="majorHAnsi" w:cstheme="majorHAnsi"/>
          <w:i/>
          <w:iCs/>
          <w:sz w:val="20"/>
          <w:szCs w:val="20"/>
        </w:rPr>
        <w:t>islāmiyyati</w:t>
      </w:r>
      <w:proofErr w:type="spellEnd"/>
      <w:r w:rsidRPr="00835003">
        <w:rPr>
          <w:rFonts w:asciiTheme="majorHAnsi" w:hAnsiTheme="majorHAnsi" w:cstheme="majorHAnsi"/>
          <w:i/>
          <w:iCs/>
          <w:sz w:val="20"/>
          <w:szCs w:val="20"/>
        </w:rPr>
        <w:t xml:space="preserve"> </w:t>
      </w:r>
      <w:proofErr w:type="spellStart"/>
      <w:r w:rsidRPr="00835003">
        <w:rPr>
          <w:rFonts w:asciiTheme="majorHAnsi" w:hAnsiTheme="majorHAnsi" w:cstheme="majorHAnsi"/>
          <w:i/>
          <w:iCs/>
          <w:sz w:val="20"/>
          <w:szCs w:val="20"/>
        </w:rPr>
        <w:t>wa</w:t>
      </w:r>
      <w:proofErr w:type="spellEnd"/>
      <w:r w:rsidRPr="00835003">
        <w:rPr>
          <w:rFonts w:asciiTheme="majorHAnsi" w:hAnsiTheme="majorHAnsi" w:cstheme="majorHAnsi"/>
          <w:i/>
          <w:iCs/>
          <w:sz w:val="20"/>
          <w:szCs w:val="20"/>
        </w:rPr>
        <w:t xml:space="preserve"> </w:t>
      </w:r>
      <w:proofErr w:type="spellStart"/>
      <w:r w:rsidRPr="00835003">
        <w:rPr>
          <w:rFonts w:asciiTheme="majorHAnsi" w:hAnsiTheme="majorHAnsi" w:cstheme="majorHAnsi"/>
          <w:i/>
          <w:iCs/>
          <w:sz w:val="20"/>
          <w:szCs w:val="20"/>
        </w:rPr>
        <w:t>khaṣāʾiṣuhā</w:t>
      </w:r>
      <w:proofErr w:type="spellEnd"/>
      <w:r w:rsidRPr="00835003">
        <w:rPr>
          <w:rFonts w:asciiTheme="majorHAnsi" w:hAnsiTheme="majorHAnsi" w:cstheme="majorHAnsi"/>
          <w:i/>
          <w:iCs/>
          <w:sz w:val="20"/>
          <w:szCs w:val="20"/>
        </w:rPr>
        <w:t xml:space="preserve"> </w:t>
      </w:r>
      <w:proofErr w:type="spellStart"/>
      <w:r w:rsidRPr="00835003">
        <w:rPr>
          <w:rFonts w:asciiTheme="majorHAnsi" w:hAnsiTheme="majorHAnsi" w:cstheme="majorHAnsi"/>
          <w:i/>
          <w:iCs/>
          <w:sz w:val="20"/>
          <w:szCs w:val="20"/>
        </w:rPr>
        <w:t>fī</w:t>
      </w:r>
      <w:proofErr w:type="spellEnd"/>
      <w:r w:rsidRPr="00835003">
        <w:rPr>
          <w:rFonts w:asciiTheme="majorHAnsi" w:hAnsiTheme="majorHAnsi" w:cstheme="majorHAnsi"/>
          <w:i/>
          <w:iCs/>
          <w:sz w:val="20"/>
          <w:szCs w:val="20"/>
        </w:rPr>
        <w:t xml:space="preserve"> </w:t>
      </w:r>
      <w:proofErr w:type="spellStart"/>
      <w:r w:rsidRPr="00835003">
        <w:rPr>
          <w:rFonts w:asciiTheme="majorHAnsi" w:hAnsiTheme="majorHAnsi" w:cstheme="majorHAnsi"/>
          <w:i/>
          <w:iCs/>
          <w:sz w:val="20"/>
          <w:szCs w:val="20"/>
        </w:rPr>
        <w:t>manāhij</w:t>
      </w:r>
      <w:proofErr w:type="spellEnd"/>
      <w:r w:rsidRPr="00835003">
        <w:rPr>
          <w:rFonts w:asciiTheme="majorHAnsi" w:hAnsiTheme="majorHAnsi" w:cstheme="majorHAnsi"/>
          <w:i/>
          <w:iCs/>
          <w:sz w:val="20"/>
          <w:szCs w:val="20"/>
        </w:rPr>
        <w:t xml:space="preserve"> at-</w:t>
      </w:r>
      <w:proofErr w:type="spellStart"/>
      <w:r w:rsidRPr="00835003">
        <w:rPr>
          <w:rFonts w:asciiTheme="majorHAnsi" w:hAnsiTheme="majorHAnsi" w:cstheme="majorHAnsi"/>
          <w:i/>
          <w:iCs/>
          <w:sz w:val="20"/>
          <w:szCs w:val="20"/>
        </w:rPr>
        <w:t>taʿlīm</w:t>
      </w:r>
      <w:proofErr w:type="spellEnd"/>
      <w:r w:rsidRPr="00835003">
        <w:rPr>
          <w:rFonts w:asciiTheme="majorHAnsi" w:hAnsiTheme="majorHAnsi" w:cstheme="majorHAnsi"/>
          <w:sz w:val="20"/>
          <w:szCs w:val="20"/>
        </w:rPr>
        <w:t>. Riyadh: The Islamic Educational, Scientific and Cultural Organization, 2003.</w:t>
      </w:r>
    </w:p>
    <w:p w14:paraId="29C0B296"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[26]</w:t>
      </w:r>
      <w:r w:rsidRPr="00835003">
        <w:rPr>
          <w:rFonts w:asciiTheme="majorHAnsi" w:hAnsiTheme="majorHAnsi" w:cstheme="majorHAnsi"/>
          <w:sz w:val="20"/>
          <w:szCs w:val="20"/>
        </w:rPr>
        <w:tab/>
        <w:t xml:space="preserve">Y. Waziri, </w:t>
      </w:r>
      <w:r w:rsidRPr="00835003">
        <w:rPr>
          <w:rFonts w:asciiTheme="majorHAnsi" w:hAnsiTheme="majorHAnsi" w:cstheme="majorHAnsi"/>
          <w:i/>
          <w:iCs/>
          <w:sz w:val="20"/>
          <w:szCs w:val="20"/>
        </w:rPr>
        <w:t>Al-</w:t>
      </w:r>
      <w:proofErr w:type="spellStart"/>
      <w:r w:rsidRPr="00835003">
        <w:rPr>
          <w:rFonts w:asciiTheme="majorHAnsi" w:hAnsiTheme="majorHAnsi" w:cstheme="majorHAnsi"/>
          <w:i/>
          <w:iCs/>
          <w:sz w:val="20"/>
          <w:szCs w:val="20"/>
        </w:rPr>
        <w:t>ʿUmran</w:t>
      </w:r>
      <w:proofErr w:type="spellEnd"/>
      <w:r w:rsidRPr="00835003">
        <w:rPr>
          <w:rFonts w:asciiTheme="majorHAnsi" w:hAnsiTheme="majorHAnsi" w:cstheme="majorHAnsi"/>
          <w:i/>
          <w:iCs/>
          <w:sz w:val="20"/>
          <w:szCs w:val="20"/>
        </w:rPr>
        <w:t xml:space="preserve"> </w:t>
      </w:r>
      <w:proofErr w:type="spellStart"/>
      <w:r w:rsidRPr="00835003">
        <w:rPr>
          <w:rFonts w:asciiTheme="majorHAnsi" w:hAnsiTheme="majorHAnsi" w:cstheme="majorHAnsi"/>
          <w:i/>
          <w:iCs/>
          <w:sz w:val="20"/>
          <w:szCs w:val="20"/>
        </w:rPr>
        <w:t>wa</w:t>
      </w:r>
      <w:proofErr w:type="spellEnd"/>
      <w:r w:rsidRPr="00835003">
        <w:rPr>
          <w:rFonts w:asciiTheme="majorHAnsi" w:hAnsiTheme="majorHAnsi" w:cstheme="majorHAnsi"/>
          <w:i/>
          <w:iCs/>
          <w:sz w:val="20"/>
          <w:szCs w:val="20"/>
        </w:rPr>
        <w:t xml:space="preserve"> al-Binyan </w:t>
      </w:r>
      <w:proofErr w:type="spellStart"/>
      <w:r w:rsidRPr="00835003">
        <w:rPr>
          <w:rFonts w:asciiTheme="majorHAnsi" w:hAnsiTheme="majorHAnsi" w:cstheme="majorHAnsi"/>
          <w:i/>
          <w:iCs/>
          <w:sz w:val="20"/>
          <w:szCs w:val="20"/>
        </w:rPr>
        <w:t>fī</w:t>
      </w:r>
      <w:proofErr w:type="spellEnd"/>
      <w:r w:rsidRPr="00835003">
        <w:rPr>
          <w:rFonts w:asciiTheme="majorHAnsi" w:hAnsiTheme="majorHAnsi" w:cstheme="majorHAnsi"/>
          <w:i/>
          <w:iCs/>
          <w:sz w:val="20"/>
          <w:szCs w:val="20"/>
        </w:rPr>
        <w:t xml:space="preserve"> </w:t>
      </w:r>
      <w:proofErr w:type="spellStart"/>
      <w:r w:rsidRPr="00835003">
        <w:rPr>
          <w:rFonts w:asciiTheme="majorHAnsi" w:hAnsiTheme="majorHAnsi" w:cstheme="majorHAnsi"/>
          <w:i/>
          <w:iCs/>
          <w:sz w:val="20"/>
          <w:szCs w:val="20"/>
        </w:rPr>
        <w:t>Manẓūr</w:t>
      </w:r>
      <w:proofErr w:type="spellEnd"/>
      <w:r w:rsidRPr="00835003">
        <w:rPr>
          <w:rFonts w:asciiTheme="majorHAnsi" w:hAnsiTheme="majorHAnsi" w:cstheme="majorHAnsi"/>
          <w:i/>
          <w:iCs/>
          <w:sz w:val="20"/>
          <w:szCs w:val="20"/>
        </w:rPr>
        <w:t xml:space="preserve"> al-</w:t>
      </w:r>
      <w:proofErr w:type="spellStart"/>
      <w:r w:rsidRPr="00835003">
        <w:rPr>
          <w:rFonts w:asciiTheme="majorHAnsi" w:hAnsiTheme="majorHAnsi" w:cstheme="majorHAnsi"/>
          <w:i/>
          <w:iCs/>
          <w:sz w:val="20"/>
          <w:szCs w:val="20"/>
        </w:rPr>
        <w:t>Islām</w:t>
      </w:r>
      <w:proofErr w:type="spellEnd"/>
      <w:r w:rsidRPr="00835003">
        <w:rPr>
          <w:rFonts w:asciiTheme="majorHAnsi" w:hAnsiTheme="majorHAnsi" w:cstheme="majorHAnsi"/>
          <w:sz w:val="20"/>
          <w:szCs w:val="20"/>
        </w:rPr>
        <w:t xml:space="preserve">. Kuwait: </w:t>
      </w:r>
      <w:proofErr w:type="spellStart"/>
      <w:r w:rsidRPr="00835003">
        <w:rPr>
          <w:rFonts w:asciiTheme="majorHAnsi" w:hAnsiTheme="majorHAnsi" w:cstheme="majorHAnsi"/>
          <w:sz w:val="20"/>
          <w:szCs w:val="20"/>
        </w:rPr>
        <w:t>Rawafid</w:t>
      </w:r>
      <w:proofErr w:type="spellEnd"/>
      <w:r w:rsidRPr="00835003">
        <w:rPr>
          <w:rFonts w:asciiTheme="majorHAnsi" w:hAnsiTheme="majorHAnsi" w:cstheme="majorHAnsi"/>
          <w:sz w:val="20"/>
          <w:szCs w:val="20"/>
        </w:rPr>
        <w:t>, 2008.</w:t>
      </w:r>
    </w:p>
    <w:p w14:paraId="608FE24E"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[27]</w:t>
      </w:r>
      <w:r w:rsidRPr="00835003">
        <w:rPr>
          <w:rFonts w:asciiTheme="majorHAnsi" w:hAnsiTheme="majorHAnsi" w:cstheme="majorHAnsi"/>
          <w:sz w:val="20"/>
          <w:szCs w:val="20"/>
        </w:rPr>
        <w:tab/>
        <w:t xml:space="preserve">O. Spahic, “God as the Only Creator: Some Implications for Conceptualising Islamic Architecture,” </w:t>
      </w:r>
      <w:r w:rsidRPr="00835003">
        <w:rPr>
          <w:rFonts w:asciiTheme="majorHAnsi" w:hAnsiTheme="majorHAnsi" w:cstheme="majorHAnsi"/>
          <w:i/>
          <w:iCs/>
          <w:sz w:val="20"/>
          <w:szCs w:val="20"/>
        </w:rPr>
        <w:t>KEMANUSIAAN</w:t>
      </w:r>
      <w:r w:rsidRPr="00835003">
        <w:rPr>
          <w:rFonts w:asciiTheme="majorHAnsi" w:hAnsiTheme="majorHAnsi" w:cstheme="majorHAnsi"/>
          <w:sz w:val="20"/>
          <w:szCs w:val="20"/>
        </w:rPr>
        <w:t>, vol. 22, no. 1, 2015.</w:t>
      </w:r>
    </w:p>
    <w:p w14:paraId="0AE9C4EC"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[28]</w:t>
      </w:r>
      <w:r w:rsidRPr="00835003">
        <w:rPr>
          <w:rFonts w:asciiTheme="majorHAnsi" w:hAnsiTheme="majorHAnsi" w:cstheme="majorHAnsi"/>
          <w:sz w:val="20"/>
          <w:szCs w:val="20"/>
        </w:rPr>
        <w:tab/>
        <w:t xml:space="preserve">S. Omer, “Tawhid and Its Implications for Islamic Architecture,” </w:t>
      </w:r>
      <w:r w:rsidRPr="00835003">
        <w:rPr>
          <w:rFonts w:asciiTheme="majorHAnsi" w:hAnsiTheme="majorHAnsi" w:cstheme="majorHAnsi"/>
          <w:i/>
          <w:iCs/>
          <w:sz w:val="20"/>
          <w:szCs w:val="20"/>
        </w:rPr>
        <w:t>Journal of Architecture, Planning and Construction Management</w:t>
      </w:r>
      <w:r w:rsidRPr="00835003">
        <w:rPr>
          <w:rFonts w:asciiTheme="majorHAnsi" w:hAnsiTheme="majorHAnsi" w:cstheme="majorHAnsi"/>
          <w:sz w:val="20"/>
          <w:szCs w:val="20"/>
        </w:rPr>
        <w:t>, vol. 1, no. 2, 2011.</w:t>
      </w:r>
    </w:p>
    <w:p w14:paraId="45344B81"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[29]</w:t>
      </w:r>
      <w:r w:rsidRPr="00835003">
        <w:rPr>
          <w:rFonts w:asciiTheme="majorHAnsi" w:hAnsiTheme="majorHAnsi" w:cstheme="majorHAnsi"/>
          <w:sz w:val="20"/>
          <w:szCs w:val="20"/>
        </w:rPr>
        <w:tab/>
        <w:t>I. A. A.-F. I. ibn Kathir al-</w:t>
      </w:r>
      <w:proofErr w:type="spellStart"/>
      <w:r w:rsidRPr="00835003">
        <w:rPr>
          <w:rFonts w:asciiTheme="majorHAnsi" w:hAnsiTheme="majorHAnsi" w:cstheme="majorHAnsi"/>
          <w:sz w:val="20"/>
          <w:szCs w:val="20"/>
        </w:rPr>
        <w:t>Dimashqi</w:t>
      </w:r>
      <w:proofErr w:type="spellEnd"/>
      <w:r w:rsidRPr="00835003">
        <w:rPr>
          <w:rFonts w:asciiTheme="majorHAnsi" w:hAnsiTheme="majorHAnsi" w:cstheme="majorHAnsi"/>
          <w:sz w:val="20"/>
          <w:szCs w:val="20"/>
        </w:rPr>
        <w:t xml:space="preserve">, </w:t>
      </w:r>
      <w:r w:rsidRPr="00835003">
        <w:rPr>
          <w:rFonts w:asciiTheme="majorHAnsi" w:hAnsiTheme="majorHAnsi" w:cstheme="majorHAnsi"/>
          <w:i/>
          <w:iCs/>
          <w:sz w:val="20"/>
          <w:szCs w:val="20"/>
        </w:rPr>
        <w:t>Tafsir Ibn Kathir</w:t>
      </w:r>
      <w:r w:rsidRPr="00835003">
        <w:rPr>
          <w:rFonts w:asciiTheme="majorHAnsi" w:hAnsiTheme="majorHAnsi" w:cstheme="majorHAnsi"/>
          <w:sz w:val="20"/>
          <w:szCs w:val="20"/>
        </w:rPr>
        <w:t>, 2nd ed., vol. 1–10. Riyadh: Maktaba Dar-us-Salam, 2003.</w:t>
      </w:r>
    </w:p>
    <w:p w14:paraId="02416F6E"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[30]</w:t>
      </w:r>
      <w:r w:rsidRPr="00835003">
        <w:rPr>
          <w:rFonts w:asciiTheme="majorHAnsi" w:hAnsiTheme="majorHAnsi" w:cstheme="majorHAnsi"/>
          <w:sz w:val="20"/>
          <w:szCs w:val="20"/>
        </w:rPr>
        <w:tab/>
        <w:t xml:space="preserve">E. Moosa, “Muslim </w:t>
      </w:r>
      <w:proofErr w:type="gramStart"/>
      <w:r w:rsidRPr="00835003">
        <w:rPr>
          <w:rFonts w:asciiTheme="majorHAnsi" w:hAnsiTheme="majorHAnsi" w:cstheme="majorHAnsi"/>
          <w:sz w:val="20"/>
          <w:szCs w:val="20"/>
        </w:rPr>
        <w:t>Ethics?,</w:t>
      </w:r>
      <w:proofErr w:type="gramEnd"/>
      <w:r w:rsidRPr="00835003">
        <w:rPr>
          <w:rFonts w:asciiTheme="majorHAnsi" w:hAnsiTheme="majorHAnsi" w:cstheme="majorHAnsi"/>
          <w:sz w:val="20"/>
          <w:szCs w:val="20"/>
        </w:rPr>
        <w:t xml:space="preserve">” in </w:t>
      </w:r>
      <w:r w:rsidRPr="00835003">
        <w:rPr>
          <w:rFonts w:asciiTheme="majorHAnsi" w:hAnsiTheme="majorHAnsi" w:cstheme="majorHAnsi"/>
          <w:i/>
          <w:iCs/>
          <w:sz w:val="20"/>
          <w:szCs w:val="20"/>
        </w:rPr>
        <w:t>The Blackwell Companion to Religious Ethics</w:t>
      </w:r>
      <w:r w:rsidRPr="00835003">
        <w:rPr>
          <w:rFonts w:asciiTheme="majorHAnsi" w:hAnsiTheme="majorHAnsi" w:cstheme="majorHAnsi"/>
          <w:sz w:val="20"/>
          <w:szCs w:val="20"/>
        </w:rPr>
        <w:t xml:space="preserve">, W. Schweiker, Ed., Oxford, UK: Blackwell Publishing Ltd, 2007, pp. 237–243.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10.1002/9780470997031.ch26.</w:t>
      </w:r>
    </w:p>
    <w:p w14:paraId="235C8117"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[31]</w:t>
      </w:r>
      <w:r w:rsidRPr="00835003">
        <w:rPr>
          <w:rFonts w:asciiTheme="majorHAnsi" w:hAnsiTheme="majorHAnsi" w:cstheme="majorHAnsi"/>
          <w:sz w:val="20"/>
          <w:szCs w:val="20"/>
        </w:rPr>
        <w:tab/>
        <w:t xml:space="preserve">A. Siddiqui, “Ethics in Islam: key concepts and contemporary challenges,” </w:t>
      </w:r>
      <w:r w:rsidRPr="00835003">
        <w:rPr>
          <w:rFonts w:asciiTheme="majorHAnsi" w:hAnsiTheme="majorHAnsi" w:cstheme="majorHAnsi"/>
          <w:i/>
          <w:iCs/>
          <w:sz w:val="20"/>
          <w:szCs w:val="20"/>
        </w:rPr>
        <w:t>Journal of Moral Education</w:t>
      </w:r>
      <w:r w:rsidRPr="00835003">
        <w:rPr>
          <w:rFonts w:asciiTheme="majorHAnsi" w:hAnsiTheme="majorHAnsi" w:cstheme="majorHAnsi"/>
          <w:sz w:val="20"/>
          <w:szCs w:val="20"/>
        </w:rPr>
        <w:t xml:space="preserve">, vol. 26, no. 4, pp. 423–431, Dec. 1997,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10.1080/0305724970260403.</w:t>
      </w:r>
    </w:p>
    <w:p w14:paraId="2ED116B1"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[32]</w:t>
      </w:r>
      <w:r w:rsidRPr="00835003">
        <w:rPr>
          <w:rFonts w:asciiTheme="majorHAnsi" w:hAnsiTheme="majorHAnsi" w:cstheme="majorHAnsi"/>
          <w:sz w:val="20"/>
          <w:szCs w:val="20"/>
        </w:rPr>
        <w:tab/>
        <w:t>H. M. I. Al-Awawda, “</w:t>
      </w:r>
      <w:proofErr w:type="spellStart"/>
      <w:r w:rsidRPr="00835003">
        <w:rPr>
          <w:rFonts w:asciiTheme="majorHAnsi" w:hAnsiTheme="majorHAnsi" w:cstheme="majorHAnsi"/>
          <w:sz w:val="20"/>
          <w:szCs w:val="20"/>
        </w:rPr>
        <w:t>Falsafatu</w:t>
      </w:r>
      <w:proofErr w:type="spellEnd"/>
      <w:r w:rsidRPr="00835003">
        <w:rPr>
          <w:rFonts w:asciiTheme="majorHAnsi" w:hAnsiTheme="majorHAnsi" w:cstheme="majorHAnsi"/>
          <w:sz w:val="20"/>
          <w:szCs w:val="20"/>
        </w:rPr>
        <w:t xml:space="preserve"> al-</w:t>
      </w:r>
      <w:proofErr w:type="spellStart"/>
      <w:r w:rsidRPr="00835003">
        <w:rPr>
          <w:rFonts w:asciiTheme="majorHAnsi" w:hAnsiTheme="majorHAnsi" w:cstheme="majorHAnsi"/>
          <w:sz w:val="20"/>
          <w:szCs w:val="20"/>
        </w:rPr>
        <w:t>Wasaṭiyyati</w:t>
      </w:r>
      <w:proofErr w:type="spellEnd"/>
      <w:r w:rsidRPr="00835003">
        <w:rPr>
          <w:rFonts w:asciiTheme="majorHAnsi" w:hAnsiTheme="majorHAnsi" w:cstheme="majorHAnsi"/>
          <w:sz w:val="20"/>
          <w:szCs w:val="20"/>
        </w:rPr>
        <w:t xml:space="preserve"> al-</w:t>
      </w:r>
      <w:proofErr w:type="spellStart"/>
      <w:r w:rsidRPr="00835003">
        <w:rPr>
          <w:rFonts w:asciiTheme="majorHAnsi" w:hAnsiTheme="majorHAnsi" w:cstheme="majorHAnsi"/>
          <w:sz w:val="20"/>
          <w:szCs w:val="20"/>
        </w:rPr>
        <w:t>Islāmiyyati</w:t>
      </w:r>
      <w:proofErr w:type="spellEnd"/>
      <w:r w:rsidRPr="00835003">
        <w:rPr>
          <w:rFonts w:asciiTheme="majorHAnsi" w:hAnsiTheme="majorHAnsi" w:cstheme="majorHAnsi"/>
          <w:sz w:val="20"/>
          <w:szCs w:val="20"/>
        </w:rPr>
        <w:t xml:space="preserve"> </w:t>
      </w:r>
      <w:proofErr w:type="spellStart"/>
      <w:r w:rsidRPr="00835003">
        <w:rPr>
          <w:rFonts w:asciiTheme="majorHAnsi" w:hAnsiTheme="majorHAnsi" w:cstheme="majorHAnsi"/>
          <w:sz w:val="20"/>
          <w:szCs w:val="20"/>
        </w:rPr>
        <w:t>wa</w:t>
      </w:r>
      <w:proofErr w:type="spellEnd"/>
      <w:r w:rsidRPr="00835003">
        <w:rPr>
          <w:rFonts w:asciiTheme="majorHAnsi" w:hAnsiTheme="majorHAnsi" w:cstheme="majorHAnsi"/>
          <w:sz w:val="20"/>
          <w:szCs w:val="20"/>
        </w:rPr>
        <w:t xml:space="preserve"> at-</w:t>
      </w:r>
      <w:proofErr w:type="spellStart"/>
      <w:r w:rsidRPr="00835003">
        <w:rPr>
          <w:rFonts w:asciiTheme="majorHAnsi" w:hAnsiTheme="majorHAnsi" w:cstheme="majorHAnsi"/>
          <w:sz w:val="20"/>
          <w:szCs w:val="20"/>
        </w:rPr>
        <w:t>Tajrīdi</w:t>
      </w:r>
      <w:proofErr w:type="spellEnd"/>
      <w:r w:rsidRPr="00835003">
        <w:rPr>
          <w:rFonts w:asciiTheme="majorHAnsi" w:hAnsiTheme="majorHAnsi" w:cstheme="majorHAnsi"/>
          <w:sz w:val="20"/>
          <w:szCs w:val="20"/>
        </w:rPr>
        <w:t xml:space="preserve"> </w:t>
      </w:r>
      <w:proofErr w:type="spellStart"/>
      <w:r w:rsidRPr="00835003">
        <w:rPr>
          <w:rFonts w:asciiTheme="majorHAnsi" w:hAnsiTheme="majorHAnsi" w:cstheme="majorHAnsi"/>
          <w:sz w:val="20"/>
          <w:szCs w:val="20"/>
        </w:rPr>
        <w:t>fī</w:t>
      </w:r>
      <w:proofErr w:type="spellEnd"/>
      <w:r w:rsidRPr="00835003">
        <w:rPr>
          <w:rFonts w:asciiTheme="majorHAnsi" w:hAnsiTheme="majorHAnsi" w:cstheme="majorHAnsi"/>
          <w:sz w:val="20"/>
          <w:szCs w:val="20"/>
        </w:rPr>
        <w:t xml:space="preserve"> al-</w:t>
      </w:r>
      <w:proofErr w:type="spellStart"/>
      <w:r w:rsidRPr="00835003">
        <w:rPr>
          <w:rFonts w:asciiTheme="majorHAnsi" w:hAnsiTheme="majorHAnsi" w:cstheme="majorHAnsi"/>
          <w:sz w:val="20"/>
          <w:szCs w:val="20"/>
        </w:rPr>
        <w:t>ʿImarōti</w:t>
      </w:r>
      <w:proofErr w:type="spellEnd"/>
      <w:r w:rsidRPr="00835003">
        <w:rPr>
          <w:rFonts w:asciiTheme="majorHAnsi" w:hAnsiTheme="majorHAnsi" w:cstheme="majorHAnsi"/>
          <w:sz w:val="20"/>
          <w:szCs w:val="20"/>
        </w:rPr>
        <w:t xml:space="preserve"> al-</w:t>
      </w:r>
      <w:proofErr w:type="spellStart"/>
      <w:r w:rsidRPr="00835003">
        <w:rPr>
          <w:rFonts w:asciiTheme="majorHAnsi" w:hAnsiTheme="majorHAnsi" w:cstheme="majorHAnsi"/>
          <w:sz w:val="20"/>
          <w:szCs w:val="20"/>
        </w:rPr>
        <w:t>Islāmiyyati</w:t>
      </w:r>
      <w:proofErr w:type="spellEnd"/>
      <w:r w:rsidRPr="00835003">
        <w:rPr>
          <w:rFonts w:asciiTheme="majorHAnsi" w:hAnsiTheme="majorHAnsi" w:cstheme="majorHAnsi"/>
          <w:sz w:val="20"/>
          <w:szCs w:val="20"/>
        </w:rPr>
        <w:t xml:space="preserve"> </w:t>
      </w:r>
      <w:proofErr w:type="spellStart"/>
      <w:r w:rsidRPr="00835003">
        <w:rPr>
          <w:rFonts w:asciiTheme="majorHAnsi" w:hAnsiTheme="majorHAnsi" w:cstheme="majorHAnsi"/>
          <w:sz w:val="20"/>
          <w:szCs w:val="20"/>
        </w:rPr>
        <w:t>Ḥālatan</w:t>
      </w:r>
      <w:proofErr w:type="spellEnd"/>
      <w:r w:rsidRPr="00835003">
        <w:rPr>
          <w:rFonts w:asciiTheme="majorHAnsi" w:hAnsiTheme="majorHAnsi" w:cstheme="majorHAnsi"/>
          <w:sz w:val="20"/>
          <w:szCs w:val="20"/>
        </w:rPr>
        <w:t xml:space="preserve"> </w:t>
      </w:r>
      <w:proofErr w:type="spellStart"/>
      <w:r w:rsidRPr="00835003">
        <w:rPr>
          <w:rFonts w:asciiTheme="majorHAnsi" w:hAnsiTheme="majorHAnsi" w:cstheme="majorHAnsi"/>
          <w:sz w:val="20"/>
          <w:szCs w:val="20"/>
        </w:rPr>
        <w:t>Dirāsiyyatan</w:t>
      </w:r>
      <w:proofErr w:type="spellEnd"/>
      <w:r w:rsidRPr="00835003">
        <w:rPr>
          <w:rFonts w:asciiTheme="majorHAnsi" w:hAnsiTheme="majorHAnsi" w:cstheme="majorHAnsi"/>
          <w:sz w:val="20"/>
          <w:szCs w:val="20"/>
        </w:rPr>
        <w:t xml:space="preserve"> (al-</w:t>
      </w:r>
      <w:proofErr w:type="spellStart"/>
      <w:r w:rsidRPr="00835003">
        <w:rPr>
          <w:rFonts w:asciiTheme="majorHAnsi" w:hAnsiTheme="majorHAnsi" w:cstheme="majorHAnsi"/>
          <w:sz w:val="20"/>
          <w:szCs w:val="20"/>
        </w:rPr>
        <w:t>Waḥdāt</w:t>
      </w:r>
      <w:proofErr w:type="spellEnd"/>
      <w:r w:rsidRPr="00835003">
        <w:rPr>
          <w:rFonts w:asciiTheme="majorHAnsi" w:hAnsiTheme="majorHAnsi" w:cstheme="majorHAnsi"/>
          <w:sz w:val="20"/>
          <w:szCs w:val="20"/>
        </w:rPr>
        <w:t xml:space="preserve"> al-</w:t>
      </w:r>
      <w:proofErr w:type="spellStart"/>
      <w:r w:rsidRPr="00835003">
        <w:rPr>
          <w:rFonts w:asciiTheme="majorHAnsi" w:hAnsiTheme="majorHAnsi" w:cstheme="majorHAnsi"/>
          <w:sz w:val="20"/>
          <w:szCs w:val="20"/>
        </w:rPr>
        <w:t>Zukhrafiyyati</w:t>
      </w:r>
      <w:proofErr w:type="spellEnd"/>
      <w:r w:rsidRPr="00835003">
        <w:rPr>
          <w:rFonts w:asciiTheme="majorHAnsi" w:hAnsiTheme="majorHAnsi" w:cstheme="majorHAnsi"/>
          <w:sz w:val="20"/>
          <w:szCs w:val="20"/>
        </w:rPr>
        <w:t xml:space="preserve"> al-</w:t>
      </w:r>
      <w:proofErr w:type="spellStart"/>
      <w:r w:rsidRPr="00835003">
        <w:rPr>
          <w:rFonts w:asciiTheme="majorHAnsi" w:hAnsiTheme="majorHAnsi" w:cstheme="majorHAnsi"/>
          <w:sz w:val="20"/>
          <w:szCs w:val="20"/>
        </w:rPr>
        <w:t>Islāmiyyati</w:t>
      </w:r>
      <w:proofErr w:type="spellEnd"/>
      <w:r w:rsidRPr="00835003">
        <w:rPr>
          <w:rFonts w:asciiTheme="majorHAnsi" w:hAnsiTheme="majorHAnsi" w:cstheme="majorHAnsi"/>
          <w:sz w:val="20"/>
          <w:szCs w:val="20"/>
        </w:rPr>
        <w:t>),” Postgraduate</w:t>
      </w:r>
      <w:r>
        <w:rPr>
          <w:rFonts w:asciiTheme="majorHAnsi" w:hAnsiTheme="majorHAnsi" w:cstheme="majorHAnsi"/>
          <w:sz w:val="20"/>
          <w:szCs w:val="20"/>
        </w:rPr>
        <w:t xml:space="preserve"> Thesis</w:t>
      </w:r>
      <w:r w:rsidRPr="00835003">
        <w:rPr>
          <w:rFonts w:asciiTheme="majorHAnsi" w:hAnsiTheme="majorHAnsi" w:cstheme="majorHAnsi"/>
          <w:sz w:val="20"/>
          <w:szCs w:val="20"/>
        </w:rPr>
        <w:t>, An-Najah National University, Nablus Palestine, 2009.</w:t>
      </w:r>
    </w:p>
    <w:p w14:paraId="26604BC9"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[33]</w:t>
      </w:r>
      <w:r w:rsidRPr="00835003">
        <w:rPr>
          <w:rFonts w:asciiTheme="majorHAnsi" w:hAnsiTheme="majorHAnsi" w:cstheme="majorHAnsi"/>
          <w:sz w:val="20"/>
          <w:szCs w:val="20"/>
        </w:rPr>
        <w:tab/>
        <w:t xml:space="preserve">A. S. Salman </w:t>
      </w:r>
      <w:proofErr w:type="spellStart"/>
      <w:r w:rsidRPr="00835003">
        <w:rPr>
          <w:rFonts w:asciiTheme="majorHAnsi" w:hAnsiTheme="majorHAnsi" w:cstheme="majorHAnsi"/>
          <w:sz w:val="20"/>
          <w:szCs w:val="20"/>
        </w:rPr>
        <w:t>Almaamouri</w:t>
      </w:r>
      <w:proofErr w:type="spellEnd"/>
      <w:r w:rsidRPr="00835003">
        <w:rPr>
          <w:rFonts w:asciiTheme="majorHAnsi" w:hAnsiTheme="majorHAnsi" w:cstheme="majorHAnsi"/>
          <w:sz w:val="20"/>
          <w:szCs w:val="20"/>
        </w:rPr>
        <w:t xml:space="preserve">, “Humanization of Arabic Islamic Architecture,” </w:t>
      </w:r>
      <w:r w:rsidRPr="00835003">
        <w:rPr>
          <w:rFonts w:asciiTheme="majorHAnsi" w:hAnsiTheme="majorHAnsi" w:cstheme="majorHAnsi"/>
          <w:i/>
          <w:iCs/>
          <w:sz w:val="20"/>
          <w:szCs w:val="20"/>
        </w:rPr>
        <w:t>Iraqi Journal of Architecture and Planning</w:t>
      </w:r>
      <w:r w:rsidRPr="00835003">
        <w:rPr>
          <w:rFonts w:asciiTheme="majorHAnsi" w:hAnsiTheme="majorHAnsi" w:cstheme="majorHAnsi"/>
          <w:sz w:val="20"/>
          <w:szCs w:val="20"/>
        </w:rPr>
        <w:t>, vol. 7, no. 1, 2018.</w:t>
      </w:r>
    </w:p>
    <w:p w14:paraId="57481C6F"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[34]</w:t>
      </w:r>
      <w:r w:rsidRPr="00835003">
        <w:rPr>
          <w:rFonts w:asciiTheme="majorHAnsi" w:hAnsiTheme="majorHAnsi" w:cstheme="majorHAnsi"/>
          <w:sz w:val="20"/>
          <w:szCs w:val="20"/>
        </w:rPr>
        <w:tab/>
        <w:t xml:space="preserve">Z. A. S. </w:t>
      </w:r>
      <w:proofErr w:type="spellStart"/>
      <w:r w:rsidRPr="00835003">
        <w:rPr>
          <w:rFonts w:asciiTheme="majorHAnsi" w:hAnsiTheme="majorHAnsi" w:cstheme="majorHAnsi"/>
          <w:sz w:val="20"/>
          <w:szCs w:val="20"/>
        </w:rPr>
        <w:t>Gelani</w:t>
      </w:r>
      <w:proofErr w:type="spellEnd"/>
      <w:r w:rsidRPr="00835003">
        <w:rPr>
          <w:rFonts w:asciiTheme="majorHAnsi" w:hAnsiTheme="majorHAnsi" w:cstheme="majorHAnsi"/>
          <w:sz w:val="20"/>
          <w:szCs w:val="20"/>
        </w:rPr>
        <w:t xml:space="preserve">, “Muslim Housing as Built Environment for Promoting Muslim Societal Behaviour,” </w:t>
      </w:r>
      <w:r w:rsidRPr="00835003">
        <w:rPr>
          <w:rFonts w:asciiTheme="majorHAnsi" w:hAnsiTheme="majorHAnsi" w:cstheme="majorHAnsi"/>
          <w:i/>
          <w:iCs/>
          <w:sz w:val="20"/>
          <w:szCs w:val="20"/>
        </w:rPr>
        <w:t>ARCHITECTURE AND BEHAVIOUR</w:t>
      </w:r>
      <w:r w:rsidRPr="00835003">
        <w:rPr>
          <w:rFonts w:asciiTheme="majorHAnsi" w:hAnsiTheme="majorHAnsi" w:cstheme="majorHAnsi"/>
          <w:sz w:val="20"/>
          <w:szCs w:val="20"/>
        </w:rPr>
        <w:t>, vol. 11, pp. 59–66, 1995.</w:t>
      </w:r>
    </w:p>
    <w:p w14:paraId="0477B3EE"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[35]</w:t>
      </w:r>
      <w:r w:rsidRPr="00835003">
        <w:rPr>
          <w:rFonts w:asciiTheme="majorHAnsi" w:hAnsiTheme="majorHAnsi" w:cstheme="majorHAnsi"/>
          <w:sz w:val="20"/>
          <w:szCs w:val="20"/>
        </w:rPr>
        <w:tab/>
        <w:t xml:space="preserve">S. Omer, “The Concepts of God, Man, and The Environment in Islam: Implications </w:t>
      </w:r>
      <w:proofErr w:type="gramStart"/>
      <w:r w:rsidRPr="00835003">
        <w:rPr>
          <w:rFonts w:asciiTheme="majorHAnsi" w:hAnsiTheme="majorHAnsi" w:cstheme="majorHAnsi"/>
          <w:sz w:val="20"/>
          <w:szCs w:val="20"/>
        </w:rPr>
        <w:t>For</w:t>
      </w:r>
      <w:proofErr w:type="gramEnd"/>
      <w:r w:rsidRPr="00835003">
        <w:rPr>
          <w:rFonts w:asciiTheme="majorHAnsi" w:hAnsiTheme="majorHAnsi" w:cstheme="majorHAnsi"/>
          <w:sz w:val="20"/>
          <w:szCs w:val="20"/>
        </w:rPr>
        <w:t xml:space="preserve"> Islamic Architecture,” </w:t>
      </w:r>
      <w:r w:rsidRPr="00835003">
        <w:rPr>
          <w:rFonts w:asciiTheme="majorHAnsi" w:hAnsiTheme="majorHAnsi" w:cstheme="majorHAnsi"/>
          <w:i/>
          <w:iCs/>
          <w:sz w:val="20"/>
          <w:szCs w:val="20"/>
        </w:rPr>
        <w:t>J</w:t>
      </w:r>
      <w:r>
        <w:rPr>
          <w:rFonts w:asciiTheme="majorHAnsi" w:hAnsiTheme="majorHAnsi" w:cstheme="majorHAnsi"/>
          <w:i/>
          <w:iCs/>
          <w:sz w:val="20"/>
          <w:szCs w:val="20"/>
        </w:rPr>
        <w:t xml:space="preserve">ournal of </w:t>
      </w:r>
      <w:r w:rsidRPr="00835003">
        <w:rPr>
          <w:rFonts w:asciiTheme="majorHAnsi" w:hAnsiTheme="majorHAnsi" w:cstheme="majorHAnsi"/>
          <w:i/>
          <w:iCs/>
          <w:sz w:val="20"/>
          <w:szCs w:val="20"/>
        </w:rPr>
        <w:t>I</w:t>
      </w:r>
      <w:r>
        <w:rPr>
          <w:rFonts w:asciiTheme="majorHAnsi" w:hAnsiTheme="majorHAnsi" w:cstheme="majorHAnsi"/>
          <w:i/>
          <w:iCs/>
          <w:sz w:val="20"/>
          <w:szCs w:val="20"/>
        </w:rPr>
        <w:t xml:space="preserve">slamic </w:t>
      </w:r>
      <w:r w:rsidRPr="00835003">
        <w:rPr>
          <w:rFonts w:asciiTheme="majorHAnsi" w:hAnsiTheme="majorHAnsi" w:cstheme="majorHAnsi"/>
          <w:i/>
          <w:iCs/>
          <w:sz w:val="20"/>
          <w:szCs w:val="20"/>
        </w:rPr>
        <w:t>A</w:t>
      </w:r>
      <w:r>
        <w:rPr>
          <w:rFonts w:asciiTheme="majorHAnsi" w:hAnsiTheme="majorHAnsi" w:cstheme="majorHAnsi"/>
          <w:i/>
          <w:iCs/>
          <w:sz w:val="20"/>
          <w:szCs w:val="20"/>
        </w:rPr>
        <w:t>rchitecture</w:t>
      </w:r>
      <w:r w:rsidRPr="00835003">
        <w:rPr>
          <w:rFonts w:asciiTheme="majorHAnsi" w:hAnsiTheme="majorHAnsi" w:cstheme="majorHAnsi"/>
          <w:sz w:val="20"/>
          <w:szCs w:val="20"/>
        </w:rPr>
        <w:t xml:space="preserve">, vol. 2, no. 1, Aug. 2012,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10.18860/</w:t>
      </w:r>
      <w:proofErr w:type="gramStart"/>
      <w:r w:rsidRPr="00835003">
        <w:rPr>
          <w:rFonts w:asciiTheme="majorHAnsi" w:hAnsiTheme="majorHAnsi" w:cstheme="majorHAnsi"/>
          <w:sz w:val="20"/>
          <w:szCs w:val="20"/>
        </w:rPr>
        <w:t>jia.v</w:t>
      </w:r>
      <w:proofErr w:type="gramEnd"/>
      <w:r w:rsidRPr="00835003">
        <w:rPr>
          <w:rFonts w:asciiTheme="majorHAnsi" w:hAnsiTheme="majorHAnsi" w:cstheme="majorHAnsi"/>
          <w:sz w:val="20"/>
          <w:szCs w:val="20"/>
        </w:rPr>
        <w:t>2i1.1778.</w:t>
      </w:r>
    </w:p>
    <w:p w14:paraId="7F3E709F"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[36]</w:t>
      </w:r>
      <w:r w:rsidRPr="00835003">
        <w:rPr>
          <w:rFonts w:asciiTheme="majorHAnsi" w:hAnsiTheme="majorHAnsi" w:cstheme="majorHAnsi"/>
          <w:sz w:val="20"/>
          <w:szCs w:val="20"/>
        </w:rPr>
        <w:tab/>
        <w:t xml:space="preserve">A. al-R. H. Majdi Muhammad, </w:t>
      </w:r>
      <w:proofErr w:type="spellStart"/>
      <w:r w:rsidRPr="00835003">
        <w:rPr>
          <w:rFonts w:asciiTheme="majorHAnsi" w:hAnsiTheme="majorHAnsi" w:cstheme="majorHAnsi"/>
          <w:i/>
          <w:iCs/>
          <w:sz w:val="20"/>
          <w:szCs w:val="20"/>
        </w:rPr>
        <w:t>Asasu</w:t>
      </w:r>
      <w:proofErr w:type="spellEnd"/>
      <w:r w:rsidRPr="00835003">
        <w:rPr>
          <w:rFonts w:asciiTheme="majorHAnsi" w:hAnsiTheme="majorHAnsi" w:cstheme="majorHAnsi"/>
          <w:i/>
          <w:iCs/>
          <w:sz w:val="20"/>
          <w:szCs w:val="20"/>
        </w:rPr>
        <w:t xml:space="preserve"> </w:t>
      </w:r>
      <w:proofErr w:type="spellStart"/>
      <w:r w:rsidRPr="00835003">
        <w:rPr>
          <w:rFonts w:asciiTheme="majorHAnsi" w:hAnsiTheme="majorHAnsi" w:cstheme="majorHAnsi"/>
          <w:i/>
          <w:iCs/>
          <w:sz w:val="20"/>
          <w:szCs w:val="20"/>
        </w:rPr>
        <w:t>Taṣmīmi</w:t>
      </w:r>
      <w:proofErr w:type="spellEnd"/>
      <w:r w:rsidRPr="00835003">
        <w:rPr>
          <w:rFonts w:asciiTheme="majorHAnsi" w:hAnsiTheme="majorHAnsi" w:cstheme="majorHAnsi"/>
          <w:i/>
          <w:iCs/>
          <w:sz w:val="20"/>
          <w:szCs w:val="20"/>
        </w:rPr>
        <w:t xml:space="preserve"> al-Maskani </w:t>
      </w:r>
      <w:proofErr w:type="spellStart"/>
      <w:r w:rsidRPr="00835003">
        <w:rPr>
          <w:rFonts w:asciiTheme="majorHAnsi" w:hAnsiTheme="majorHAnsi" w:cstheme="majorHAnsi"/>
          <w:i/>
          <w:iCs/>
          <w:sz w:val="20"/>
          <w:szCs w:val="20"/>
        </w:rPr>
        <w:t>Fī</w:t>
      </w:r>
      <w:proofErr w:type="spellEnd"/>
      <w:r w:rsidRPr="00835003">
        <w:rPr>
          <w:rFonts w:asciiTheme="majorHAnsi" w:hAnsiTheme="majorHAnsi" w:cstheme="majorHAnsi"/>
          <w:i/>
          <w:iCs/>
          <w:sz w:val="20"/>
          <w:szCs w:val="20"/>
        </w:rPr>
        <w:t xml:space="preserve"> al-`</w:t>
      </w:r>
      <w:proofErr w:type="spellStart"/>
      <w:r w:rsidRPr="00835003">
        <w:rPr>
          <w:rFonts w:asciiTheme="majorHAnsi" w:hAnsiTheme="majorHAnsi" w:cstheme="majorHAnsi"/>
          <w:i/>
          <w:iCs/>
          <w:sz w:val="20"/>
          <w:szCs w:val="20"/>
        </w:rPr>
        <w:t>Imāroti</w:t>
      </w:r>
      <w:proofErr w:type="spellEnd"/>
      <w:r w:rsidRPr="00835003">
        <w:rPr>
          <w:rFonts w:asciiTheme="majorHAnsi" w:hAnsiTheme="majorHAnsi" w:cstheme="majorHAnsi"/>
          <w:i/>
          <w:iCs/>
          <w:sz w:val="20"/>
          <w:szCs w:val="20"/>
        </w:rPr>
        <w:t xml:space="preserve"> al-</w:t>
      </w:r>
      <w:proofErr w:type="spellStart"/>
      <w:r w:rsidRPr="00835003">
        <w:rPr>
          <w:rFonts w:asciiTheme="majorHAnsi" w:hAnsiTheme="majorHAnsi" w:cstheme="majorHAnsi"/>
          <w:i/>
          <w:iCs/>
          <w:sz w:val="20"/>
          <w:szCs w:val="20"/>
        </w:rPr>
        <w:t>islāmiyyati</w:t>
      </w:r>
      <w:proofErr w:type="spellEnd"/>
      <w:r w:rsidRPr="00835003">
        <w:rPr>
          <w:rFonts w:asciiTheme="majorHAnsi" w:hAnsiTheme="majorHAnsi" w:cstheme="majorHAnsi"/>
          <w:i/>
          <w:iCs/>
          <w:sz w:val="20"/>
          <w:szCs w:val="20"/>
        </w:rPr>
        <w:t>, Riyad: as-</w:t>
      </w:r>
      <w:proofErr w:type="spellStart"/>
      <w:r w:rsidRPr="00835003">
        <w:rPr>
          <w:rFonts w:asciiTheme="majorHAnsi" w:hAnsiTheme="majorHAnsi" w:cstheme="majorHAnsi"/>
          <w:i/>
          <w:iCs/>
          <w:sz w:val="20"/>
          <w:szCs w:val="20"/>
        </w:rPr>
        <w:t>Syirkah</w:t>
      </w:r>
      <w:proofErr w:type="spellEnd"/>
      <w:r w:rsidRPr="00835003">
        <w:rPr>
          <w:rFonts w:asciiTheme="majorHAnsi" w:hAnsiTheme="majorHAnsi" w:cstheme="majorHAnsi"/>
          <w:i/>
          <w:iCs/>
          <w:sz w:val="20"/>
          <w:szCs w:val="20"/>
        </w:rPr>
        <w:t xml:space="preserve"> as-</w:t>
      </w:r>
      <w:proofErr w:type="spellStart"/>
      <w:r w:rsidRPr="00835003">
        <w:rPr>
          <w:rFonts w:asciiTheme="majorHAnsi" w:hAnsiTheme="majorHAnsi" w:cstheme="majorHAnsi"/>
          <w:i/>
          <w:iCs/>
          <w:sz w:val="20"/>
          <w:szCs w:val="20"/>
        </w:rPr>
        <w:t>Su’udiyah</w:t>
      </w:r>
      <w:proofErr w:type="spellEnd"/>
      <w:r w:rsidRPr="00835003">
        <w:rPr>
          <w:rFonts w:asciiTheme="majorHAnsi" w:hAnsiTheme="majorHAnsi" w:cstheme="majorHAnsi"/>
          <w:i/>
          <w:iCs/>
          <w:sz w:val="20"/>
          <w:szCs w:val="20"/>
        </w:rPr>
        <w:t xml:space="preserve"> lit </w:t>
      </w:r>
      <w:proofErr w:type="spellStart"/>
      <w:r w:rsidRPr="00835003">
        <w:rPr>
          <w:rFonts w:asciiTheme="majorHAnsi" w:hAnsiTheme="majorHAnsi" w:cstheme="majorHAnsi"/>
          <w:i/>
          <w:iCs/>
          <w:sz w:val="20"/>
          <w:szCs w:val="20"/>
        </w:rPr>
        <w:t>Tawzi</w:t>
      </w:r>
      <w:proofErr w:type="spellEnd"/>
      <w:r w:rsidRPr="00835003">
        <w:rPr>
          <w:rFonts w:asciiTheme="majorHAnsi" w:hAnsiTheme="majorHAnsi" w:cstheme="majorHAnsi"/>
          <w:sz w:val="20"/>
          <w:szCs w:val="20"/>
        </w:rPr>
        <w:t>. Mecca, Kingdom of Saudi Arabia, 1989.</w:t>
      </w:r>
    </w:p>
    <w:p w14:paraId="197388B0"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[37]</w:t>
      </w:r>
      <w:r w:rsidRPr="00835003">
        <w:rPr>
          <w:rFonts w:asciiTheme="majorHAnsi" w:hAnsiTheme="majorHAnsi" w:cstheme="majorHAnsi"/>
          <w:sz w:val="20"/>
          <w:szCs w:val="20"/>
        </w:rPr>
        <w:tab/>
        <w:t xml:space="preserve">R. R. </w:t>
      </w:r>
      <w:proofErr w:type="spellStart"/>
      <w:r w:rsidRPr="00835003">
        <w:rPr>
          <w:rFonts w:asciiTheme="majorHAnsi" w:hAnsiTheme="majorHAnsi" w:cstheme="majorHAnsi"/>
          <w:sz w:val="20"/>
          <w:szCs w:val="20"/>
        </w:rPr>
        <w:t>Fanjan</w:t>
      </w:r>
      <w:proofErr w:type="spellEnd"/>
      <w:r w:rsidRPr="00835003">
        <w:rPr>
          <w:rFonts w:asciiTheme="majorHAnsi" w:hAnsiTheme="majorHAnsi" w:cstheme="majorHAnsi"/>
          <w:sz w:val="20"/>
          <w:szCs w:val="20"/>
        </w:rPr>
        <w:t xml:space="preserve"> and H. S. </w:t>
      </w:r>
      <w:proofErr w:type="spellStart"/>
      <w:r w:rsidRPr="00835003">
        <w:rPr>
          <w:rFonts w:asciiTheme="majorHAnsi" w:hAnsiTheme="majorHAnsi" w:cstheme="majorHAnsi"/>
          <w:sz w:val="20"/>
          <w:szCs w:val="20"/>
        </w:rPr>
        <w:t>Alboadam</w:t>
      </w:r>
      <w:proofErr w:type="spellEnd"/>
      <w:r w:rsidRPr="00835003">
        <w:rPr>
          <w:rFonts w:asciiTheme="majorHAnsi" w:hAnsiTheme="majorHAnsi" w:cstheme="majorHAnsi"/>
          <w:sz w:val="20"/>
          <w:szCs w:val="20"/>
        </w:rPr>
        <w:t xml:space="preserve">, “The Role of the Bonding Strategy in the Identity of Islamic Architecture,” </w:t>
      </w:r>
      <w:r w:rsidRPr="00835003">
        <w:rPr>
          <w:rFonts w:asciiTheme="majorHAnsi" w:hAnsiTheme="majorHAnsi" w:cstheme="majorHAnsi"/>
          <w:i/>
          <w:iCs/>
          <w:sz w:val="20"/>
          <w:szCs w:val="20"/>
        </w:rPr>
        <w:t>IJDNE</w:t>
      </w:r>
      <w:r w:rsidRPr="00835003">
        <w:rPr>
          <w:rFonts w:asciiTheme="majorHAnsi" w:hAnsiTheme="majorHAnsi" w:cstheme="majorHAnsi"/>
          <w:sz w:val="20"/>
          <w:szCs w:val="20"/>
        </w:rPr>
        <w:t xml:space="preserve">, vol. 18, no. 2, pp. 269–278, Apr. 2023,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10.18280/ijdne.180204.</w:t>
      </w:r>
    </w:p>
    <w:p w14:paraId="004F8469"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[38]</w:t>
      </w:r>
      <w:r w:rsidRPr="00835003">
        <w:rPr>
          <w:rFonts w:asciiTheme="majorHAnsi" w:hAnsiTheme="majorHAnsi" w:cstheme="majorHAnsi"/>
          <w:sz w:val="20"/>
          <w:szCs w:val="20"/>
        </w:rPr>
        <w:tab/>
        <w:t xml:space="preserve">I. A. K. </w:t>
      </w:r>
      <w:proofErr w:type="spellStart"/>
      <w:r w:rsidRPr="00835003">
        <w:rPr>
          <w:rFonts w:asciiTheme="majorHAnsi" w:hAnsiTheme="majorHAnsi" w:cstheme="majorHAnsi"/>
          <w:sz w:val="20"/>
          <w:szCs w:val="20"/>
        </w:rPr>
        <w:t>Nyazee</w:t>
      </w:r>
      <w:proofErr w:type="spellEnd"/>
      <w:r w:rsidRPr="00835003">
        <w:rPr>
          <w:rFonts w:asciiTheme="majorHAnsi" w:hAnsiTheme="majorHAnsi" w:cstheme="majorHAnsi"/>
          <w:sz w:val="20"/>
          <w:szCs w:val="20"/>
        </w:rPr>
        <w:t xml:space="preserve">, </w:t>
      </w:r>
      <w:r w:rsidRPr="00835003">
        <w:rPr>
          <w:rFonts w:asciiTheme="majorHAnsi" w:hAnsiTheme="majorHAnsi" w:cstheme="majorHAnsi"/>
          <w:i/>
          <w:iCs/>
          <w:sz w:val="20"/>
          <w:szCs w:val="20"/>
        </w:rPr>
        <w:t xml:space="preserve">Outlines </w:t>
      </w:r>
      <w:proofErr w:type="gramStart"/>
      <w:r w:rsidRPr="00835003">
        <w:rPr>
          <w:rFonts w:asciiTheme="majorHAnsi" w:hAnsiTheme="majorHAnsi" w:cstheme="majorHAnsi"/>
          <w:i/>
          <w:iCs/>
          <w:sz w:val="20"/>
          <w:szCs w:val="20"/>
        </w:rPr>
        <w:t>Of</w:t>
      </w:r>
      <w:proofErr w:type="gramEnd"/>
      <w:r w:rsidRPr="00835003">
        <w:rPr>
          <w:rFonts w:asciiTheme="majorHAnsi" w:hAnsiTheme="majorHAnsi" w:cstheme="majorHAnsi"/>
          <w:i/>
          <w:iCs/>
          <w:sz w:val="20"/>
          <w:szCs w:val="20"/>
        </w:rPr>
        <w:t xml:space="preserve"> Islamic Jurisprudence</w:t>
      </w:r>
      <w:r w:rsidRPr="00835003">
        <w:rPr>
          <w:rFonts w:asciiTheme="majorHAnsi" w:hAnsiTheme="majorHAnsi" w:cstheme="majorHAnsi"/>
          <w:sz w:val="20"/>
          <w:szCs w:val="20"/>
        </w:rPr>
        <w:t>. Advanced Legal Studies Institute, 2016.</w:t>
      </w:r>
    </w:p>
    <w:p w14:paraId="059753AA"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[39]</w:t>
      </w:r>
      <w:r w:rsidRPr="00835003">
        <w:rPr>
          <w:rFonts w:asciiTheme="majorHAnsi" w:hAnsiTheme="majorHAnsi" w:cstheme="majorHAnsi"/>
          <w:sz w:val="20"/>
          <w:szCs w:val="20"/>
        </w:rPr>
        <w:tab/>
        <w:t xml:space="preserve">B. S. Hakim, “The Generative Nature of Islamic Rules </w:t>
      </w:r>
      <w:proofErr w:type="gramStart"/>
      <w:r w:rsidRPr="00835003">
        <w:rPr>
          <w:rFonts w:asciiTheme="majorHAnsi" w:hAnsiTheme="majorHAnsi" w:cstheme="majorHAnsi"/>
          <w:sz w:val="20"/>
          <w:szCs w:val="20"/>
        </w:rPr>
        <w:t>For</w:t>
      </w:r>
      <w:proofErr w:type="gramEnd"/>
      <w:r w:rsidRPr="00835003">
        <w:rPr>
          <w:rFonts w:asciiTheme="majorHAnsi" w:hAnsiTheme="majorHAnsi" w:cstheme="majorHAnsi"/>
          <w:sz w:val="20"/>
          <w:szCs w:val="20"/>
        </w:rPr>
        <w:t xml:space="preserve"> </w:t>
      </w:r>
      <w:proofErr w:type="gramStart"/>
      <w:r w:rsidRPr="00835003">
        <w:rPr>
          <w:rFonts w:asciiTheme="majorHAnsi" w:hAnsiTheme="majorHAnsi" w:cstheme="majorHAnsi"/>
          <w:sz w:val="20"/>
          <w:szCs w:val="20"/>
        </w:rPr>
        <w:t>The</w:t>
      </w:r>
      <w:proofErr w:type="gramEnd"/>
      <w:r w:rsidRPr="00835003">
        <w:rPr>
          <w:rFonts w:asciiTheme="majorHAnsi" w:hAnsiTheme="majorHAnsi" w:cstheme="majorHAnsi"/>
          <w:sz w:val="20"/>
          <w:szCs w:val="20"/>
        </w:rPr>
        <w:t xml:space="preserve"> Built Environment,” </w:t>
      </w:r>
      <w:r w:rsidRPr="00835003">
        <w:rPr>
          <w:rFonts w:asciiTheme="majorHAnsi" w:hAnsiTheme="majorHAnsi" w:cstheme="majorHAnsi"/>
          <w:i/>
          <w:iCs/>
          <w:sz w:val="20"/>
          <w:szCs w:val="20"/>
        </w:rPr>
        <w:t>International Journal of Architectural Research</w:t>
      </w:r>
      <w:r w:rsidRPr="00835003">
        <w:rPr>
          <w:rFonts w:asciiTheme="majorHAnsi" w:hAnsiTheme="majorHAnsi" w:cstheme="majorHAnsi"/>
          <w:sz w:val="20"/>
          <w:szCs w:val="20"/>
        </w:rPr>
        <w:t>, vol. 4, no. 1, 2010.</w:t>
      </w:r>
    </w:p>
    <w:p w14:paraId="197157FC"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[40]</w:t>
      </w:r>
      <w:r w:rsidRPr="00835003">
        <w:rPr>
          <w:rFonts w:asciiTheme="majorHAnsi" w:hAnsiTheme="majorHAnsi" w:cstheme="majorHAnsi"/>
          <w:sz w:val="20"/>
          <w:szCs w:val="20"/>
        </w:rPr>
        <w:tab/>
        <w:t>Z. Al-</w:t>
      </w:r>
      <w:proofErr w:type="spellStart"/>
      <w:r w:rsidRPr="00835003">
        <w:rPr>
          <w:rFonts w:asciiTheme="majorHAnsi" w:hAnsiTheme="majorHAnsi" w:cstheme="majorHAnsi"/>
          <w:sz w:val="20"/>
          <w:szCs w:val="20"/>
        </w:rPr>
        <w:t>Murabit</w:t>
      </w:r>
      <w:proofErr w:type="spellEnd"/>
      <w:r w:rsidRPr="00835003">
        <w:rPr>
          <w:rFonts w:asciiTheme="majorHAnsi" w:hAnsiTheme="majorHAnsi" w:cstheme="majorHAnsi"/>
          <w:sz w:val="20"/>
          <w:szCs w:val="20"/>
        </w:rPr>
        <w:t xml:space="preserve">, </w:t>
      </w:r>
      <w:r w:rsidRPr="00835003">
        <w:rPr>
          <w:rFonts w:asciiTheme="majorHAnsi" w:hAnsiTheme="majorHAnsi" w:cstheme="majorHAnsi"/>
          <w:i/>
          <w:iCs/>
          <w:sz w:val="20"/>
          <w:szCs w:val="20"/>
        </w:rPr>
        <w:t>At-</w:t>
      </w:r>
      <w:proofErr w:type="spellStart"/>
      <w:r w:rsidRPr="00835003">
        <w:rPr>
          <w:rFonts w:asciiTheme="majorHAnsi" w:hAnsiTheme="majorHAnsi" w:cstheme="majorHAnsi"/>
          <w:i/>
          <w:iCs/>
          <w:sz w:val="20"/>
          <w:szCs w:val="20"/>
        </w:rPr>
        <w:t>Takhtit</w:t>
      </w:r>
      <w:proofErr w:type="spellEnd"/>
      <w:r w:rsidRPr="00835003">
        <w:rPr>
          <w:rFonts w:asciiTheme="majorHAnsi" w:hAnsiTheme="majorHAnsi" w:cstheme="majorHAnsi"/>
          <w:i/>
          <w:iCs/>
          <w:sz w:val="20"/>
          <w:szCs w:val="20"/>
        </w:rPr>
        <w:t xml:space="preserve"> </w:t>
      </w:r>
      <w:proofErr w:type="spellStart"/>
      <w:r w:rsidRPr="00835003">
        <w:rPr>
          <w:rFonts w:asciiTheme="majorHAnsi" w:hAnsiTheme="majorHAnsi" w:cstheme="majorHAnsi"/>
          <w:i/>
          <w:iCs/>
          <w:sz w:val="20"/>
          <w:szCs w:val="20"/>
        </w:rPr>
        <w:t>wa</w:t>
      </w:r>
      <w:proofErr w:type="spellEnd"/>
      <w:r w:rsidRPr="00835003">
        <w:rPr>
          <w:rFonts w:asciiTheme="majorHAnsi" w:hAnsiTheme="majorHAnsi" w:cstheme="majorHAnsi"/>
          <w:i/>
          <w:iCs/>
          <w:sz w:val="20"/>
          <w:szCs w:val="20"/>
        </w:rPr>
        <w:t xml:space="preserve"> al-Bunyan </w:t>
      </w:r>
      <w:proofErr w:type="spellStart"/>
      <w:r w:rsidRPr="00835003">
        <w:rPr>
          <w:rFonts w:asciiTheme="majorHAnsi" w:hAnsiTheme="majorHAnsi" w:cstheme="majorHAnsi"/>
          <w:i/>
          <w:iCs/>
          <w:sz w:val="20"/>
          <w:szCs w:val="20"/>
        </w:rPr>
        <w:t>fī</w:t>
      </w:r>
      <w:proofErr w:type="spellEnd"/>
      <w:r w:rsidRPr="00835003">
        <w:rPr>
          <w:rFonts w:asciiTheme="majorHAnsi" w:hAnsiTheme="majorHAnsi" w:cstheme="majorHAnsi"/>
          <w:i/>
          <w:iCs/>
          <w:sz w:val="20"/>
          <w:szCs w:val="20"/>
        </w:rPr>
        <w:t xml:space="preserve"> al-Fiqh al-Islāmī.pdf</w:t>
      </w:r>
      <w:r w:rsidRPr="00835003">
        <w:rPr>
          <w:rFonts w:asciiTheme="majorHAnsi" w:hAnsiTheme="majorHAnsi" w:cstheme="majorHAnsi"/>
          <w:sz w:val="20"/>
          <w:szCs w:val="20"/>
        </w:rPr>
        <w:t xml:space="preserve">. Cairo: Dar al-Salam li-l-Nashr </w:t>
      </w:r>
      <w:proofErr w:type="spellStart"/>
      <w:r w:rsidRPr="00835003">
        <w:rPr>
          <w:rFonts w:asciiTheme="majorHAnsi" w:hAnsiTheme="majorHAnsi" w:cstheme="majorHAnsi"/>
          <w:sz w:val="20"/>
          <w:szCs w:val="20"/>
        </w:rPr>
        <w:t>wa</w:t>
      </w:r>
      <w:proofErr w:type="spellEnd"/>
      <w:r w:rsidRPr="00835003">
        <w:rPr>
          <w:rFonts w:asciiTheme="majorHAnsi" w:hAnsiTheme="majorHAnsi" w:cstheme="majorHAnsi"/>
          <w:sz w:val="20"/>
          <w:szCs w:val="20"/>
        </w:rPr>
        <w:t>-l-</w:t>
      </w:r>
      <w:proofErr w:type="spellStart"/>
      <w:r w:rsidRPr="00835003">
        <w:rPr>
          <w:rFonts w:asciiTheme="majorHAnsi" w:hAnsiTheme="majorHAnsi" w:cstheme="majorHAnsi"/>
          <w:sz w:val="20"/>
          <w:szCs w:val="20"/>
        </w:rPr>
        <w:t>Tawziʿ</w:t>
      </w:r>
      <w:proofErr w:type="spellEnd"/>
      <w:r w:rsidRPr="00835003">
        <w:rPr>
          <w:rFonts w:asciiTheme="majorHAnsi" w:hAnsiTheme="majorHAnsi" w:cstheme="majorHAnsi"/>
          <w:sz w:val="20"/>
          <w:szCs w:val="20"/>
        </w:rPr>
        <w:t>, 2019.</w:t>
      </w:r>
    </w:p>
    <w:p w14:paraId="2C491B60"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[41]</w:t>
      </w:r>
      <w:r w:rsidRPr="00835003">
        <w:rPr>
          <w:rFonts w:asciiTheme="majorHAnsi" w:hAnsiTheme="majorHAnsi" w:cstheme="majorHAnsi"/>
          <w:sz w:val="20"/>
          <w:szCs w:val="20"/>
        </w:rPr>
        <w:tab/>
        <w:t xml:space="preserve">R. I. S. Ahmeed and A. K. A. Sumiran, “Rule: (No harm, no Foul), an applied study </w:t>
      </w:r>
      <w:proofErr w:type="spellStart"/>
      <w:r w:rsidRPr="00835003">
        <w:rPr>
          <w:rFonts w:asciiTheme="majorHAnsi" w:hAnsiTheme="majorHAnsi" w:cstheme="majorHAnsi"/>
          <w:sz w:val="20"/>
          <w:szCs w:val="20"/>
        </w:rPr>
        <w:t>inthe</w:t>
      </w:r>
      <w:proofErr w:type="spellEnd"/>
      <w:r w:rsidRPr="00835003">
        <w:rPr>
          <w:rFonts w:asciiTheme="majorHAnsi" w:hAnsiTheme="majorHAnsi" w:cstheme="majorHAnsi"/>
          <w:sz w:val="20"/>
          <w:szCs w:val="20"/>
        </w:rPr>
        <w:t xml:space="preserve"> book (Al-Najm Al-Wahaj fi Sharh Al-</w:t>
      </w:r>
      <w:proofErr w:type="gramStart"/>
      <w:r w:rsidRPr="00835003">
        <w:rPr>
          <w:rFonts w:asciiTheme="majorHAnsi" w:hAnsiTheme="majorHAnsi" w:cstheme="majorHAnsi"/>
          <w:sz w:val="20"/>
          <w:szCs w:val="20"/>
        </w:rPr>
        <w:t>Minhaj)by</w:t>
      </w:r>
      <w:proofErr w:type="gramEnd"/>
      <w:r w:rsidRPr="00835003">
        <w:rPr>
          <w:rFonts w:asciiTheme="majorHAnsi" w:hAnsiTheme="majorHAnsi" w:cstheme="majorHAnsi"/>
          <w:sz w:val="20"/>
          <w:szCs w:val="20"/>
        </w:rPr>
        <w:t xml:space="preserve"> Imam Al-</w:t>
      </w:r>
      <w:proofErr w:type="spellStart"/>
      <w:r w:rsidRPr="00835003">
        <w:rPr>
          <w:rFonts w:asciiTheme="majorHAnsi" w:hAnsiTheme="majorHAnsi" w:cstheme="majorHAnsi"/>
          <w:sz w:val="20"/>
          <w:szCs w:val="20"/>
        </w:rPr>
        <w:t>Damiri</w:t>
      </w:r>
      <w:proofErr w:type="spellEnd"/>
      <w:r w:rsidRPr="00835003">
        <w:rPr>
          <w:rFonts w:asciiTheme="majorHAnsi" w:hAnsiTheme="majorHAnsi" w:cstheme="majorHAnsi"/>
          <w:sz w:val="20"/>
          <w:szCs w:val="20"/>
        </w:rPr>
        <w:t xml:space="preserve"> (T: 808AH),” </w:t>
      </w:r>
      <w:r w:rsidRPr="00835003">
        <w:rPr>
          <w:rFonts w:asciiTheme="majorHAnsi" w:hAnsiTheme="majorHAnsi" w:cstheme="majorHAnsi"/>
          <w:i/>
          <w:iCs/>
          <w:sz w:val="20"/>
          <w:szCs w:val="20"/>
        </w:rPr>
        <w:t>RJIS</w:t>
      </w:r>
      <w:r w:rsidRPr="00835003">
        <w:rPr>
          <w:rFonts w:asciiTheme="majorHAnsi" w:hAnsiTheme="majorHAnsi" w:cstheme="majorHAnsi"/>
          <w:sz w:val="20"/>
          <w:szCs w:val="20"/>
        </w:rPr>
        <w:t xml:space="preserve">, vol. 2, no. 2, Dec. 2022,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10.37940/RJIS.2022.2.2.9.</w:t>
      </w:r>
    </w:p>
    <w:p w14:paraId="0BAC07B5"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[42]</w:t>
      </w:r>
      <w:r w:rsidRPr="00835003">
        <w:rPr>
          <w:rFonts w:asciiTheme="majorHAnsi" w:hAnsiTheme="majorHAnsi" w:cstheme="majorHAnsi"/>
          <w:sz w:val="20"/>
          <w:szCs w:val="20"/>
        </w:rPr>
        <w:tab/>
        <w:t xml:space="preserve">F. I. </w:t>
      </w:r>
      <w:proofErr w:type="spellStart"/>
      <w:r w:rsidRPr="00835003">
        <w:rPr>
          <w:rFonts w:asciiTheme="majorHAnsi" w:hAnsiTheme="majorHAnsi" w:cstheme="majorHAnsi"/>
          <w:sz w:val="20"/>
          <w:szCs w:val="20"/>
        </w:rPr>
        <w:t>Hazaa</w:t>
      </w:r>
      <w:proofErr w:type="spellEnd"/>
      <w:r w:rsidRPr="00835003">
        <w:rPr>
          <w:rFonts w:asciiTheme="majorHAnsi" w:hAnsiTheme="majorHAnsi" w:cstheme="majorHAnsi"/>
          <w:sz w:val="20"/>
          <w:szCs w:val="20"/>
        </w:rPr>
        <w:t xml:space="preserve"> and M. N. </w:t>
      </w:r>
      <w:proofErr w:type="spellStart"/>
      <w:r w:rsidRPr="00835003">
        <w:rPr>
          <w:rFonts w:asciiTheme="majorHAnsi" w:hAnsiTheme="majorHAnsi" w:cstheme="majorHAnsi"/>
          <w:sz w:val="20"/>
          <w:szCs w:val="20"/>
        </w:rPr>
        <w:t>Hummadi</w:t>
      </w:r>
      <w:proofErr w:type="spellEnd"/>
      <w:r w:rsidRPr="00835003">
        <w:rPr>
          <w:rFonts w:asciiTheme="majorHAnsi" w:hAnsiTheme="majorHAnsi" w:cstheme="majorHAnsi"/>
          <w:sz w:val="20"/>
          <w:szCs w:val="20"/>
        </w:rPr>
        <w:t xml:space="preserve">, “No harm Or Foul </w:t>
      </w:r>
      <w:proofErr w:type="gramStart"/>
      <w:r w:rsidRPr="00835003">
        <w:rPr>
          <w:rFonts w:asciiTheme="majorHAnsi" w:hAnsiTheme="majorHAnsi" w:cstheme="majorHAnsi"/>
          <w:sz w:val="20"/>
          <w:szCs w:val="20"/>
        </w:rPr>
        <w:t>At</w:t>
      </w:r>
      <w:proofErr w:type="gramEnd"/>
      <w:r w:rsidRPr="00835003">
        <w:rPr>
          <w:rFonts w:asciiTheme="majorHAnsi" w:hAnsiTheme="majorHAnsi" w:cstheme="majorHAnsi"/>
          <w:sz w:val="20"/>
          <w:szCs w:val="20"/>
        </w:rPr>
        <w:t xml:space="preserve"> Imam Al-</w:t>
      </w:r>
      <w:proofErr w:type="spellStart"/>
      <w:r w:rsidRPr="00835003">
        <w:rPr>
          <w:rFonts w:asciiTheme="majorHAnsi" w:hAnsiTheme="majorHAnsi" w:cstheme="majorHAnsi"/>
          <w:sz w:val="20"/>
          <w:szCs w:val="20"/>
        </w:rPr>
        <w:t>Ruwaiani</w:t>
      </w:r>
      <w:proofErr w:type="spellEnd"/>
      <w:r w:rsidRPr="00835003">
        <w:rPr>
          <w:rFonts w:asciiTheme="majorHAnsi" w:hAnsiTheme="majorHAnsi" w:cstheme="majorHAnsi"/>
          <w:sz w:val="20"/>
          <w:szCs w:val="20"/>
        </w:rPr>
        <w:t>(D:502AH) – An insight through his Book (Bahr al-</w:t>
      </w:r>
      <w:proofErr w:type="spellStart"/>
      <w:r w:rsidRPr="00835003">
        <w:rPr>
          <w:rFonts w:asciiTheme="majorHAnsi" w:hAnsiTheme="majorHAnsi" w:cstheme="majorHAnsi"/>
          <w:sz w:val="20"/>
          <w:szCs w:val="20"/>
        </w:rPr>
        <w:t>Madhahib</w:t>
      </w:r>
      <w:proofErr w:type="spellEnd"/>
      <w:r w:rsidRPr="00835003">
        <w:rPr>
          <w:rFonts w:asciiTheme="majorHAnsi" w:hAnsiTheme="majorHAnsi" w:cstheme="majorHAnsi"/>
          <w:sz w:val="20"/>
          <w:szCs w:val="20"/>
        </w:rPr>
        <w:t xml:space="preserve">),” </w:t>
      </w:r>
      <w:r w:rsidRPr="00835003">
        <w:rPr>
          <w:rFonts w:asciiTheme="majorHAnsi" w:hAnsiTheme="majorHAnsi" w:cstheme="majorHAnsi"/>
          <w:i/>
          <w:iCs/>
          <w:sz w:val="20"/>
          <w:szCs w:val="20"/>
        </w:rPr>
        <w:t>RJIS</w:t>
      </w:r>
      <w:r w:rsidRPr="00835003">
        <w:rPr>
          <w:rFonts w:asciiTheme="majorHAnsi" w:hAnsiTheme="majorHAnsi" w:cstheme="majorHAnsi"/>
          <w:sz w:val="20"/>
          <w:szCs w:val="20"/>
        </w:rPr>
        <w:t xml:space="preserve">, vol. 1, no. 2, 2022,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10.37940/RJIS.2022.1.2.11.</w:t>
      </w:r>
    </w:p>
    <w:p w14:paraId="61B07412"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[43]</w:t>
      </w:r>
      <w:r w:rsidRPr="00835003">
        <w:rPr>
          <w:rFonts w:asciiTheme="majorHAnsi" w:hAnsiTheme="majorHAnsi" w:cstheme="majorHAnsi"/>
          <w:sz w:val="20"/>
          <w:szCs w:val="20"/>
        </w:rPr>
        <w:tab/>
        <w:t xml:space="preserve"> bin H. M. Ash-</w:t>
      </w:r>
      <w:proofErr w:type="spellStart"/>
      <w:r w:rsidRPr="00835003">
        <w:rPr>
          <w:rFonts w:asciiTheme="majorHAnsi" w:hAnsiTheme="majorHAnsi" w:cstheme="majorHAnsi"/>
          <w:sz w:val="20"/>
          <w:szCs w:val="20"/>
        </w:rPr>
        <w:t>Shihri</w:t>
      </w:r>
      <w:proofErr w:type="spellEnd"/>
      <w:r w:rsidRPr="00835003">
        <w:rPr>
          <w:rFonts w:asciiTheme="majorHAnsi" w:hAnsiTheme="majorHAnsi" w:cstheme="majorHAnsi"/>
          <w:sz w:val="20"/>
          <w:szCs w:val="20"/>
        </w:rPr>
        <w:t xml:space="preserve"> and Awad, “Rule ‘No infliction of harm or reciprocal damage’ in the topic of calamities in Maliki Jurisprudence,” </w:t>
      </w:r>
      <w:r w:rsidRPr="00835003">
        <w:rPr>
          <w:rFonts w:asciiTheme="majorHAnsi" w:hAnsiTheme="majorHAnsi" w:cstheme="majorHAnsi"/>
          <w:i/>
          <w:iCs/>
          <w:sz w:val="20"/>
          <w:szCs w:val="20"/>
        </w:rPr>
        <w:t>Journal of the Faculty of Sharia and Law in Assiut</w:t>
      </w:r>
      <w:r w:rsidRPr="00835003">
        <w:rPr>
          <w:rFonts w:asciiTheme="majorHAnsi" w:hAnsiTheme="majorHAnsi" w:cstheme="majorHAnsi"/>
          <w:sz w:val="20"/>
          <w:szCs w:val="20"/>
        </w:rPr>
        <w:t>, vol. 32, no. 4, pp. 1428–1464, 2020.</w:t>
      </w:r>
    </w:p>
    <w:p w14:paraId="4961B968"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[44]</w:t>
      </w:r>
      <w:r w:rsidRPr="00835003">
        <w:rPr>
          <w:rFonts w:asciiTheme="majorHAnsi" w:hAnsiTheme="majorHAnsi" w:cstheme="majorHAnsi"/>
          <w:sz w:val="20"/>
          <w:szCs w:val="20"/>
        </w:rPr>
        <w:tab/>
        <w:t>A. bin Ibrahim Ahmad Fakher, “</w:t>
      </w:r>
      <w:proofErr w:type="spellStart"/>
      <w:r w:rsidRPr="00835003">
        <w:rPr>
          <w:rFonts w:asciiTheme="majorHAnsi" w:hAnsiTheme="majorHAnsi" w:cstheme="majorHAnsi"/>
          <w:sz w:val="20"/>
          <w:szCs w:val="20"/>
        </w:rPr>
        <w:t>Neighborhood</w:t>
      </w:r>
      <w:proofErr w:type="spellEnd"/>
      <w:r w:rsidRPr="00835003">
        <w:rPr>
          <w:rFonts w:asciiTheme="majorHAnsi" w:hAnsiTheme="majorHAnsi" w:cstheme="majorHAnsi"/>
          <w:sz w:val="20"/>
          <w:szCs w:val="20"/>
        </w:rPr>
        <w:t xml:space="preserve"> Rulings in Light of Jurisprudential Rules,” </w:t>
      </w:r>
      <w:proofErr w:type="spellStart"/>
      <w:r w:rsidRPr="00835003">
        <w:rPr>
          <w:rFonts w:asciiTheme="majorHAnsi" w:hAnsiTheme="majorHAnsi" w:cstheme="majorHAnsi"/>
          <w:i/>
          <w:iCs/>
          <w:sz w:val="20"/>
          <w:szCs w:val="20"/>
        </w:rPr>
        <w:t>Koleyat</w:t>
      </w:r>
      <w:proofErr w:type="spellEnd"/>
      <w:r w:rsidRPr="00835003">
        <w:rPr>
          <w:rFonts w:asciiTheme="majorHAnsi" w:hAnsiTheme="majorHAnsi" w:cstheme="majorHAnsi"/>
          <w:i/>
          <w:iCs/>
          <w:sz w:val="20"/>
          <w:szCs w:val="20"/>
        </w:rPr>
        <w:t xml:space="preserve"> al-</w:t>
      </w:r>
      <w:proofErr w:type="spellStart"/>
      <w:r w:rsidRPr="00835003">
        <w:rPr>
          <w:rFonts w:asciiTheme="majorHAnsi" w:hAnsiTheme="majorHAnsi" w:cstheme="majorHAnsi"/>
          <w:i/>
          <w:iCs/>
          <w:sz w:val="20"/>
          <w:szCs w:val="20"/>
        </w:rPr>
        <w:t>Shari’a</w:t>
      </w:r>
      <w:proofErr w:type="spellEnd"/>
      <w:r w:rsidRPr="00835003">
        <w:rPr>
          <w:rFonts w:asciiTheme="majorHAnsi" w:hAnsiTheme="majorHAnsi" w:cstheme="majorHAnsi"/>
          <w:i/>
          <w:iCs/>
          <w:sz w:val="20"/>
          <w:szCs w:val="20"/>
        </w:rPr>
        <w:t xml:space="preserve"> </w:t>
      </w:r>
      <w:proofErr w:type="spellStart"/>
      <w:r w:rsidRPr="00835003">
        <w:rPr>
          <w:rFonts w:asciiTheme="majorHAnsi" w:hAnsiTheme="majorHAnsi" w:cstheme="majorHAnsi"/>
          <w:i/>
          <w:iCs/>
          <w:sz w:val="20"/>
          <w:szCs w:val="20"/>
        </w:rPr>
        <w:t>wa</w:t>
      </w:r>
      <w:proofErr w:type="spellEnd"/>
      <w:r w:rsidRPr="00835003">
        <w:rPr>
          <w:rFonts w:asciiTheme="majorHAnsi" w:hAnsiTheme="majorHAnsi" w:cstheme="majorHAnsi"/>
          <w:i/>
          <w:iCs/>
          <w:sz w:val="20"/>
          <w:szCs w:val="20"/>
        </w:rPr>
        <w:t xml:space="preserve"> al-</w:t>
      </w:r>
      <w:proofErr w:type="spellStart"/>
      <w:r w:rsidRPr="00835003">
        <w:rPr>
          <w:rFonts w:asciiTheme="majorHAnsi" w:hAnsiTheme="majorHAnsi" w:cstheme="majorHAnsi"/>
          <w:i/>
          <w:iCs/>
          <w:sz w:val="20"/>
          <w:szCs w:val="20"/>
        </w:rPr>
        <w:t>Qānūn</w:t>
      </w:r>
      <w:proofErr w:type="spellEnd"/>
      <w:r w:rsidRPr="00835003">
        <w:rPr>
          <w:rFonts w:asciiTheme="majorHAnsi" w:hAnsiTheme="majorHAnsi" w:cstheme="majorHAnsi"/>
          <w:i/>
          <w:iCs/>
          <w:sz w:val="20"/>
          <w:szCs w:val="20"/>
        </w:rPr>
        <w:t xml:space="preserve"> bi-</w:t>
      </w:r>
      <w:proofErr w:type="spellStart"/>
      <w:r w:rsidRPr="00835003">
        <w:rPr>
          <w:rFonts w:asciiTheme="majorHAnsi" w:hAnsiTheme="majorHAnsi" w:cstheme="majorHAnsi"/>
          <w:i/>
          <w:iCs/>
          <w:sz w:val="20"/>
          <w:szCs w:val="20"/>
        </w:rPr>
        <w:t>Asyūṭ</w:t>
      </w:r>
      <w:proofErr w:type="spellEnd"/>
      <w:r w:rsidRPr="00835003">
        <w:rPr>
          <w:rFonts w:asciiTheme="majorHAnsi" w:hAnsiTheme="majorHAnsi" w:cstheme="majorHAnsi"/>
          <w:sz w:val="20"/>
          <w:szCs w:val="20"/>
        </w:rPr>
        <w:t>, pp. 985–1051, 2023.</w:t>
      </w:r>
    </w:p>
    <w:p w14:paraId="4512AB4A"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[45]</w:t>
      </w:r>
      <w:r w:rsidRPr="00835003">
        <w:rPr>
          <w:rFonts w:asciiTheme="majorHAnsi" w:hAnsiTheme="majorHAnsi" w:cstheme="majorHAnsi"/>
          <w:sz w:val="20"/>
          <w:szCs w:val="20"/>
        </w:rPr>
        <w:tab/>
        <w:t xml:space="preserve">Y. H. </w:t>
      </w:r>
      <w:proofErr w:type="spellStart"/>
      <w:r w:rsidRPr="00835003">
        <w:rPr>
          <w:rFonts w:asciiTheme="majorHAnsi" w:hAnsiTheme="majorHAnsi" w:cstheme="majorHAnsi"/>
          <w:sz w:val="20"/>
          <w:szCs w:val="20"/>
        </w:rPr>
        <w:t>Wazeri</w:t>
      </w:r>
      <w:proofErr w:type="spellEnd"/>
      <w:r w:rsidRPr="00835003">
        <w:rPr>
          <w:rFonts w:asciiTheme="majorHAnsi" w:hAnsiTheme="majorHAnsi" w:cstheme="majorHAnsi"/>
          <w:sz w:val="20"/>
          <w:szCs w:val="20"/>
        </w:rPr>
        <w:t xml:space="preserve">, “Architecture in the Islamic Vision,” </w:t>
      </w:r>
      <w:r w:rsidRPr="00835003">
        <w:rPr>
          <w:rFonts w:asciiTheme="majorHAnsi" w:hAnsiTheme="majorHAnsi" w:cstheme="majorHAnsi"/>
          <w:i/>
          <w:iCs/>
          <w:sz w:val="20"/>
          <w:szCs w:val="20"/>
        </w:rPr>
        <w:t>J</w:t>
      </w:r>
      <w:r>
        <w:rPr>
          <w:rFonts w:asciiTheme="majorHAnsi" w:hAnsiTheme="majorHAnsi" w:cstheme="majorHAnsi"/>
          <w:i/>
          <w:iCs/>
          <w:sz w:val="20"/>
          <w:szCs w:val="20"/>
        </w:rPr>
        <w:t xml:space="preserve">ournal of </w:t>
      </w:r>
      <w:r w:rsidRPr="00835003">
        <w:rPr>
          <w:rFonts w:asciiTheme="majorHAnsi" w:hAnsiTheme="majorHAnsi" w:cstheme="majorHAnsi"/>
          <w:i/>
          <w:iCs/>
          <w:sz w:val="20"/>
          <w:szCs w:val="20"/>
        </w:rPr>
        <w:t>I</w:t>
      </w:r>
      <w:r>
        <w:rPr>
          <w:rFonts w:asciiTheme="majorHAnsi" w:hAnsiTheme="majorHAnsi" w:cstheme="majorHAnsi"/>
          <w:i/>
          <w:iCs/>
          <w:sz w:val="20"/>
          <w:szCs w:val="20"/>
        </w:rPr>
        <w:t xml:space="preserve">slamic </w:t>
      </w:r>
      <w:r w:rsidRPr="00835003">
        <w:rPr>
          <w:rFonts w:asciiTheme="majorHAnsi" w:hAnsiTheme="majorHAnsi" w:cstheme="majorHAnsi"/>
          <w:i/>
          <w:iCs/>
          <w:sz w:val="20"/>
          <w:szCs w:val="20"/>
        </w:rPr>
        <w:t>A</w:t>
      </w:r>
      <w:r>
        <w:rPr>
          <w:rFonts w:asciiTheme="majorHAnsi" w:hAnsiTheme="majorHAnsi" w:cstheme="majorHAnsi"/>
          <w:i/>
          <w:iCs/>
          <w:sz w:val="20"/>
          <w:szCs w:val="20"/>
        </w:rPr>
        <w:t>rchitecture</w:t>
      </w:r>
      <w:r w:rsidRPr="00835003">
        <w:rPr>
          <w:rFonts w:asciiTheme="majorHAnsi" w:hAnsiTheme="majorHAnsi" w:cstheme="majorHAnsi"/>
          <w:sz w:val="20"/>
          <w:szCs w:val="20"/>
        </w:rPr>
        <w:t xml:space="preserve">, vol. 6, no. 1, pp. 1–6, Jun. 2020,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10.18860/</w:t>
      </w:r>
      <w:proofErr w:type="gramStart"/>
      <w:r w:rsidRPr="00835003">
        <w:rPr>
          <w:rFonts w:asciiTheme="majorHAnsi" w:hAnsiTheme="majorHAnsi" w:cstheme="majorHAnsi"/>
          <w:sz w:val="20"/>
          <w:szCs w:val="20"/>
        </w:rPr>
        <w:t>jia.v</w:t>
      </w:r>
      <w:proofErr w:type="gramEnd"/>
      <w:r w:rsidRPr="00835003">
        <w:rPr>
          <w:rFonts w:asciiTheme="majorHAnsi" w:hAnsiTheme="majorHAnsi" w:cstheme="majorHAnsi"/>
          <w:sz w:val="20"/>
          <w:szCs w:val="20"/>
        </w:rPr>
        <w:t>6i1.7867.</w:t>
      </w:r>
    </w:p>
    <w:p w14:paraId="78420DEC"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[46]</w:t>
      </w:r>
      <w:r w:rsidRPr="00835003">
        <w:rPr>
          <w:rFonts w:asciiTheme="majorHAnsi" w:hAnsiTheme="majorHAnsi" w:cstheme="majorHAnsi"/>
          <w:sz w:val="20"/>
          <w:szCs w:val="20"/>
        </w:rPr>
        <w:tab/>
        <w:t xml:space="preserve">D. A. </w:t>
      </w:r>
      <w:proofErr w:type="spellStart"/>
      <w:r w:rsidRPr="00835003">
        <w:rPr>
          <w:rFonts w:asciiTheme="majorHAnsi" w:hAnsiTheme="majorHAnsi" w:cstheme="majorHAnsi"/>
          <w:sz w:val="20"/>
          <w:szCs w:val="20"/>
        </w:rPr>
        <w:t>Belabes</w:t>
      </w:r>
      <w:proofErr w:type="spellEnd"/>
      <w:r w:rsidRPr="00835003">
        <w:rPr>
          <w:rFonts w:asciiTheme="majorHAnsi" w:hAnsiTheme="majorHAnsi" w:cstheme="majorHAnsi"/>
          <w:sz w:val="20"/>
          <w:szCs w:val="20"/>
        </w:rPr>
        <w:t xml:space="preserve">, “Is the Waqf a Part of the Third </w:t>
      </w:r>
      <w:proofErr w:type="gramStart"/>
      <w:r w:rsidRPr="00835003">
        <w:rPr>
          <w:rFonts w:asciiTheme="majorHAnsi" w:hAnsiTheme="majorHAnsi" w:cstheme="majorHAnsi"/>
          <w:sz w:val="20"/>
          <w:szCs w:val="20"/>
        </w:rPr>
        <w:t>Sector?,</w:t>
      </w:r>
      <w:proofErr w:type="gramEnd"/>
      <w:r w:rsidRPr="00835003">
        <w:rPr>
          <w:rFonts w:asciiTheme="majorHAnsi" w:hAnsiTheme="majorHAnsi" w:cstheme="majorHAnsi"/>
          <w:sz w:val="20"/>
          <w:szCs w:val="20"/>
        </w:rPr>
        <w:t xml:space="preserve">” </w:t>
      </w:r>
      <w:r w:rsidRPr="00835003">
        <w:rPr>
          <w:rFonts w:asciiTheme="majorHAnsi" w:hAnsiTheme="majorHAnsi" w:cstheme="majorHAnsi"/>
          <w:i/>
          <w:iCs/>
          <w:sz w:val="20"/>
          <w:szCs w:val="20"/>
        </w:rPr>
        <w:t>The Journal of Awqaf</w:t>
      </w:r>
      <w:r w:rsidRPr="00835003">
        <w:rPr>
          <w:rFonts w:asciiTheme="majorHAnsi" w:hAnsiTheme="majorHAnsi" w:cstheme="majorHAnsi"/>
          <w:sz w:val="20"/>
          <w:szCs w:val="20"/>
        </w:rPr>
        <w:t>, vol. 33, pp. 12–35, 2017.</w:t>
      </w:r>
    </w:p>
    <w:p w14:paraId="191D00FC"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[47]</w:t>
      </w:r>
      <w:r w:rsidRPr="00835003">
        <w:rPr>
          <w:rFonts w:asciiTheme="majorHAnsi" w:hAnsiTheme="majorHAnsi" w:cstheme="majorHAnsi"/>
          <w:sz w:val="20"/>
          <w:szCs w:val="20"/>
        </w:rPr>
        <w:tab/>
        <w:t xml:space="preserve">N. M. Nawawi, P. S. Jahn Kassim, and S. Hamat, “A Historiography of the Mosque: Reconciling a Renaissance of Spirituality in the Material Forms of Islamic Architecture,” </w:t>
      </w:r>
      <w:r w:rsidRPr="00835003">
        <w:rPr>
          <w:rFonts w:asciiTheme="majorHAnsi" w:hAnsiTheme="majorHAnsi" w:cstheme="majorHAnsi"/>
          <w:i/>
          <w:iCs/>
          <w:sz w:val="20"/>
          <w:szCs w:val="20"/>
        </w:rPr>
        <w:t xml:space="preserve">adv sci </w:t>
      </w:r>
      <w:proofErr w:type="spellStart"/>
      <w:r w:rsidRPr="00835003">
        <w:rPr>
          <w:rFonts w:asciiTheme="majorHAnsi" w:hAnsiTheme="majorHAnsi" w:cstheme="majorHAnsi"/>
          <w:i/>
          <w:iCs/>
          <w:sz w:val="20"/>
          <w:szCs w:val="20"/>
        </w:rPr>
        <w:t>lett</w:t>
      </w:r>
      <w:proofErr w:type="spellEnd"/>
      <w:r w:rsidRPr="00835003">
        <w:rPr>
          <w:rFonts w:asciiTheme="majorHAnsi" w:hAnsiTheme="majorHAnsi" w:cstheme="majorHAnsi"/>
          <w:sz w:val="20"/>
          <w:szCs w:val="20"/>
        </w:rPr>
        <w:t xml:space="preserve">, vol. 22, no. 9, pp. 2164–2169, Sep. 2016,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10.1166/asl.2016.7558.</w:t>
      </w:r>
    </w:p>
    <w:p w14:paraId="08BB8CE8"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[48]</w:t>
      </w:r>
      <w:r w:rsidRPr="00835003">
        <w:rPr>
          <w:rFonts w:asciiTheme="majorHAnsi" w:hAnsiTheme="majorHAnsi" w:cstheme="majorHAnsi"/>
          <w:sz w:val="20"/>
          <w:szCs w:val="20"/>
        </w:rPr>
        <w:tab/>
        <w:t xml:space="preserve">E. </w:t>
      </w:r>
      <w:proofErr w:type="spellStart"/>
      <w:r w:rsidRPr="00835003">
        <w:rPr>
          <w:rFonts w:asciiTheme="majorHAnsi" w:hAnsiTheme="majorHAnsi" w:cstheme="majorHAnsi"/>
          <w:sz w:val="20"/>
          <w:szCs w:val="20"/>
        </w:rPr>
        <w:t>Abowardah</w:t>
      </w:r>
      <w:proofErr w:type="spellEnd"/>
      <w:r w:rsidRPr="00835003">
        <w:rPr>
          <w:rFonts w:asciiTheme="majorHAnsi" w:hAnsiTheme="majorHAnsi" w:cstheme="majorHAnsi"/>
          <w:sz w:val="20"/>
          <w:szCs w:val="20"/>
        </w:rPr>
        <w:t xml:space="preserve">, “Contemporary Islamic Architecture towards preserving Islamic heritage,” </w:t>
      </w:r>
      <w:r w:rsidRPr="00E35C54">
        <w:rPr>
          <w:rFonts w:asciiTheme="majorHAnsi" w:hAnsiTheme="majorHAnsi" w:cstheme="majorHAnsi"/>
          <w:i/>
          <w:iCs/>
          <w:sz w:val="20"/>
          <w:szCs w:val="20"/>
        </w:rPr>
        <w:t>Proceedings of the ARCHDESIGN 14</w:t>
      </w:r>
      <w:r>
        <w:rPr>
          <w:rFonts w:asciiTheme="majorHAnsi" w:hAnsiTheme="majorHAnsi" w:cstheme="majorHAnsi"/>
          <w:sz w:val="20"/>
          <w:szCs w:val="20"/>
        </w:rPr>
        <w:t xml:space="preserve">, </w:t>
      </w:r>
      <w:r w:rsidRPr="00835003">
        <w:rPr>
          <w:rFonts w:asciiTheme="majorHAnsi" w:hAnsiTheme="majorHAnsi" w:cstheme="majorHAnsi"/>
          <w:sz w:val="20"/>
          <w:szCs w:val="20"/>
        </w:rPr>
        <w:t xml:space="preserve">2015,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10.13140/RG.2.1.1928.7208.</w:t>
      </w:r>
    </w:p>
    <w:p w14:paraId="1E194D17"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[49]</w:t>
      </w:r>
      <w:r w:rsidRPr="00835003">
        <w:rPr>
          <w:rFonts w:asciiTheme="majorHAnsi" w:hAnsiTheme="majorHAnsi" w:cstheme="majorHAnsi"/>
          <w:sz w:val="20"/>
          <w:szCs w:val="20"/>
        </w:rPr>
        <w:tab/>
        <w:t xml:space="preserve">H. </w:t>
      </w:r>
      <w:proofErr w:type="spellStart"/>
      <w:r w:rsidRPr="00835003">
        <w:rPr>
          <w:rFonts w:asciiTheme="majorHAnsi" w:hAnsiTheme="majorHAnsi" w:cstheme="majorHAnsi"/>
          <w:sz w:val="20"/>
          <w:szCs w:val="20"/>
        </w:rPr>
        <w:t>Alqub</w:t>
      </w:r>
      <w:proofErr w:type="spellEnd"/>
      <w:r w:rsidRPr="00835003">
        <w:rPr>
          <w:rFonts w:asciiTheme="majorHAnsi" w:hAnsiTheme="majorHAnsi" w:cstheme="majorHAnsi"/>
          <w:sz w:val="20"/>
          <w:szCs w:val="20"/>
        </w:rPr>
        <w:t xml:space="preserve"> and R. Mellin, “Reviving Islamic Values </w:t>
      </w:r>
      <w:r>
        <w:rPr>
          <w:rFonts w:asciiTheme="majorHAnsi" w:hAnsiTheme="majorHAnsi" w:cstheme="majorHAnsi"/>
          <w:sz w:val="20"/>
          <w:szCs w:val="20"/>
        </w:rPr>
        <w:t>i</w:t>
      </w:r>
      <w:r w:rsidRPr="00835003">
        <w:rPr>
          <w:rFonts w:asciiTheme="majorHAnsi" w:hAnsiTheme="majorHAnsi" w:cstheme="majorHAnsi"/>
          <w:sz w:val="20"/>
          <w:szCs w:val="20"/>
        </w:rPr>
        <w:t xml:space="preserve">n Contemporary Arab Architecture,” </w:t>
      </w:r>
      <w:r w:rsidRPr="00835003">
        <w:rPr>
          <w:rFonts w:asciiTheme="majorHAnsi" w:hAnsiTheme="majorHAnsi" w:cstheme="majorHAnsi"/>
          <w:i/>
          <w:iCs/>
          <w:sz w:val="20"/>
          <w:szCs w:val="20"/>
        </w:rPr>
        <w:t>J</w:t>
      </w:r>
      <w:r>
        <w:rPr>
          <w:rFonts w:asciiTheme="majorHAnsi" w:hAnsiTheme="majorHAnsi" w:cstheme="majorHAnsi"/>
          <w:i/>
          <w:iCs/>
          <w:sz w:val="20"/>
          <w:szCs w:val="20"/>
        </w:rPr>
        <w:t xml:space="preserve">ournal of </w:t>
      </w:r>
      <w:r w:rsidRPr="00835003">
        <w:rPr>
          <w:rFonts w:asciiTheme="majorHAnsi" w:hAnsiTheme="majorHAnsi" w:cstheme="majorHAnsi"/>
          <w:i/>
          <w:iCs/>
          <w:sz w:val="20"/>
          <w:szCs w:val="20"/>
        </w:rPr>
        <w:t>I</w:t>
      </w:r>
      <w:r>
        <w:rPr>
          <w:rFonts w:asciiTheme="majorHAnsi" w:hAnsiTheme="majorHAnsi" w:cstheme="majorHAnsi"/>
          <w:i/>
          <w:iCs/>
          <w:sz w:val="20"/>
          <w:szCs w:val="20"/>
        </w:rPr>
        <w:t xml:space="preserve">slamic </w:t>
      </w:r>
      <w:r w:rsidRPr="00835003">
        <w:rPr>
          <w:rFonts w:asciiTheme="majorHAnsi" w:hAnsiTheme="majorHAnsi" w:cstheme="majorHAnsi"/>
          <w:i/>
          <w:iCs/>
          <w:sz w:val="20"/>
          <w:szCs w:val="20"/>
        </w:rPr>
        <w:t>A</w:t>
      </w:r>
      <w:r>
        <w:rPr>
          <w:rFonts w:asciiTheme="majorHAnsi" w:hAnsiTheme="majorHAnsi" w:cstheme="majorHAnsi"/>
          <w:i/>
          <w:iCs/>
          <w:sz w:val="20"/>
          <w:szCs w:val="20"/>
        </w:rPr>
        <w:t>rchitecture</w:t>
      </w:r>
      <w:r w:rsidRPr="00835003">
        <w:rPr>
          <w:rFonts w:asciiTheme="majorHAnsi" w:hAnsiTheme="majorHAnsi" w:cstheme="majorHAnsi"/>
          <w:sz w:val="20"/>
          <w:szCs w:val="20"/>
        </w:rPr>
        <w:t xml:space="preserve">, vol. 6, no. 1, pp. 48–57, Jun. 2020,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10.18860/</w:t>
      </w:r>
      <w:proofErr w:type="gramStart"/>
      <w:r w:rsidRPr="00835003">
        <w:rPr>
          <w:rFonts w:asciiTheme="majorHAnsi" w:hAnsiTheme="majorHAnsi" w:cstheme="majorHAnsi"/>
          <w:sz w:val="20"/>
          <w:szCs w:val="20"/>
        </w:rPr>
        <w:t>jia.v</w:t>
      </w:r>
      <w:proofErr w:type="gramEnd"/>
      <w:r w:rsidRPr="00835003">
        <w:rPr>
          <w:rFonts w:asciiTheme="majorHAnsi" w:hAnsiTheme="majorHAnsi" w:cstheme="majorHAnsi"/>
          <w:sz w:val="20"/>
          <w:szCs w:val="20"/>
        </w:rPr>
        <w:t>6i1.7848.</w:t>
      </w:r>
    </w:p>
    <w:p w14:paraId="4BAF36A8"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[50]</w:t>
      </w:r>
      <w:r w:rsidRPr="00835003">
        <w:rPr>
          <w:rFonts w:asciiTheme="majorHAnsi" w:hAnsiTheme="majorHAnsi" w:cstheme="majorHAnsi"/>
          <w:sz w:val="20"/>
          <w:szCs w:val="20"/>
        </w:rPr>
        <w:tab/>
        <w:t xml:space="preserve">M. B.- Hamouche, “Islamization </w:t>
      </w:r>
      <w:r>
        <w:rPr>
          <w:rFonts w:asciiTheme="majorHAnsi" w:hAnsiTheme="majorHAnsi" w:cstheme="majorHAnsi"/>
          <w:sz w:val="20"/>
          <w:szCs w:val="20"/>
        </w:rPr>
        <w:t>o</w:t>
      </w:r>
      <w:r w:rsidRPr="00835003">
        <w:rPr>
          <w:rFonts w:asciiTheme="majorHAnsi" w:hAnsiTheme="majorHAnsi" w:cstheme="majorHAnsi"/>
          <w:sz w:val="20"/>
          <w:szCs w:val="20"/>
        </w:rPr>
        <w:t xml:space="preserve">f Contemporary Architecture: Shifting </w:t>
      </w:r>
      <w:r>
        <w:rPr>
          <w:rFonts w:asciiTheme="majorHAnsi" w:hAnsiTheme="majorHAnsi" w:cstheme="majorHAnsi"/>
          <w:sz w:val="20"/>
          <w:szCs w:val="20"/>
        </w:rPr>
        <w:t>t</w:t>
      </w:r>
      <w:r w:rsidRPr="00835003">
        <w:rPr>
          <w:rFonts w:asciiTheme="majorHAnsi" w:hAnsiTheme="majorHAnsi" w:cstheme="majorHAnsi"/>
          <w:sz w:val="20"/>
          <w:szCs w:val="20"/>
        </w:rPr>
        <w:t xml:space="preserve">he Paradigm </w:t>
      </w:r>
      <w:r>
        <w:rPr>
          <w:rFonts w:asciiTheme="majorHAnsi" w:hAnsiTheme="majorHAnsi" w:cstheme="majorHAnsi"/>
          <w:sz w:val="20"/>
          <w:szCs w:val="20"/>
        </w:rPr>
        <w:t>o</w:t>
      </w:r>
      <w:r w:rsidRPr="00835003">
        <w:rPr>
          <w:rFonts w:asciiTheme="majorHAnsi" w:hAnsiTheme="majorHAnsi" w:cstheme="majorHAnsi"/>
          <w:sz w:val="20"/>
          <w:szCs w:val="20"/>
        </w:rPr>
        <w:t xml:space="preserve">f Islamic Architecture,” </w:t>
      </w:r>
      <w:r w:rsidRPr="00835003">
        <w:rPr>
          <w:rFonts w:asciiTheme="majorHAnsi" w:hAnsiTheme="majorHAnsi" w:cstheme="majorHAnsi"/>
          <w:i/>
          <w:iCs/>
          <w:sz w:val="20"/>
          <w:szCs w:val="20"/>
        </w:rPr>
        <w:t>J</w:t>
      </w:r>
      <w:r>
        <w:rPr>
          <w:rFonts w:asciiTheme="majorHAnsi" w:hAnsiTheme="majorHAnsi" w:cstheme="majorHAnsi"/>
          <w:i/>
          <w:iCs/>
          <w:sz w:val="20"/>
          <w:szCs w:val="20"/>
        </w:rPr>
        <w:t xml:space="preserve">ournal of </w:t>
      </w:r>
      <w:r w:rsidRPr="00835003">
        <w:rPr>
          <w:rFonts w:asciiTheme="majorHAnsi" w:hAnsiTheme="majorHAnsi" w:cstheme="majorHAnsi"/>
          <w:i/>
          <w:iCs/>
          <w:sz w:val="20"/>
          <w:szCs w:val="20"/>
        </w:rPr>
        <w:t>I</w:t>
      </w:r>
      <w:r>
        <w:rPr>
          <w:rFonts w:asciiTheme="majorHAnsi" w:hAnsiTheme="majorHAnsi" w:cstheme="majorHAnsi"/>
          <w:i/>
          <w:iCs/>
          <w:sz w:val="20"/>
          <w:szCs w:val="20"/>
        </w:rPr>
        <w:t xml:space="preserve">slamic </w:t>
      </w:r>
      <w:r w:rsidRPr="00835003">
        <w:rPr>
          <w:rFonts w:asciiTheme="majorHAnsi" w:hAnsiTheme="majorHAnsi" w:cstheme="majorHAnsi"/>
          <w:i/>
          <w:iCs/>
          <w:sz w:val="20"/>
          <w:szCs w:val="20"/>
        </w:rPr>
        <w:t>A</w:t>
      </w:r>
      <w:r>
        <w:rPr>
          <w:rFonts w:asciiTheme="majorHAnsi" w:hAnsiTheme="majorHAnsi" w:cstheme="majorHAnsi"/>
          <w:i/>
          <w:iCs/>
          <w:sz w:val="20"/>
          <w:szCs w:val="20"/>
        </w:rPr>
        <w:t>rchitecture</w:t>
      </w:r>
      <w:r w:rsidRPr="00835003">
        <w:rPr>
          <w:rFonts w:asciiTheme="majorHAnsi" w:hAnsiTheme="majorHAnsi" w:cstheme="majorHAnsi"/>
          <w:sz w:val="20"/>
          <w:szCs w:val="20"/>
        </w:rPr>
        <w:t xml:space="preserve">, vol. 1, no. 2, Mar. 2012,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10.18860/</w:t>
      </w:r>
      <w:proofErr w:type="gramStart"/>
      <w:r w:rsidRPr="00835003">
        <w:rPr>
          <w:rFonts w:asciiTheme="majorHAnsi" w:hAnsiTheme="majorHAnsi" w:cstheme="majorHAnsi"/>
          <w:sz w:val="20"/>
          <w:szCs w:val="20"/>
        </w:rPr>
        <w:t>jia.v</w:t>
      </w:r>
      <w:proofErr w:type="gramEnd"/>
      <w:r w:rsidRPr="00835003">
        <w:rPr>
          <w:rFonts w:asciiTheme="majorHAnsi" w:hAnsiTheme="majorHAnsi" w:cstheme="majorHAnsi"/>
          <w:sz w:val="20"/>
          <w:szCs w:val="20"/>
        </w:rPr>
        <w:t>1i2.1720.</w:t>
      </w:r>
    </w:p>
    <w:p w14:paraId="1BD0B9ED"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[51]</w:t>
      </w:r>
      <w:r w:rsidRPr="00835003">
        <w:rPr>
          <w:rFonts w:asciiTheme="majorHAnsi" w:hAnsiTheme="majorHAnsi" w:cstheme="majorHAnsi"/>
          <w:sz w:val="20"/>
          <w:szCs w:val="20"/>
        </w:rPr>
        <w:tab/>
        <w:t>H. A. Ghani, “‘</w:t>
      </w:r>
      <w:proofErr w:type="spellStart"/>
      <w:r w:rsidRPr="00835003">
        <w:rPr>
          <w:rFonts w:asciiTheme="majorHAnsi" w:hAnsiTheme="majorHAnsi" w:cstheme="majorHAnsi"/>
          <w:sz w:val="20"/>
          <w:szCs w:val="20"/>
        </w:rPr>
        <w:t>Urf</w:t>
      </w:r>
      <w:proofErr w:type="spellEnd"/>
      <w:r w:rsidRPr="00835003">
        <w:rPr>
          <w:rFonts w:asciiTheme="majorHAnsi" w:hAnsiTheme="majorHAnsi" w:cstheme="majorHAnsi"/>
          <w:sz w:val="20"/>
          <w:szCs w:val="20"/>
        </w:rPr>
        <w:t xml:space="preserve"> -o-</w:t>
      </w:r>
      <w:proofErr w:type="spellStart"/>
      <w:r w:rsidRPr="00835003">
        <w:rPr>
          <w:rFonts w:asciiTheme="majorHAnsi" w:hAnsiTheme="majorHAnsi" w:cstheme="majorHAnsi"/>
          <w:sz w:val="20"/>
          <w:szCs w:val="20"/>
        </w:rPr>
        <w:t>Ādah</w:t>
      </w:r>
      <w:proofErr w:type="spellEnd"/>
      <w:r w:rsidRPr="00835003">
        <w:rPr>
          <w:rFonts w:asciiTheme="majorHAnsi" w:hAnsiTheme="majorHAnsi" w:cstheme="majorHAnsi"/>
          <w:sz w:val="20"/>
          <w:szCs w:val="20"/>
        </w:rPr>
        <w:t xml:space="preserve"> (Custom and Usage) as a Source of Islamic law,” </w:t>
      </w:r>
      <w:r w:rsidRPr="00835003">
        <w:rPr>
          <w:rFonts w:asciiTheme="majorHAnsi" w:hAnsiTheme="majorHAnsi" w:cstheme="majorHAnsi"/>
          <w:i/>
          <w:iCs/>
          <w:sz w:val="20"/>
          <w:szCs w:val="20"/>
        </w:rPr>
        <w:t>AIJCR</w:t>
      </w:r>
      <w:r w:rsidRPr="00835003">
        <w:rPr>
          <w:rFonts w:asciiTheme="majorHAnsi" w:hAnsiTheme="majorHAnsi" w:cstheme="majorHAnsi"/>
          <w:sz w:val="20"/>
          <w:szCs w:val="20"/>
        </w:rPr>
        <w:t>, 2011.</w:t>
      </w:r>
    </w:p>
    <w:p w14:paraId="31798C58"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[52]</w:t>
      </w:r>
      <w:r w:rsidRPr="00835003">
        <w:rPr>
          <w:rFonts w:asciiTheme="majorHAnsi" w:hAnsiTheme="majorHAnsi" w:cstheme="majorHAnsi"/>
          <w:sz w:val="20"/>
          <w:szCs w:val="20"/>
        </w:rPr>
        <w:tab/>
        <w:t xml:space="preserve">B. S. Hakim, “The" </w:t>
      </w:r>
      <w:proofErr w:type="spellStart"/>
      <w:r w:rsidRPr="00835003">
        <w:rPr>
          <w:rFonts w:asciiTheme="majorHAnsi" w:hAnsiTheme="majorHAnsi" w:cstheme="majorHAnsi"/>
          <w:sz w:val="20"/>
          <w:szCs w:val="20"/>
        </w:rPr>
        <w:t>Urf</w:t>
      </w:r>
      <w:proofErr w:type="spellEnd"/>
      <w:r w:rsidRPr="00835003">
        <w:rPr>
          <w:rFonts w:asciiTheme="majorHAnsi" w:hAnsiTheme="majorHAnsi" w:cstheme="majorHAnsi"/>
          <w:sz w:val="20"/>
          <w:szCs w:val="20"/>
        </w:rPr>
        <w:t xml:space="preserve">" and its role in diversifying the architecture of traditional Islamic cities.,” </w:t>
      </w:r>
      <w:r w:rsidRPr="00835003">
        <w:rPr>
          <w:rFonts w:asciiTheme="majorHAnsi" w:hAnsiTheme="majorHAnsi" w:cstheme="majorHAnsi"/>
          <w:i/>
          <w:iCs/>
          <w:sz w:val="20"/>
          <w:szCs w:val="20"/>
        </w:rPr>
        <w:t>Journal of Architectural and Planning Research</w:t>
      </w:r>
      <w:r w:rsidRPr="00835003">
        <w:rPr>
          <w:rFonts w:asciiTheme="majorHAnsi" w:hAnsiTheme="majorHAnsi" w:cstheme="majorHAnsi"/>
          <w:sz w:val="20"/>
          <w:szCs w:val="20"/>
        </w:rPr>
        <w:t>, pp. 108–127, 1994.</w:t>
      </w:r>
    </w:p>
    <w:p w14:paraId="1F09DE3E"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lastRenderedPageBreak/>
        <w:t>[53]</w:t>
      </w:r>
      <w:r w:rsidRPr="00835003">
        <w:rPr>
          <w:rFonts w:asciiTheme="majorHAnsi" w:hAnsiTheme="majorHAnsi" w:cstheme="majorHAnsi"/>
          <w:sz w:val="20"/>
          <w:szCs w:val="20"/>
        </w:rPr>
        <w:tab/>
        <w:t xml:space="preserve">N. C. </w:t>
      </w:r>
      <w:proofErr w:type="spellStart"/>
      <w:r w:rsidRPr="00835003">
        <w:rPr>
          <w:rFonts w:asciiTheme="majorHAnsi" w:hAnsiTheme="majorHAnsi" w:cstheme="majorHAnsi"/>
          <w:sz w:val="20"/>
          <w:szCs w:val="20"/>
        </w:rPr>
        <w:t>Idham</w:t>
      </w:r>
      <w:proofErr w:type="spellEnd"/>
      <w:r w:rsidRPr="00835003">
        <w:rPr>
          <w:rFonts w:asciiTheme="majorHAnsi" w:hAnsiTheme="majorHAnsi" w:cstheme="majorHAnsi"/>
          <w:sz w:val="20"/>
          <w:szCs w:val="20"/>
        </w:rPr>
        <w:t xml:space="preserve">, “Javanese Islamic Architecture: Adoption </w:t>
      </w:r>
      <w:r>
        <w:rPr>
          <w:rFonts w:asciiTheme="majorHAnsi" w:hAnsiTheme="majorHAnsi" w:cstheme="majorHAnsi"/>
          <w:sz w:val="20"/>
          <w:szCs w:val="20"/>
        </w:rPr>
        <w:t>a</w:t>
      </w:r>
      <w:r w:rsidRPr="00835003">
        <w:rPr>
          <w:rFonts w:asciiTheme="majorHAnsi" w:hAnsiTheme="majorHAnsi" w:cstheme="majorHAnsi"/>
          <w:sz w:val="20"/>
          <w:szCs w:val="20"/>
        </w:rPr>
        <w:t xml:space="preserve">nd Adaptation </w:t>
      </w:r>
      <w:r>
        <w:rPr>
          <w:rFonts w:asciiTheme="majorHAnsi" w:hAnsiTheme="majorHAnsi" w:cstheme="majorHAnsi"/>
          <w:sz w:val="20"/>
          <w:szCs w:val="20"/>
        </w:rPr>
        <w:t>o</w:t>
      </w:r>
      <w:r w:rsidRPr="00835003">
        <w:rPr>
          <w:rFonts w:asciiTheme="majorHAnsi" w:hAnsiTheme="majorHAnsi" w:cstheme="majorHAnsi"/>
          <w:sz w:val="20"/>
          <w:szCs w:val="20"/>
        </w:rPr>
        <w:t xml:space="preserve">f Javanese </w:t>
      </w:r>
      <w:r>
        <w:rPr>
          <w:rFonts w:asciiTheme="majorHAnsi" w:hAnsiTheme="majorHAnsi" w:cstheme="majorHAnsi"/>
          <w:sz w:val="20"/>
          <w:szCs w:val="20"/>
        </w:rPr>
        <w:t>a</w:t>
      </w:r>
      <w:r w:rsidRPr="00835003">
        <w:rPr>
          <w:rFonts w:asciiTheme="majorHAnsi" w:hAnsiTheme="majorHAnsi" w:cstheme="majorHAnsi"/>
          <w:sz w:val="20"/>
          <w:szCs w:val="20"/>
        </w:rPr>
        <w:t xml:space="preserve">nd Hindu-Buddhist Cultures </w:t>
      </w:r>
      <w:r>
        <w:rPr>
          <w:rFonts w:asciiTheme="majorHAnsi" w:hAnsiTheme="majorHAnsi" w:cstheme="majorHAnsi"/>
          <w:sz w:val="20"/>
          <w:szCs w:val="20"/>
        </w:rPr>
        <w:t>i</w:t>
      </w:r>
      <w:r w:rsidRPr="00835003">
        <w:rPr>
          <w:rFonts w:asciiTheme="majorHAnsi" w:hAnsiTheme="majorHAnsi" w:cstheme="majorHAnsi"/>
          <w:sz w:val="20"/>
          <w:szCs w:val="20"/>
        </w:rPr>
        <w:t xml:space="preserve">n Indonesia,” </w:t>
      </w:r>
      <w:r w:rsidRPr="00835003">
        <w:rPr>
          <w:rFonts w:asciiTheme="majorHAnsi" w:hAnsiTheme="majorHAnsi" w:cstheme="majorHAnsi"/>
          <w:i/>
          <w:iCs/>
          <w:sz w:val="20"/>
          <w:szCs w:val="20"/>
        </w:rPr>
        <w:t xml:space="preserve">Journal </w:t>
      </w:r>
      <w:r>
        <w:rPr>
          <w:rFonts w:asciiTheme="majorHAnsi" w:hAnsiTheme="majorHAnsi" w:cstheme="majorHAnsi"/>
          <w:i/>
          <w:iCs/>
          <w:sz w:val="20"/>
          <w:szCs w:val="20"/>
        </w:rPr>
        <w:t>o</w:t>
      </w:r>
      <w:r w:rsidRPr="00835003">
        <w:rPr>
          <w:rFonts w:asciiTheme="majorHAnsi" w:hAnsiTheme="majorHAnsi" w:cstheme="majorHAnsi"/>
          <w:i/>
          <w:iCs/>
          <w:sz w:val="20"/>
          <w:szCs w:val="20"/>
        </w:rPr>
        <w:t xml:space="preserve">f Architecture </w:t>
      </w:r>
      <w:r>
        <w:rPr>
          <w:rFonts w:asciiTheme="majorHAnsi" w:hAnsiTheme="majorHAnsi" w:cstheme="majorHAnsi"/>
          <w:i/>
          <w:iCs/>
          <w:sz w:val="20"/>
          <w:szCs w:val="20"/>
        </w:rPr>
        <w:t>a</w:t>
      </w:r>
      <w:r w:rsidRPr="00835003">
        <w:rPr>
          <w:rFonts w:asciiTheme="majorHAnsi" w:hAnsiTheme="majorHAnsi" w:cstheme="majorHAnsi"/>
          <w:i/>
          <w:iCs/>
          <w:sz w:val="20"/>
          <w:szCs w:val="20"/>
        </w:rPr>
        <w:t>nd Urbanism</w:t>
      </w:r>
      <w:r w:rsidRPr="00835003">
        <w:rPr>
          <w:rFonts w:asciiTheme="majorHAnsi" w:hAnsiTheme="majorHAnsi" w:cstheme="majorHAnsi"/>
          <w:sz w:val="20"/>
          <w:szCs w:val="20"/>
        </w:rPr>
        <w:t xml:space="preserve">, vol. 45, no. 1, pp. 9–18, Feb. 2021,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10.3846/jau.2021.13709.</w:t>
      </w:r>
    </w:p>
    <w:p w14:paraId="589FB4EF"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[54]</w:t>
      </w:r>
      <w:r w:rsidRPr="00835003">
        <w:rPr>
          <w:rFonts w:asciiTheme="majorHAnsi" w:hAnsiTheme="majorHAnsi" w:cstheme="majorHAnsi"/>
          <w:sz w:val="20"/>
          <w:szCs w:val="20"/>
        </w:rPr>
        <w:tab/>
        <w:t>H. S. Lee-</w:t>
      </w:r>
      <w:proofErr w:type="spellStart"/>
      <w:r w:rsidRPr="00835003">
        <w:rPr>
          <w:rFonts w:asciiTheme="majorHAnsi" w:hAnsiTheme="majorHAnsi" w:cstheme="majorHAnsi"/>
          <w:sz w:val="20"/>
          <w:szCs w:val="20"/>
        </w:rPr>
        <w:t>Niinioja</w:t>
      </w:r>
      <w:proofErr w:type="spellEnd"/>
      <w:r w:rsidRPr="00835003">
        <w:rPr>
          <w:rFonts w:asciiTheme="majorHAnsi" w:hAnsiTheme="majorHAnsi" w:cstheme="majorHAnsi"/>
          <w:sz w:val="20"/>
          <w:szCs w:val="20"/>
        </w:rPr>
        <w:t xml:space="preserve">, </w:t>
      </w:r>
      <w:r w:rsidRPr="00835003">
        <w:rPr>
          <w:rFonts w:asciiTheme="majorHAnsi" w:hAnsiTheme="majorHAnsi" w:cstheme="majorHAnsi"/>
          <w:i/>
          <w:iCs/>
          <w:sz w:val="20"/>
          <w:szCs w:val="20"/>
        </w:rPr>
        <w:t>The Continuity of Pre-Islamic Motifs in Javanese Mosque Ornamentation, Indonesia</w:t>
      </w:r>
      <w:r w:rsidRPr="00835003">
        <w:rPr>
          <w:rFonts w:asciiTheme="majorHAnsi" w:hAnsiTheme="majorHAnsi" w:cstheme="majorHAnsi"/>
          <w:sz w:val="20"/>
          <w:szCs w:val="20"/>
        </w:rPr>
        <w:t xml:space="preserve">. </w:t>
      </w:r>
      <w:proofErr w:type="spellStart"/>
      <w:r w:rsidRPr="00835003">
        <w:rPr>
          <w:rFonts w:asciiTheme="majorHAnsi" w:hAnsiTheme="majorHAnsi" w:cstheme="majorHAnsi"/>
          <w:sz w:val="20"/>
          <w:szCs w:val="20"/>
        </w:rPr>
        <w:t>Archaeopress</w:t>
      </w:r>
      <w:proofErr w:type="spellEnd"/>
      <w:r w:rsidRPr="00835003">
        <w:rPr>
          <w:rFonts w:asciiTheme="majorHAnsi" w:hAnsiTheme="majorHAnsi" w:cstheme="majorHAnsi"/>
          <w:sz w:val="20"/>
          <w:szCs w:val="20"/>
        </w:rPr>
        <w:t xml:space="preserve"> Publishing Ltd, 2022.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10.2307/j.ctv2b07tsb.</w:t>
      </w:r>
    </w:p>
    <w:p w14:paraId="01ED0873"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[55]</w:t>
      </w:r>
      <w:r w:rsidRPr="00835003">
        <w:rPr>
          <w:rFonts w:asciiTheme="majorHAnsi" w:hAnsiTheme="majorHAnsi" w:cstheme="majorHAnsi"/>
          <w:sz w:val="20"/>
          <w:szCs w:val="20"/>
        </w:rPr>
        <w:tab/>
        <w:t xml:space="preserve">I. R. Al-Faruqi and L. I. Al Faruqi, </w:t>
      </w:r>
      <w:r w:rsidRPr="00835003">
        <w:rPr>
          <w:rFonts w:asciiTheme="majorHAnsi" w:hAnsiTheme="majorHAnsi" w:cstheme="majorHAnsi"/>
          <w:i/>
          <w:iCs/>
          <w:sz w:val="20"/>
          <w:szCs w:val="20"/>
        </w:rPr>
        <w:t>Cultural atlas of Islam</w:t>
      </w:r>
      <w:r w:rsidRPr="00835003">
        <w:rPr>
          <w:rFonts w:asciiTheme="majorHAnsi" w:hAnsiTheme="majorHAnsi" w:cstheme="majorHAnsi"/>
          <w:sz w:val="20"/>
          <w:szCs w:val="20"/>
        </w:rPr>
        <w:t xml:space="preserve">. New </w:t>
      </w:r>
      <w:proofErr w:type="gramStart"/>
      <w:r w:rsidRPr="00835003">
        <w:rPr>
          <w:rFonts w:asciiTheme="majorHAnsi" w:hAnsiTheme="majorHAnsi" w:cstheme="majorHAnsi"/>
          <w:sz w:val="20"/>
          <w:szCs w:val="20"/>
        </w:rPr>
        <w:t>York :</w:t>
      </w:r>
      <w:proofErr w:type="gramEnd"/>
      <w:r w:rsidRPr="00835003">
        <w:rPr>
          <w:rFonts w:asciiTheme="majorHAnsi" w:hAnsiTheme="majorHAnsi" w:cstheme="majorHAnsi"/>
          <w:sz w:val="20"/>
          <w:szCs w:val="20"/>
        </w:rPr>
        <w:t xml:space="preserve"> London: </w:t>
      </w:r>
      <w:proofErr w:type="gramStart"/>
      <w:r w:rsidRPr="00835003">
        <w:rPr>
          <w:rFonts w:asciiTheme="majorHAnsi" w:hAnsiTheme="majorHAnsi" w:cstheme="majorHAnsi"/>
          <w:sz w:val="20"/>
          <w:szCs w:val="20"/>
        </w:rPr>
        <w:t>Macmillan ;</w:t>
      </w:r>
      <w:proofErr w:type="gramEnd"/>
      <w:r w:rsidRPr="00835003">
        <w:rPr>
          <w:rFonts w:asciiTheme="majorHAnsi" w:hAnsiTheme="majorHAnsi" w:cstheme="majorHAnsi"/>
          <w:sz w:val="20"/>
          <w:szCs w:val="20"/>
        </w:rPr>
        <w:t xml:space="preserve"> Collier Macmillan, 1986.</w:t>
      </w:r>
    </w:p>
    <w:p w14:paraId="7D69CC29"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[56]</w:t>
      </w:r>
      <w:r w:rsidRPr="00835003">
        <w:rPr>
          <w:rFonts w:asciiTheme="majorHAnsi" w:hAnsiTheme="majorHAnsi" w:cstheme="majorHAnsi"/>
          <w:sz w:val="20"/>
          <w:szCs w:val="20"/>
        </w:rPr>
        <w:tab/>
        <w:t xml:space="preserve">L. I. N. Fina, “Southeast Asian Islamic Art and Architecture: Re-Examining </w:t>
      </w:r>
      <w:proofErr w:type="gramStart"/>
      <w:r w:rsidRPr="00835003">
        <w:rPr>
          <w:rFonts w:asciiTheme="majorHAnsi" w:hAnsiTheme="majorHAnsi" w:cstheme="majorHAnsi"/>
          <w:sz w:val="20"/>
          <w:szCs w:val="20"/>
        </w:rPr>
        <w:t>The</w:t>
      </w:r>
      <w:proofErr w:type="gramEnd"/>
      <w:r w:rsidRPr="00835003">
        <w:rPr>
          <w:rFonts w:asciiTheme="majorHAnsi" w:hAnsiTheme="majorHAnsi" w:cstheme="majorHAnsi"/>
          <w:sz w:val="20"/>
          <w:szCs w:val="20"/>
        </w:rPr>
        <w:t xml:space="preserve"> Claim of the Unity and Universality of Islamic Art,” </w:t>
      </w:r>
      <w:r w:rsidRPr="00835003">
        <w:rPr>
          <w:rFonts w:asciiTheme="majorHAnsi" w:hAnsiTheme="majorHAnsi" w:cstheme="majorHAnsi"/>
          <w:i/>
          <w:iCs/>
          <w:sz w:val="20"/>
          <w:szCs w:val="20"/>
        </w:rPr>
        <w:t>SKIJIC</w:t>
      </w:r>
      <w:r w:rsidRPr="00835003">
        <w:rPr>
          <w:rFonts w:asciiTheme="majorHAnsi" w:hAnsiTheme="majorHAnsi" w:cstheme="majorHAnsi"/>
          <w:sz w:val="20"/>
          <w:szCs w:val="20"/>
        </w:rPr>
        <w:t xml:space="preserve">, vol. 1, no. 2, p. 171, Nov. 2018,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10.14421/</w:t>
      </w:r>
      <w:proofErr w:type="gramStart"/>
      <w:r w:rsidRPr="00835003">
        <w:rPr>
          <w:rFonts w:asciiTheme="majorHAnsi" w:hAnsiTheme="majorHAnsi" w:cstheme="majorHAnsi"/>
          <w:sz w:val="20"/>
          <w:szCs w:val="20"/>
        </w:rPr>
        <w:t>skijic.v</w:t>
      </w:r>
      <w:proofErr w:type="gramEnd"/>
      <w:r w:rsidRPr="00835003">
        <w:rPr>
          <w:rFonts w:asciiTheme="majorHAnsi" w:hAnsiTheme="majorHAnsi" w:cstheme="majorHAnsi"/>
          <w:sz w:val="20"/>
          <w:szCs w:val="20"/>
        </w:rPr>
        <w:t>1i2.1364.</w:t>
      </w:r>
    </w:p>
    <w:p w14:paraId="5ECA3D6D"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[57]</w:t>
      </w:r>
      <w:r w:rsidRPr="00835003">
        <w:rPr>
          <w:rFonts w:asciiTheme="majorHAnsi" w:hAnsiTheme="majorHAnsi" w:cstheme="majorHAnsi"/>
          <w:sz w:val="20"/>
          <w:szCs w:val="20"/>
        </w:rPr>
        <w:tab/>
        <w:t xml:space="preserve">R. A. Huzaifa, M. S. </w:t>
      </w:r>
      <w:proofErr w:type="spellStart"/>
      <w:r w:rsidRPr="00835003">
        <w:rPr>
          <w:rFonts w:asciiTheme="majorHAnsi" w:hAnsiTheme="majorHAnsi" w:cstheme="majorHAnsi"/>
          <w:sz w:val="20"/>
          <w:szCs w:val="20"/>
        </w:rPr>
        <w:t>Barliana</w:t>
      </w:r>
      <w:proofErr w:type="spellEnd"/>
      <w:r w:rsidRPr="00835003">
        <w:rPr>
          <w:rFonts w:asciiTheme="majorHAnsi" w:hAnsiTheme="majorHAnsi" w:cstheme="majorHAnsi"/>
          <w:sz w:val="20"/>
          <w:szCs w:val="20"/>
        </w:rPr>
        <w:t xml:space="preserve">, and R. </w:t>
      </w:r>
      <w:proofErr w:type="spellStart"/>
      <w:r w:rsidRPr="00835003">
        <w:rPr>
          <w:rFonts w:asciiTheme="majorHAnsi" w:hAnsiTheme="majorHAnsi" w:cstheme="majorHAnsi"/>
          <w:sz w:val="20"/>
          <w:szCs w:val="20"/>
        </w:rPr>
        <w:t>Mardiana</w:t>
      </w:r>
      <w:proofErr w:type="spellEnd"/>
      <w:r w:rsidRPr="00835003">
        <w:rPr>
          <w:rFonts w:asciiTheme="majorHAnsi" w:hAnsiTheme="majorHAnsi" w:cstheme="majorHAnsi"/>
          <w:sz w:val="20"/>
          <w:szCs w:val="20"/>
        </w:rPr>
        <w:t xml:space="preserve">, “Cultural Expression of Local Architecture for Developing Educational Campus </w:t>
      </w:r>
      <w:proofErr w:type="gramStart"/>
      <w:r w:rsidRPr="00835003">
        <w:rPr>
          <w:rFonts w:asciiTheme="majorHAnsi" w:hAnsiTheme="majorHAnsi" w:cstheme="majorHAnsi"/>
          <w:sz w:val="20"/>
          <w:szCs w:val="20"/>
        </w:rPr>
        <w:t>Design:,</w:t>
      </w:r>
      <w:proofErr w:type="gramEnd"/>
      <w:r w:rsidRPr="00835003">
        <w:rPr>
          <w:rFonts w:asciiTheme="majorHAnsi" w:hAnsiTheme="majorHAnsi" w:cstheme="majorHAnsi"/>
          <w:sz w:val="20"/>
          <w:szCs w:val="20"/>
        </w:rPr>
        <w:t xml:space="preserve">” in </w:t>
      </w:r>
      <w:r w:rsidRPr="00835003">
        <w:rPr>
          <w:rFonts w:asciiTheme="majorHAnsi" w:hAnsiTheme="majorHAnsi" w:cstheme="majorHAnsi"/>
          <w:i/>
          <w:iCs/>
          <w:sz w:val="20"/>
          <w:szCs w:val="20"/>
        </w:rPr>
        <w:t>Proceedings of the 6th UPI International Conference on TVET 2020 (TVET 2020)</w:t>
      </w:r>
      <w:r w:rsidRPr="00835003">
        <w:rPr>
          <w:rFonts w:asciiTheme="majorHAnsi" w:hAnsiTheme="majorHAnsi" w:cstheme="majorHAnsi"/>
          <w:sz w:val="20"/>
          <w:szCs w:val="20"/>
        </w:rPr>
        <w:t xml:space="preserve">, Bandung, Indonesia: Atlantis Press, 2021.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10.2991/assehr.k.210203.089.</w:t>
      </w:r>
    </w:p>
    <w:p w14:paraId="0FA36B2C"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[58]</w:t>
      </w:r>
      <w:r w:rsidRPr="00835003">
        <w:rPr>
          <w:rFonts w:asciiTheme="majorHAnsi" w:hAnsiTheme="majorHAnsi" w:cstheme="majorHAnsi"/>
          <w:sz w:val="20"/>
          <w:szCs w:val="20"/>
        </w:rPr>
        <w:tab/>
        <w:t xml:space="preserve">F. Fauzi, M. Munir, and R. </w:t>
      </w:r>
      <w:proofErr w:type="spellStart"/>
      <w:r w:rsidRPr="00835003">
        <w:rPr>
          <w:rFonts w:asciiTheme="majorHAnsi" w:hAnsiTheme="majorHAnsi" w:cstheme="majorHAnsi"/>
          <w:sz w:val="20"/>
          <w:szCs w:val="20"/>
        </w:rPr>
        <w:t>Mustansyir</w:t>
      </w:r>
      <w:proofErr w:type="spellEnd"/>
      <w:r w:rsidRPr="00835003">
        <w:rPr>
          <w:rFonts w:asciiTheme="majorHAnsi" w:hAnsiTheme="majorHAnsi" w:cstheme="majorHAnsi"/>
          <w:sz w:val="20"/>
          <w:szCs w:val="20"/>
        </w:rPr>
        <w:t xml:space="preserve">, “Symbolism in the aesthetics architectural of </w:t>
      </w:r>
      <w:proofErr w:type="spellStart"/>
      <w:r w:rsidRPr="00835003">
        <w:rPr>
          <w:rFonts w:asciiTheme="majorHAnsi" w:hAnsiTheme="majorHAnsi" w:cstheme="majorHAnsi"/>
          <w:sz w:val="20"/>
          <w:szCs w:val="20"/>
        </w:rPr>
        <w:t>Plosokuning</w:t>
      </w:r>
      <w:proofErr w:type="spellEnd"/>
      <w:r w:rsidRPr="00835003">
        <w:rPr>
          <w:rFonts w:asciiTheme="majorHAnsi" w:hAnsiTheme="majorHAnsi" w:cstheme="majorHAnsi"/>
          <w:sz w:val="20"/>
          <w:szCs w:val="20"/>
        </w:rPr>
        <w:t xml:space="preserve"> mosque Yogyakarta,” </w:t>
      </w:r>
      <w:r w:rsidRPr="00835003">
        <w:rPr>
          <w:rFonts w:asciiTheme="majorHAnsi" w:hAnsiTheme="majorHAnsi" w:cstheme="majorHAnsi"/>
          <w:i/>
          <w:iCs/>
          <w:sz w:val="20"/>
          <w:szCs w:val="20"/>
        </w:rPr>
        <w:t>RSD</w:t>
      </w:r>
      <w:r w:rsidRPr="00835003">
        <w:rPr>
          <w:rFonts w:asciiTheme="majorHAnsi" w:hAnsiTheme="majorHAnsi" w:cstheme="majorHAnsi"/>
          <w:sz w:val="20"/>
          <w:szCs w:val="20"/>
        </w:rPr>
        <w:t xml:space="preserve">, vol. 9, no. 11, p. e41491110058, Nov. 2020,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10.33448/rsd-v9i11.10058.</w:t>
      </w:r>
    </w:p>
    <w:p w14:paraId="0B533208"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[59]</w:t>
      </w:r>
      <w:r w:rsidRPr="00835003">
        <w:rPr>
          <w:rFonts w:asciiTheme="majorHAnsi" w:hAnsiTheme="majorHAnsi" w:cstheme="majorHAnsi"/>
          <w:sz w:val="20"/>
          <w:szCs w:val="20"/>
        </w:rPr>
        <w:tab/>
        <w:t xml:space="preserve">U. </w:t>
      </w:r>
      <w:proofErr w:type="spellStart"/>
      <w:r w:rsidRPr="00835003">
        <w:rPr>
          <w:rFonts w:asciiTheme="majorHAnsi" w:hAnsiTheme="majorHAnsi" w:cstheme="majorHAnsi"/>
          <w:sz w:val="20"/>
          <w:szCs w:val="20"/>
        </w:rPr>
        <w:t>Fikriyati</w:t>
      </w:r>
      <w:proofErr w:type="spellEnd"/>
      <w:r w:rsidRPr="00835003">
        <w:rPr>
          <w:rFonts w:asciiTheme="majorHAnsi" w:hAnsiTheme="majorHAnsi" w:cstheme="majorHAnsi"/>
          <w:sz w:val="20"/>
          <w:szCs w:val="20"/>
        </w:rPr>
        <w:t xml:space="preserve">, “Architectural Interpretations of Qur’anic and Hadith Influences in Traditional Indonesian Mosques During the </w:t>
      </w:r>
      <w:proofErr w:type="spellStart"/>
      <w:r w:rsidRPr="00835003">
        <w:rPr>
          <w:rFonts w:asciiTheme="majorHAnsi" w:hAnsiTheme="majorHAnsi" w:cstheme="majorHAnsi"/>
          <w:sz w:val="20"/>
          <w:szCs w:val="20"/>
        </w:rPr>
        <w:t>Walisanga</w:t>
      </w:r>
      <w:proofErr w:type="spellEnd"/>
      <w:r w:rsidRPr="00835003">
        <w:rPr>
          <w:rFonts w:asciiTheme="majorHAnsi" w:hAnsiTheme="majorHAnsi" w:cstheme="majorHAnsi"/>
          <w:sz w:val="20"/>
          <w:szCs w:val="20"/>
        </w:rPr>
        <w:t xml:space="preserve"> Era,” </w:t>
      </w:r>
      <w:proofErr w:type="spellStart"/>
      <w:r w:rsidRPr="00F24E0C">
        <w:rPr>
          <w:rFonts w:asciiTheme="majorHAnsi" w:hAnsiTheme="majorHAnsi" w:cstheme="majorHAnsi"/>
          <w:i/>
          <w:iCs/>
          <w:sz w:val="20"/>
          <w:szCs w:val="20"/>
        </w:rPr>
        <w:t>Jurnal</w:t>
      </w:r>
      <w:proofErr w:type="spellEnd"/>
      <w:r w:rsidRPr="00F24E0C">
        <w:rPr>
          <w:rFonts w:asciiTheme="majorHAnsi" w:hAnsiTheme="majorHAnsi" w:cstheme="majorHAnsi"/>
          <w:i/>
          <w:iCs/>
          <w:sz w:val="20"/>
          <w:szCs w:val="20"/>
        </w:rPr>
        <w:t xml:space="preserve"> Studi </w:t>
      </w:r>
      <w:proofErr w:type="spellStart"/>
      <w:r w:rsidRPr="00F24E0C">
        <w:rPr>
          <w:rFonts w:asciiTheme="majorHAnsi" w:hAnsiTheme="majorHAnsi" w:cstheme="majorHAnsi"/>
          <w:i/>
          <w:iCs/>
          <w:sz w:val="20"/>
          <w:szCs w:val="20"/>
        </w:rPr>
        <w:t>Ilmu-Ilmu</w:t>
      </w:r>
      <w:proofErr w:type="spellEnd"/>
      <w:r w:rsidRPr="00F24E0C">
        <w:rPr>
          <w:rFonts w:asciiTheme="majorHAnsi" w:hAnsiTheme="majorHAnsi" w:cstheme="majorHAnsi"/>
          <w:i/>
          <w:iCs/>
          <w:sz w:val="20"/>
          <w:szCs w:val="20"/>
        </w:rPr>
        <w:t xml:space="preserve"> al-Qur'an dan Hadis,</w:t>
      </w:r>
      <w:r>
        <w:rPr>
          <w:rFonts w:asciiTheme="majorHAnsi" w:hAnsiTheme="majorHAnsi" w:cstheme="majorHAnsi"/>
          <w:sz w:val="20"/>
          <w:szCs w:val="20"/>
        </w:rPr>
        <w:t xml:space="preserve"> Vol. 24, N</w:t>
      </w:r>
      <w:r w:rsidRPr="00835003">
        <w:rPr>
          <w:rFonts w:asciiTheme="majorHAnsi" w:hAnsiTheme="majorHAnsi" w:cstheme="majorHAnsi"/>
          <w:sz w:val="20"/>
          <w:szCs w:val="20"/>
        </w:rPr>
        <w:t xml:space="preserve">o. 2, </w:t>
      </w:r>
      <w:r>
        <w:rPr>
          <w:rFonts w:asciiTheme="majorHAnsi" w:hAnsiTheme="majorHAnsi" w:cstheme="majorHAnsi"/>
          <w:sz w:val="20"/>
          <w:szCs w:val="20"/>
        </w:rPr>
        <w:t xml:space="preserve">pp. 253-284, </w:t>
      </w:r>
      <w:r w:rsidRPr="00835003">
        <w:rPr>
          <w:rFonts w:asciiTheme="majorHAnsi" w:hAnsiTheme="majorHAnsi" w:cstheme="majorHAnsi"/>
          <w:sz w:val="20"/>
          <w:szCs w:val="20"/>
        </w:rPr>
        <w:t>202</w:t>
      </w:r>
      <w:r>
        <w:rPr>
          <w:rFonts w:asciiTheme="majorHAnsi" w:hAnsiTheme="majorHAnsi" w:cstheme="majorHAnsi"/>
          <w:sz w:val="20"/>
          <w:szCs w:val="20"/>
        </w:rPr>
        <w:t xml:space="preserve">3. </w:t>
      </w:r>
      <w:r w:rsidRPr="00F24E0C">
        <w:rPr>
          <w:rFonts w:asciiTheme="majorHAnsi" w:hAnsiTheme="majorHAnsi" w:cstheme="majorHAnsi"/>
          <w:sz w:val="20"/>
          <w:szCs w:val="20"/>
        </w:rPr>
        <w:t>DOI: https://doi.org/10.14421/qh.v24i2.4657</w:t>
      </w:r>
    </w:p>
    <w:p w14:paraId="11B3157B"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[60]</w:t>
      </w:r>
      <w:r w:rsidRPr="00835003">
        <w:rPr>
          <w:rFonts w:asciiTheme="majorHAnsi" w:hAnsiTheme="majorHAnsi" w:cstheme="majorHAnsi"/>
          <w:sz w:val="20"/>
          <w:szCs w:val="20"/>
        </w:rPr>
        <w:tab/>
        <w:t xml:space="preserve">B. Budiono, M. </w:t>
      </w:r>
      <w:proofErr w:type="spellStart"/>
      <w:r w:rsidRPr="00835003">
        <w:rPr>
          <w:rFonts w:asciiTheme="majorHAnsi" w:hAnsiTheme="majorHAnsi" w:cstheme="majorHAnsi"/>
          <w:sz w:val="20"/>
          <w:szCs w:val="20"/>
        </w:rPr>
        <w:t>Rachmawati</w:t>
      </w:r>
      <w:proofErr w:type="spellEnd"/>
      <w:r w:rsidRPr="00835003">
        <w:rPr>
          <w:rFonts w:asciiTheme="majorHAnsi" w:hAnsiTheme="majorHAnsi" w:cstheme="majorHAnsi"/>
          <w:sz w:val="20"/>
          <w:szCs w:val="20"/>
        </w:rPr>
        <w:t xml:space="preserve">, E. </w:t>
      </w:r>
      <w:proofErr w:type="spellStart"/>
      <w:r w:rsidRPr="00835003">
        <w:rPr>
          <w:rFonts w:asciiTheme="majorHAnsi" w:hAnsiTheme="majorHAnsi" w:cstheme="majorHAnsi"/>
          <w:sz w:val="20"/>
          <w:szCs w:val="20"/>
        </w:rPr>
        <w:t>Darjosanjoto</w:t>
      </w:r>
      <w:proofErr w:type="spellEnd"/>
      <w:r w:rsidRPr="00835003">
        <w:rPr>
          <w:rFonts w:asciiTheme="majorHAnsi" w:hAnsiTheme="majorHAnsi" w:cstheme="majorHAnsi"/>
          <w:sz w:val="20"/>
          <w:szCs w:val="20"/>
        </w:rPr>
        <w:t xml:space="preserve">, and M. Faqih, “Islamic Expression of Wali Mosque Interior and Architecture in Indonesia,” in </w:t>
      </w:r>
      <w:r w:rsidRPr="00835003">
        <w:rPr>
          <w:rFonts w:asciiTheme="majorHAnsi" w:hAnsiTheme="majorHAnsi" w:cstheme="majorHAnsi"/>
          <w:i/>
          <w:iCs/>
          <w:sz w:val="20"/>
          <w:szCs w:val="20"/>
        </w:rPr>
        <w:t>Proceedings of the Proceedings of the 1st Conference of Visual Art, Design, and Social Humanities by Faculty of Art and Design, CONVASH 2019, 2 November 2019, Surakarta, Central Java, Indonesia</w:t>
      </w:r>
      <w:r w:rsidRPr="00835003">
        <w:rPr>
          <w:rFonts w:asciiTheme="majorHAnsi" w:hAnsiTheme="majorHAnsi" w:cstheme="majorHAnsi"/>
          <w:sz w:val="20"/>
          <w:szCs w:val="20"/>
        </w:rPr>
        <w:t xml:space="preserve">, Surakarta, Indonesia: EAI, 2020.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10.4108/eai.2-11-2019.2294889.</w:t>
      </w:r>
    </w:p>
    <w:p w14:paraId="1E4BC87B"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[61]</w:t>
      </w:r>
      <w:r w:rsidRPr="00835003">
        <w:rPr>
          <w:rFonts w:asciiTheme="majorHAnsi" w:hAnsiTheme="majorHAnsi" w:cstheme="majorHAnsi"/>
          <w:sz w:val="20"/>
          <w:szCs w:val="20"/>
        </w:rPr>
        <w:tab/>
        <w:t xml:space="preserve">T. </w:t>
      </w:r>
      <w:proofErr w:type="spellStart"/>
      <w:r w:rsidRPr="00835003">
        <w:rPr>
          <w:rFonts w:asciiTheme="majorHAnsi" w:hAnsiTheme="majorHAnsi" w:cstheme="majorHAnsi"/>
          <w:sz w:val="20"/>
          <w:szCs w:val="20"/>
        </w:rPr>
        <w:t>Hidjaz</w:t>
      </w:r>
      <w:proofErr w:type="spellEnd"/>
      <w:r w:rsidRPr="00835003">
        <w:rPr>
          <w:rFonts w:asciiTheme="majorHAnsi" w:hAnsiTheme="majorHAnsi" w:cstheme="majorHAnsi"/>
          <w:sz w:val="20"/>
          <w:szCs w:val="20"/>
        </w:rPr>
        <w:t xml:space="preserve">, N. </w:t>
      </w:r>
      <w:proofErr w:type="spellStart"/>
      <w:r w:rsidRPr="00835003">
        <w:rPr>
          <w:rFonts w:asciiTheme="majorHAnsi" w:hAnsiTheme="majorHAnsi" w:cstheme="majorHAnsi"/>
          <w:sz w:val="20"/>
          <w:szCs w:val="20"/>
        </w:rPr>
        <w:t>Soewarno</w:t>
      </w:r>
      <w:proofErr w:type="spellEnd"/>
      <w:r w:rsidRPr="00835003">
        <w:rPr>
          <w:rFonts w:asciiTheme="majorHAnsi" w:hAnsiTheme="majorHAnsi" w:cstheme="majorHAnsi"/>
          <w:sz w:val="20"/>
          <w:szCs w:val="20"/>
        </w:rPr>
        <w:t xml:space="preserve">, and D. </w:t>
      </w:r>
      <w:proofErr w:type="spellStart"/>
      <w:r w:rsidRPr="00835003">
        <w:rPr>
          <w:rFonts w:asciiTheme="majorHAnsi" w:hAnsiTheme="majorHAnsi" w:cstheme="majorHAnsi"/>
          <w:sz w:val="20"/>
          <w:szCs w:val="20"/>
        </w:rPr>
        <w:t>Fitriany</w:t>
      </w:r>
      <w:proofErr w:type="spellEnd"/>
      <w:r w:rsidRPr="00835003">
        <w:rPr>
          <w:rFonts w:asciiTheme="majorHAnsi" w:hAnsiTheme="majorHAnsi" w:cstheme="majorHAnsi"/>
          <w:sz w:val="20"/>
          <w:szCs w:val="20"/>
        </w:rPr>
        <w:t xml:space="preserve">, “The Symbolic Meaning of Mosque Architecture as Adaptation to the Residential Environment, in the Social, Economic and Cultural Contexts in Lombok,” </w:t>
      </w:r>
      <w:r w:rsidRPr="00835003">
        <w:rPr>
          <w:rFonts w:asciiTheme="majorHAnsi" w:hAnsiTheme="majorHAnsi" w:cstheme="majorHAnsi"/>
          <w:i/>
          <w:iCs/>
          <w:sz w:val="20"/>
          <w:szCs w:val="20"/>
        </w:rPr>
        <w:t>IJAAA</w:t>
      </w:r>
      <w:r w:rsidRPr="00835003">
        <w:rPr>
          <w:rFonts w:asciiTheme="majorHAnsi" w:hAnsiTheme="majorHAnsi" w:cstheme="majorHAnsi"/>
          <w:sz w:val="20"/>
          <w:szCs w:val="20"/>
        </w:rPr>
        <w:t xml:space="preserve">, vol. 5, no. 3, p. 64, 2019,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10.11648/j.ijaaa.20190503.11.</w:t>
      </w:r>
    </w:p>
    <w:p w14:paraId="5C56E462"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[62]</w:t>
      </w:r>
      <w:r w:rsidRPr="00835003">
        <w:rPr>
          <w:rFonts w:asciiTheme="majorHAnsi" w:hAnsiTheme="majorHAnsi" w:cstheme="majorHAnsi"/>
          <w:sz w:val="20"/>
          <w:szCs w:val="20"/>
        </w:rPr>
        <w:tab/>
        <w:t xml:space="preserve">A. S. </w:t>
      </w:r>
      <w:proofErr w:type="spellStart"/>
      <w:r w:rsidRPr="00835003">
        <w:rPr>
          <w:rFonts w:asciiTheme="majorHAnsi" w:hAnsiTheme="majorHAnsi" w:cstheme="majorHAnsi"/>
          <w:sz w:val="20"/>
          <w:szCs w:val="20"/>
        </w:rPr>
        <w:t>Ekomadyo</w:t>
      </w:r>
      <w:proofErr w:type="spellEnd"/>
      <w:r w:rsidRPr="00835003">
        <w:rPr>
          <w:rFonts w:asciiTheme="majorHAnsi" w:hAnsiTheme="majorHAnsi" w:cstheme="majorHAnsi"/>
          <w:sz w:val="20"/>
          <w:szCs w:val="20"/>
        </w:rPr>
        <w:t xml:space="preserve">, “Architectural Representation of Islamic Modernism in Indonesia,” </w:t>
      </w:r>
      <w:proofErr w:type="spellStart"/>
      <w:r w:rsidRPr="00835003">
        <w:rPr>
          <w:rFonts w:asciiTheme="majorHAnsi" w:hAnsiTheme="majorHAnsi" w:cstheme="majorHAnsi"/>
          <w:i/>
          <w:iCs/>
          <w:sz w:val="20"/>
          <w:szCs w:val="20"/>
        </w:rPr>
        <w:t>Nakhara</w:t>
      </w:r>
      <w:proofErr w:type="spellEnd"/>
      <w:r w:rsidRPr="00835003">
        <w:rPr>
          <w:rFonts w:asciiTheme="majorHAnsi" w:hAnsiTheme="majorHAnsi" w:cstheme="majorHAnsi"/>
          <w:i/>
          <w:iCs/>
          <w:sz w:val="20"/>
          <w:szCs w:val="20"/>
        </w:rPr>
        <w:t>: Journal of Environmental Design and Planning</w:t>
      </w:r>
      <w:r w:rsidRPr="00835003">
        <w:rPr>
          <w:rFonts w:asciiTheme="majorHAnsi" w:hAnsiTheme="majorHAnsi" w:cstheme="majorHAnsi"/>
          <w:sz w:val="20"/>
          <w:szCs w:val="20"/>
        </w:rPr>
        <w:t>, vol. 7, pp. 113–126, 2011.</w:t>
      </w:r>
    </w:p>
    <w:p w14:paraId="0C846B4E"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[63]</w:t>
      </w:r>
      <w:r w:rsidRPr="00835003">
        <w:rPr>
          <w:rFonts w:asciiTheme="majorHAnsi" w:hAnsiTheme="majorHAnsi" w:cstheme="majorHAnsi"/>
          <w:sz w:val="20"/>
          <w:szCs w:val="20"/>
        </w:rPr>
        <w:tab/>
        <w:t xml:space="preserve">N. </w:t>
      </w:r>
      <w:proofErr w:type="spellStart"/>
      <w:r w:rsidRPr="00835003">
        <w:rPr>
          <w:rFonts w:asciiTheme="majorHAnsi" w:hAnsiTheme="majorHAnsi" w:cstheme="majorHAnsi"/>
          <w:sz w:val="20"/>
          <w:szCs w:val="20"/>
        </w:rPr>
        <w:t>AlSayyad</w:t>
      </w:r>
      <w:proofErr w:type="spellEnd"/>
      <w:r w:rsidRPr="00835003">
        <w:rPr>
          <w:rFonts w:asciiTheme="majorHAnsi" w:hAnsiTheme="majorHAnsi" w:cstheme="majorHAnsi"/>
          <w:sz w:val="20"/>
          <w:szCs w:val="20"/>
        </w:rPr>
        <w:t xml:space="preserve">, “SPACE IN AN ISLAMIC CITY: SOME URBAN DESIGN PATTERNS,” </w:t>
      </w:r>
      <w:r w:rsidRPr="00F24E0C">
        <w:rPr>
          <w:rFonts w:asciiTheme="majorHAnsi" w:hAnsiTheme="majorHAnsi" w:cstheme="majorHAnsi"/>
          <w:i/>
          <w:iCs/>
          <w:sz w:val="20"/>
          <w:szCs w:val="20"/>
        </w:rPr>
        <w:t>Journal of Architectural and Planning Research</w:t>
      </w:r>
      <w:r>
        <w:rPr>
          <w:rFonts w:asciiTheme="majorHAnsi" w:hAnsiTheme="majorHAnsi" w:cstheme="majorHAnsi"/>
          <w:sz w:val="20"/>
          <w:szCs w:val="20"/>
        </w:rPr>
        <w:t>, Vol. 4, No. 2, pp. 108-119, June 1987</w:t>
      </w:r>
      <w:r w:rsidRPr="00835003">
        <w:rPr>
          <w:rFonts w:asciiTheme="majorHAnsi" w:hAnsiTheme="majorHAnsi" w:cstheme="majorHAnsi"/>
          <w:sz w:val="20"/>
          <w:szCs w:val="20"/>
        </w:rPr>
        <w:t>.</w:t>
      </w:r>
    </w:p>
    <w:p w14:paraId="4F1551CC"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[64]</w:t>
      </w:r>
      <w:r w:rsidRPr="00835003">
        <w:rPr>
          <w:rFonts w:asciiTheme="majorHAnsi" w:hAnsiTheme="majorHAnsi" w:cstheme="majorHAnsi"/>
          <w:sz w:val="20"/>
          <w:szCs w:val="20"/>
        </w:rPr>
        <w:tab/>
        <w:t xml:space="preserve">H. Ahmed, “Utilizing Islamic Geometric Abstraction Aesthetics in Creating Designs for Mosque Architectural Decoration,” </w:t>
      </w:r>
      <w:r w:rsidRPr="00835003">
        <w:rPr>
          <w:rFonts w:asciiTheme="majorHAnsi" w:hAnsiTheme="majorHAnsi" w:cstheme="majorHAnsi"/>
          <w:i/>
          <w:iCs/>
          <w:sz w:val="20"/>
          <w:szCs w:val="20"/>
        </w:rPr>
        <w:t>International Design Journal</w:t>
      </w:r>
      <w:r w:rsidRPr="00835003">
        <w:rPr>
          <w:rFonts w:asciiTheme="majorHAnsi" w:hAnsiTheme="majorHAnsi" w:cstheme="majorHAnsi"/>
          <w:sz w:val="20"/>
          <w:szCs w:val="20"/>
        </w:rPr>
        <w:t xml:space="preserve">, vol. 12, no. 5, pp. 291–302, Sep. 2022,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10.21608/idj.2022.261006.</w:t>
      </w:r>
    </w:p>
    <w:p w14:paraId="7FEFDD5E"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[65]</w:t>
      </w:r>
      <w:r w:rsidRPr="00835003">
        <w:rPr>
          <w:rFonts w:asciiTheme="majorHAnsi" w:hAnsiTheme="majorHAnsi" w:cstheme="majorHAnsi"/>
          <w:sz w:val="20"/>
          <w:szCs w:val="20"/>
        </w:rPr>
        <w:tab/>
        <w:t xml:space="preserve">M. H. Asfour, J. Alameri, and H. B. Ismail, “Abstraction Philosophy and Semantics in Islamic Art,” </w:t>
      </w:r>
      <w:r w:rsidRPr="00835003">
        <w:rPr>
          <w:rFonts w:asciiTheme="majorHAnsi" w:hAnsiTheme="majorHAnsi" w:cstheme="majorHAnsi"/>
          <w:i/>
          <w:iCs/>
          <w:sz w:val="20"/>
          <w:szCs w:val="20"/>
        </w:rPr>
        <w:t>Advanced Research &amp; Studies Journal</w:t>
      </w:r>
      <w:r w:rsidRPr="00835003">
        <w:rPr>
          <w:rFonts w:asciiTheme="majorHAnsi" w:hAnsiTheme="majorHAnsi" w:cstheme="majorHAnsi"/>
          <w:sz w:val="20"/>
          <w:szCs w:val="20"/>
        </w:rPr>
        <w:t>, vol. 11, no. 6, 2021.</w:t>
      </w:r>
    </w:p>
    <w:p w14:paraId="300C4C52"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[66]</w:t>
      </w:r>
      <w:r w:rsidRPr="00835003">
        <w:rPr>
          <w:rFonts w:asciiTheme="majorHAnsi" w:hAnsiTheme="majorHAnsi" w:cstheme="majorHAnsi"/>
          <w:sz w:val="20"/>
          <w:szCs w:val="20"/>
        </w:rPr>
        <w:tab/>
        <w:t xml:space="preserve">K. Kaptan, “Early Islamic Architecture and Structural Configurations,” </w:t>
      </w:r>
      <w:r w:rsidRPr="00C36616">
        <w:rPr>
          <w:rFonts w:asciiTheme="majorHAnsi" w:hAnsiTheme="majorHAnsi" w:cstheme="majorHAnsi"/>
          <w:i/>
          <w:iCs/>
          <w:sz w:val="20"/>
          <w:szCs w:val="20"/>
        </w:rPr>
        <w:t>International Journal of Architecture and Urban Development</w:t>
      </w:r>
      <w:r>
        <w:rPr>
          <w:rFonts w:asciiTheme="majorHAnsi" w:hAnsiTheme="majorHAnsi" w:cstheme="majorHAnsi"/>
          <w:sz w:val="20"/>
          <w:szCs w:val="20"/>
        </w:rPr>
        <w:t xml:space="preserve">, </w:t>
      </w:r>
      <w:r w:rsidRPr="00835003">
        <w:rPr>
          <w:rFonts w:asciiTheme="majorHAnsi" w:hAnsiTheme="majorHAnsi" w:cstheme="majorHAnsi"/>
          <w:sz w:val="20"/>
          <w:szCs w:val="20"/>
        </w:rPr>
        <w:t xml:space="preserve">vol. </w:t>
      </w:r>
      <w:r>
        <w:rPr>
          <w:rFonts w:asciiTheme="majorHAnsi" w:hAnsiTheme="majorHAnsi" w:cstheme="majorHAnsi"/>
          <w:sz w:val="20"/>
          <w:szCs w:val="20"/>
        </w:rPr>
        <w:t>3</w:t>
      </w:r>
      <w:r w:rsidRPr="00835003">
        <w:rPr>
          <w:rFonts w:asciiTheme="majorHAnsi" w:hAnsiTheme="majorHAnsi" w:cstheme="majorHAnsi"/>
          <w:sz w:val="20"/>
          <w:szCs w:val="20"/>
        </w:rPr>
        <w:t xml:space="preserve">, no. 2, </w:t>
      </w:r>
      <w:r>
        <w:rPr>
          <w:rFonts w:asciiTheme="majorHAnsi" w:hAnsiTheme="majorHAnsi" w:cstheme="majorHAnsi"/>
          <w:sz w:val="20"/>
          <w:szCs w:val="20"/>
        </w:rPr>
        <w:t xml:space="preserve">pp. 5-12, </w:t>
      </w:r>
      <w:r w:rsidRPr="00835003">
        <w:rPr>
          <w:rFonts w:asciiTheme="majorHAnsi" w:hAnsiTheme="majorHAnsi" w:cstheme="majorHAnsi"/>
          <w:sz w:val="20"/>
          <w:szCs w:val="20"/>
        </w:rPr>
        <w:t>2013.</w:t>
      </w:r>
    </w:p>
    <w:p w14:paraId="62D8B24A"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[67]</w:t>
      </w:r>
      <w:r w:rsidRPr="00835003">
        <w:rPr>
          <w:rFonts w:asciiTheme="majorHAnsi" w:hAnsiTheme="majorHAnsi" w:cstheme="majorHAnsi"/>
          <w:sz w:val="20"/>
          <w:szCs w:val="20"/>
        </w:rPr>
        <w:tab/>
        <w:t xml:space="preserve">M. </w:t>
      </w:r>
      <w:proofErr w:type="spellStart"/>
      <w:r w:rsidRPr="00835003">
        <w:rPr>
          <w:rFonts w:asciiTheme="majorHAnsi" w:hAnsiTheme="majorHAnsi" w:cstheme="majorHAnsi"/>
          <w:sz w:val="20"/>
          <w:szCs w:val="20"/>
        </w:rPr>
        <w:t>Foroozani</w:t>
      </w:r>
      <w:proofErr w:type="spellEnd"/>
      <w:r w:rsidRPr="00835003">
        <w:rPr>
          <w:rFonts w:asciiTheme="majorHAnsi" w:hAnsiTheme="majorHAnsi" w:cstheme="majorHAnsi"/>
          <w:sz w:val="20"/>
          <w:szCs w:val="20"/>
        </w:rPr>
        <w:t xml:space="preserve">, “Principles of Aesthetics in Islamic Architecture,” </w:t>
      </w:r>
      <w:proofErr w:type="spellStart"/>
      <w:r w:rsidRPr="00835003">
        <w:rPr>
          <w:rFonts w:asciiTheme="majorHAnsi" w:hAnsiTheme="majorHAnsi" w:cstheme="majorHAnsi"/>
          <w:i/>
          <w:iCs/>
          <w:sz w:val="20"/>
          <w:szCs w:val="20"/>
        </w:rPr>
        <w:t>Periodica</w:t>
      </w:r>
      <w:proofErr w:type="spellEnd"/>
      <w:r w:rsidRPr="00835003">
        <w:rPr>
          <w:rFonts w:asciiTheme="majorHAnsi" w:hAnsiTheme="majorHAnsi" w:cstheme="majorHAnsi"/>
          <w:i/>
          <w:iCs/>
          <w:sz w:val="20"/>
          <w:szCs w:val="20"/>
        </w:rPr>
        <w:t xml:space="preserve"> </w:t>
      </w:r>
      <w:proofErr w:type="spellStart"/>
      <w:r w:rsidRPr="00835003">
        <w:rPr>
          <w:rFonts w:asciiTheme="majorHAnsi" w:hAnsiTheme="majorHAnsi" w:cstheme="majorHAnsi"/>
          <w:i/>
          <w:iCs/>
          <w:sz w:val="20"/>
          <w:szCs w:val="20"/>
        </w:rPr>
        <w:t>Polytechnica</w:t>
      </w:r>
      <w:proofErr w:type="spellEnd"/>
      <w:r w:rsidRPr="00835003">
        <w:rPr>
          <w:rFonts w:asciiTheme="majorHAnsi" w:hAnsiTheme="majorHAnsi" w:cstheme="majorHAnsi"/>
          <w:i/>
          <w:iCs/>
          <w:sz w:val="20"/>
          <w:szCs w:val="20"/>
        </w:rPr>
        <w:t xml:space="preserve"> Architecture</w:t>
      </w:r>
      <w:r w:rsidRPr="00835003">
        <w:rPr>
          <w:rFonts w:asciiTheme="majorHAnsi" w:hAnsiTheme="majorHAnsi" w:cstheme="majorHAnsi"/>
          <w:sz w:val="20"/>
          <w:szCs w:val="20"/>
        </w:rPr>
        <w:t>, vol. 35, no. 3–4, pp. 189–199, 1991.</w:t>
      </w:r>
    </w:p>
    <w:p w14:paraId="2E3CAC2E"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[68]</w:t>
      </w:r>
      <w:r w:rsidRPr="00835003">
        <w:rPr>
          <w:rFonts w:asciiTheme="majorHAnsi" w:hAnsiTheme="majorHAnsi" w:cstheme="majorHAnsi"/>
          <w:sz w:val="20"/>
          <w:szCs w:val="20"/>
        </w:rPr>
        <w:tab/>
        <w:t xml:space="preserve">K. F. Khalil and J. Wahid, “The Proportional Relations Systems of Islamic Architecture,” </w:t>
      </w:r>
      <w:r w:rsidRPr="00C36616">
        <w:rPr>
          <w:rFonts w:asciiTheme="majorHAnsi" w:hAnsiTheme="majorHAnsi" w:cstheme="majorHAnsi"/>
          <w:i/>
          <w:iCs/>
          <w:sz w:val="20"/>
          <w:szCs w:val="20"/>
        </w:rPr>
        <w:t>International Journal of Scientific and Research Publications</w:t>
      </w:r>
      <w:r>
        <w:rPr>
          <w:rFonts w:asciiTheme="majorHAnsi" w:hAnsiTheme="majorHAnsi" w:cstheme="majorHAnsi"/>
          <w:sz w:val="20"/>
          <w:szCs w:val="20"/>
        </w:rPr>
        <w:t xml:space="preserve">, </w:t>
      </w:r>
      <w:r w:rsidRPr="00835003">
        <w:rPr>
          <w:rFonts w:asciiTheme="majorHAnsi" w:hAnsiTheme="majorHAnsi" w:cstheme="majorHAnsi"/>
          <w:sz w:val="20"/>
          <w:szCs w:val="20"/>
        </w:rPr>
        <w:t xml:space="preserve">vol. 3, no. 1, </w:t>
      </w:r>
      <w:r>
        <w:rPr>
          <w:rFonts w:asciiTheme="majorHAnsi" w:hAnsiTheme="majorHAnsi" w:cstheme="majorHAnsi"/>
          <w:sz w:val="20"/>
          <w:szCs w:val="20"/>
        </w:rPr>
        <w:t xml:space="preserve">pp. 1-12, </w:t>
      </w:r>
      <w:r w:rsidRPr="00835003">
        <w:rPr>
          <w:rFonts w:asciiTheme="majorHAnsi" w:hAnsiTheme="majorHAnsi" w:cstheme="majorHAnsi"/>
          <w:sz w:val="20"/>
          <w:szCs w:val="20"/>
        </w:rPr>
        <w:t>2013.</w:t>
      </w:r>
    </w:p>
    <w:p w14:paraId="68A63EBE"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[69]</w:t>
      </w:r>
      <w:r w:rsidRPr="00835003">
        <w:rPr>
          <w:rFonts w:asciiTheme="majorHAnsi" w:hAnsiTheme="majorHAnsi" w:cstheme="majorHAnsi"/>
          <w:sz w:val="20"/>
          <w:szCs w:val="20"/>
        </w:rPr>
        <w:tab/>
        <w:t xml:space="preserve">H. </w:t>
      </w:r>
      <w:proofErr w:type="spellStart"/>
      <w:r w:rsidRPr="00835003">
        <w:rPr>
          <w:rFonts w:asciiTheme="majorHAnsi" w:hAnsiTheme="majorHAnsi" w:cstheme="majorHAnsi"/>
          <w:sz w:val="20"/>
          <w:szCs w:val="20"/>
        </w:rPr>
        <w:t>Nikzadeh</w:t>
      </w:r>
      <w:proofErr w:type="spellEnd"/>
      <w:r w:rsidRPr="00835003">
        <w:rPr>
          <w:rFonts w:asciiTheme="majorHAnsi" w:hAnsiTheme="majorHAnsi" w:cstheme="majorHAnsi"/>
          <w:sz w:val="20"/>
          <w:szCs w:val="20"/>
        </w:rPr>
        <w:t xml:space="preserve"> and B. </w:t>
      </w:r>
      <w:proofErr w:type="spellStart"/>
      <w:r w:rsidRPr="00835003">
        <w:rPr>
          <w:rFonts w:asciiTheme="majorHAnsi" w:hAnsiTheme="majorHAnsi" w:cstheme="majorHAnsi"/>
          <w:sz w:val="20"/>
          <w:szCs w:val="20"/>
        </w:rPr>
        <w:t>Sinaei</w:t>
      </w:r>
      <w:proofErr w:type="spellEnd"/>
      <w:r w:rsidRPr="00835003">
        <w:rPr>
          <w:rFonts w:asciiTheme="majorHAnsi" w:hAnsiTheme="majorHAnsi" w:cstheme="majorHAnsi"/>
          <w:sz w:val="20"/>
          <w:szCs w:val="20"/>
        </w:rPr>
        <w:t xml:space="preserve">, “Investigating the influence of Islamic architectural features on human values,” </w:t>
      </w:r>
      <w:r w:rsidRPr="00835003">
        <w:rPr>
          <w:rFonts w:asciiTheme="majorHAnsi" w:hAnsiTheme="majorHAnsi" w:cstheme="majorHAnsi"/>
          <w:i/>
          <w:iCs/>
          <w:sz w:val="20"/>
          <w:szCs w:val="20"/>
        </w:rPr>
        <w:t>Sociology of Culture and Art</w:t>
      </w:r>
      <w:r w:rsidRPr="00835003">
        <w:rPr>
          <w:rFonts w:asciiTheme="majorHAnsi" w:hAnsiTheme="majorHAnsi" w:cstheme="majorHAnsi"/>
          <w:sz w:val="20"/>
          <w:szCs w:val="20"/>
        </w:rPr>
        <w:t>, vol. 5, no. 3, pp. 21–33, 2023.</w:t>
      </w:r>
      <w:r>
        <w:rPr>
          <w:rFonts w:asciiTheme="majorHAnsi" w:hAnsiTheme="majorHAnsi" w:cstheme="majorHAnsi"/>
          <w:sz w:val="20"/>
          <w:szCs w:val="20"/>
        </w:rPr>
        <w:t xml:space="preserve"> Doi: </w:t>
      </w:r>
      <w:r w:rsidRPr="00C36616">
        <w:rPr>
          <w:rFonts w:asciiTheme="majorHAnsi" w:hAnsiTheme="majorHAnsi" w:cstheme="majorHAnsi"/>
          <w:sz w:val="20"/>
          <w:szCs w:val="20"/>
        </w:rPr>
        <w:t>10.22034/scart.2023.62810</w:t>
      </w:r>
      <w:r>
        <w:rPr>
          <w:rFonts w:asciiTheme="majorHAnsi" w:hAnsiTheme="majorHAnsi" w:cstheme="majorHAnsi"/>
          <w:sz w:val="20"/>
          <w:szCs w:val="20"/>
        </w:rPr>
        <w:t>.</w:t>
      </w:r>
    </w:p>
    <w:p w14:paraId="4CC1FDA7"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[70]</w:t>
      </w:r>
      <w:r w:rsidRPr="00835003">
        <w:rPr>
          <w:rFonts w:asciiTheme="majorHAnsi" w:hAnsiTheme="majorHAnsi" w:cstheme="majorHAnsi"/>
          <w:sz w:val="20"/>
          <w:szCs w:val="20"/>
        </w:rPr>
        <w:tab/>
        <w:t xml:space="preserve">P. J. Lu and P. J. Steinhardt, “Decagonal and Quasi-Crystalline </w:t>
      </w:r>
      <w:proofErr w:type="spellStart"/>
      <w:r w:rsidRPr="00835003">
        <w:rPr>
          <w:rFonts w:asciiTheme="majorHAnsi" w:hAnsiTheme="majorHAnsi" w:cstheme="majorHAnsi"/>
          <w:sz w:val="20"/>
          <w:szCs w:val="20"/>
        </w:rPr>
        <w:t>Tilings</w:t>
      </w:r>
      <w:proofErr w:type="spellEnd"/>
      <w:r w:rsidRPr="00835003">
        <w:rPr>
          <w:rFonts w:asciiTheme="majorHAnsi" w:hAnsiTheme="majorHAnsi" w:cstheme="majorHAnsi"/>
          <w:sz w:val="20"/>
          <w:szCs w:val="20"/>
        </w:rPr>
        <w:t xml:space="preserve"> in Medieval Islamic Architecture,” </w:t>
      </w:r>
      <w:r w:rsidRPr="00835003">
        <w:rPr>
          <w:rFonts w:asciiTheme="majorHAnsi" w:hAnsiTheme="majorHAnsi" w:cstheme="majorHAnsi"/>
          <w:i/>
          <w:iCs/>
          <w:sz w:val="20"/>
          <w:szCs w:val="20"/>
        </w:rPr>
        <w:t>Science</w:t>
      </w:r>
      <w:r w:rsidRPr="00835003">
        <w:rPr>
          <w:rFonts w:asciiTheme="majorHAnsi" w:hAnsiTheme="majorHAnsi" w:cstheme="majorHAnsi"/>
          <w:sz w:val="20"/>
          <w:szCs w:val="20"/>
        </w:rPr>
        <w:t xml:space="preserve">, vol. 315, no. 5815, pp. 1106–1110, Feb. 2007,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10.1126/science.1135491.</w:t>
      </w:r>
    </w:p>
    <w:p w14:paraId="492CC875"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[71]</w:t>
      </w:r>
      <w:r w:rsidRPr="00835003">
        <w:rPr>
          <w:rFonts w:asciiTheme="majorHAnsi" w:hAnsiTheme="majorHAnsi" w:cstheme="majorHAnsi"/>
          <w:sz w:val="20"/>
          <w:szCs w:val="20"/>
        </w:rPr>
        <w:tab/>
        <w:t xml:space="preserve">N. Dadkhah, H. </w:t>
      </w:r>
      <w:proofErr w:type="spellStart"/>
      <w:r w:rsidRPr="00835003">
        <w:rPr>
          <w:rFonts w:asciiTheme="majorHAnsi" w:hAnsiTheme="majorHAnsi" w:cstheme="majorHAnsi"/>
          <w:sz w:val="20"/>
          <w:szCs w:val="20"/>
        </w:rPr>
        <w:t>Safaeipour</w:t>
      </w:r>
      <w:proofErr w:type="spellEnd"/>
      <w:r w:rsidRPr="00835003">
        <w:rPr>
          <w:rFonts w:asciiTheme="majorHAnsi" w:hAnsiTheme="majorHAnsi" w:cstheme="majorHAnsi"/>
          <w:sz w:val="20"/>
          <w:szCs w:val="20"/>
        </w:rPr>
        <w:t xml:space="preserve">, and G. </w:t>
      </w:r>
      <w:proofErr w:type="spellStart"/>
      <w:r w:rsidRPr="00835003">
        <w:rPr>
          <w:rFonts w:asciiTheme="majorHAnsi" w:hAnsiTheme="majorHAnsi" w:cstheme="majorHAnsi"/>
          <w:sz w:val="20"/>
          <w:szCs w:val="20"/>
        </w:rPr>
        <w:t>Memarian</w:t>
      </w:r>
      <w:proofErr w:type="spellEnd"/>
      <w:r w:rsidRPr="00835003">
        <w:rPr>
          <w:rFonts w:asciiTheme="majorHAnsi" w:hAnsiTheme="majorHAnsi" w:cstheme="majorHAnsi"/>
          <w:sz w:val="20"/>
          <w:szCs w:val="20"/>
        </w:rPr>
        <w:t xml:space="preserve">, “Traditional Complex Modularity in Islamic and Persian Architecture: Interpretations in Muqarnas and </w:t>
      </w:r>
      <w:proofErr w:type="spellStart"/>
      <w:r w:rsidRPr="00835003">
        <w:rPr>
          <w:rFonts w:asciiTheme="majorHAnsi" w:hAnsiTheme="majorHAnsi" w:cstheme="majorHAnsi"/>
          <w:sz w:val="20"/>
          <w:szCs w:val="20"/>
        </w:rPr>
        <w:t>Patkâné</w:t>
      </w:r>
      <w:proofErr w:type="spellEnd"/>
      <w:r w:rsidRPr="00835003">
        <w:rPr>
          <w:rFonts w:asciiTheme="majorHAnsi" w:hAnsiTheme="majorHAnsi" w:cstheme="majorHAnsi"/>
          <w:sz w:val="20"/>
          <w:szCs w:val="20"/>
        </w:rPr>
        <w:t xml:space="preserve"> Crafts, Focusing on their Prefabricated Essence,”</w:t>
      </w:r>
      <w:r w:rsidRPr="00C36616">
        <w:t xml:space="preserve"> </w:t>
      </w:r>
      <w:r w:rsidRPr="00C36616">
        <w:rPr>
          <w:rFonts w:asciiTheme="majorHAnsi" w:hAnsiTheme="majorHAnsi" w:cstheme="majorHAnsi"/>
          <w:i/>
          <w:iCs/>
          <w:sz w:val="20"/>
          <w:szCs w:val="20"/>
        </w:rPr>
        <w:t>ACSA Fall Conference</w:t>
      </w:r>
      <w:r>
        <w:rPr>
          <w:rFonts w:asciiTheme="majorHAnsi" w:hAnsiTheme="majorHAnsi" w:cstheme="majorHAnsi"/>
          <w:sz w:val="20"/>
          <w:szCs w:val="20"/>
        </w:rPr>
        <w:t>,</w:t>
      </w:r>
      <w:r w:rsidRPr="00835003">
        <w:rPr>
          <w:rFonts w:asciiTheme="majorHAnsi" w:hAnsiTheme="majorHAnsi" w:cstheme="majorHAnsi"/>
          <w:sz w:val="20"/>
          <w:szCs w:val="20"/>
        </w:rPr>
        <w:t xml:space="preserve"> 2012.</w:t>
      </w:r>
    </w:p>
    <w:p w14:paraId="561313B5"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[72]</w:t>
      </w:r>
      <w:r w:rsidRPr="00835003">
        <w:rPr>
          <w:rFonts w:asciiTheme="majorHAnsi" w:hAnsiTheme="majorHAnsi" w:cstheme="majorHAnsi"/>
          <w:sz w:val="20"/>
          <w:szCs w:val="20"/>
        </w:rPr>
        <w:tab/>
        <w:t xml:space="preserve">A. Al-Jasmi and M. H. </w:t>
      </w:r>
      <w:proofErr w:type="spellStart"/>
      <w:r>
        <w:rPr>
          <w:rFonts w:asciiTheme="majorHAnsi" w:hAnsiTheme="majorHAnsi" w:cstheme="majorHAnsi"/>
          <w:sz w:val="20"/>
          <w:szCs w:val="20"/>
        </w:rPr>
        <w:t>Mitias</w:t>
      </w:r>
      <w:proofErr w:type="spellEnd"/>
      <w:r w:rsidRPr="00835003">
        <w:rPr>
          <w:rFonts w:asciiTheme="majorHAnsi" w:hAnsiTheme="majorHAnsi" w:cstheme="majorHAnsi"/>
          <w:sz w:val="20"/>
          <w:szCs w:val="20"/>
        </w:rPr>
        <w:t xml:space="preserve">, “Does an Islamic Architecture </w:t>
      </w:r>
      <w:proofErr w:type="gramStart"/>
      <w:r w:rsidRPr="00835003">
        <w:rPr>
          <w:rFonts w:asciiTheme="majorHAnsi" w:hAnsiTheme="majorHAnsi" w:cstheme="majorHAnsi"/>
          <w:sz w:val="20"/>
          <w:szCs w:val="20"/>
        </w:rPr>
        <w:t>Exist?,</w:t>
      </w:r>
      <w:proofErr w:type="gramEnd"/>
      <w:r w:rsidRPr="00835003">
        <w:rPr>
          <w:rFonts w:asciiTheme="majorHAnsi" w:hAnsiTheme="majorHAnsi" w:cstheme="majorHAnsi"/>
          <w:sz w:val="20"/>
          <w:szCs w:val="20"/>
        </w:rPr>
        <w:t xml:space="preserve">” </w:t>
      </w:r>
      <w:proofErr w:type="spellStart"/>
      <w:r w:rsidRPr="00C36616">
        <w:rPr>
          <w:rFonts w:asciiTheme="majorHAnsi" w:hAnsiTheme="majorHAnsi" w:cstheme="majorHAnsi"/>
          <w:i/>
          <w:iCs/>
          <w:sz w:val="20"/>
          <w:szCs w:val="20"/>
        </w:rPr>
        <w:t>Revista</w:t>
      </w:r>
      <w:proofErr w:type="spellEnd"/>
      <w:r w:rsidRPr="00C36616">
        <w:rPr>
          <w:rFonts w:asciiTheme="majorHAnsi" w:hAnsiTheme="majorHAnsi" w:cstheme="majorHAnsi"/>
          <w:i/>
          <w:iCs/>
          <w:sz w:val="20"/>
          <w:szCs w:val="20"/>
        </w:rPr>
        <w:t xml:space="preserve"> Portuguesa de Filosofia</w:t>
      </w:r>
      <w:r>
        <w:rPr>
          <w:rFonts w:asciiTheme="majorHAnsi" w:hAnsiTheme="majorHAnsi" w:cstheme="majorHAnsi"/>
          <w:sz w:val="20"/>
          <w:szCs w:val="20"/>
        </w:rPr>
        <w:t xml:space="preserve">, Vol. 60, No. 1, </w:t>
      </w:r>
      <w:r w:rsidRPr="00835003">
        <w:rPr>
          <w:rFonts w:asciiTheme="majorHAnsi" w:hAnsiTheme="majorHAnsi" w:cstheme="majorHAnsi"/>
          <w:sz w:val="20"/>
          <w:szCs w:val="20"/>
        </w:rPr>
        <w:t>pp. 197–214, 2004.</w:t>
      </w:r>
    </w:p>
    <w:p w14:paraId="34E7F37A"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[73]</w:t>
      </w:r>
      <w:r w:rsidRPr="00835003">
        <w:rPr>
          <w:rFonts w:asciiTheme="majorHAnsi" w:hAnsiTheme="majorHAnsi" w:cstheme="majorHAnsi"/>
          <w:sz w:val="20"/>
          <w:szCs w:val="20"/>
        </w:rPr>
        <w:tab/>
        <w:t xml:space="preserve">S. Omer, “Islamic Architecture and The Prospect of Its Revival Today,” </w:t>
      </w:r>
      <w:r w:rsidRPr="00C36616">
        <w:rPr>
          <w:rFonts w:asciiTheme="majorHAnsi" w:hAnsiTheme="majorHAnsi" w:cstheme="majorHAnsi"/>
          <w:i/>
          <w:iCs/>
          <w:sz w:val="20"/>
          <w:szCs w:val="20"/>
        </w:rPr>
        <w:t>Journal of Islamic Thought and Civilization</w:t>
      </w:r>
      <w:r>
        <w:rPr>
          <w:rFonts w:asciiTheme="majorHAnsi" w:hAnsiTheme="majorHAnsi" w:cstheme="majorHAnsi"/>
          <w:sz w:val="20"/>
          <w:szCs w:val="20"/>
        </w:rPr>
        <w:t xml:space="preserve">, </w:t>
      </w:r>
      <w:r w:rsidRPr="00835003">
        <w:rPr>
          <w:rFonts w:asciiTheme="majorHAnsi" w:hAnsiTheme="majorHAnsi" w:cstheme="majorHAnsi"/>
          <w:sz w:val="20"/>
          <w:szCs w:val="20"/>
        </w:rPr>
        <w:t>vol. 1, no. 2, 2011.</w:t>
      </w:r>
    </w:p>
    <w:p w14:paraId="4174584D" w14:textId="77777777" w:rsidR="00973FEA" w:rsidRPr="00835003" w:rsidRDefault="00973FEA" w:rsidP="00F4380B">
      <w:pPr>
        <w:pStyle w:val="Bibliography"/>
        <w:ind w:left="709" w:hanging="425"/>
        <w:jc w:val="both"/>
        <w:rPr>
          <w:rFonts w:asciiTheme="majorHAnsi" w:hAnsiTheme="majorHAnsi" w:cstheme="majorHAnsi"/>
          <w:sz w:val="20"/>
          <w:szCs w:val="20"/>
        </w:rPr>
      </w:pPr>
      <w:r w:rsidRPr="00835003">
        <w:rPr>
          <w:rFonts w:asciiTheme="majorHAnsi" w:hAnsiTheme="majorHAnsi" w:cstheme="majorHAnsi"/>
          <w:sz w:val="20"/>
          <w:szCs w:val="20"/>
        </w:rPr>
        <w:t>[74]</w:t>
      </w:r>
      <w:r w:rsidRPr="00835003">
        <w:rPr>
          <w:rFonts w:asciiTheme="majorHAnsi" w:hAnsiTheme="majorHAnsi" w:cstheme="majorHAnsi"/>
          <w:sz w:val="20"/>
          <w:szCs w:val="20"/>
        </w:rPr>
        <w:tab/>
        <w:t xml:space="preserve">M. Nari </w:t>
      </w:r>
      <w:proofErr w:type="spellStart"/>
      <w:r w:rsidRPr="00835003">
        <w:rPr>
          <w:rFonts w:asciiTheme="majorHAnsi" w:hAnsiTheme="majorHAnsi" w:cstheme="majorHAnsi"/>
          <w:sz w:val="20"/>
          <w:szCs w:val="20"/>
        </w:rPr>
        <w:t>Ghomi</w:t>
      </w:r>
      <w:proofErr w:type="spellEnd"/>
      <w:r w:rsidRPr="00835003">
        <w:rPr>
          <w:rFonts w:asciiTheme="majorHAnsi" w:hAnsiTheme="majorHAnsi" w:cstheme="majorHAnsi"/>
          <w:sz w:val="20"/>
          <w:szCs w:val="20"/>
        </w:rPr>
        <w:t xml:space="preserve"> and Technical and Vocational University of Qom, “Theory of Islamic Architecture vs. Islamic Theory of Architecture: A Critical Appraisal of the Contemporary Theoretical and Practical Approaches from the Islamic Perspective,” </w:t>
      </w:r>
      <w:r w:rsidRPr="00835003">
        <w:rPr>
          <w:rFonts w:asciiTheme="majorHAnsi" w:hAnsiTheme="majorHAnsi" w:cstheme="majorHAnsi"/>
          <w:i/>
          <w:iCs/>
          <w:sz w:val="20"/>
          <w:szCs w:val="20"/>
        </w:rPr>
        <w:t>CIAUJ</w:t>
      </w:r>
      <w:r w:rsidRPr="00835003">
        <w:rPr>
          <w:rFonts w:asciiTheme="majorHAnsi" w:hAnsiTheme="majorHAnsi" w:cstheme="majorHAnsi"/>
          <w:sz w:val="20"/>
          <w:szCs w:val="20"/>
        </w:rPr>
        <w:t xml:space="preserve">, vol. 3, no. 2, pp. 17–31, Jan. 2018,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10.29252/ciauj.3.2.17.</w:t>
      </w:r>
    </w:p>
    <w:p w14:paraId="34D0241F" w14:textId="276C58AB" w:rsidR="00605B4D" w:rsidRPr="00477FC8" w:rsidRDefault="00973FEA" w:rsidP="00F4380B">
      <w:pPr>
        <w:widowControl w:val="0"/>
        <w:autoSpaceDE w:val="0"/>
        <w:autoSpaceDN w:val="0"/>
        <w:adjustRightInd w:val="0"/>
        <w:spacing w:before="20"/>
        <w:ind w:left="709" w:hanging="425"/>
        <w:jc w:val="both"/>
        <w:rPr>
          <w:rFonts w:asciiTheme="majorHAnsi" w:hAnsiTheme="majorHAnsi" w:cstheme="majorHAnsi"/>
          <w:noProof/>
          <w:sz w:val="20"/>
          <w:szCs w:val="20"/>
          <w:lang w:val="id-ID"/>
        </w:rPr>
      </w:pPr>
      <w:r w:rsidRPr="00835003">
        <w:rPr>
          <w:rFonts w:asciiTheme="majorHAnsi" w:hAnsiTheme="majorHAnsi" w:cstheme="majorHAnsi"/>
          <w:sz w:val="20"/>
          <w:szCs w:val="20"/>
        </w:rPr>
        <w:t>[75]</w:t>
      </w:r>
      <w:r w:rsidRPr="00835003">
        <w:rPr>
          <w:rFonts w:asciiTheme="majorHAnsi" w:hAnsiTheme="majorHAnsi" w:cstheme="majorHAnsi"/>
          <w:sz w:val="20"/>
          <w:szCs w:val="20"/>
        </w:rPr>
        <w:tab/>
        <w:t xml:space="preserve">I. A. </w:t>
      </w:r>
      <w:proofErr w:type="spellStart"/>
      <w:r w:rsidRPr="00835003">
        <w:rPr>
          <w:rFonts w:asciiTheme="majorHAnsi" w:hAnsiTheme="majorHAnsi" w:cstheme="majorHAnsi"/>
          <w:sz w:val="20"/>
          <w:szCs w:val="20"/>
        </w:rPr>
        <w:t>Wirakusumah</w:t>
      </w:r>
      <w:proofErr w:type="spellEnd"/>
      <w:r w:rsidRPr="00835003">
        <w:rPr>
          <w:rFonts w:asciiTheme="majorHAnsi" w:hAnsiTheme="majorHAnsi" w:cstheme="majorHAnsi"/>
          <w:sz w:val="20"/>
          <w:szCs w:val="20"/>
        </w:rPr>
        <w:t xml:space="preserve">, “Needs and Wants in Mosque Architecture: A Study of Traditional and Modern Mosques in West Java-Indonesia,” </w:t>
      </w:r>
      <w:r w:rsidRPr="00835003">
        <w:rPr>
          <w:rFonts w:asciiTheme="majorHAnsi" w:hAnsiTheme="majorHAnsi" w:cstheme="majorHAnsi"/>
          <w:i/>
          <w:iCs/>
          <w:sz w:val="20"/>
          <w:szCs w:val="20"/>
        </w:rPr>
        <w:t>Linguistics and Culture Review</w:t>
      </w:r>
      <w:r w:rsidRPr="00835003">
        <w:rPr>
          <w:rFonts w:asciiTheme="majorHAnsi" w:hAnsiTheme="majorHAnsi" w:cstheme="majorHAnsi"/>
          <w:sz w:val="20"/>
          <w:szCs w:val="20"/>
        </w:rPr>
        <w:t xml:space="preserve">, vol. 5, pp. 381–395, 2021, </w:t>
      </w:r>
      <w:proofErr w:type="spellStart"/>
      <w:r w:rsidRPr="00835003">
        <w:rPr>
          <w:rFonts w:asciiTheme="majorHAnsi" w:hAnsiTheme="majorHAnsi" w:cstheme="majorHAnsi"/>
          <w:sz w:val="20"/>
          <w:szCs w:val="20"/>
        </w:rPr>
        <w:t>doi</w:t>
      </w:r>
      <w:proofErr w:type="spellEnd"/>
      <w:r w:rsidRPr="00835003">
        <w:rPr>
          <w:rFonts w:asciiTheme="majorHAnsi" w:hAnsiTheme="majorHAnsi" w:cstheme="majorHAnsi"/>
          <w:sz w:val="20"/>
          <w:szCs w:val="20"/>
        </w:rPr>
        <w:t>: 10.37028/</w:t>
      </w:r>
      <w:proofErr w:type="gramStart"/>
      <w:r w:rsidRPr="00835003">
        <w:rPr>
          <w:rFonts w:asciiTheme="majorHAnsi" w:hAnsiTheme="majorHAnsi" w:cstheme="majorHAnsi"/>
          <w:sz w:val="20"/>
          <w:szCs w:val="20"/>
        </w:rPr>
        <w:t>lingcure.v</w:t>
      </w:r>
      <w:proofErr w:type="gramEnd"/>
      <w:r w:rsidRPr="00835003">
        <w:rPr>
          <w:rFonts w:asciiTheme="majorHAnsi" w:hAnsiTheme="majorHAnsi" w:cstheme="majorHAnsi"/>
          <w:sz w:val="20"/>
          <w:szCs w:val="20"/>
        </w:rPr>
        <w:t>5nS3.1535</w:t>
      </w:r>
    </w:p>
    <w:sectPr w:rsidR="00605B4D" w:rsidRPr="00477FC8" w:rsidSect="00BE5A68">
      <w:headerReference w:type="even" r:id="rId14"/>
      <w:headerReference w:type="default" r:id="rId15"/>
      <w:footerReference w:type="even" r:id="rId16"/>
      <w:footerReference w:type="default" r:id="rId17"/>
      <w:footerReference w:type="first" r:id="rId18"/>
      <w:pgSz w:w="11906" w:h="16838" w:code="9"/>
      <w:pgMar w:top="1418" w:right="1418" w:bottom="1418" w:left="1418" w:header="709" w:footer="709" w:gutter="0"/>
      <w:pgNumType w:start="737"/>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rima p" w:date="2025-06-11T11:17:00Z" w:initials="pp">
    <w:p w14:paraId="7D827D85" w14:textId="77777777" w:rsidR="00973FEA" w:rsidRDefault="00973FEA" w:rsidP="00973FEA">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D827D8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D827D85" w16cid:durableId="2048772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F5690" w14:textId="77777777" w:rsidR="00F215CD" w:rsidRDefault="00F215CD" w:rsidP="001101DA">
      <w:r>
        <w:separator/>
      </w:r>
    </w:p>
  </w:endnote>
  <w:endnote w:type="continuationSeparator" w:id="0">
    <w:p w14:paraId="42D2D70A" w14:textId="77777777" w:rsidR="00F215CD" w:rsidRDefault="00F215CD"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16C28680"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973FEA">
          <w:rPr>
            <w:sz w:val="16"/>
            <w:szCs w:val="16"/>
          </w:rPr>
          <w:t>8(3)</w:t>
        </w:r>
        <w:r w:rsidRPr="00920627">
          <w:rPr>
            <w:sz w:val="16"/>
            <w:szCs w:val="16"/>
          </w:rPr>
          <w:t xml:space="preserve">, </w:t>
        </w:r>
        <w:r w:rsidR="00F4380B">
          <w:rPr>
            <w:sz w:val="16"/>
            <w:szCs w:val="16"/>
          </w:rPr>
          <w:t>June</w:t>
        </w:r>
        <w:r w:rsidRPr="00920627">
          <w:rPr>
            <w:sz w:val="16"/>
            <w:szCs w:val="16"/>
          </w:rPr>
          <w:t xml:space="preserve"> 202</w:t>
        </w:r>
        <w:r w:rsidR="00F4380B">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13DD4045" w:rsidR="001101DA" w:rsidRPr="00920627" w:rsidRDefault="00920627" w:rsidP="00920627">
        <w:pPr>
          <w:pStyle w:val="Footer"/>
          <w:jc w:val="right"/>
          <w:rPr>
            <w:sz w:val="16"/>
            <w:szCs w:val="16"/>
          </w:rPr>
        </w:pPr>
        <w:r w:rsidRPr="00920627">
          <w:rPr>
            <w:sz w:val="16"/>
            <w:szCs w:val="16"/>
          </w:rPr>
          <w:t xml:space="preserve">Journal of Islamic Architecture </w:t>
        </w:r>
        <w:r w:rsidR="00F4380B">
          <w:rPr>
            <w:sz w:val="16"/>
            <w:szCs w:val="16"/>
          </w:rPr>
          <w:t>8</w:t>
        </w:r>
        <w:r w:rsidRPr="00920627">
          <w:rPr>
            <w:sz w:val="16"/>
            <w:szCs w:val="16"/>
          </w:rPr>
          <w:t>(</w:t>
        </w:r>
        <w:r w:rsidR="00F4380B">
          <w:rPr>
            <w:sz w:val="16"/>
            <w:szCs w:val="16"/>
          </w:rPr>
          <w:t>3</w:t>
        </w:r>
        <w:r w:rsidRPr="00920627">
          <w:rPr>
            <w:sz w:val="16"/>
            <w:szCs w:val="16"/>
          </w:rPr>
          <w:t xml:space="preserve">), </w:t>
        </w:r>
        <w:r w:rsidR="00F4380B">
          <w:rPr>
            <w:sz w:val="16"/>
            <w:szCs w:val="16"/>
          </w:rPr>
          <w:t>June</w:t>
        </w:r>
        <w:r w:rsidRPr="00920627">
          <w:rPr>
            <w:sz w:val="16"/>
            <w:szCs w:val="16"/>
          </w:rPr>
          <w:t xml:space="preserve"> 202</w:t>
        </w:r>
        <w:r w:rsidR="00F4380B">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AC48D" w14:textId="77777777" w:rsidR="00F215CD" w:rsidRDefault="00F215CD" w:rsidP="001101DA">
      <w:r>
        <w:separator/>
      </w:r>
    </w:p>
  </w:footnote>
  <w:footnote w:type="continuationSeparator" w:id="0">
    <w:p w14:paraId="3F05BC59" w14:textId="77777777" w:rsidR="00F215CD" w:rsidRDefault="00F215CD"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3465E69F" w:rsidR="001101DA" w:rsidRPr="001101DA" w:rsidRDefault="00F4380B" w:rsidP="001101DA">
    <w:pPr>
      <w:pStyle w:val="Header"/>
      <w:rPr>
        <w:sz w:val="16"/>
        <w:szCs w:val="16"/>
      </w:rPr>
    </w:pPr>
    <w:r w:rsidRPr="00F4380B">
      <w:rPr>
        <w:sz w:val="16"/>
        <w:szCs w:val="16"/>
      </w:rPr>
      <w:t xml:space="preserve">Islamic Architecture Framework: </w:t>
    </w:r>
    <w:proofErr w:type="spellStart"/>
    <w:r w:rsidRPr="00F4380B">
      <w:rPr>
        <w:sz w:val="16"/>
        <w:szCs w:val="16"/>
      </w:rPr>
      <w:t>Mentifact</w:t>
    </w:r>
    <w:proofErr w:type="spellEnd"/>
    <w:r w:rsidRPr="00F4380B">
      <w:rPr>
        <w:sz w:val="16"/>
        <w:szCs w:val="16"/>
      </w:rPr>
      <w:t xml:space="preserve">, </w:t>
    </w:r>
    <w:proofErr w:type="spellStart"/>
    <w:r w:rsidRPr="00F4380B">
      <w:rPr>
        <w:sz w:val="16"/>
        <w:szCs w:val="16"/>
      </w:rPr>
      <w:t>Sociofact</w:t>
    </w:r>
    <w:proofErr w:type="spellEnd"/>
    <w:r w:rsidRPr="00F4380B">
      <w:rPr>
        <w:sz w:val="16"/>
        <w:szCs w:val="16"/>
      </w:rPr>
      <w:t xml:space="preserve"> </w:t>
    </w:r>
    <w:r>
      <w:rPr>
        <w:sz w:val="16"/>
        <w:szCs w:val="16"/>
      </w:rPr>
      <w:t>a</w:t>
    </w:r>
    <w:r w:rsidRPr="00F4380B">
      <w:rPr>
        <w:sz w:val="16"/>
        <w:szCs w:val="16"/>
      </w:rPr>
      <w:t xml:space="preserve">nd Artifact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39FA5C4B" w:rsidR="001101DA" w:rsidRPr="001101DA" w:rsidRDefault="00F4380B" w:rsidP="001101DA">
    <w:pPr>
      <w:pStyle w:val="Header"/>
      <w:jc w:val="right"/>
      <w:rPr>
        <w:sz w:val="16"/>
        <w:szCs w:val="16"/>
      </w:rPr>
    </w:pPr>
    <w:r w:rsidRPr="00F4380B">
      <w:rPr>
        <w:sz w:val="16"/>
        <w:szCs w:val="16"/>
      </w:rPr>
      <w:t xml:space="preserve">Farid </w:t>
    </w:r>
    <w:proofErr w:type="spellStart"/>
    <w:r w:rsidRPr="00F4380B">
      <w:rPr>
        <w:sz w:val="16"/>
        <w:szCs w:val="16"/>
      </w:rPr>
      <w:t>Nazaruddin</w:t>
    </w:r>
    <w:proofErr w:type="spellEnd"/>
    <w:r w:rsidRPr="00F4380B">
      <w:rPr>
        <w:sz w:val="16"/>
        <w:szCs w:val="16"/>
      </w:rPr>
      <w:t xml:space="preserve">, Aldrin Yusuf Firmansyah, Harida </w:t>
    </w:r>
    <w:proofErr w:type="spellStart"/>
    <w:r w:rsidRPr="00F4380B">
      <w:rPr>
        <w:sz w:val="16"/>
        <w:szCs w:val="16"/>
      </w:rPr>
      <w:t>Samudro</w:t>
    </w:r>
    <w:proofErr w:type="spellEnd"/>
    <w:r w:rsidRPr="00F4380B">
      <w:rPr>
        <w:sz w:val="16"/>
        <w:szCs w:val="16"/>
      </w:rPr>
      <w:t xml:space="preserve">, Prima </w:t>
    </w:r>
    <w:proofErr w:type="spellStart"/>
    <w:r w:rsidRPr="00F4380B">
      <w:rPr>
        <w:sz w:val="16"/>
        <w:szCs w:val="16"/>
      </w:rPr>
      <w:t>Kurniawaty</w:t>
    </w:r>
    <w:proofErr w:type="spellEnd"/>
    <w:r w:rsidR="001101DA" w:rsidRPr="001101DA">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CB0"/>
    <w:multiLevelType w:val="hybridMultilevel"/>
    <w:tmpl w:val="29DA11C4"/>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C4971D0"/>
    <w:multiLevelType w:val="hybridMultilevel"/>
    <w:tmpl w:val="1B7E0E2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79557DA"/>
    <w:multiLevelType w:val="hybridMultilevel"/>
    <w:tmpl w:val="C0D65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923EB6"/>
    <w:multiLevelType w:val="hybridMultilevel"/>
    <w:tmpl w:val="EC90F9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9A4025"/>
    <w:multiLevelType w:val="hybridMultilevel"/>
    <w:tmpl w:val="3FF044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4C5F93"/>
    <w:multiLevelType w:val="hybridMultilevel"/>
    <w:tmpl w:val="AFA00A86"/>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27B5739E"/>
    <w:multiLevelType w:val="hybridMultilevel"/>
    <w:tmpl w:val="2D243BC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287A09AE"/>
    <w:multiLevelType w:val="hybridMultilevel"/>
    <w:tmpl w:val="339675FA"/>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2BC67ABD"/>
    <w:multiLevelType w:val="hybridMultilevel"/>
    <w:tmpl w:val="E7FA23AC"/>
    <w:lvl w:ilvl="0" w:tplc="CFCEC69C">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37C1345D"/>
    <w:multiLevelType w:val="hybridMultilevel"/>
    <w:tmpl w:val="0B5C209A"/>
    <w:lvl w:ilvl="0" w:tplc="5D82BC68">
      <w:start w:val="3"/>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3A2C5922"/>
    <w:multiLevelType w:val="hybridMultilevel"/>
    <w:tmpl w:val="AFA00A86"/>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3A516C55"/>
    <w:multiLevelType w:val="hybridMultilevel"/>
    <w:tmpl w:val="339675FA"/>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5B255B43"/>
    <w:multiLevelType w:val="hybridMultilevel"/>
    <w:tmpl w:val="AFA00A86"/>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4" w15:restartNumberingAfterBreak="0">
    <w:nsid w:val="60DB6EE1"/>
    <w:multiLevelType w:val="hybridMultilevel"/>
    <w:tmpl w:val="93D275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351E12"/>
    <w:multiLevelType w:val="hybridMultilevel"/>
    <w:tmpl w:val="1B7E0E2C"/>
    <w:lvl w:ilvl="0" w:tplc="38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6218648">
    <w:abstractNumId w:val="9"/>
  </w:num>
  <w:num w:numId="2" w16cid:durableId="103573224">
    <w:abstractNumId w:val="0"/>
  </w:num>
  <w:num w:numId="3" w16cid:durableId="732780024">
    <w:abstractNumId w:val="13"/>
  </w:num>
  <w:num w:numId="4" w16cid:durableId="1550605015">
    <w:abstractNumId w:val="2"/>
  </w:num>
  <w:num w:numId="5" w16cid:durableId="1225096288">
    <w:abstractNumId w:val="5"/>
  </w:num>
  <w:num w:numId="6" w16cid:durableId="604728564">
    <w:abstractNumId w:val="11"/>
  </w:num>
  <w:num w:numId="7" w16cid:durableId="41638154">
    <w:abstractNumId w:val="7"/>
  </w:num>
  <w:num w:numId="8" w16cid:durableId="1132213052">
    <w:abstractNumId w:val="12"/>
  </w:num>
  <w:num w:numId="9" w16cid:durableId="388188214">
    <w:abstractNumId w:val="15"/>
  </w:num>
  <w:num w:numId="10" w16cid:durableId="157425172">
    <w:abstractNumId w:val="3"/>
  </w:num>
  <w:num w:numId="11" w16cid:durableId="984286176">
    <w:abstractNumId w:val="14"/>
  </w:num>
  <w:num w:numId="12" w16cid:durableId="159657194">
    <w:abstractNumId w:val="1"/>
  </w:num>
  <w:num w:numId="13" w16cid:durableId="1962419990">
    <w:abstractNumId w:val="10"/>
  </w:num>
  <w:num w:numId="14" w16cid:durableId="1667703210">
    <w:abstractNumId w:val="8"/>
  </w:num>
  <w:num w:numId="15" w16cid:durableId="1755781567">
    <w:abstractNumId w:val="4"/>
  </w:num>
  <w:num w:numId="16" w16cid:durableId="56900323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rima p">
    <w15:presenceInfo w15:providerId="Windows Live" w15:userId="1a5978fb618751c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C509F"/>
    <w:rsid w:val="001036A8"/>
    <w:rsid w:val="001101DA"/>
    <w:rsid w:val="001179F0"/>
    <w:rsid w:val="001D1905"/>
    <w:rsid w:val="001D517C"/>
    <w:rsid w:val="001E33E6"/>
    <w:rsid w:val="00221499"/>
    <w:rsid w:val="002676BA"/>
    <w:rsid w:val="00283372"/>
    <w:rsid w:val="002C4EAB"/>
    <w:rsid w:val="002D1CEA"/>
    <w:rsid w:val="00330A7A"/>
    <w:rsid w:val="0034114F"/>
    <w:rsid w:val="003C0164"/>
    <w:rsid w:val="00417EF0"/>
    <w:rsid w:val="00464461"/>
    <w:rsid w:val="00477FC8"/>
    <w:rsid w:val="004C7CB9"/>
    <w:rsid w:val="00502594"/>
    <w:rsid w:val="00536D0C"/>
    <w:rsid w:val="00554438"/>
    <w:rsid w:val="005E66A5"/>
    <w:rsid w:val="00605B4D"/>
    <w:rsid w:val="006C55A1"/>
    <w:rsid w:val="00727ABB"/>
    <w:rsid w:val="00745A2A"/>
    <w:rsid w:val="007771EC"/>
    <w:rsid w:val="00786B36"/>
    <w:rsid w:val="0079305C"/>
    <w:rsid w:val="007B2C0D"/>
    <w:rsid w:val="007C62F4"/>
    <w:rsid w:val="008219EC"/>
    <w:rsid w:val="008535AE"/>
    <w:rsid w:val="00883F54"/>
    <w:rsid w:val="008D73E0"/>
    <w:rsid w:val="00920392"/>
    <w:rsid w:val="00920627"/>
    <w:rsid w:val="00926CF7"/>
    <w:rsid w:val="00944AD0"/>
    <w:rsid w:val="00973FEA"/>
    <w:rsid w:val="009E6DE8"/>
    <w:rsid w:val="00A055B3"/>
    <w:rsid w:val="00AC1C31"/>
    <w:rsid w:val="00AC4F01"/>
    <w:rsid w:val="00B45E75"/>
    <w:rsid w:val="00BE2239"/>
    <w:rsid w:val="00BE5A68"/>
    <w:rsid w:val="00BF6C7B"/>
    <w:rsid w:val="00C26026"/>
    <w:rsid w:val="00CB6F5A"/>
    <w:rsid w:val="00CE135F"/>
    <w:rsid w:val="00D132AE"/>
    <w:rsid w:val="00D57761"/>
    <w:rsid w:val="00D869DB"/>
    <w:rsid w:val="00E4204D"/>
    <w:rsid w:val="00E837BE"/>
    <w:rsid w:val="00F215CD"/>
    <w:rsid w:val="00F4380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973FEA"/>
    <w:pPr>
      <w:keepNext/>
      <w:jc w:val="both"/>
      <w:outlineLvl w:val="2"/>
    </w:pPr>
    <w:rPr>
      <w:rFonts w:asciiTheme="minorHAnsi" w:hAnsiTheme="minorHAnsi" w:cstheme="minorHAnsi"/>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character" w:customStyle="1" w:styleId="Heading3Char">
    <w:name w:val="Heading 3 Char"/>
    <w:basedOn w:val="DefaultParagraphFont"/>
    <w:link w:val="Heading3"/>
    <w:uiPriority w:val="9"/>
    <w:rsid w:val="00973FEA"/>
    <w:rPr>
      <w:rFonts w:asciiTheme="minorHAnsi" w:hAnsiTheme="minorHAnsi" w:cstheme="minorHAnsi"/>
      <w:b/>
      <w:bCs/>
      <w:sz w:val="20"/>
      <w:szCs w:val="20"/>
    </w:rPr>
  </w:style>
  <w:style w:type="character" w:styleId="CommentReference">
    <w:name w:val="annotation reference"/>
    <w:basedOn w:val="DefaultParagraphFont"/>
    <w:uiPriority w:val="99"/>
    <w:semiHidden/>
    <w:unhideWhenUsed/>
    <w:rsid w:val="00973FEA"/>
    <w:rPr>
      <w:sz w:val="16"/>
      <w:szCs w:val="16"/>
    </w:rPr>
  </w:style>
  <w:style w:type="paragraph" w:styleId="CommentText">
    <w:name w:val="annotation text"/>
    <w:basedOn w:val="Normal"/>
    <w:link w:val="CommentTextChar"/>
    <w:uiPriority w:val="99"/>
    <w:semiHidden/>
    <w:unhideWhenUsed/>
    <w:rsid w:val="00973FEA"/>
    <w:rPr>
      <w:sz w:val="20"/>
      <w:szCs w:val="20"/>
    </w:rPr>
  </w:style>
  <w:style w:type="character" w:customStyle="1" w:styleId="CommentTextChar">
    <w:name w:val="Comment Text Char"/>
    <w:basedOn w:val="DefaultParagraphFont"/>
    <w:link w:val="CommentText"/>
    <w:uiPriority w:val="99"/>
    <w:semiHidden/>
    <w:rsid w:val="00973FEA"/>
    <w:rPr>
      <w:sz w:val="20"/>
      <w:szCs w:val="20"/>
    </w:rPr>
  </w:style>
  <w:style w:type="paragraph" w:styleId="Bibliography">
    <w:name w:val="Bibliography"/>
    <w:basedOn w:val="Normal"/>
    <w:next w:val="Normal"/>
    <w:uiPriority w:val="37"/>
    <w:semiHidden/>
    <w:unhideWhenUsed/>
    <w:rsid w:val="0097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4.png"/><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eader" Target="header2.xml"/><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14</Pages>
  <Words>42631</Words>
  <Characters>249392</Characters>
  <Application>Microsoft Office Word</Application>
  <DocSecurity>0</DocSecurity>
  <Lines>3416</Lines>
  <Paragraphs>1110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5</cp:revision>
  <dcterms:created xsi:type="dcterms:W3CDTF">2025-06-23T11:20:00Z</dcterms:created>
  <dcterms:modified xsi:type="dcterms:W3CDTF">2025-06-25T04:47:00Z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