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62C0F273" w:rsidR="00C26026" w:rsidRPr="004C7CB9" w:rsidRDefault="00803F91" w:rsidP="00C26026">
            <w:pPr>
              <w:jc w:val="both"/>
              <w:rPr>
                <w:rFonts w:asciiTheme="minorHAnsi" w:hAnsiTheme="minorHAnsi" w:cstheme="minorHAnsi"/>
                <w:b/>
                <w:sz w:val="26"/>
                <w:szCs w:val="26"/>
              </w:rPr>
            </w:pPr>
            <w:r w:rsidRPr="00803F91">
              <w:rPr>
                <w:rFonts w:asciiTheme="minorHAnsi" w:hAnsiTheme="minorHAnsi" w:cstheme="minorHAnsi"/>
                <w:b/>
                <w:sz w:val="28"/>
                <w:szCs w:val="28"/>
              </w:rPr>
              <w:t>IMPLEMENTING SUSTAINABILITY IN URBAN DESERT REGIONS THROUGH SOLAR ORIENTATION, THE ISLAMIC VERNACULAR ARCHITECTURE OF THE M'ZAB KSOUR IN PARTICULAR</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427C1F7B" w:rsidR="00D869DB" w:rsidRPr="004C7CB9" w:rsidRDefault="00803F91">
            <w:pPr>
              <w:rPr>
                <w:rFonts w:asciiTheme="minorHAnsi" w:hAnsiTheme="minorHAnsi" w:cstheme="minorHAnsi"/>
              </w:rPr>
            </w:pPr>
            <w:proofErr w:type="spellStart"/>
            <w:r w:rsidRPr="00803F91">
              <w:rPr>
                <w:rFonts w:asciiTheme="minorHAnsi" w:hAnsiTheme="minorHAnsi" w:cstheme="minorHAnsi"/>
              </w:rPr>
              <w:t>Krimo</w:t>
            </w:r>
            <w:proofErr w:type="spellEnd"/>
            <w:r w:rsidRPr="00803F91">
              <w:rPr>
                <w:rFonts w:asciiTheme="minorHAnsi" w:hAnsiTheme="minorHAnsi" w:cstheme="minorHAnsi"/>
              </w:rPr>
              <w:t xml:space="preserve"> </w:t>
            </w:r>
            <w:proofErr w:type="spellStart"/>
            <w:r w:rsidRPr="00803F91">
              <w:rPr>
                <w:rFonts w:asciiTheme="minorHAnsi" w:hAnsiTheme="minorHAnsi" w:cstheme="minorHAnsi"/>
              </w:rPr>
              <w:t>Dahmani</w:t>
            </w:r>
            <w:r w:rsidRPr="00AF2E86">
              <w:rPr>
                <w:rFonts w:asciiTheme="minorHAnsi" w:hAnsiTheme="minorHAnsi" w:cstheme="minorHAnsi"/>
                <w:vertAlign w:val="superscript"/>
              </w:rPr>
              <w:t>a</w:t>
            </w:r>
            <w:proofErr w:type="spellEnd"/>
            <w:r w:rsidRPr="00803F91">
              <w:rPr>
                <w:rFonts w:asciiTheme="minorHAnsi" w:hAnsiTheme="minorHAnsi" w:cstheme="minorHAnsi"/>
              </w:rPr>
              <w:t xml:space="preserve">, Khalil Bachir </w:t>
            </w:r>
            <w:proofErr w:type="spellStart"/>
            <w:r w:rsidRPr="00803F91">
              <w:rPr>
                <w:rFonts w:asciiTheme="minorHAnsi" w:hAnsiTheme="minorHAnsi" w:cstheme="minorHAnsi"/>
              </w:rPr>
              <w:t>Aouissi</w:t>
            </w:r>
            <w:r w:rsidRPr="00AF2E86">
              <w:rPr>
                <w:rFonts w:asciiTheme="minorHAnsi" w:hAnsiTheme="minorHAnsi" w:cstheme="minorHAnsi"/>
                <w:vertAlign w:val="superscript"/>
              </w:rPr>
              <w:t>a</w:t>
            </w:r>
            <w:proofErr w:type="spellEnd"/>
            <w:r w:rsidRPr="00AF2E86">
              <w:rPr>
                <w:rFonts w:asciiTheme="minorHAnsi" w:hAnsiTheme="minorHAnsi" w:cstheme="minorHAnsi"/>
                <w:vertAlign w:val="superscript"/>
              </w:rPr>
              <w:t>*</w:t>
            </w:r>
            <w:r w:rsidRPr="00803F91">
              <w:rPr>
                <w:rFonts w:asciiTheme="minorHAnsi" w:hAnsiTheme="minorHAnsi" w:cstheme="minorHAnsi"/>
              </w:rPr>
              <w:t xml:space="preserve">, Saif Eddine </w:t>
            </w:r>
            <w:proofErr w:type="spellStart"/>
            <w:r w:rsidRPr="00803F91">
              <w:rPr>
                <w:rFonts w:asciiTheme="minorHAnsi" w:hAnsiTheme="minorHAnsi" w:cstheme="minorHAnsi"/>
              </w:rPr>
              <w:t>Chettah</w:t>
            </w:r>
            <w:r w:rsidR="00AF2E86" w:rsidRPr="00AF2E86">
              <w:rPr>
                <w:rFonts w:asciiTheme="minorHAnsi" w:hAnsiTheme="minorHAnsi" w:cstheme="minorHAnsi"/>
                <w:vertAlign w:val="superscript"/>
              </w:rPr>
              <w:t>a</w:t>
            </w:r>
            <w:proofErr w:type="spellEnd"/>
            <w:r w:rsidR="00554438" w:rsidRPr="004C7CB9">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6E70532C" w:rsidR="00D869DB" w:rsidRPr="004C7CB9" w:rsidRDefault="00D869DB" w:rsidP="00D869DB">
            <w:pPr>
              <w:rPr>
                <w:sz w:val="18"/>
                <w:szCs w:val="18"/>
              </w:rPr>
            </w:pPr>
            <w:proofErr w:type="spellStart"/>
            <w:r w:rsidRPr="004C7CB9">
              <w:rPr>
                <w:sz w:val="18"/>
                <w:szCs w:val="18"/>
                <w:vertAlign w:val="superscript"/>
              </w:rPr>
              <w:t>a</w:t>
            </w:r>
            <w:r w:rsidR="00AF2E86" w:rsidRPr="00AF2E86">
              <w:rPr>
                <w:sz w:val="18"/>
                <w:szCs w:val="18"/>
              </w:rPr>
              <w:t>Institute</w:t>
            </w:r>
            <w:proofErr w:type="spellEnd"/>
            <w:r w:rsidR="00AF2E86" w:rsidRPr="00AF2E86">
              <w:rPr>
                <w:sz w:val="18"/>
                <w:szCs w:val="18"/>
              </w:rPr>
              <w:t xml:space="preserve"> of Architecture and Urban Planning, OVAMUS Laboratory, University of Blida1, Algeria</w:t>
            </w:r>
          </w:p>
          <w:p w14:paraId="4B54932F" w14:textId="3CDB3440" w:rsidR="00D869DB" w:rsidRPr="004C7CB9" w:rsidRDefault="00D869DB" w:rsidP="00D869DB">
            <w:r w:rsidRPr="004C7CB9">
              <w:rPr>
                <w:sz w:val="18"/>
                <w:szCs w:val="18"/>
              </w:rPr>
              <w:t xml:space="preserve">*Corresponding Author: </w:t>
            </w:r>
            <w:r w:rsidR="00AF2E86" w:rsidRPr="00AF2E86">
              <w:rPr>
                <w:sz w:val="18"/>
                <w:szCs w:val="18"/>
              </w:rPr>
              <w:t>aouissi_khalil@univ-blida.dz</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0507FF9E"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803F91">
              <w:rPr>
                <w:rFonts w:asciiTheme="majorHAnsi" w:hAnsiTheme="majorHAnsi" w:cstheme="majorHAnsi"/>
                <w:sz w:val="18"/>
                <w:szCs w:val="18"/>
              </w:rPr>
              <w:t xml:space="preserve"> 8</w:t>
            </w:r>
          </w:p>
          <w:p w14:paraId="5F8B2097" w14:textId="7B06E4D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803F91">
              <w:rPr>
                <w:rFonts w:asciiTheme="majorHAnsi" w:hAnsiTheme="majorHAnsi" w:cstheme="majorHAnsi"/>
                <w:sz w:val="18"/>
                <w:szCs w:val="18"/>
              </w:rPr>
              <w:t xml:space="preserve"> 2</w:t>
            </w:r>
          </w:p>
          <w:p w14:paraId="1727970E" w14:textId="26B0634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AF2E86">
              <w:rPr>
                <w:rFonts w:asciiTheme="majorHAnsi" w:hAnsiTheme="majorHAnsi" w:cstheme="majorHAnsi"/>
                <w:sz w:val="18"/>
                <w:szCs w:val="18"/>
              </w:rPr>
              <w:t xml:space="preserve"> 408</w:t>
            </w:r>
            <w:r w:rsidR="009E69DF">
              <w:rPr>
                <w:rFonts w:asciiTheme="majorHAnsi" w:hAnsiTheme="majorHAnsi" w:cstheme="majorHAnsi"/>
                <w:sz w:val="18"/>
                <w:szCs w:val="18"/>
              </w:rPr>
              <w:t>-42</w:t>
            </w:r>
            <w:r w:rsidR="0095781D">
              <w:rPr>
                <w:rFonts w:asciiTheme="majorHAnsi" w:hAnsiTheme="majorHAnsi" w:cstheme="majorHAnsi"/>
                <w:sz w:val="18"/>
                <w:szCs w:val="18"/>
              </w:rPr>
              <w:t>2</w:t>
            </w:r>
          </w:p>
          <w:p w14:paraId="42AC331B" w14:textId="697E277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803F91" w:rsidRPr="00803F91">
              <w:rPr>
                <w:rFonts w:asciiTheme="majorHAnsi" w:hAnsiTheme="majorHAnsi" w:cstheme="majorHAnsi"/>
                <w:sz w:val="18"/>
                <w:szCs w:val="18"/>
              </w:rPr>
              <w:t>January 26</w:t>
            </w:r>
            <w:r w:rsidR="00803F91" w:rsidRPr="009E69DF">
              <w:rPr>
                <w:rFonts w:asciiTheme="majorHAnsi" w:hAnsiTheme="majorHAnsi" w:cstheme="majorHAnsi"/>
                <w:sz w:val="18"/>
                <w:szCs w:val="18"/>
                <w:vertAlign w:val="superscript"/>
              </w:rPr>
              <w:t>th</w:t>
            </w:r>
            <w:r w:rsidR="00803F91" w:rsidRPr="00803F91">
              <w:rPr>
                <w:rFonts w:asciiTheme="majorHAnsi" w:hAnsiTheme="majorHAnsi" w:cstheme="majorHAnsi"/>
                <w:sz w:val="18"/>
                <w:szCs w:val="18"/>
              </w:rPr>
              <w:t>, 2024</w:t>
            </w:r>
          </w:p>
          <w:p w14:paraId="63316A40" w14:textId="0F8ABD78"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803F91" w:rsidRPr="00803F91">
              <w:rPr>
                <w:rFonts w:asciiTheme="majorHAnsi" w:hAnsiTheme="majorHAnsi" w:cstheme="majorHAnsi"/>
                <w:sz w:val="18"/>
                <w:szCs w:val="18"/>
              </w:rPr>
              <w:t>April 24</w:t>
            </w:r>
            <w:r w:rsidR="00803F91" w:rsidRPr="009E69DF">
              <w:rPr>
                <w:rFonts w:asciiTheme="majorHAnsi" w:hAnsiTheme="majorHAnsi" w:cstheme="majorHAnsi"/>
                <w:sz w:val="18"/>
                <w:szCs w:val="18"/>
                <w:vertAlign w:val="superscript"/>
              </w:rPr>
              <w:t>th</w:t>
            </w:r>
            <w:r w:rsidR="00803F91" w:rsidRPr="00803F91">
              <w:rPr>
                <w:rFonts w:asciiTheme="majorHAnsi" w:hAnsiTheme="majorHAnsi" w:cstheme="majorHAnsi"/>
                <w:sz w:val="18"/>
                <w:szCs w:val="18"/>
              </w:rPr>
              <w:t>, 2024</w:t>
            </w:r>
          </w:p>
          <w:p w14:paraId="6068623C" w14:textId="452C320B"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803F91" w:rsidRPr="00803F91">
              <w:rPr>
                <w:rFonts w:asciiTheme="majorHAnsi" w:hAnsiTheme="majorHAnsi" w:cstheme="majorHAnsi"/>
                <w:sz w:val="18"/>
                <w:szCs w:val="18"/>
              </w:rPr>
              <w:t>December 15</w:t>
            </w:r>
            <w:r w:rsidR="00803F91" w:rsidRPr="009E69DF">
              <w:rPr>
                <w:rFonts w:asciiTheme="majorHAnsi" w:hAnsiTheme="majorHAnsi" w:cstheme="majorHAnsi"/>
                <w:sz w:val="18"/>
                <w:szCs w:val="18"/>
                <w:vertAlign w:val="superscript"/>
              </w:rPr>
              <w:t>th</w:t>
            </w:r>
            <w:r w:rsidR="00803F91" w:rsidRPr="00803F91">
              <w:rPr>
                <w:rFonts w:asciiTheme="majorHAnsi" w:hAnsiTheme="majorHAnsi" w:cstheme="majorHAnsi"/>
                <w:sz w:val="18"/>
                <w:szCs w:val="18"/>
              </w:rPr>
              <w:t>, 2024</w:t>
            </w:r>
          </w:p>
          <w:p w14:paraId="78EB1E49" w14:textId="1CC9501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803F91" w:rsidRPr="00803F91">
              <w:rPr>
                <w:rFonts w:asciiTheme="majorHAnsi" w:hAnsiTheme="majorHAnsi" w:cstheme="majorHAnsi"/>
                <w:sz w:val="18"/>
                <w:szCs w:val="18"/>
              </w:rPr>
              <w:t>10.18860/</w:t>
            </w:r>
            <w:proofErr w:type="gramStart"/>
            <w:r w:rsidR="00803F91" w:rsidRPr="00803F91">
              <w:rPr>
                <w:rFonts w:asciiTheme="majorHAnsi" w:hAnsiTheme="majorHAnsi" w:cstheme="majorHAnsi"/>
                <w:sz w:val="18"/>
                <w:szCs w:val="18"/>
              </w:rPr>
              <w:t>jia.v</w:t>
            </w:r>
            <w:proofErr w:type="gramEnd"/>
            <w:r w:rsidR="00803F91" w:rsidRPr="00803F91">
              <w:rPr>
                <w:rFonts w:asciiTheme="majorHAnsi" w:hAnsiTheme="majorHAnsi" w:cstheme="majorHAnsi"/>
                <w:sz w:val="18"/>
                <w:szCs w:val="18"/>
              </w:rPr>
              <w:t>8i2.25531</w:t>
            </w:r>
          </w:p>
        </w:tc>
        <w:tc>
          <w:tcPr>
            <w:tcW w:w="5671" w:type="dxa"/>
          </w:tcPr>
          <w:p w14:paraId="68C518DA" w14:textId="6177A7FC" w:rsidR="001D517C" w:rsidRPr="004C7CB9" w:rsidRDefault="00AF2E86" w:rsidP="001D517C">
            <w:pPr>
              <w:jc w:val="both"/>
              <w:rPr>
                <w:rFonts w:asciiTheme="majorHAnsi" w:hAnsiTheme="majorHAnsi" w:cstheme="majorHAnsi"/>
                <w:sz w:val="18"/>
                <w:szCs w:val="18"/>
                <w:lang w:val="id-ID"/>
              </w:rPr>
            </w:pPr>
            <w:r w:rsidRPr="00AF2E86">
              <w:rPr>
                <w:rFonts w:asciiTheme="majorHAnsi" w:hAnsiTheme="majorHAnsi" w:cstheme="majorHAnsi"/>
                <w:sz w:val="18"/>
                <w:szCs w:val="18"/>
              </w:rPr>
              <w:t xml:space="preserve">This study investigates the role of solar orientation in creating sustainable urban land systems in desert regions, using the </w:t>
            </w:r>
            <w:proofErr w:type="spellStart"/>
            <w:r w:rsidRPr="00AF2E86">
              <w:rPr>
                <w:rFonts w:asciiTheme="majorHAnsi" w:hAnsiTheme="majorHAnsi" w:cstheme="majorHAnsi"/>
                <w:sz w:val="18"/>
                <w:szCs w:val="18"/>
              </w:rPr>
              <w:t>Ksour</w:t>
            </w:r>
            <w:proofErr w:type="spellEnd"/>
            <w:r w:rsidRPr="00AF2E86">
              <w:rPr>
                <w:rFonts w:asciiTheme="majorHAnsi" w:hAnsiTheme="majorHAnsi" w:cstheme="majorHAnsi"/>
                <w:sz w:val="18"/>
                <w:szCs w:val="18"/>
              </w:rPr>
              <w:t xml:space="preserve"> of </w:t>
            </w:r>
            <w:proofErr w:type="spellStart"/>
            <w:r w:rsidRPr="00AF2E86">
              <w:rPr>
                <w:rFonts w:asciiTheme="majorHAnsi" w:hAnsiTheme="majorHAnsi" w:cstheme="majorHAnsi"/>
                <w:sz w:val="18"/>
                <w:szCs w:val="18"/>
              </w:rPr>
              <w:t>M'Zab</w:t>
            </w:r>
            <w:proofErr w:type="spellEnd"/>
            <w:r w:rsidRPr="00AF2E86">
              <w:rPr>
                <w:rFonts w:asciiTheme="majorHAnsi" w:hAnsiTheme="majorHAnsi" w:cstheme="majorHAnsi"/>
                <w:sz w:val="18"/>
                <w:szCs w:val="18"/>
              </w:rPr>
              <w:t xml:space="preserve"> in Algeria as a case study. The </w:t>
            </w:r>
            <w:proofErr w:type="spellStart"/>
            <w:r w:rsidRPr="00AF2E86">
              <w:rPr>
                <w:rFonts w:asciiTheme="majorHAnsi" w:hAnsiTheme="majorHAnsi" w:cstheme="majorHAnsi"/>
                <w:sz w:val="18"/>
                <w:szCs w:val="18"/>
              </w:rPr>
              <w:t>Ksour</w:t>
            </w:r>
            <w:proofErr w:type="spellEnd"/>
            <w:r w:rsidRPr="00AF2E86">
              <w:rPr>
                <w:rFonts w:asciiTheme="majorHAnsi" w:hAnsiTheme="majorHAnsi" w:cstheme="majorHAnsi"/>
                <w:sz w:val="18"/>
                <w:szCs w:val="18"/>
              </w:rPr>
              <w:t xml:space="preserve"> are vernacular Islamic and millenarian cities inhabited for centuries, and their urban design has evolved to respond to extreme climatic conditions, particularly insolation. Through a geometric analysis of the road system, this study demonstrates how the optimal orientation of urban lanes ensures the integration of extreme climatic conditions and creates comfortable streets for pedestrians. The study compares two old </w:t>
            </w:r>
            <w:proofErr w:type="spellStart"/>
            <w:r w:rsidRPr="00AF2E86">
              <w:rPr>
                <w:rFonts w:asciiTheme="majorHAnsi" w:hAnsiTheme="majorHAnsi" w:cstheme="majorHAnsi"/>
                <w:sz w:val="18"/>
                <w:szCs w:val="18"/>
              </w:rPr>
              <w:t>Ksour</w:t>
            </w:r>
            <w:proofErr w:type="spellEnd"/>
            <w:r w:rsidRPr="00AF2E86">
              <w:rPr>
                <w:rFonts w:asciiTheme="majorHAnsi" w:hAnsiTheme="majorHAnsi" w:cstheme="majorHAnsi"/>
                <w:sz w:val="18"/>
                <w:szCs w:val="18"/>
              </w:rPr>
              <w:t xml:space="preserve"> (El </w:t>
            </w:r>
            <w:proofErr w:type="spellStart"/>
            <w:r w:rsidRPr="00AF2E86">
              <w:rPr>
                <w:rFonts w:asciiTheme="majorHAnsi" w:hAnsiTheme="majorHAnsi" w:cstheme="majorHAnsi"/>
                <w:sz w:val="18"/>
                <w:szCs w:val="18"/>
              </w:rPr>
              <w:t>Atheuf</w:t>
            </w:r>
            <w:proofErr w:type="spellEnd"/>
            <w:r w:rsidRPr="00AF2E86">
              <w:rPr>
                <w:rFonts w:asciiTheme="majorHAnsi" w:hAnsiTheme="majorHAnsi" w:cstheme="majorHAnsi"/>
                <w:sz w:val="18"/>
                <w:szCs w:val="18"/>
              </w:rPr>
              <w:t xml:space="preserve"> and Beni </w:t>
            </w:r>
            <w:proofErr w:type="spellStart"/>
            <w:r w:rsidRPr="00AF2E86">
              <w:rPr>
                <w:rFonts w:asciiTheme="majorHAnsi" w:hAnsiTheme="majorHAnsi" w:cstheme="majorHAnsi"/>
                <w:sz w:val="18"/>
                <w:szCs w:val="18"/>
              </w:rPr>
              <w:t>Yezguen</w:t>
            </w:r>
            <w:proofErr w:type="spellEnd"/>
            <w:r w:rsidRPr="00AF2E86">
              <w:rPr>
                <w:rFonts w:asciiTheme="majorHAnsi" w:hAnsiTheme="majorHAnsi" w:cstheme="majorHAnsi"/>
                <w:sz w:val="18"/>
                <w:szCs w:val="18"/>
              </w:rPr>
              <w:t xml:space="preserve">) with a new </w:t>
            </w:r>
            <w:proofErr w:type="spellStart"/>
            <w:r w:rsidRPr="00AF2E86">
              <w:rPr>
                <w:rFonts w:asciiTheme="majorHAnsi" w:hAnsiTheme="majorHAnsi" w:cstheme="majorHAnsi"/>
                <w:sz w:val="18"/>
                <w:szCs w:val="18"/>
              </w:rPr>
              <w:t>Ksar</w:t>
            </w:r>
            <w:proofErr w:type="spellEnd"/>
            <w:r w:rsidRPr="00AF2E86">
              <w:rPr>
                <w:rFonts w:asciiTheme="majorHAnsi" w:hAnsiTheme="majorHAnsi" w:cstheme="majorHAnsi"/>
                <w:sz w:val="18"/>
                <w:szCs w:val="18"/>
              </w:rPr>
              <w:t xml:space="preserve"> (</w:t>
            </w:r>
            <w:proofErr w:type="spellStart"/>
            <w:r w:rsidRPr="00AF2E86">
              <w:rPr>
                <w:rFonts w:asciiTheme="majorHAnsi" w:hAnsiTheme="majorHAnsi" w:cstheme="majorHAnsi"/>
                <w:sz w:val="18"/>
                <w:szCs w:val="18"/>
              </w:rPr>
              <w:t>Tafilalet</w:t>
            </w:r>
            <w:proofErr w:type="spellEnd"/>
            <w:r w:rsidRPr="00AF2E86">
              <w:rPr>
                <w:rFonts w:asciiTheme="majorHAnsi" w:hAnsiTheme="majorHAnsi" w:cstheme="majorHAnsi"/>
                <w:sz w:val="18"/>
                <w:szCs w:val="18"/>
              </w:rPr>
              <w:t>) and statistically evaluates their solar orientation. The results show that solar orientation is a crucial tool for understanding the sustainability of desert cities. Thus, traditional knowledge and contemporary design practices can be integrated to create sustainable urbanism in arid environments. This study contributes to the growing body of knowledge on sustainable architecture by providing insights into how traditional knowledge can create resilient cities in challenging environments and promote sustainable development</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76C930E6" w:rsidR="001D517C" w:rsidRPr="004C7CB9" w:rsidRDefault="00AF2E86" w:rsidP="001D517C">
            <w:pPr>
              <w:jc w:val="both"/>
              <w:rPr>
                <w:rFonts w:asciiTheme="majorHAnsi" w:hAnsiTheme="majorHAnsi" w:cstheme="majorHAnsi"/>
                <w:sz w:val="18"/>
                <w:szCs w:val="18"/>
                <w:lang w:val="en-US"/>
              </w:rPr>
            </w:pPr>
            <w:r w:rsidRPr="00AF2E86">
              <w:rPr>
                <w:rFonts w:asciiTheme="majorHAnsi" w:hAnsiTheme="majorHAnsi" w:cstheme="majorHAnsi"/>
                <w:sz w:val="18"/>
                <w:szCs w:val="18"/>
                <w:lang w:val="en-US"/>
              </w:rPr>
              <w:t xml:space="preserve">Geometric analysis; </w:t>
            </w:r>
            <w:proofErr w:type="spellStart"/>
            <w:r w:rsidRPr="00AF2E86">
              <w:rPr>
                <w:rFonts w:asciiTheme="majorHAnsi" w:hAnsiTheme="majorHAnsi" w:cstheme="majorHAnsi"/>
                <w:sz w:val="18"/>
                <w:szCs w:val="18"/>
                <w:lang w:val="en-US"/>
              </w:rPr>
              <w:t>Ksour</w:t>
            </w:r>
            <w:proofErr w:type="spellEnd"/>
            <w:r w:rsidRPr="00AF2E86">
              <w:rPr>
                <w:rFonts w:asciiTheme="majorHAnsi" w:hAnsiTheme="majorHAnsi" w:cstheme="majorHAnsi"/>
                <w:sz w:val="18"/>
                <w:szCs w:val="18"/>
                <w:lang w:val="en-US"/>
              </w:rPr>
              <w:t xml:space="preserve"> of </w:t>
            </w:r>
            <w:proofErr w:type="spellStart"/>
            <w:r w:rsidRPr="00AF2E86">
              <w:rPr>
                <w:rFonts w:asciiTheme="majorHAnsi" w:hAnsiTheme="majorHAnsi" w:cstheme="majorHAnsi"/>
                <w:sz w:val="18"/>
                <w:szCs w:val="18"/>
                <w:lang w:val="en-US"/>
              </w:rPr>
              <w:t>M'Zab</w:t>
            </w:r>
            <w:proofErr w:type="spellEnd"/>
            <w:r w:rsidRPr="00AF2E86">
              <w:rPr>
                <w:rFonts w:asciiTheme="majorHAnsi" w:hAnsiTheme="majorHAnsi" w:cstheme="majorHAnsi"/>
                <w:sz w:val="18"/>
                <w:szCs w:val="18"/>
                <w:lang w:val="en-US"/>
              </w:rPr>
              <w:t>; Solar orientation; Sustainability; Vernacular; Islamic architecture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648BA0F"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1C76A373"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 xml:space="preserve">Cities in deserts may get exceedingly hot, especially in the summer, making them vulnerable to long-term, harmful, and progressively severe thermal conditions [1]. The climate may greatly impact people's lives, especially by allowing or prohibiting more outside activities. Temperature and its changes influence our everyday activities, affecting our comfort. Given the varied nature of the human situation, thermal comfort is defined as a feeling of well-being, an absence of discomfort, or a state of mind that is content with the thermal environment [2]. A person sitting in the sun next to a window can absorb radiant heat [3], and surfaces inside a home can exchange heat with other surfaces through radiation, affecting the interior ambient temperature [2]. As a result, architectural discourse and practice were required to experiment with the connection between climatic patterns and people's daily lives and habits [4], [5]. The relationship between energy and society must also be examined to develop methods for changing energy use. For studying and comprehending this link, it is crucial to understand and apply energy language to the social interrelationships of our living environment and technology [6]. </w:t>
      </w:r>
    </w:p>
    <w:p w14:paraId="0E692C40"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 xml:space="preserve">Sunlight is regarded as an important source of energy. Its duration is a key factor in establishing the seasons, particularly sunshine duration. Following Le Corbusier, especially his article published in 'Techniques et Architecture' issue, Fradet, the France engineer from France's National Scientific Research </w:t>
      </w:r>
      <w:proofErr w:type="spellStart"/>
      <w:r w:rsidRPr="00AF2E86">
        <w:rPr>
          <w:rFonts w:asciiTheme="majorHAnsi" w:hAnsiTheme="majorHAnsi" w:cstheme="majorHAnsi"/>
          <w:sz w:val="20"/>
          <w:szCs w:val="20"/>
        </w:rPr>
        <w:t>Center</w:t>
      </w:r>
      <w:proofErr w:type="spellEnd"/>
      <w:r w:rsidRPr="00AF2E86">
        <w:rPr>
          <w:rFonts w:asciiTheme="majorHAnsi" w:hAnsiTheme="majorHAnsi" w:cstheme="majorHAnsi"/>
          <w:sz w:val="20"/>
          <w:szCs w:val="20"/>
        </w:rPr>
        <w:t xml:space="preserve"> (CNRS) conference, also discussed solar efficiency. That was most likely the first climate diagrams published in the French architectural press. Diagrams of suggested building heights and other design ideas were included with indications of the sun path and shading charts for the Parisian latitude [4]. In the desert area of the Northern Hemisphere, the longer the sunlight lasts each day in each place, the more effective this sunlight is, and the more the soil heats </w:t>
      </w:r>
      <w:r w:rsidRPr="00AF2E86">
        <w:rPr>
          <w:rFonts w:asciiTheme="majorHAnsi" w:hAnsiTheme="majorHAnsi" w:cstheme="majorHAnsi"/>
          <w:sz w:val="20"/>
          <w:szCs w:val="20"/>
        </w:rPr>
        <w:lastRenderedPageBreak/>
        <w:t xml:space="preserve">up, so more antiseptic effect of light can be felt, which is so well known. It exerts its beneficial action on organized beings, both plants and animals. The yearly cycle of insolation was, therefore, amplified in the Northern Hemisphere, which, for example, boosted the dynamism of its summer monsoon. Insolation is not a negative thing, but it will be tough if summer temperatures exceed 50° C for a lengthy period, as it is in desert areas where the health and well-being problem is dependent on daily exposure to sunlight, which can induce sunstroke by walking in the sun during this season [7]. Sunstroke would occur if someone went bareheaded in the sun at midday because the energy that drops from the sun changes certain vibrations and may cause brain warmth. In this circumstance, the patient had to be immediately put in the shade [8]. However, how can we avoid this problem occurred in hot desert regions like Algeria's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w:t>
      </w:r>
      <w:proofErr w:type="spellStart"/>
      <w:r w:rsidRPr="00AF2E86">
        <w:rPr>
          <w:rFonts w:asciiTheme="majorHAnsi" w:hAnsiTheme="majorHAnsi" w:cstheme="majorHAnsi"/>
          <w:sz w:val="20"/>
          <w:szCs w:val="20"/>
        </w:rPr>
        <w:t>Ksar</w:t>
      </w:r>
      <w:proofErr w:type="spellEnd"/>
      <w:r w:rsidRPr="00AF2E86">
        <w:rPr>
          <w:rFonts w:asciiTheme="majorHAnsi" w:hAnsiTheme="majorHAnsi" w:cstheme="majorHAnsi"/>
          <w:sz w:val="20"/>
          <w:szCs w:val="20"/>
        </w:rPr>
        <w:t xml:space="preserve"> in singular), which are historic building complexes that form a tight urban tissue in Algeria's desert areas, where we cannot plant trees due to the rocky nature of the implementation site?</w:t>
      </w:r>
    </w:p>
    <w:p w14:paraId="73D352F0" w14:textId="77777777" w:rsidR="00AF2E86" w:rsidRPr="00AF2E86" w:rsidRDefault="00AF2E86" w:rsidP="00AF2E86">
      <w:pPr>
        <w:ind w:firstLine="284"/>
        <w:jc w:val="both"/>
        <w:rPr>
          <w:rFonts w:asciiTheme="majorHAnsi" w:hAnsiTheme="majorHAnsi" w:cstheme="majorHAnsi"/>
          <w:sz w:val="20"/>
          <w:szCs w:val="20"/>
        </w:rPr>
      </w:pPr>
      <w:proofErr w:type="spellStart"/>
      <w:r w:rsidRPr="00AF2E86">
        <w:rPr>
          <w:rFonts w:asciiTheme="majorHAnsi" w:hAnsiTheme="majorHAnsi" w:cstheme="majorHAnsi"/>
          <w:sz w:val="20"/>
          <w:szCs w:val="20"/>
        </w:rPr>
        <w:t>Filhol</w:t>
      </w:r>
      <w:proofErr w:type="spellEnd"/>
      <w:r w:rsidRPr="00AF2E86">
        <w:rPr>
          <w:rFonts w:asciiTheme="majorHAnsi" w:hAnsiTheme="majorHAnsi" w:cstheme="majorHAnsi"/>
          <w:sz w:val="20"/>
          <w:szCs w:val="20"/>
        </w:rPr>
        <w:t xml:space="preserve"> and Besancenot [9] discovered a substantial association between self-aggression curves and sunshine length in their study on </w:t>
      </w:r>
      <w:proofErr w:type="spellStart"/>
      <w:r w:rsidRPr="00AF2E86">
        <w:rPr>
          <w:rFonts w:asciiTheme="majorHAnsi" w:hAnsiTheme="majorHAnsi" w:cstheme="majorHAnsi"/>
          <w:sz w:val="20"/>
          <w:szCs w:val="20"/>
        </w:rPr>
        <w:t>behavior</w:t>
      </w:r>
      <w:proofErr w:type="spellEnd"/>
      <w:r w:rsidRPr="00AF2E86">
        <w:rPr>
          <w:rFonts w:asciiTheme="majorHAnsi" w:hAnsiTheme="majorHAnsi" w:cstheme="majorHAnsi"/>
          <w:sz w:val="20"/>
          <w:szCs w:val="20"/>
        </w:rPr>
        <w:t xml:space="preserve"> and meteorology. This curve is connected to the amount of time spent in the sun. Interior thermal conditions are conceptualized as the physiological presence of a universal subject in a specific area to prevent the consequences of insolation. Such a subject may move the louver and adjust the lever to cover the sun as it moves across the sky, which would otherwise impact the interior's experience. Thus, for this system to work correctly, social practices and embodied habits are essential [4]. According to </w:t>
      </w:r>
      <w:proofErr w:type="spellStart"/>
      <w:r w:rsidRPr="00AF2E86">
        <w:rPr>
          <w:rFonts w:asciiTheme="majorHAnsi" w:hAnsiTheme="majorHAnsi" w:cstheme="majorHAnsi"/>
          <w:sz w:val="20"/>
          <w:szCs w:val="20"/>
        </w:rPr>
        <w:t>Bardov</w:t>
      </w:r>
      <w:proofErr w:type="spellEnd"/>
      <w:r w:rsidRPr="00AF2E86">
        <w:rPr>
          <w:rFonts w:asciiTheme="majorHAnsi" w:hAnsiTheme="majorHAnsi" w:cstheme="majorHAnsi"/>
          <w:sz w:val="20"/>
          <w:szCs w:val="20"/>
        </w:rPr>
        <w:t xml:space="preserve"> [10], premises windows should face North and South in the equatorial zone (long premises parallel to the equator to decrease direct insolation) and Southeastern-Southwestern in the Northern Hemisphere (premises length should be oriented along the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This North-South orientation is especially crucial in hot urban desert regions (HUDs), where sunshine is critical for outdoor space design [11]. Desert residents avoid aligning their windows towards the North-South axis, where the outside space formed by the walls of the buildings provides shade due to the use of curved routes, as ancestral know-how of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designers [12].</w:t>
      </w:r>
    </w:p>
    <w:p w14:paraId="0D21AA2A"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ab/>
        <w:t xml:space="preserve">There are several options when considering the fabric of the building itself. In Phoenix, instead of reflecting glass, the orientation, texture, and form of the outer envelope is a more fundamental approach to influencing the impact of solar radiation on a building [6]. When the University of Bologna faculty was being built, a long, straight central corridor parallel to the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connected all of the building blocks and provided access to the expansive drawing rooms—one for each course and each floor—at every level [13]. This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has lately been criticized, with "the analysis of the average annual temperatures" of the façades revealing that the average thermal equality desired by the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proponents is only attained for a building oriented exactly North-South. The average temperature asymmetry grows as one gets away from the North-South axis in all other directions [14].</w:t>
      </w:r>
    </w:p>
    <w:p w14:paraId="5F89D32A"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ab/>
        <w:t xml:space="preserve">Some projects take a more in-depth look at the impact of solar systems and thermal stress. As in an Italian study of the Albergo </w:t>
      </w:r>
      <w:proofErr w:type="spellStart"/>
      <w:r w:rsidRPr="00AF2E86">
        <w:rPr>
          <w:rFonts w:asciiTheme="majorHAnsi" w:hAnsiTheme="majorHAnsi" w:cstheme="majorHAnsi"/>
          <w:sz w:val="20"/>
          <w:szCs w:val="20"/>
        </w:rPr>
        <w:t>dei</w:t>
      </w:r>
      <w:proofErr w:type="spellEnd"/>
      <w:r w:rsidRPr="00AF2E86">
        <w:rPr>
          <w:rFonts w:asciiTheme="majorHAnsi" w:hAnsiTheme="majorHAnsi" w:cstheme="majorHAnsi"/>
          <w:sz w:val="20"/>
          <w:szCs w:val="20"/>
        </w:rPr>
        <w:t xml:space="preserve"> </w:t>
      </w:r>
      <w:proofErr w:type="spellStart"/>
      <w:r w:rsidRPr="00AF2E86">
        <w:rPr>
          <w:rFonts w:asciiTheme="majorHAnsi" w:hAnsiTheme="majorHAnsi" w:cstheme="majorHAnsi"/>
          <w:sz w:val="20"/>
          <w:szCs w:val="20"/>
        </w:rPr>
        <w:t>Pevori</w:t>
      </w:r>
      <w:proofErr w:type="spellEnd"/>
      <w:r w:rsidRPr="00AF2E86">
        <w:rPr>
          <w:rFonts w:asciiTheme="majorHAnsi" w:hAnsiTheme="majorHAnsi" w:cstheme="majorHAnsi"/>
          <w:sz w:val="20"/>
          <w:szCs w:val="20"/>
        </w:rPr>
        <w:t xml:space="preserve"> monument, the computation hypothesis considered the various uses: teaching areas, libraries, museums, religious worship buildings, accommodation, and the relative use of each over 24 hours. In addition to individual uses, Franco and Magrini [15] examined the room's position concerning the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and any barriers that may reduce solar contribution to natural illumination. This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has been incorporated into the design of various buildings, such as Renzo Piano's County Museum of Art-LACMA in Los Angeles. The building "embraces" the landscape by creating circumstances for listening to and merging with the natural environment. A series of overlapping planes and thin diaphragms produce 'depth,' which is not visual. The building, located next to a clearing traversed by a river, is oriented toward the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axis to maximize the use of the passive cooling system [16].</w:t>
      </w:r>
    </w:p>
    <w:p w14:paraId="4576DE28"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ab/>
        <w:t xml:space="preserve">Jane Jacobs [17] outlines some of the elements that make cities operate in the local order of the street. These depend on the relationship between the city's physical fabric and the weave of social interaction within it. The street represents the interface between urban and architectural scales, with shared functional features between the building exterior and the open urban canopy. The street's strategic importance is also related to its function: from a design standpoint, the street network of an urban entity serves as the primary support for mobility, urban activity, and social life, and it even reflects cultural specificities [18]. The direction of exterior circulation spaces, as a support for social life and social practices during the day, is one of the best possibilities for the long-term survival of Saharan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Because the alley system corresponds with outdoor space as a location for living, socialization, and gathering in Saharan Vernacular Islamic architecture, the North-South orientation is not recommended and should be minimized. Saharan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is a living testimonial of the man-made landscape incorporating physical buildings that harmonize with the surrounding nature and climate.</w:t>
      </w:r>
    </w:p>
    <w:p w14:paraId="7C356D95"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 xml:space="preserve">Along with this, cultural, social, economic, and environmental factors and construction techniques are all involved [19], [20]. The depth of the designs of the morphology of vernacular Islamic cities without the need for architects' perspectives but instead via proven wisdom and knowledge has proven its control, perfect integration, and ability to blend harmoniously with the site. We can place cities in the triad Man-technique-environment only after treating them properly and sufficiently, as is the case of the Saharan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in Algeria.</w:t>
      </w:r>
    </w:p>
    <w:p w14:paraId="28B9F128"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lastRenderedPageBreak/>
        <w:tab/>
        <w:t xml:space="preserve">Among the most famous ones, </w:t>
      </w:r>
      <w:proofErr w:type="spellStart"/>
      <w:r w:rsidRPr="00AF2E86">
        <w:rPr>
          <w:rFonts w:asciiTheme="majorHAnsi" w:hAnsiTheme="majorHAnsi" w:cstheme="majorHAnsi"/>
          <w:sz w:val="20"/>
          <w:szCs w:val="20"/>
        </w:rPr>
        <w:t>M'Zab's</w:t>
      </w:r>
      <w:proofErr w:type="spellEnd"/>
      <w:r w:rsidRPr="00AF2E86">
        <w:rPr>
          <w:rFonts w:asciiTheme="majorHAnsi" w:hAnsiTheme="majorHAnsi" w:cstheme="majorHAnsi"/>
          <w:sz w:val="20"/>
          <w:szCs w:val="20"/>
        </w:rPr>
        <w:t xml:space="preserve">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(Algeria) is realized through an identical morphological composition using indigenous construction materials, transferring ancestral knowledge on a regional scale. </w:t>
      </w:r>
      <w:proofErr w:type="spellStart"/>
      <w:r w:rsidRPr="00AF2E86">
        <w:rPr>
          <w:rFonts w:asciiTheme="majorHAnsi" w:hAnsiTheme="majorHAnsi" w:cstheme="majorHAnsi"/>
          <w:sz w:val="20"/>
          <w:szCs w:val="20"/>
        </w:rPr>
        <w:t>Mozabite</w:t>
      </w:r>
      <w:proofErr w:type="spellEnd"/>
      <w:r w:rsidRPr="00AF2E86">
        <w:rPr>
          <w:rFonts w:asciiTheme="majorHAnsi" w:hAnsiTheme="majorHAnsi" w:cstheme="majorHAnsi"/>
          <w:sz w:val="20"/>
          <w:szCs w:val="20"/>
        </w:rPr>
        <w:t xml:space="preserve"> social practices are adopted and sheltered against the detrimental effects of the region's harsh climatic circumstances, particularly the duration of insolation and the oppressive desert temperature. Preserving vernacular Islamic urban form and social life demonstrates thermal stress avoidance. As a heritage for humanity, the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of </w:t>
      </w:r>
      <w:proofErr w:type="spellStart"/>
      <w:r w:rsidRPr="00AF2E86">
        <w:rPr>
          <w:rFonts w:asciiTheme="majorHAnsi" w:hAnsiTheme="majorHAnsi" w:cstheme="majorHAnsi"/>
          <w:sz w:val="20"/>
          <w:szCs w:val="20"/>
        </w:rPr>
        <w:t>M'Zab's</w:t>
      </w:r>
      <w:proofErr w:type="spellEnd"/>
      <w:r w:rsidRPr="00AF2E86">
        <w:rPr>
          <w:rFonts w:asciiTheme="majorHAnsi" w:hAnsiTheme="majorHAnsi" w:cstheme="majorHAnsi"/>
          <w:sz w:val="20"/>
          <w:szCs w:val="20"/>
        </w:rPr>
        <w:t xml:space="preserve"> sustainability demonstrates an adapted urban design in which the inhabitants-designers have succeeded in assuring people's movement without thermal stress. The limited availability of solar radiation is due to their compactness, shading from </w:t>
      </w:r>
      <w:proofErr w:type="spellStart"/>
      <w:r w:rsidRPr="00AF2E86">
        <w:rPr>
          <w:rFonts w:asciiTheme="majorHAnsi" w:hAnsiTheme="majorHAnsi" w:cstheme="majorHAnsi"/>
          <w:sz w:val="20"/>
          <w:szCs w:val="20"/>
        </w:rPr>
        <w:t>neighboring</w:t>
      </w:r>
      <w:proofErr w:type="spellEnd"/>
      <w:r w:rsidRPr="00AF2E86">
        <w:rPr>
          <w:rFonts w:asciiTheme="majorHAnsi" w:hAnsiTheme="majorHAnsi" w:cstheme="majorHAnsi"/>
          <w:sz w:val="20"/>
          <w:szCs w:val="20"/>
        </w:rPr>
        <w:t xml:space="preserve"> buildings, limitations in building orientation, urban regulation constraints, size constraints, and limited space for solar collection compared to the building’s area [21]. Simultaneously, the individual micro-climatic conditions around urban buildings broadly define the building's performance.</w:t>
      </w:r>
    </w:p>
    <w:p w14:paraId="0065411C" w14:textId="77777777" w:rsidR="00AF2E86" w:rsidRP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 xml:space="preserve">In comparison with the </w:t>
      </w:r>
      <w:proofErr w:type="spellStart"/>
      <w:r w:rsidRPr="00AF2E86">
        <w:rPr>
          <w:rFonts w:asciiTheme="majorHAnsi" w:hAnsiTheme="majorHAnsi" w:cstheme="majorHAnsi"/>
          <w:sz w:val="20"/>
          <w:szCs w:val="20"/>
        </w:rPr>
        <w:t>M'zab</w:t>
      </w:r>
      <w:proofErr w:type="spellEnd"/>
      <w:r w:rsidRPr="00AF2E86">
        <w:rPr>
          <w:rFonts w:asciiTheme="majorHAnsi" w:hAnsiTheme="majorHAnsi" w:cstheme="majorHAnsi"/>
          <w:sz w:val="20"/>
          <w:szCs w:val="20"/>
        </w:rPr>
        <w:t xml:space="preserve"> case, other research </w:t>
      </w:r>
      <w:proofErr w:type="gramStart"/>
      <w:r w:rsidRPr="00AF2E86">
        <w:rPr>
          <w:rFonts w:asciiTheme="majorHAnsi" w:hAnsiTheme="majorHAnsi" w:cstheme="majorHAnsi"/>
          <w:sz w:val="20"/>
          <w:szCs w:val="20"/>
        </w:rPr>
        <w:t>strive</w:t>
      </w:r>
      <w:proofErr w:type="gramEnd"/>
      <w:r w:rsidRPr="00AF2E86">
        <w:rPr>
          <w:rFonts w:asciiTheme="majorHAnsi" w:hAnsiTheme="majorHAnsi" w:cstheme="majorHAnsi"/>
          <w:sz w:val="20"/>
          <w:szCs w:val="20"/>
        </w:rPr>
        <w:t xml:space="preserve"> to explore the link between this sustainable historical value and the environment. In Italy, for example, on considering the issue of energy performance in historic areas, only a few regions, such as Umbria, Toscana, and Friuli Venezia Giulia, referred to the importance of the relationship between buildings and environment, both natural and constructed [22]. As well as the aspects related to their interactions, the study of the environmental conditions includes climate and microclimate, </w:t>
      </w:r>
      <w:proofErr w:type="spellStart"/>
      <w:r w:rsidRPr="00AF2E86">
        <w:rPr>
          <w:rFonts w:asciiTheme="majorHAnsi" w:hAnsiTheme="majorHAnsi" w:cstheme="majorHAnsi"/>
          <w:sz w:val="20"/>
          <w:szCs w:val="20"/>
        </w:rPr>
        <w:t>heliothermal</w:t>
      </w:r>
      <w:proofErr w:type="spellEnd"/>
      <w:r w:rsidRPr="00AF2E86">
        <w:rPr>
          <w:rFonts w:asciiTheme="majorHAnsi" w:hAnsiTheme="majorHAnsi" w:cstheme="majorHAnsi"/>
          <w:sz w:val="20"/>
          <w:szCs w:val="20"/>
        </w:rPr>
        <w:t xml:space="preserve"> paths and prevailing winds, building or nature, and artificial context relations. Vernacular Islamic architecture traits may be intriguing and enlightening for those studying them. </w:t>
      </w:r>
    </w:p>
    <w:p w14:paraId="545FDAB4" w14:textId="77777777" w:rsid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ab/>
        <w:t xml:space="preserve">Examining the means chosen to combat harsh sunlight in basic and experimental approaches demonstrates the importance of considering vernacular solutions that have endured over time. Vernacular Islamic architecture reflects a specific civilization's construction methods, use of space, materials used, and tastes and needs [23]. The primary purpose of this study is to understand the design of vernacular Islamic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through solar orientation, which the </w:t>
      </w:r>
      <w:proofErr w:type="spellStart"/>
      <w:r w:rsidRPr="00AF2E86">
        <w:rPr>
          <w:rFonts w:asciiTheme="majorHAnsi" w:hAnsiTheme="majorHAnsi" w:cstheme="majorHAnsi"/>
          <w:sz w:val="20"/>
          <w:szCs w:val="20"/>
        </w:rPr>
        <w:t>Mozabites</w:t>
      </w:r>
      <w:proofErr w:type="spellEnd"/>
      <w:r w:rsidRPr="00AF2E86">
        <w:rPr>
          <w:rFonts w:asciiTheme="majorHAnsi" w:hAnsiTheme="majorHAnsi" w:cstheme="majorHAnsi"/>
          <w:sz w:val="20"/>
          <w:szCs w:val="20"/>
        </w:rPr>
        <w:t xml:space="preserve"> chose to face the morphology and harshness of existence, where the sun is low in the sky in winter, welcomed to warm the buildings, but rejected by a simple overhang in summer [6]. This demonstrates another characteristic of the endurance of vernacular Islamic architecture [24]. These </w:t>
      </w:r>
      <w:proofErr w:type="spellStart"/>
      <w:r w:rsidRPr="00AF2E86">
        <w:rPr>
          <w:rFonts w:asciiTheme="majorHAnsi" w:hAnsiTheme="majorHAnsi" w:cstheme="majorHAnsi"/>
          <w:sz w:val="20"/>
          <w:szCs w:val="20"/>
        </w:rPr>
        <w:t>Ksour</w:t>
      </w:r>
      <w:proofErr w:type="spellEnd"/>
      <w:r w:rsidRPr="00AF2E86">
        <w:rPr>
          <w:rFonts w:asciiTheme="majorHAnsi" w:hAnsiTheme="majorHAnsi" w:cstheme="majorHAnsi"/>
          <w:sz w:val="20"/>
          <w:szCs w:val="20"/>
        </w:rPr>
        <w:t xml:space="preserve"> were recognized as a World Heritage Site by UNESCO in 1982 for their ideals and vernacular Islamic solutions adopted by this arid climate and local culture. In responding to the avoidance of solar shocks inside and outside inhabited areas, these millennia-old urban fabrics demonstrate tremendous wisdom and knowledge</w:t>
      </w:r>
      <w:r w:rsidR="0079305C" w:rsidRPr="0079305C">
        <w:rPr>
          <w:rFonts w:asciiTheme="majorHAnsi" w:hAnsiTheme="majorHAnsi" w:cstheme="majorHAnsi"/>
          <w:sz w:val="20"/>
          <w:szCs w:val="20"/>
        </w:rPr>
        <w:t>.</w:t>
      </w:r>
    </w:p>
    <w:p w14:paraId="0AB789B6" w14:textId="77777777" w:rsidR="00AF2E86" w:rsidRDefault="00AF2E86" w:rsidP="00AF2E86">
      <w:pPr>
        <w:ind w:firstLine="284"/>
        <w:jc w:val="both"/>
        <w:rPr>
          <w:rFonts w:asciiTheme="majorHAnsi" w:hAnsiTheme="majorHAnsi" w:cstheme="majorHAnsi"/>
          <w:sz w:val="20"/>
          <w:szCs w:val="20"/>
        </w:rPr>
      </w:pPr>
    </w:p>
    <w:p w14:paraId="6529071E" w14:textId="3C5B6A59" w:rsidR="00AF2E86" w:rsidRDefault="00AF2E86" w:rsidP="00AF2E86">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METHODS</w:t>
      </w:r>
    </w:p>
    <w:p w14:paraId="7202EB3A" w14:textId="4AD84383" w:rsidR="00AF2E86" w:rsidRDefault="00AF2E86" w:rsidP="00AF2E86">
      <w:pPr>
        <w:ind w:firstLine="284"/>
        <w:jc w:val="both"/>
        <w:rPr>
          <w:rFonts w:asciiTheme="majorHAnsi" w:hAnsiTheme="majorHAnsi" w:cstheme="majorHAnsi"/>
          <w:sz w:val="20"/>
          <w:szCs w:val="20"/>
        </w:rPr>
      </w:pPr>
      <w:r w:rsidRPr="00AF2E86">
        <w:rPr>
          <w:rFonts w:asciiTheme="majorHAnsi" w:hAnsiTheme="majorHAnsi" w:cstheme="majorHAnsi"/>
          <w:sz w:val="20"/>
          <w:szCs w:val="20"/>
        </w:rPr>
        <w:t xml:space="preserve">The oasis of Ghardaïa is located in the South of Algeria between 32° and 33°20' North latitude and 0°4' and 2°50' East longitude (Figure1). It is about 610 km by road from Algiers. Ghardaïa is the largest of five upland settlements amidst valuable, finite irrigated palm groves, where there was a need for </w:t>
      </w:r>
      <w:proofErr w:type="spellStart"/>
      <w:r w:rsidRPr="00AF2E86">
        <w:rPr>
          <w:rFonts w:asciiTheme="majorHAnsi" w:hAnsiTheme="majorHAnsi" w:cstheme="majorHAnsi"/>
          <w:sz w:val="20"/>
          <w:szCs w:val="20"/>
        </w:rPr>
        <w:t>defense</w:t>
      </w:r>
      <w:proofErr w:type="spellEnd"/>
      <w:r w:rsidRPr="00AF2E86">
        <w:rPr>
          <w:rFonts w:asciiTheme="majorHAnsi" w:hAnsiTheme="majorHAnsi" w:cstheme="majorHAnsi"/>
          <w:sz w:val="20"/>
          <w:szCs w:val="20"/>
        </w:rPr>
        <w:t xml:space="preserve"> and stone as an available building material [25]. The settlement of this desert region resulted in extraordinary urban and architectural designs that considered the dry climate, winds, dust, and excessive sunlight. The Ibadite society, which remained homogeneous as long as it remained closed to itself by a deliberate choice of its members, elaborated a specific architecture that materially translated the relatively complex structures of its organization, way of life, and thought</w:t>
      </w:r>
      <w:r w:rsidRPr="005E66A5">
        <w:rPr>
          <w:rFonts w:asciiTheme="majorHAnsi" w:hAnsiTheme="majorHAnsi" w:cstheme="majorHAnsi"/>
          <w:sz w:val="20"/>
          <w:szCs w:val="20"/>
        </w:rPr>
        <w:t>.</w:t>
      </w:r>
    </w:p>
    <w:p w14:paraId="31980155" w14:textId="77777777" w:rsidR="00C55526" w:rsidRPr="005E66A5" w:rsidRDefault="00C55526" w:rsidP="00AF2E86">
      <w:pPr>
        <w:ind w:firstLine="284"/>
        <w:jc w:val="both"/>
        <w:rPr>
          <w:rFonts w:asciiTheme="majorHAnsi" w:hAnsiTheme="majorHAnsi" w:cstheme="majorHAnsi"/>
          <w:b/>
          <w:sz w:val="20"/>
          <w:szCs w:val="20"/>
          <w:lang w:val="id-ID"/>
        </w:rPr>
      </w:pPr>
    </w:p>
    <w:p w14:paraId="75070E66" w14:textId="263F73FC" w:rsidR="00AF2E86" w:rsidRDefault="00C55526" w:rsidP="00C55526">
      <w:pPr>
        <w:jc w:val="center"/>
        <w:rPr>
          <w:rFonts w:asciiTheme="minorHAnsi" w:hAnsiTheme="minorHAnsi" w:cstheme="minorHAnsi"/>
          <w:b/>
          <w:bCs/>
        </w:rPr>
      </w:pPr>
      <w:r>
        <w:rPr>
          <w:noProof/>
        </w:rPr>
        <w:drawing>
          <wp:inline distT="0" distB="0" distL="0" distR="0" wp14:anchorId="57A79DE0" wp14:editId="08F011C3">
            <wp:extent cx="2864111" cy="2524836"/>
            <wp:effectExtent l="0" t="0" r="0" b="8890"/>
            <wp:docPr id="6719829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4874" cy="2543139"/>
                    </a:xfrm>
                    <a:prstGeom prst="rect">
                      <a:avLst/>
                    </a:prstGeom>
                    <a:noFill/>
                    <a:ln>
                      <a:noFill/>
                    </a:ln>
                  </pic:spPr>
                </pic:pic>
              </a:graphicData>
            </a:graphic>
          </wp:inline>
        </w:drawing>
      </w:r>
    </w:p>
    <w:p w14:paraId="3D51658F" w14:textId="77777777" w:rsidR="006A269F" w:rsidRDefault="006A269F" w:rsidP="006A269F">
      <w:pPr>
        <w:jc w:val="center"/>
        <w:rPr>
          <w:rFonts w:asciiTheme="minorHAnsi" w:hAnsiTheme="minorHAnsi" w:cstheme="minorHAnsi"/>
          <w:b/>
          <w:bCs/>
        </w:rPr>
      </w:pPr>
    </w:p>
    <w:p w14:paraId="388ABD32" w14:textId="7ACB7684" w:rsidR="006A269F" w:rsidRDefault="006A269F" w:rsidP="006A269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6A269F">
        <w:rPr>
          <w:rFonts w:asciiTheme="majorHAnsi" w:hAnsiTheme="majorHAnsi" w:cstheme="majorHAnsi"/>
          <w:bCs/>
          <w:sz w:val="16"/>
          <w:szCs w:val="16"/>
        </w:rPr>
        <w:t>1</w:t>
      </w:r>
      <w:r>
        <w:rPr>
          <w:rFonts w:asciiTheme="majorHAnsi" w:hAnsiTheme="majorHAnsi" w:cstheme="majorHAnsi"/>
          <w:bCs/>
          <w:sz w:val="16"/>
          <w:szCs w:val="16"/>
        </w:rPr>
        <w:t>.</w:t>
      </w:r>
      <w:r w:rsidRPr="006A269F">
        <w:rPr>
          <w:rFonts w:asciiTheme="majorHAnsi" w:hAnsiTheme="majorHAnsi" w:cstheme="majorHAnsi"/>
          <w:bCs/>
          <w:sz w:val="16"/>
          <w:szCs w:val="16"/>
        </w:rPr>
        <w:t xml:space="preserve"> Location of the desert </w:t>
      </w:r>
      <w:proofErr w:type="spellStart"/>
      <w:r w:rsidRPr="006A269F">
        <w:rPr>
          <w:rFonts w:asciiTheme="majorHAnsi" w:hAnsiTheme="majorHAnsi" w:cstheme="majorHAnsi"/>
          <w:bCs/>
          <w:sz w:val="16"/>
          <w:szCs w:val="16"/>
        </w:rPr>
        <w:t>Ksour</w:t>
      </w:r>
      <w:proofErr w:type="spellEnd"/>
      <w:r w:rsidRPr="006A269F">
        <w:rPr>
          <w:rFonts w:asciiTheme="majorHAnsi" w:hAnsiTheme="majorHAnsi" w:cstheme="majorHAnsi"/>
          <w:bCs/>
          <w:sz w:val="16"/>
          <w:szCs w:val="16"/>
        </w:rPr>
        <w:t xml:space="preserve"> of the </w:t>
      </w:r>
      <w:proofErr w:type="spellStart"/>
      <w:r w:rsidRPr="006A269F">
        <w:rPr>
          <w:rFonts w:asciiTheme="majorHAnsi" w:hAnsiTheme="majorHAnsi" w:cstheme="majorHAnsi"/>
          <w:bCs/>
          <w:sz w:val="16"/>
          <w:szCs w:val="16"/>
        </w:rPr>
        <w:t>M'Zab</w:t>
      </w:r>
      <w:proofErr w:type="spellEnd"/>
      <w:r w:rsidRPr="006A269F">
        <w:rPr>
          <w:rFonts w:asciiTheme="majorHAnsi" w:hAnsiTheme="majorHAnsi" w:cstheme="majorHAnsi"/>
          <w:bCs/>
          <w:sz w:val="16"/>
          <w:szCs w:val="16"/>
        </w:rPr>
        <w:t xml:space="preserve"> Valley (a: </w:t>
      </w:r>
      <w:proofErr w:type="spellStart"/>
      <w:r w:rsidRPr="006A269F">
        <w:rPr>
          <w:rFonts w:asciiTheme="majorHAnsi" w:hAnsiTheme="majorHAnsi" w:cstheme="majorHAnsi"/>
          <w:bCs/>
          <w:sz w:val="16"/>
          <w:szCs w:val="16"/>
        </w:rPr>
        <w:t>Ksar</w:t>
      </w:r>
      <w:proofErr w:type="spellEnd"/>
      <w:r w:rsidRPr="006A269F">
        <w:rPr>
          <w:rFonts w:asciiTheme="majorHAnsi" w:hAnsiTheme="majorHAnsi" w:cstheme="majorHAnsi"/>
          <w:bCs/>
          <w:sz w:val="16"/>
          <w:szCs w:val="16"/>
        </w:rPr>
        <w:t xml:space="preserve"> of Beni </w:t>
      </w:r>
      <w:proofErr w:type="spellStart"/>
      <w:r w:rsidRPr="006A269F">
        <w:rPr>
          <w:rFonts w:asciiTheme="majorHAnsi" w:hAnsiTheme="majorHAnsi" w:cstheme="majorHAnsi"/>
          <w:bCs/>
          <w:sz w:val="16"/>
          <w:szCs w:val="16"/>
        </w:rPr>
        <w:t>Yezuguen</w:t>
      </w:r>
      <w:proofErr w:type="spellEnd"/>
      <w:r w:rsidRPr="006A269F">
        <w:rPr>
          <w:rFonts w:asciiTheme="majorHAnsi" w:hAnsiTheme="majorHAnsi" w:cstheme="majorHAnsi"/>
          <w:bCs/>
          <w:sz w:val="16"/>
          <w:szCs w:val="16"/>
        </w:rPr>
        <w:t xml:space="preserve">; b: </w:t>
      </w:r>
      <w:proofErr w:type="spellStart"/>
      <w:r w:rsidRPr="006A269F">
        <w:rPr>
          <w:rFonts w:asciiTheme="majorHAnsi" w:hAnsiTheme="majorHAnsi" w:cstheme="majorHAnsi"/>
          <w:bCs/>
          <w:sz w:val="16"/>
          <w:szCs w:val="16"/>
        </w:rPr>
        <w:t>Ksar</w:t>
      </w:r>
      <w:proofErr w:type="spellEnd"/>
      <w:r w:rsidRPr="006A269F">
        <w:rPr>
          <w:rFonts w:asciiTheme="majorHAnsi" w:hAnsiTheme="majorHAnsi" w:cstheme="majorHAnsi"/>
          <w:bCs/>
          <w:sz w:val="16"/>
          <w:szCs w:val="16"/>
        </w:rPr>
        <w:t xml:space="preserve"> of El </w:t>
      </w:r>
      <w:proofErr w:type="spellStart"/>
      <w:r w:rsidRPr="006A269F">
        <w:rPr>
          <w:rFonts w:asciiTheme="majorHAnsi" w:hAnsiTheme="majorHAnsi" w:cstheme="majorHAnsi"/>
          <w:bCs/>
          <w:sz w:val="16"/>
          <w:szCs w:val="16"/>
        </w:rPr>
        <w:t>Ateuf</w:t>
      </w:r>
      <w:proofErr w:type="spellEnd"/>
      <w:r w:rsidRPr="006A269F">
        <w:rPr>
          <w:rFonts w:asciiTheme="majorHAnsi" w:hAnsiTheme="majorHAnsi" w:cstheme="majorHAnsi"/>
          <w:bCs/>
          <w:sz w:val="16"/>
          <w:szCs w:val="16"/>
        </w:rPr>
        <w:t xml:space="preserve">; c: </w:t>
      </w:r>
      <w:proofErr w:type="spellStart"/>
      <w:r w:rsidRPr="006A269F">
        <w:rPr>
          <w:rFonts w:asciiTheme="majorHAnsi" w:hAnsiTheme="majorHAnsi" w:cstheme="majorHAnsi"/>
          <w:bCs/>
          <w:sz w:val="16"/>
          <w:szCs w:val="16"/>
        </w:rPr>
        <w:t>Ksar</w:t>
      </w:r>
      <w:proofErr w:type="spellEnd"/>
      <w:r w:rsidRPr="006A269F">
        <w:rPr>
          <w:rFonts w:asciiTheme="majorHAnsi" w:hAnsiTheme="majorHAnsi" w:cstheme="majorHAnsi"/>
          <w:bCs/>
          <w:sz w:val="16"/>
          <w:szCs w:val="16"/>
        </w:rPr>
        <w:t xml:space="preserve"> of </w:t>
      </w:r>
      <w:proofErr w:type="spellStart"/>
      <w:r w:rsidRPr="006A269F">
        <w:rPr>
          <w:rFonts w:asciiTheme="majorHAnsi" w:hAnsiTheme="majorHAnsi" w:cstheme="majorHAnsi"/>
          <w:bCs/>
          <w:sz w:val="16"/>
          <w:szCs w:val="16"/>
        </w:rPr>
        <w:t>Tafilalet</w:t>
      </w:r>
      <w:proofErr w:type="spellEnd"/>
      <w:r w:rsidRPr="006A269F">
        <w:rPr>
          <w:rFonts w:asciiTheme="majorHAnsi" w:hAnsiTheme="majorHAnsi" w:cstheme="majorHAnsi"/>
          <w:bCs/>
          <w:sz w:val="16"/>
          <w:szCs w:val="16"/>
        </w:rPr>
        <w:t>)</w:t>
      </w:r>
    </w:p>
    <w:p w14:paraId="7EEAAE71" w14:textId="4807B1F3" w:rsidR="006A269F" w:rsidRDefault="006A269F" w:rsidP="006A269F">
      <w:pPr>
        <w:jc w:val="center"/>
        <w:rPr>
          <w:rFonts w:asciiTheme="minorHAnsi" w:hAnsiTheme="minorHAnsi" w:cstheme="minorHAnsi"/>
          <w:b/>
          <w:bCs/>
        </w:rPr>
      </w:pPr>
      <w:r w:rsidRPr="00466162">
        <w:rPr>
          <w:rFonts w:ascii="Century Gothic" w:hAnsi="Century Gothic" w:cstheme="majorBidi"/>
          <w:noProof/>
          <w:color w:val="000000" w:themeColor="text1"/>
          <w:szCs w:val="18"/>
        </w:rPr>
        <w:lastRenderedPageBreak/>
        <w:drawing>
          <wp:inline distT="0" distB="0" distL="0" distR="0" wp14:anchorId="6A42849A" wp14:editId="36C490F9">
            <wp:extent cx="2954828" cy="3640348"/>
            <wp:effectExtent l="0" t="0" r="0" b="0"/>
            <wp:docPr id="8" name="Image 8" descr="C:\Users\dz laptops\Desktop\Recherche\Article with dahmani SASA\To submit 2024\Round 2 Mars 2024\beni izegu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z laptops\Desktop\Recherche\Article with dahmani SASA\To submit 2024\Round 2 Mars 2024\beni izegue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8159" cy="3644452"/>
                    </a:xfrm>
                    <a:prstGeom prst="rect">
                      <a:avLst/>
                    </a:prstGeom>
                    <a:noFill/>
                    <a:ln>
                      <a:noFill/>
                    </a:ln>
                  </pic:spPr>
                </pic:pic>
              </a:graphicData>
            </a:graphic>
          </wp:inline>
        </w:drawing>
      </w:r>
    </w:p>
    <w:p w14:paraId="21C89C5D" w14:textId="77777777" w:rsidR="006A269F" w:rsidRDefault="006A269F" w:rsidP="006A269F">
      <w:pPr>
        <w:jc w:val="center"/>
        <w:rPr>
          <w:rFonts w:asciiTheme="minorHAnsi" w:hAnsiTheme="minorHAnsi" w:cstheme="minorHAnsi"/>
          <w:b/>
          <w:bCs/>
        </w:rPr>
      </w:pPr>
    </w:p>
    <w:p w14:paraId="6DE6AC09" w14:textId="55BEBF6A" w:rsidR="006A269F" w:rsidRDefault="006A269F" w:rsidP="006A269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6A269F">
        <w:rPr>
          <w:rFonts w:asciiTheme="majorHAnsi" w:hAnsiTheme="majorHAnsi" w:cstheme="majorHAnsi"/>
          <w:bCs/>
          <w:sz w:val="16"/>
          <w:szCs w:val="16"/>
        </w:rPr>
        <w:t>2</w:t>
      </w:r>
      <w:r>
        <w:rPr>
          <w:rFonts w:asciiTheme="majorHAnsi" w:hAnsiTheme="majorHAnsi" w:cstheme="majorHAnsi"/>
          <w:bCs/>
          <w:sz w:val="16"/>
          <w:szCs w:val="16"/>
        </w:rPr>
        <w:t>.</w:t>
      </w:r>
      <w:r w:rsidRPr="006A269F">
        <w:rPr>
          <w:rFonts w:asciiTheme="majorHAnsi" w:hAnsiTheme="majorHAnsi" w:cstheme="majorHAnsi"/>
          <w:bCs/>
          <w:sz w:val="16"/>
          <w:szCs w:val="16"/>
        </w:rPr>
        <w:t xml:space="preserve"> Photos of various locations </w:t>
      </w:r>
      <w:proofErr w:type="spellStart"/>
      <w:r w:rsidRPr="006A269F">
        <w:rPr>
          <w:rFonts w:asciiTheme="majorHAnsi" w:hAnsiTheme="majorHAnsi" w:cstheme="majorHAnsi"/>
          <w:bCs/>
          <w:sz w:val="16"/>
          <w:szCs w:val="16"/>
        </w:rPr>
        <w:t>Ksar</w:t>
      </w:r>
      <w:proofErr w:type="spellEnd"/>
      <w:r w:rsidRPr="006A269F">
        <w:rPr>
          <w:rFonts w:asciiTheme="majorHAnsi" w:hAnsiTheme="majorHAnsi" w:cstheme="majorHAnsi"/>
          <w:bCs/>
          <w:sz w:val="16"/>
          <w:szCs w:val="16"/>
        </w:rPr>
        <w:t xml:space="preserve"> of Beni </w:t>
      </w:r>
      <w:proofErr w:type="spellStart"/>
      <w:r w:rsidRPr="006A269F">
        <w:rPr>
          <w:rFonts w:asciiTheme="majorHAnsi" w:hAnsiTheme="majorHAnsi" w:cstheme="majorHAnsi"/>
          <w:bCs/>
          <w:sz w:val="16"/>
          <w:szCs w:val="16"/>
        </w:rPr>
        <w:t>Yezuguen</w:t>
      </w:r>
      <w:proofErr w:type="spellEnd"/>
    </w:p>
    <w:p w14:paraId="21F51741" w14:textId="77777777" w:rsidR="006A269F" w:rsidRDefault="006A269F" w:rsidP="006A269F">
      <w:pPr>
        <w:jc w:val="center"/>
        <w:rPr>
          <w:rFonts w:asciiTheme="minorHAnsi" w:hAnsiTheme="minorHAnsi" w:cstheme="minorHAnsi"/>
          <w:b/>
          <w:bCs/>
        </w:rPr>
      </w:pPr>
    </w:p>
    <w:p w14:paraId="0F91D00D" w14:textId="4D6B5616" w:rsidR="006A269F" w:rsidRDefault="006A269F" w:rsidP="006A269F">
      <w:pPr>
        <w:jc w:val="center"/>
        <w:rPr>
          <w:rFonts w:asciiTheme="minorHAnsi" w:hAnsiTheme="minorHAnsi" w:cstheme="minorHAnsi"/>
          <w:b/>
          <w:bCs/>
        </w:rPr>
      </w:pPr>
      <w:r w:rsidRPr="00466162">
        <w:rPr>
          <w:rFonts w:ascii="Candara" w:hAnsi="Candara"/>
          <w:b/>
          <w:noProof/>
          <w:sz w:val="15"/>
          <w:szCs w:val="15"/>
        </w:rPr>
        <w:drawing>
          <wp:inline distT="0" distB="0" distL="0" distR="0" wp14:anchorId="29D26EEC" wp14:editId="73344193">
            <wp:extent cx="2994603" cy="3689350"/>
            <wp:effectExtent l="0" t="0" r="0" b="6350"/>
            <wp:docPr id="10" name="Image 10" descr="C:\Users\dz laptops\Desktop\Recherche\Article with dahmani SASA\To submit 2024\Round 2 Mars 2024\atteu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z laptops\Desktop\Recherche\Article with dahmani SASA\To submit 2024\Round 2 Mars 2024\atteu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97981" cy="3693511"/>
                    </a:xfrm>
                    <a:prstGeom prst="rect">
                      <a:avLst/>
                    </a:prstGeom>
                    <a:noFill/>
                    <a:ln>
                      <a:noFill/>
                    </a:ln>
                  </pic:spPr>
                </pic:pic>
              </a:graphicData>
            </a:graphic>
          </wp:inline>
        </w:drawing>
      </w:r>
    </w:p>
    <w:p w14:paraId="2CDD6B47" w14:textId="77777777" w:rsidR="006A269F" w:rsidRDefault="006A269F" w:rsidP="006A269F">
      <w:pPr>
        <w:jc w:val="center"/>
        <w:rPr>
          <w:rFonts w:asciiTheme="minorHAnsi" w:hAnsiTheme="minorHAnsi" w:cstheme="minorHAnsi"/>
          <w:b/>
          <w:bCs/>
        </w:rPr>
      </w:pPr>
    </w:p>
    <w:p w14:paraId="21B6D695" w14:textId="7EE1E705" w:rsidR="006A269F" w:rsidRDefault="006A269F" w:rsidP="006A269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6A269F">
        <w:rPr>
          <w:rFonts w:asciiTheme="majorHAnsi" w:hAnsiTheme="majorHAnsi" w:cstheme="majorHAnsi"/>
          <w:bCs/>
          <w:sz w:val="16"/>
          <w:szCs w:val="16"/>
        </w:rPr>
        <w:t>3</w:t>
      </w:r>
      <w:r>
        <w:rPr>
          <w:rFonts w:asciiTheme="majorHAnsi" w:hAnsiTheme="majorHAnsi" w:cstheme="majorHAnsi"/>
          <w:bCs/>
          <w:sz w:val="16"/>
          <w:szCs w:val="16"/>
        </w:rPr>
        <w:t>.</w:t>
      </w:r>
      <w:r w:rsidRPr="006A269F">
        <w:rPr>
          <w:rFonts w:asciiTheme="majorHAnsi" w:hAnsiTheme="majorHAnsi" w:cstheme="majorHAnsi"/>
          <w:bCs/>
          <w:sz w:val="16"/>
          <w:szCs w:val="16"/>
        </w:rPr>
        <w:t xml:space="preserve"> Photos of various locations </w:t>
      </w:r>
      <w:proofErr w:type="spellStart"/>
      <w:r w:rsidRPr="006A269F">
        <w:rPr>
          <w:rFonts w:asciiTheme="majorHAnsi" w:hAnsiTheme="majorHAnsi" w:cstheme="majorHAnsi"/>
          <w:bCs/>
          <w:sz w:val="16"/>
          <w:szCs w:val="16"/>
        </w:rPr>
        <w:t>Ksar</w:t>
      </w:r>
      <w:proofErr w:type="spellEnd"/>
      <w:r w:rsidRPr="006A269F">
        <w:rPr>
          <w:rFonts w:asciiTheme="majorHAnsi" w:hAnsiTheme="majorHAnsi" w:cstheme="majorHAnsi"/>
          <w:bCs/>
          <w:sz w:val="16"/>
          <w:szCs w:val="16"/>
        </w:rPr>
        <w:t xml:space="preserve"> of Beni </w:t>
      </w:r>
      <w:proofErr w:type="spellStart"/>
      <w:r w:rsidRPr="006A269F">
        <w:rPr>
          <w:rFonts w:asciiTheme="majorHAnsi" w:hAnsiTheme="majorHAnsi" w:cstheme="majorHAnsi"/>
          <w:bCs/>
          <w:sz w:val="16"/>
          <w:szCs w:val="16"/>
        </w:rPr>
        <w:t>Yezuguen</w:t>
      </w:r>
      <w:proofErr w:type="spellEnd"/>
    </w:p>
    <w:p w14:paraId="2FD88D70" w14:textId="77777777" w:rsidR="006A269F" w:rsidRDefault="006A269F" w:rsidP="006A269F">
      <w:pPr>
        <w:jc w:val="center"/>
        <w:rPr>
          <w:rFonts w:asciiTheme="minorHAnsi" w:hAnsiTheme="minorHAnsi" w:cstheme="minorHAnsi"/>
          <w:b/>
          <w:bCs/>
        </w:rPr>
      </w:pPr>
    </w:p>
    <w:p w14:paraId="4D0B4816" w14:textId="79435030" w:rsidR="006A269F" w:rsidRDefault="006A269F" w:rsidP="006A269F">
      <w:pPr>
        <w:jc w:val="center"/>
        <w:rPr>
          <w:rFonts w:asciiTheme="minorHAnsi" w:hAnsiTheme="minorHAnsi" w:cstheme="minorHAnsi"/>
          <w:b/>
          <w:bCs/>
        </w:rPr>
      </w:pPr>
      <w:r w:rsidRPr="00466162">
        <w:rPr>
          <w:rFonts w:ascii="Candara" w:hAnsi="Candara"/>
          <w:b/>
          <w:noProof/>
          <w:sz w:val="15"/>
          <w:szCs w:val="15"/>
        </w:rPr>
        <w:lastRenderedPageBreak/>
        <w:drawing>
          <wp:inline distT="0" distB="0" distL="0" distR="0" wp14:anchorId="26683C19" wp14:editId="5250720D">
            <wp:extent cx="2940050" cy="3316377"/>
            <wp:effectExtent l="0" t="0" r="0" b="0"/>
            <wp:docPr id="14" name="Image 14" descr="C:\Users\dz laptops\Desktop\Recherche\Article with dahmani SASA\To submit 2024\Round 2 Mars 2024\Tafila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z laptops\Desktop\Recherche\Article with dahmani SASA\To submit 2024\Round 2 Mars 2024\Tafilal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1988" cy="3318563"/>
                    </a:xfrm>
                    <a:prstGeom prst="rect">
                      <a:avLst/>
                    </a:prstGeom>
                    <a:noFill/>
                    <a:ln>
                      <a:noFill/>
                    </a:ln>
                  </pic:spPr>
                </pic:pic>
              </a:graphicData>
            </a:graphic>
          </wp:inline>
        </w:drawing>
      </w:r>
    </w:p>
    <w:p w14:paraId="5FDC326E" w14:textId="77777777" w:rsidR="006A269F" w:rsidRDefault="006A269F" w:rsidP="006A269F">
      <w:pPr>
        <w:jc w:val="center"/>
        <w:rPr>
          <w:rFonts w:asciiTheme="minorHAnsi" w:hAnsiTheme="minorHAnsi" w:cstheme="minorHAnsi"/>
          <w:b/>
          <w:bCs/>
        </w:rPr>
      </w:pPr>
    </w:p>
    <w:p w14:paraId="1AC51AED" w14:textId="4B58A5FC" w:rsidR="006A269F" w:rsidRDefault="006A269F" w:rsidP="006A269F">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6A269F">
        <w:rPr>
          <w:rFonts w:asciiTheme="majorHAnsi" w:hAnsiTheme="majorHAnsi" w:cstheme="majorHAnsi"/>
          <w:bCs/>
          <w:sz w:val="16"/>
          <w:szCs w:val="16"/>
        </w:rPr>
        <w:t xml:space="preserve">4: Photos of various locations </w:t>
      </w:r>
      <w:proofErr w:type="spellStart"/>
      <w:r w:rsidRPr="006A269F">
        <w:rPr>
          <w:rFonts w:asciiTheme="majorHAnsi" w:hAnsiTheme="majorHAnsi" w:cstheme="majorHAnsi"/>
          <w:bCs/>
          <w:sz w:val="16"/>
          <w:szCs w:val="16"/>
        </w:rPr>
        <w:t>Ksar</w:t>
      </w:r>
      <w:proofErr w:type="spellEnd"/>
      <w:r w:rsidRPr="006A269F">
        <w:rPr>
          <w:rFonts w:asciiTheme="majorHAnsi" w:hAnsiTheme="majorHAnsi" w:cstheme="majorHAnsi"/>
          <w:bCs/>
          <w:sz w:val="16"/>
          <w:szCs w:val="16"/>
        </w:rPr>
        <w:t xml:space="preserve"> of </w:t>
      </w:r>
      <w:proofErr w:type="spellStart"/>
      <w:r w:rsidRPr="006A269F">
        <w:rPr>
          <w:rFonts w:asciiTheme="majorHAnsi" w:hAnsiTheme="majorHAnsi" w:cstheme="majorHAnsi"/>
          <w:bCs/>
          <w:sz w:val="16"/>
          <w:szCs w:val="16"/>
        </w:rPr>
        <w:t>Tafilalet</w:t>
      </w:r>
      <w:proofErr w:type="spellEnd"/>
    </w:p>
    <w:p w14:paraId="7221EE6F" w14:textId="77777777" w:rsidR="006A269F" w:rsidRDefault="006A269F" w:rsidP="006A269F">
      <w:pPr>
        <w:jc w:val="center"/>
        <w:rPr>
          <w:rFonts w:asciiTheme="minorHAnsi" w:hAnsiTheme="minorHAnsi" w:cstheme="minorHAnsi"/>
          <w:b/>
          <w:bCs/>
        </w:rPr>
      </w:pPr>
    </w:p>
    <w:p w14:paraId="73A3C096" w14:textId="444D283F" w:rsidR="006A269F" w:rsidRDefault="006A269F" w:rsidP="006A269F">
      <w:pPr>
        <w:ind w:firstLine="284"/>
        <w:jc w:val="both"/>
        <w:rPr>
          <w:rFonts w:asciiTheme="majorHAnsi" w:hAnsiTheme="majorHAnsi" w:cstheme="majorHAnsi"/>
          <w:sz w:val="20"/>
          <w:szCs w:val="20"/>
        </w:rPr>
      </w:pPr>
      <w:r w:rsidRPr="006A269F">
        <w:rPr>
          <w:rFonts w:asciiTheme="majorHAnsi" w:hAnsiTheme="majorHAnsi" w:cstheme="majorHAnsi"/>
          <w:sz w:val="20"/>
          <w:szCs w:val="20"/>
        </w:rPr>
        <w:t xml:space="preserve">The </w:t>
      </w:r>
      <w:proofErr w:type="spellStart"/>
      <w:r w:rsidRPr="006A269F">
        <w:rPr>
          <w:rFonts w:asciiTheme="majorHAnsi" w:hAnsiTheme="majorHAnsi" w:cstheme="majorHAnsi"/>
          <w:sz w:val="20"/>
          <w:szCs w:val="20"/>
        </w:rPr>
        <w:t>Mozabites</w:t>
      </w:r>
      <w:proofErr w:type="spellEnd"/>
      <w:r w:rsidRPr="006A269F">
        <w:rPr>
          <w:rFonts w:asciiTheme="majorHAnsi" w:hAnsiTheme="majorHAnsi" w:cstheme="majorHAnsi"/>
          <w:sz w:val="20"/>
          <w:szCs w:val="20"/>
        </w:rPr>
        <w:t xml:space="preserve"> (inhabitants of </w:t>
      </w:r>
      <w:proofErr w:type="spellStart"/>
      <w:r w:rsidRPr="006A269F">
        <w:rPr>
          <w:rFonts w:asciiTheme="majorHAnsi" w:hAnsiTheme="majorHAnsi" w:cstheme="majorHAnsi"/>
          <w:sz w:val="20"/>
          <w:szCs w:val="20"/>
        </w:rPr>
        <w:t>M'zab</w:t>
      </w:r>
      <w:proofErr w:type="spellEnd"/>
      <w:r w:rsidRPr="006A269F">
        <w:rPr>
          <w:rFonts w:asciiTheme="majorHAnsi" w:hAnsiTheme="majorHAnsi" w:cstheme="majorHAnsi"/>
          <w:sz w:val="20"/>
          <w:szCs w:val="20"/>
        </w:rPr>
        <w:t xml:space="preserve">) achieved a real miracle, preserving the water stored under the sand and rocks of the Sahara despite the high temperatures. The average annual temperature in Ghardaïa is 21.1°C (Table 1), but it can easily reach 40°C in summer. According to </w:t>
      </w:r>
      <w:proofErr w:type="spellStart"/>
      <w:r w:rsidRPr="006A269F">
        <w:rPr>
          <w:rFonts w:asciiTheme="majorHAnsi" w:hAnsiTheme="majorHAnsi" w:cstheme="majorHAnsi"/>
          <w:sz w:val="20"/>
          <w:szCs w:val="20"/>
        </w:rPr>
        <w:t>Köppen</w:t>
      </w:r>
      <w:proofErr w:type="spellEnd"/>
      <w:r w:rsidRPr="006A269F">
        <w:rPr>
          <w:rFonts w:asciiTheme="majorHAnsi" w:hAnsiTheme="majorHAnsi" w:cstheme="majorHAnsi"/>
          <w:sz w:val="20"/>
          <w:szCs w:val="20"/>
        </w:rPr>
        <w:t xml:space="preserve"> and Geiger, summer in Ghardaïa begins at the end of June and ends in September, which makes this climate a </w:t>
      </w:r>
      <w:proofErr w:type="spellStart"/>
      <w:r w:rsidRPr="006A269F">
        <w:rPr>
          <w:rFonts w:asciiTheme="majorHAnsi" w:hAnsiTheme="majorHAnsi" w:cstheme="majorHAnsi"/>
          <w:sz w:val="20"/>
          <w:szCs w:val="20"/>
        </w:rPr>
        <w:t>BWh</w:t>
      </w:r>
      <w:proofErr w:type="spellEnd"/>
      <w:r w:rsidRPr="006A269F">
        <w:rPr>
          <w:rFonts w:asciiTheme="majorHAnsi" w:hAnsiTheme="majorHAnsi" w:cstheme="majorHAnsi"/>
          <w:sz w:val="20"/>
          <w:szCs w:val="20"/>
        </w:rPr>
        <w:t xml:space="preserve"> (hot desert climate). Whereas the average amount of sunlight hours per month ranges from 10.5 (March) to 11.1 (September), which can last to 12.8 hours in June</w:t>
      </w:r>
      <w:r>
        <w:rPr>
          <w:rFonts w:asciiTheme="majorHAnsi" w:hAnsiTheme="majorHAnsi" w:cstheme="majorHAnsi"/>
          <w:sz w:val="20"/>
          <w:szCs w:val="20"/>
        </w:rPr>
        <w:t>.</w:t>
      </w:r>
    </w:p>
    <w:p w14:paraId="31E98944" w14:textId="77777777" w:rsidR="006A269F" w:rsidRDefault="006A269F" w:rsidP="006A269F">
      <w:pPr>
        <w:ind w:firstLine="284"/>
        <w:jc w:val="both"/>
        <w:rPr>
          <w:rFonts w:asciiTheme="majorHAnsi" w:hAnsiTheme="majorHAnsi" w:cstheme="majorHAnsi"/>
          <w:sz w:val="20"/>
          <w:szCs w:val="20"/>
        </w:rPr>
      </w:pPr>
    </w:p>
    <w:tbl>
      <w:tblPr>
        <w:tblW w:w="4992" w:type="pct"/>
        <w:jc w:val="center"/>
        <w:tblLayout w:type="fixed"/>
        <w:tblLook w:val="04A0" w:firstRow="1" w:lastRow="0" w:firstColumn="1" w:lastColumn="0" w:noHBand="0" w:noVBand="1"/>
      </w:tblPr>
      <w:tblGrid>
        <w:gridCol w:w="2082"/>
        <w:gridCol w:w="600"/>
        <w:gridCol w:w="594"/>
        <w:gridCol w:w="592"/>
        <w:gridCol w:w="578"/>
        <w:gridCol w:w="578"/>
        <w:gridCol w:w="578"/>
        <w:gridCol w:w="578"/>
        <w:gridCol w:w="578"/>
        <w:gridCol w:w="578"/>
        <w:gridCol w:w="578"/>
        <w:gridCol w:w="578"/>
        <w:gridCol w:w="563"/>
      </w:tblGrid>
      <w:tr w:rsidR="006A269F" w:rsidRPr="006A269F" w14:paraId="0C42C651" w14:textId="77777777" w:rsidTr="009E69DF">
        <w:trPr>
          <w:trHeight w:val="288"/>
          <w:jc w:val="center"/>
        </w:trPr>
        <w:tc>
          <w:tcPr>
            <w:tcW w:w="5000" w:type="pct"/>
            <w:gridSpan w:val="13"/>
            <w:tcBorders>
              <w:left w:val="nil"/>
              <w:bottom w:val="single" w:sz="4" w:space="0" w:color="auto"/>
              <w:right w:val="nil"/>
            </w:tcBorders>
            <w:shd w:val="clear" w:color="auto" w:fill="auto"/>
            <w:vAlign w:val="center"/>
          </w:tcPr>
          <w:p w14:paraId="0A9EE1A2" w14:textId="6D723290" w:rsidR="006A269F" w:rsidRPr="006A269F" w:rsidRDefault="006A269F" w:rsidP="006A269F">
            <w:pPr>
              <w:pStyle w:val="Table"/>
              <w:jc w:val="center"/>
              <w:rPr>
                <w:rFonts w:asciiTheme="majorHAnsi" w:hAnsiTheme="majorHAnsi" w:cstheme="majorHAnsi"/>
                <w:b/>
                <w:sz w:val="16"/>
                <w:szCs w:val="16"/>
              </w:rPr>
            </w:pPr>
            <w:r w:rsidRPr="006A269F">
              <w:rPr>
                <w:rFonts w:asciiTheme="majorHAnsi" w:hAnsiTheme="majorHAnsi" w:cstheme="majorHAnsi"/>
                <w:bCs/>
                <w:sz w:val="16"/>
                <w:szCs w:val="16"/>
              </w:rPr>
              <w:t>Table 1. Weather &amp; Climate in Ghardaïa [26]</w:t>
            </w:r>
          </w:p>
        </w:tc>
      </w:tr>
      <w:tr w:rsidR="006A269F" w:rsidRPr="006A269F" w14:paraId="1D462291" w14:textId="77777777" w:rsidTr="006A269F">
        <w:trPr>
          <w:trHeight w:val="288"/>
          <w:jc w:val="center"/>
        </w:trPr>
        <w:tc>
          <w:tcPr>
            <w:tcW w:w="1150" w:type="pct"/>
            <w:tcBorders>
              <w:top w:val="single" w:sz="4" w:space="0" w:color="auto"/>
              <w:left w:val="nil"/>
              <w:bottom w:val="single" w:sz="4" w:space="0" w:color="auto"/>
              <w:right w:val="nil"/>
            </w:tcBorders>
            <w:shd w:val="clear" w:color="auto" w:fill="auto"/>
            <w:vAlign w:val="center"/>
          </w:tcPr>
          <w:p w14:paraId="6CF1383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Months</w:t>
            </w:r>
          </w:p>
        </w:tc>
        <w:tc>
          <w:tcPr>
            <w:tcW w:w="332" w:type="pct"/>
            <w:tcBorders>
              <w:top w:val="single" w:sz="4" w:space="0" w:color="auto"/>
              <w:left w:val="nil"/>
              <w:bottom w:val="single" w:sz="4" w:space="0" w:color="auto"/>
              <w:right w:val="nil"/>
            </w:tcBorders>
            <w:shd w:val="clear" w:color="auto" w:fill="auto"/>
            <w:vAlign w:val="center"/>
          </w:tcPr>
          <w:p w14:paraId="7D0745A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01</w:t>
            </w:r>
          </w:p>
        </w:tc>
        <w:tc>
          <w:tcPr>
            <w:tcW w:w="328" w:type="pct"/>
            <w:tcBorders>
              <w:top w:val="single" w:sz="4" w:space="0" w:color="auto"/>
              <w:left w:val="nil"/>
              <w:bottom w:val="single" w:sz="4" w:space="0" w:color="auto"/>
              <w:right w:val="nil"/>
            </w:tcBorders>
            <w:shd w:val="clear" w:color="auto" w:fill="auto"/>
            <w:vAlign w:val="center"/>
          </w:tcPr>
          <w:p w14:paraId="1B086BF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02</w:t>
            </w:r>
          </w:p>
        </w:tc>
        <w:tc>
          <w:tcPr>
            <w:tcW w:w="327" w:type="pct"/>
            <w:tcBorders>
              <w:top w:val="single" w:sz="4" w:space="0" w:color="auto"/>
              <w:left w:val="nil"/>
              <w:bottom w:val="single" w:sz="4" w:space="0" w:color="auto"/>
              <w:right w:val="nil"/>
            </w:tcBorders>
            <w:shd w:val="clear" w:color="auto" w:fill="auto"/>
            <w:vAlign w:val="center"/>
          </w:tcPr>
          <w:p w14:paraId="2D21C6A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03</w:t>
            </w:r>
          </w:p>
        </w:tc>
        <w:tc>
          <w:tcPr>
            <w:tcW w:w="319" w:type="pct"/>
            <w:tcBorders>
              <w:top w:val="single" w:sz="4" w:space="0" w:color="auto"/>
              <w:left w:val="nil"/>
              <w:bottom w:val="single" w:sz="4" w:space="0" w:color="auto"/>
              <w:right w:val="nil"/>
            </w:tcBorders>
            <w:shd w:val="clear" w:color="auto" w:fill="auto"/>
            <w:vAlign w:val="center"/>
          </w:tcPr>
          <w:p w14:paraId="03CEE72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04</w:t>
            </w:r>
          </w:p>
        </w:tc>
        <w:tc>
          <w:tcPr>
            <w:tcW w:w="319" w:type="pct"/>
            <w:tcBorders>
              <w:top w:val="single" w:sz="4" w:space="0" w:color="auto"/>
              <w:left w:val="nil"/>
              <w:bottom w:val="single" w:sz="4" w:space="0" w:color="auto"/>
              <w:right w:val="nil"/>
            </w:tcBorders>
            <w:shd w:val="clear" w:color="auto" w:fill="auto"/>
            <w:vAlign w:val="center"/>
          </w:tcPr>
          <w:p w14:paraId="3386D85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05</w:t>
            </w:r>
          </w:p>
        </w:tc>
        <w:tc>
          <w:tcPr>
            <w:tcW w:w="319" w:type="pct"/>
            <w:tcBorders>
              <w:top w:val="single" w:sz="4" w:space="0" w:color="auto"/>
              <w:left w:val="nil"/>
              <w:bottom w:val="single" w:sz="4" w:space="0" w:color="auto"/>
              <w:right w:val="nil"/>
            </w:tcBorders>
            <w:shd w:val="clear" w:color="auto" w:fill="auto"/>
            <w:vAlign w:val="center"/>
          </w:tcPr>
          <w:p w14:paraId="5726C0F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06</w:t>
            </w:r>
          </w:p>
        </w:tc>
        <w:tc>
          <w:tcPr>
            <w:tcW w:w="319" w:type="pct"/>
            <w:tcBorders>
              <w:top w:val="single" w:sz="4" w:space="0" w:color="auto"/>
              <w:left w:val="nil"/>
              <w:bottom w:val="single" w:sz="4" w:space="0" w:color="auto"/>
              <w:right w:val="nil"/>
            </w:tcBorders>
            <w:shd w:val="clear" w:color="auto" w:fill="auto"/>
            <w:vAlign w:val="center"/>
          </w:tcPr>
          <w:p w14:paraId="04C5E6D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07</w:t>
            </w:r>
          </w:p>
        </w:tc>
        <w:tc>
          <w:tcPr>
            <w:tcW w:w="319" w:type="pct"/>
            <w:tcBorders>
              <w:top w:val="single" w:sz="4" w:space="0" w:color="auto"/>
              <w:left w:val="nil"/>
              <w:bottom w:val="single" w:sz="4" w:space="0" w:color="auto"/>
              <w:right w:val="nil"/>
            </w:tcBorders>
            <w:shd w:val="clear" w:color="auto" w:fill="auto"/>
            <w:vAlign w:val="center"/>
          </w:tcPr>
          <w:p w14:paraId="3735FD3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08</w:t>
            </w:r>
          </w:p>
        </w:tc>
        <w:tc>
          <w:tcPr>
            <w:tcW w:w="319" w:type="pct"/>
            <w:tcBorders>
              <w:top w:val="single" w:sz="4" w:space="0" w:color="auto"/>
              <w:left w:val="nil"/>
              <w:bottom w:val="single" w:sz="4" w:space="0" w:color="auto"/>
              <w:right w:val="nil"/>
            </w:tcBorders>
            <w:shd w:val="clear" w:color="auto" w:fill="auto"/>
            <w:vAlign w:val="center"/>
          </w:tcPr>
          <w:p w14:paraId="2D409794"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09</w:t>
            </w:r>
          </w:p>
        </w:tc>
        <w:tc>
          <w:tcPr>
            <w:tcW w:w="319" w:type="pct"/>
            <w:tcBorders>
              <w:top w:val="single" w:sz="4" w:space="0" w:color="auto"/>
              <w:left w:val="nil"/>
              <w:bottom w:val="single" w:sz="4" w:space="0" w:color="auto"/>
              <w:right w:val="nil"/>
            </w:tcBorders>
            <w:shd w:val="clear" w:color="auto" w:fill="auto"/>
            <w:vAlign w:val="center"/>
          </w:tcPr>
          <w:p w14:paraId="2203C5C2"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10</w:t>
            </w:r>
          </w:p>
        </w:tc>
        <w:tc>
          <w:tcPr>
            <w:tcW w:w="319" w:type="pct"/>
            <w:tcBorders>
              <w:top w:val="single" w:sz="4" w:space="0" w:color="auto"/>
              <w:left w:val="nil"/>
              <w:bottom w:val="single" w:sz="4" w:space="0" w:color="auto"/>
              <w:right w:val="nil"/>
            </w:tcBorders>
            <w:shd w:val="clear" w:color="auto" w:fill="auto"/>
            <w:vAlign w:val="center"/>
          </w:tcPr>
          <w:p w14:paraId="05C677C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11</w:t>
            </w:r>
          </w:p>
        </w:tc>
        <w:tc>
          <w:tcPr>
            <w:tcW w:w="309" w:type="pct"/>
            <w:tcBorders>
              <w:top w:val="single" w:sz="4" w:space="0" w:color="auto"/>
              <w:left w:val="nil"/>
              <w:bottom w:val="single" w:sz="4" w:space="0" w:color="auto"/>
              <w:right w:val="nil"/>
            </w:tcBorders>
            <w:shd w:val="clear" w:color="auto" w:fill="auto"/>
            <w:vAlign w:val="center"/>
          </w:tcPr>
          <w:p w14:paraId="29EDA7A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12</w:t>
            </w:r>
          </w:p>
        </w:tc>
      </w:tr>
      <w:tr w:rsidR="006A269F" w:rsidRPr="006A269F" w14:paraId="3F91BF0E" w14:textId="77777777" w:rsidTr="006A269F">
        <w:trPr>
          <w:trHeight w:val="431"/>
          <w:jc w:val="center"/>
        </w:trPr>
        <w:tc>
          <w:tcPr>
            <w:tcW w:w="1150" w:type="pct"/>
            <w:tcBorders>
              <w:top w:val="single" w:sz="4" w:space="0" w:color="auto"/>
              <w:left w:val="nil"/>
              <w:bottom w:val="nil"/>
              <w:right w:val="nil"/>
            </w:tcBorders>
            <w:shd w:val="clear" w:color="auto" w:fill="auto"/>
            <w:vAlign w:val="center"/>
            <w:hideMark/>
          </w:tcPr>
          <w:p w14:paraId="26A8C72E"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Avg. temperature °C</w:t>
            </w:r>
          </w:p>
        </w:tc>
        <w:tc>
          <w:tcPr>
            <w:tcW w:w="332" w:type="pct"/>
            <w:tcBorders>
              <w:top w:val="single" w:sz="4" w:space="0" w:color="auto"/>
              <w:left w:val="nil"/>
              <w:bottom w:val="nil"/>
              <w:right w:val="nil"/>
            </w:tcBorders>
            <w:shd w:val="clear" w:color="000000" w:fill="FCE8EA"/>
            <w:vAlign w:val="center"/>
            <w:hideMark/>
          </w:tcPr>
          <w:p w14:paraId="33EDF38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9.5</w:t>
            </w:r>
          </w:p>
        </w:tc>
        <w:tc>
          <w:tcPr>
            <w:tcW w:w="328" w:type="pct"/>
            <w:tcBorders>
              <w:top w:val="single" w:sz="4" w:space="0" w:color="auto"/>
              <w:left w:val="nil"/>
              <w:bottom w:val="nil"/>
              <w:right w:val="nil"/>
            </w:tcBorders>
            <w:shd w:val="clear" w:color="000000" w:fill="FCE0E2"/>
            <w:vAlign w:val="center"/>
            <w:hideMark/>
          </w:tcPr>
          <w:p w14:paraId="4AA41DE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11.4</w:t>
            </w:r>
          </w:p>
        </w:tc>
        <w:tc>
          <w:tcPr>
            <w:tcW w:w="327" w:type="pct"/>
            <w:tcBorders>
              <w:top w:val="single" w:sz="4" w:space="0" w:color="auto"/>
              <w:left w:val="nil"/>
              <w:bottom w:val="nil"/>
              <w:right w:val="nil"/>
            </w:tcBorders>
            <w:shd w:val="clear" w:color="000000" w:fill="FBCDD0"/>
            <w:vAlign w:val="center"/>
            <w:hideMark/>
          </w:tcPr>
          <w:p w14:paraId="151C89B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15.9</w:t>
            </w:r>
          </w:p>
        </w:tc>
        <w:tc>
          <w:tcPr>
            <w:tcW w:w="319" w:type="pct"/>
            <w:tcBorders>
              <w:top w:val="single" w:sz="4" w:space="0" w:color="auto"/>
              <w:left w:val="nil"/>
              <w:bottom w:val="nil"/>
              <w:right w:val="nil"/>
            </w:tcBorders>
            <w:shd w:val="clear" w:color="000000" w:fill="FBBBBD"/>
            <w:vAlign w:val="center"/>
            <w:hideMark/>
          </w:tcPr>
          <w:p w14:paraId="02DC77BF"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20.3</w:t>
            </w:r>
          </w:p>
        </w:tc>
        <w:tc>
          <w:tcPr>
            <w:tcW w:w="319" w:type="pct"/>
            <w:tcBorders>
              <w:top w:val="single" w:sz="4" w:space="0" w:color="auto"/>
              <w:left w:val="nil"/>
              <w:bottom w:val="nil"/>
              <w:right w:val="nil"/>
            </w:tcBorders>
            <w:shd w:val="clear" w:color="000000" w:fill="FAA6A9"/>
            <w:vAlign w:val="center"/>
            <w:hideMark/>
          </w:tcPr>
          <w:p w14:paraId="5EEA7F5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25.1</w:t>
            </w:r>
          </w:p>
        </w:tc>
        <w:tc>
          <w:tcPr>
            <w:tcW w:w="319" w:type="pct"/>
            <w:tcBorders>
              <w:top w:val="single" w:sz="4" w:space="0" w:color="auto"/>
              <w:left w:val="nil"/>
              <w:bottom w:val="nil"/>
              <w:right w:val="nil"/>
            </w:tcBorders>
            <w:shd w:val="clear" w:color="000000" w:fill="FA9294"/>
            <w:vAlign w:val="center"/>
            <w:hideMark/>
          </w:tcPr>
          <w:p w14:paraId="6523820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30.1</w:t>
            </w:r>
          </w:p>
        </w:tc>
        <w:tc>
          <w:tcPr>
            <w:tcW w:w="319" w:type="pct"/>
            <w:tcBorders>
              <w:top w:val="single" w:sz="4" w:space="0" w:color="auto"/>
              <w:left w:val="nil"/>
              <w:bottom w:val="nil"/>
              <w:right w:val="nil"/>
            </w:tcBorders>
            <w:shd w:val="clear" w:color="000000" w:fill="F98385"/>
            <w:vAlign w:val="center"/>
            <w:hideMark/>
          </w:tcPr>
          <w:p w14:paraId="1E40F09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33.6</w:t>
            </w:r>
          </w:p>
        </w:tc>
        <w:tc>
          <w:tcPr>
            <w:tcW w:w="319" w:type="pct"/>
            <w:tcBorders>
              <w:top w:val="single" w:sz="4" w:space="0" w:color="auto"/>
              <w:left w:val="nil"/>
              <w:bottom w:val="nil"/>
              <w:right w:val="nil"/>
            </w:tcBorders>
            <w:shd w:val="clear" w:color="000000" w:fill="F98789"/>
            <w:vAlign w:val="center"/>
            <w:hideMark/>
          </w:tcPr>
          <w:p w14:paraId="3C5B59E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32.7</w:t>
            </w:r>
          </w:p>
        </w:tc>
        <w:tc>
          <w:tcPr>
            <w:tcW w:w="319" w:type="pct"/>
            <w:tcBorders>
              <w:top w:val="single" w:sz="4" w:space="0" w:color="auto"/>
              <w:left w:val="nil"/>
              <w:bottom w:val="nil"/>
              <w:right w:val="nil"/>
            </w:tcBorders>
            <w:shd w:val="clear" w:color="000000" w:fill="FA9B9D"/>
            <w:vAlign w:val="center"/>
            <w:hideMark/>
          </w:tcPr>
          <w:p w14:paraId="1793D1F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27.9</w:t>
            </w:r>
          </w:p>
        </w:tc>
        <w:tc>
          <w:tcPr>
            <w:tcW w:w="319" w:type="pct"/>
            <w:tcBorders>
              <w:top w:val="single" w:sz="4" w:space="0" w:color="auto"/>
              <w:left w:val="nil"/>
              <w:bottom w:val="nil"/>
              <w:right w:val="nil"/>
            </w:tcBorders>
            <w:shd w:val="clear" w:color="000000" w:fill="FAB3B5"/>
            <w:vAlign w:val="center"/>
            <w:hideMark/>
          </w:tcPr>
          <w:p w14:paraId="1CEB110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22.2</w:t>
            </w:r>
          </w:p>
        </w:tc>
        <w:tc>
          <w:tcPr>
            <w:tcW w:w="319" w:type="pct"/>
            <w:tcBorders>
              <w:top w:val="single" w:sz="4" w:space="0" w:color="auto"/>
              <w:left w:val="nil"/>
              <w:bottom w:val="nil"/>
              <w:right w:val="nil"/>
            </w:tcBorders>
            <w:shd w:val="clear" w:color="000000" w:fill="FBD3D5"/>
            <w:vAlign w:val="center"/>
            <w:hideMark/>
          </w:tcPr>
          <w:p w14:paraId="00F81B2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14.5</w:t>
            </w:r>
          </w:p>
        </w:tc>
        <w:tc>
          <w:tcPr>
            <w:tcW w:w="309" w:type="pct"/>
            <w:tcBorders>
              <w:top w:val="single" w:sz="4" w:space="0" w:color="auto"/>
              <w:left w:val="nil"/>
              <w:bottom w:val="nil"/>
              <w:right w:val="nil"/>
            </w:tcBorders>
            <w:shd w:val="clear" w:color="000000" w:fill="FCE4E7"/>
            <w:vAlign w:val="center"/>
            <w:hideMark/>
          </w:tcPr>
          <w:p w14:paraId="493634B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10.3</w:t>
            </w:r>
          </w:p>
        </w:tc>
      </w:tr>
      <w:tr w:rsidR="006A269F" w:rsidRPr="006A269F" w14:paraId="3E22554F" w14:textId="77777777" w:rsidTr="006A269F">
        <w:trPr>
          <w:trHeight w:val="431"/>
          <w:jc w:val="center"/>
        </w:trPr>
        <w:tc>
          <w:tcPr>
            <w:tcW w:w="1150" w:type="pct"/>
            <w:tcBorders>
              <w:top w:val="nil"/>
              <w:left w:val="nil"/>
              <w:bottom w:val="nil"/>
              <w:right w:val="nil"/>
            </w:tcBorders>
            <w:shd w:val="clear" w:color="auto" w:fill="auto"/>
            <w:vAlign w:val="center"/>
            <w:hideMark/>
          </w:tcPr>
          <w:p w14:paraId="555B483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Min. temperature °C</w:t>
            </w:r>
          </w:p>
        </w:tc>
        <w:tc>
          <w:tcPr>
            <w:tcW w:w="332" w:type="pct"/>
            <w:tcBorders>
              <w:top w:val="nil"/>
              <w:left w:val="nil"/>
              <w:bottom w:val="nil"/>
              <w:right w:val="nil"/>
            </w:tcBorders>
            <w:shd w:val="clear" w:color="000000" w:fill="FCFCFF"/>
            <w:vAlign w:val="center"/>
            <w:hideMark/>
          </w:tcPr>
          <w:p w14:paraId="29EE2E7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4.5</w:t>
            </w:r>
          </w:p>
        </w:tc>
        <w:tc>
          <w:tcPr>
            <w:tcW w:w="328" w:type="pct"/>
            <w:tcBorders>
              <w:top w:val="nil"/>
              <w:left w:val="nil"/>
              <w:bottom w:val="nil"/>
              <w:right w:val="nil"/>
            </w:tcBorders>
            <w:shd w:val="clear" w:color="000000" w:fill="FCF7FA"/>
            <w:vAlign w:val="center"/>
            <w:hideMark/>
          </w:tcPr>
          <w:p w14:paraId="31784AF7"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5.7</w:t>
            </w:r>
          </w:p>
        </w:tc>
        <w:tc>
          <w:tcPr>
            <w:tcW w:w="327" w:type="pct"/>
            <w:tcBorders>
              <w:top w:val="nil"/>
              <w:left w:val="nil"/>
              <w:bottom w:val="nil"/>
              <w:right w:val="nil"/>
            </w:tcBorders>
            <w:shd w:val="clear" w:color="000000" w:fill="FCE8EA"/>
            <w:vAlign w:val="center"/>
            <w:hideMark/>
          </w:tcPr>
          <w:p w14:paraId="6EE0BC1F"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9.5</w:t>
            </w:r>
          </w:p>
        </w:tc>
        <w:tc>
          <w:tcPr>
            <w:tcW w:w="319" w:type="pct"/>
            <w:tcBorders>
              <w:top w:val="nil"/>
              <w:left w:val="nil"/>
              <w:bottom w:val="nil"/>
              <w:right w:val="nil"/>
            </w:tcBorders>
            <w:shd w:val="clear" w:color="000000" w:fill="FBD7DA"/>
            <w:vAlign w:val="center"/>
            <w:hideMark/>
          </w:tcPr>
          <w:p w14:paraId="3E9DDBA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13.4</w:t>
            </w:r>
          </w:p>
        </w:tc>
        <w:tc>
          <w:tcPr>
            <w:tcW w:w="319" w:type="pct"/>
            <w:tcBorders>
              <w:top w:val="nil"/>
              <w:left w:val="nil"/>
              <w:bottom w:val="nil"/>
              <w:right w:val="nil"/>
            </w:tcBorders>
            <w:shd w:val="clear" w:color="000000" w:fill="FBC4C7"/>
            <w:vAlign w:val="center"/>
            <w:hideMark/>
          </w:tcPr>
          <w:p w14:paraId="4900B98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18</w:t>
            </w:r>
          </w:p>
        </w:tc>
        <w:tc>
          <w:tcPr>
            <w:tcW w:w="319" w:type="pct"/>
            <w:tcBorders>
              <w:top w:val="nil"/>
              <w:left w:val="nil"/>
              <w:bottom w:val="nil"/>
              <w:right w:val="nil"/>
            </w:tcBorders>
            <w:shd w:val="clear" w:color="000000" w:fill="FAB0B3"/>
            <w:vAlign w:val="center"/>
            <w:hideMark/>
          </w:tcPr>
          <w:p w14:paraId="3BDAA02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22.8</w:t>
            </w:r>
          </w:p>
        </w:tc>
        <w:tc>
          <w:tcPr>
            <w:tcW w:w="319" w:type="pct"/>
            <w:tcBorders>
              <w:top w:val="nil"/>
              <w:left w:val="nil"/>
              <w:bottom w:val="nil"/>
              <w:right w:val="nil"/>
            </w:tcBorders>
            <w:shd w:val="clear" w:color="000000" w:fill="FAA1A4"/>
            <w:vAlign w:val="center"/>
            <w:hideMark/>
          </w:tcPr>
          <w:p w14:paraId="4D3DBFE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26.3</w:t>
            </w:r>
          </w:p>
        </w:tc>
        <w:tc>
          <w:tcPr>
            <w:tcW w:w="319" w:type="pct"/>
            <w:tcBorders>
              <w:top w:val="nil"/>
              <w:left w:val="nil"/>
              <w:bottom w:val="nil"/>
              <w:right w:val="nil"/>
            </w:tcBorders>
            <w:shd w:val="clear" w:color="000000" w:fill="FAA4A6"/>
            <w:vAlign w:val="center"/>
            <w:hideMark/>
          </w:tcPr>
          <w:p w14:paraId="54F8817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25.8</w:t>
            </w:r>
          </w:p>
        </w:tc>
        <w:tc>
          <w:tcPr>
            <w:tcW w:w="319" w:type="pct"/>
            <w:tcBorders>
              <w:top w:val="nil"/>
              <w:left w:val="nil"/>
              <w:bottom w:val="nil"/>
              <w:right w:val="nil"/>
            </w:tcBorders>
            <w:shd w:val="clear" w:color="000000" w:fill="FBB5B8"/>
            <w:vAlign w:val="center"/>
            <w:hideMark/>
          </w:tcPr>
          <w:p w14:paraId="5C8BD66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21.6</w:t>
            </w:r>
          </w:p>
        </w:tc>
        <w:tc>
          <w:tcPr>
            <w:tcW w:w="319" w:type="pct"/>
            <w:tcBorders>
              <w:top w:val="nil"/>
              <w:left w:val="nil"/>
              <w:bottom w:val="nil"/>
              <w:right w:val="nil"/>
            </w:tcBorders>
            <w:shd w:val="clear" w:color="000000" w:fill="FBCBCE"/>
            <w:vAlign w:val="center"/>
            <w:hideMark/>
          </w:tcPr>
          <w:p w14:paraId="7BACDFE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16.3</w:t>
            </w:r>
          </w:p>
        </w:tc>
        <w:tc>
          <w:tcPr>
            <w:tcW w:w="319" w:type="pct"/>
            <w:tcBorders>
              <w:top w:val="nil"/>
              <w:left w:val="nil"/>
              <w:bottom w:val="nil"/>
              <w:right w:val="nil"/>
            </w:tcBorders>
            <w:shd w:val="clear" w:color="000000" w:fill="FCE8EB"/>
            <w:vAlign w:val="center"/>
            <w:hideMark/>
          </w:tcPr>
          <w:p w14:paraId="3217248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9.4</w:t>
            </w:r>
          </w:p>
        </w:tc>
        <w:tc>
          <w:tcPr>
            <w:tcW w:w="309" w:type="pct"/>
            <w:tcBorders>
              <w:top w:val="nil"/>
              <w:left w:val="nil"/>
              <w:bottom w:val="nil"/>
              <w:right w:val="nil"/>
            </w:tcBorders>
            <w:shd w:val="clear" w:color="000000" w:fill="FCF8FB"/>
            <w:vAlign w:val="center"/>
            <w:hideMark/>
          </w:tcPr>
          <w:p w14:paraId="3CE1D12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5.6</w:t>
            </w:r>
          </w:p>
        </w:tc>
      </w:tr>
      <w:tr w:rsidR="006A269F" w:rsidRPr="006A269F" w14:paraId="73D8AAB9" w14:textId="77777777" w:rsidTr="006A269F">
        <w:trPr>
          <w:trHeight w:val="431"/>
          <w:jc w:val="center"/>
        </w:trPr>
        <w:tc>
          <w:tcPr>
            <w:tcW w:w="1150" w:type="pct"/>
            <w:tcBorders>
              <w:top w:val="nil"/>
              <w:left w:val="nil"/>
              <w:bottom w:val="nil"/>
              <w:right w:val="nil"/>
            </w:tcBorders>
            <w:shd w:val="clear" w:color="auto" w:fill="auto"/>
            <w:vAlign w:val="center"/>
            <w:hideMark/>
          </w:tcPr>
          <w:p w14:paraId="462F86C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Max. Temperature °C</w:t>
            </w:r>
          </w:p>
        </w:tc>
        <w:tc>
          <w:tcPr>
            <w:tcW w:w="332" w:type="pct"/>
            <w:tcBorders>
              <w:top w:val="nil"/>
              <w:left w:val="nil"/>
              <w:bottom w:val="nil"/>
              <w:right w:val="nil"/>
            </w:tcBorders>
            <w:shd w:val="clear" w:color="000000" w:fill="FBD1D4"/>
            <w:vAlign w:val="center"/>
            <w:hideMark/>
          </w:tcPr>
          <w:p w14:paraId="28513F6E"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14.9</w:t>
            </w:r>
          </w:p>
        </w:tc>
        <w:tc>
          <w:tcPr>
            <w:tcW w:w="328" w:type="pct"/>
            <w:tcBorders>
              <w:top w:val="nil"/>
              <w:left w:val="nil"/>
              <w:bottom w:val="nil"/>
              <w:right w:val="nil"/>
            </w:tcBorders>
            <w:shd w:val="clear" w:color="000000" w:fill="FBC8CB"/>
            <w:vAlign w:val="center"/>
            <w:hideMark/>
          </w:tcPr>
          <w:p w14:paraId="4FFB23F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17</w:t>
            </w:r>
          </w:p>
        </w:tc>
        <w:tc>
          <w:tcPr>
            <w:tcW w:w="327" w:type="pct"/>
            <w:tcBorders>
              <w:top w:val="nil"/>
              <w:left w:val="nil"/>
              <w:bottom w:val="nil"/>
              <w:right w:val="nil"/>
            </w:tcBorders>
            <w:shd w:val="clear" w:color="000000" w:fill="FBB4B7"/>
            <w:vAlign w:val="center"/>
            <w:hideMark/>
          </w:tcPr>
          <w:p w14:paraId="709FC61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21.8</w:t>
            </w:r>
          </w:p>
        </w:tc>
        <w:tc>
          <w:tcPr>
            <w:tcW w:w="319" w:type="pct"/>
            <w:tcBorders>
              <w:top w:val="nil"/>
              <w:left w:val="nil"/>
              <w:bottom w:val="nil"/>
              <w:right w:val="nil"/>
            </w:tcBorders>
            <w:shd w:val="clear" w:color="000000" w:fill="FAA1A3"/>
            <w:vAlign w:val="center"/>
            <w:hideMark/>
          </w:tcPr>
          <w:p w14:paraId="3C7F813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26.4</w:t>
            </w:r>
          </w:p>
        </w:tc>
        <w:tc>
          <w:tcPr>
            <w:tcW w:w="319" w:type="pct"/>
            <w:tcBorders>
              <w:top w:val="nil"/>
              <w:left w:val="nil"/>
              <w:bottom w:val="nil"/>
              <w:right w:val="nil"/>
            </w:tcBorders>
            <w:shd w:val="clear" w:color="000000" w:fill="F98D90"/>
            <w:vAlign w:val="center"/>
            <w:hideMark/>
          </w:tcPr>
          <w:p w14:paraId="028D675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31.1</w:t>
            </w:r>
          </w:p>
        </w:tc>
        <w:tc>
          <w:tcPr>
            <w:tcW w:w="319" w:type="pct"/>
            <w:tcBorders>
              <w:top w:val="nil"/>
              <w:left w:val="nil"/>
              <w:bottom w:val="nil"/>
              <w:right w:val="nil"/>
            </w:tcBorders>
            <w:shd w:val="clear" w:color="000000" w:fill="F9787A"/>
            <w:vAlign w:val="center"/>
            <w:hideMark/>
          </w:tcPr>
          <w:p w14:paraId="05C1285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36.2</w:t>
            </w:r>
          </w:p>
        </w:tc>
        <w:tc>
          <w:tcPr>
            <w:tcW w:w="319" w:type="pct"/>
            <w:tcBorders>
              <w:top w:val="nil"/>
              <w:left w:val="nil"/>
              <w:bottom w:val="nil"/>
              <w:right w:val="nil"/>
            </w:tcBorders>
            <w:shd w:val="clear" w:color="000000" w:fill="F8696B"/>
            <w:vAlign w:val="center"/>
            <w:hideMark/>
          </w:tcPr>
          <w:p w14:paraId="5E35D8B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39.7</w:t>
            </w:r>
          </w:p>
        </w:tc>
        <w:tc>
          <w:tcPr>
            <w:tcW w:w="319" w:type="pct"/>
            <w:tcBorders>
              <w:top w:val="nil"/>
              <w:left w:val="nil"/>
              <w:bottom w:val="nil"/>
              <w:right w:val="nil"/>
            </w:tcBorders>
            <w:shd w:val="clear" w:color="000000" w:fill="F96F71"/>
            <w:vAlign w:val="center"/>
            <w:hideMark/>
          </w:tcPr>
          <w:p w14:paraId="52C6E08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38.5</w:t>
            </w:r>
          </w:p>
        </w:tc>
        <w:tc>
          <w:tcPr>
            <w:tcW w:w="319" w:type="pct"/>
            <w:tcBorders>
              <w:top w:val="nil"/>
              <w:left w:val="nil"/>
              <w:bottom w:val="nil"/>
              <w:right w:val="nil"/>
            </w:tcBorders>
            <w:shd w:val="clear" w:color="000000" w:fill="F98386"/>
            <w:vAlign w:val="center"/>
            <w:hideMark/>
          </w:tcPr>
          <w:p w14:paraId="32A0444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33.5</w:t>
            </w:r>
          </w:p>
        </w:tc>
        <w:tc>
          <w:tcPr>
            <w:tcW w:w="319" w:type="pct"/>
            <w:tcBorders>
              <w:top w:val="nil"/>
              <w:left w:val="nil"/>
              <w:bottom w:val="nil"/>
              <w:right w:val="nil"/>
            </w:tcBorders>
            <w:shd w:val="clear" w:color="000000" w:fill="FA9C9E"/>
            <w:vAlign w:val="center"/>
            <w:hideMark/>
          </w:tcPr>
          <w:p w14:paraId="496747B5"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27.6</w:t>
            </w:r>
          </w:p>
        </w:tc>
        <w:tc>
          <w:tcPr>
            <w:tcW w:w="319" w:type="pct"/>
            <w:tcBorders>
              <w:top w:val="nil"/>
              <w:left w:val="nil"/>
              <w:bottom w:val="nil"/>
              <w:right w:val="nil"/>
            </w:tcBorders>
            <w:shd w:val="clear" w:color="000000" w:fill="FBBDBF"/>
            <w:vAlign w:val="center"/>
            <w:hideMark/>
          </w:tcPr>
          <w:p w14:paraId="1A36B94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19.8</w:t>
            </w:r>
          </w:p>
        </w:tc>
        <w:tc>
          <w:tcPr>
            <w:tcW w:w="309" w:type="pct"/>
            <w:tcBorders>
              <w:top w:val="nil"/>
              <w:left w:val="nil"/>
              <w:bottom w:val="nil"/>
              <w:right w:val="nil"/>
            </w:tcBorders>
            <w:shd w:val="clear" w:color="000000" w:fill="FBCFD1"/>
            <w:vAlign w:val="center"/>
            <w:hideMark/>
          </w:tcPr>
          <w:p w14:paraId="406EC06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15.5</w:t>
            </w:r>
          </w:p>
        </w:tc>
      </w:tr>
      <w:tr w:rsidR="006A269F" w:rsidRPr="006A269F" w14:paraId="4CDEB3B5" w14:textId="77777777" w:rsidTr="006A269F">
        <w:trPr>
          <w:trHeight w:val="408"/>
          <w:jc w:val="center"/>
        </w:trPr>
        <w:tc>
          <w:tcPr>
            <w:tcW w:w="1150" w:type="pct"/>
            <w:tcBorders>
              <w:top w:val="nil"/>
              <w:left w:val="nil"/>
              <w:bottom w:val="nil"/>
              <w:right w:val="nil"/>
            </w:tcBorders>
            <w:shd w:val="clear" w:color="auto" w:fill="auto"/>
            <w:vAlign w:val="center"/>
            <w:hideMark/>
          </w:tcPr>
          <w:p w14:paraId="5A1A83F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Precipitation / Rainfall mm (in)</w:t>
            </w:r>
          </w:p>
        </w:tc>
        <w:tc>
          <w:tcPr>
            <w:tcW w:w="332" w:type="pct"/>
            <w:tcBorders>
              <w:top w:val="nil"/>
              <w:left w:val="nil"/>
              <w:bottom w:val="nil"/>
              <w:right w:val="nil"/>
            </w:tcBorders>
            <w:shd w:val="clear" w:color="auto" w:fill="auto"/>
            <w:vAlign w:val="center"/>
            <w:hideMark/>
          </w:tcPr>
          <w:p w14:paraId="4644EE2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11</w:t>
            </w:r>
          </w:p>
          <w:p w14:paraId="5D70FEB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28" w:type="pct"/>
            <w:tcBorders>
              <w:top w:val="nil"/>
              <w:left w:val="nil"/>
              <w:bottom w:val="nil"/>
              <w:right w:val="nil"/>
            </w:tcBorders>
            <w:shd w:val="clear" w:color="auto" w:fill="auto"/>
            <w:vAlign w:val="center"/>
            <w:hideMark/>
          </w:tcPr>
          <w:p w14:paraId="52E8CDA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4</w:t>
            </w:r>
          </w:p>
          <w:p w14:paraId="482686B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27" w:type="pct"/>
            <w:tcBorders>
              <w:top w:val="nil"/>
              <w:left w:val="nil"/>
              <w:bottom w:val="nil"/>
              <w:right w:val="nil"/>
            </w:tcBorders>
            <w:shd w:val="clear" w:color="auto" w:fill="auto"/>
            <w:vAlign w:val="center"/>
            <w:hideMark/>
          </w:tcPr>
          <w:p w14:paraId="0909F3E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7</w:t>
            </w:r>
          </w:p>
          <w:p w14:paraId="5DDF3A0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57C1756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7</w:t>
            </w:r>
          </w:p>
          <w:p w14:paraId="33C1FB5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33D3E2F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4</w:t>
            </w:r>
          </w:p>
          <w:p w14:paraId="62B60314"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7BA0F3B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p w14:paraId="68B20745"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10CDDBF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p w14:paraId="447CCD9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02E8673D"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w:t>
            </w:r>
          </w:p>
          <w:p w14:paraId="28CD3DE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64CD210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8</w:t>
            </w:r>
          </w:p>
          <w:p w14:paraId="2C793DBF"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42429C4E"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7</w:t>
            </w:r>
          </w:p>
          <w:p w14:paraId="107346F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bottom w:val="nil"/>
              <w:right w:val="nil"/>
            </w:tcBorders>
            <w:shd w:val="clear" w:color="auto" w:fill="auto"/>
            <w:vAlign w:val="center"/>
            <w:hideMark/>
          </w:tcPr>
          <w:p w14:paraId="3176110D"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8</w:t>
            </w:r>
          </w:p>
          <w:p w14:paraId="1978F6B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09" w:type="pct"/>
            <w:tcBorders>
              <w:top w:val="nil"/>
              <w:left w:val="nil"/>
              <w:bottom w:val="nil"/>
              <w:right w:val="nil"/>
            </w:tcBorders>
            <w:shd w:val="clear" w:color="auto" w:fill="auto"/>
            <w:vAlign w:val="center"/>
            <w:hideMark/>
          </w:tcPr>
          <w:p w14:paraId="509D9FE6"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6</w:t>
            </w:r>
          </w:p>
          <w:p w14:paraId="4A0C1717"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r>
      <w:tr w:rsidR="006A269F" w:rsidRPr="006A269F" w14:paraId="4BE5AADD" w14:textId="77777777" w:rsidTr="006A269F">
        <w:trPr>
          <w:trHeight w:val="288"/>
          <w:jc w:val="center"/>
        </w:trPr>
        <w:tc>
          <w:tcPr>
            <w:tcW w:w="1150" w:type="pct"/>
            <w:tcBorders>
              <w:top w:val="nil"/>
              <w:left w:val="nil"/>
              <w:bottom w:val="nil"/>
              <w:right w:val="nil"/>
            </w:tcBorders>
            <w:shd w:val="clear" w:color="auto" w:fill="auto"/>
            <w:vAlign w:val="center"/>
            <w:hideMark/>
          </w:tcPr>
          <w:p w14:paraId="16A1053E" w14:textId="77777777" w:rsidR="006A269F" w:rsidRPr="006A269F" w:rsidRDefault="006A269F" w:rsidP="00417CF0">
            <w:pPr>
              <w:pStyle w:val="Table"/>
              <w:rPr>
                <w:rFonts w:asciiTheme="majorHAnsi" w:hAnsiTheme="majorHAnsi" w:cstheme="majorHAnsi"/>
                <w:bCs/>
                <w:sz w:val="16"/>
                <w:szCs w:val="16"/>
              </w:rPr>
            </w:pPr>
            <w:proofErr w:type="gramStart"/>
            <w:r w:rsidRPr="006A269F">
              <w:rPr>
                <w:rFonts w:asciiTheme="majorHAnsi" w:hAnsiTheme="majorHAnsi" w:cstheme="majorHAnsi"/>
                <w:bCs/>
                <w:sz w:val="16"/>
                <w:szCs w:val="16"/>
              </w:rPr>
              <w:t>Humidity(</w:t>
            </w:r>
            <w:proofErr w:type="gramEnd"/>
            <w:r w:rsidRPr="006A269F">
              <w:rPr>
                <w:rFonts w:asciiTheme="majorHAnsi" w:hAnsiTheme="majorHAnsi" w:cstheme="majorHAnsi"/>
                <w:bCs/>
                <w:sz w:val="16"/>
                <w:szCs w:val="16"/>
              </w:rPr>
              <w:t>%)</w:t>
            </w:r>
          </w:p>
        </w:tc>
        <w:tc>
          <w:tcPr>
            <w:tcW w:w="332" w:type="pct"/>
            <w:tcBorders>
              <w:top w:val="nil"/>
              <w:left w:val="nil"/>
              <w:bottom w:val="nil"/>
              <w:right w:val="nil"/>
            </w:tcBorders>
            <w:shd w:val="clear" w:color="auto" w:fill="auto"/>
            <w:vAlign w:val="center"/>
            <w:hideMark/>
          </w:tcPr>
          <w:p w14:paraId="3A52D0E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52%</w:t>
            </w:r>
          </w:p>
        </w:tc>
        <w:tc>
          <w:tcPr>
            <w:tcW w:w="328" w:type="pct"/>
            <w:tcBorders>
              <w:top w:val="nil"/>
              <w:left w:val="nil"/>
              <w:bottom w:val="nil"/>
              <w:right w:val="nil"/>
            </w:tcBorders>
            <w:shd w:val="clear" w:color="auto" w:fill="auto"/>
            <w:vAlign w:val="center"/>
            <w:hideMark/>
          </w:tcPr>
          <w:p w14:paraId="1623E17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42%</w:t>
            </w:r>
          </w:p>
        </w:tc>
        <w:tc>
          <w:tcPr>
            <w:tcW w:w="327" w:type="pct"/>
            <w:tcBorders>
              <w:top w:val="nil"/>
              <w:left w:val="nil"/>
              <w:bottom w:val="nil"/>
              <w:right w:val="nil"/>
            </w:tcBorders>
            <w:shd w:val="clear" w:color="auto" w:fill="auto"/>
            <w:vAlign w:val="center"/>
            <w:hideMark/>
          </w:tcPr>
          <w:p w14:paraId="798C6B2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33%</w:t>
            </w:r>
          </w:p>
        </w:tc>
        <w:tc>
          <w:tcPr>
            <w:tcW w:w="319" w:type="pct"/>
            <w:tcBorders>
              <w:top w:val="nil"/>
              <w:left w:val="nil"/>
              <w:bottom w:val="nil"/>
              <w:right w:val="nil"/>
            </w:tcBorders>
            <w:shd w:val="clear" w:color="auto" w:fill="auto"/>
            <w:vAlign w:val="center"/>
            <w:hideMark/>
          </w:tcPr>
          <w:p w14:paraId="1AF71BA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27%</w:t>
            </w:r>
          </w:p>
        </w:tc>
        <w:tc>
          <w:tcPr>
            <w:tcW w:w="319" w:type="pct"/>
            <w:tcBorders>
              <w:top w:val="nil"/>
              <w:left w:val="nil"/>
              <w:bottom w:val="nil"/>
              <w:right w:val="nil"/>
            </w:tcBorders>
            <w:shd w:val="clear" w:color="auto" w:fill="auto"/>
            <w:vAlign w:val="center"/>
            <w:hideMark/>
          </w:tcPr>
          <w:p w14:paraId="14ED560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23%</w:t>
            </w:r>
          </w:p>
        </w:tc>
        <w:tc>
          <w:tcPr>
            <w:tcW w:w="319" w:type="pct"/>
            <w:tcBorders>
              <w:top w:val="nil"/>
              <w:left w:val="nil"/>
              <w:bottom w:val="nil"/>
              <w:right w:val="nil"/>
            </w:tcBorders>
            <w:shd w:val="clear" w:color="auto" w:fill="auto"/>
            <w:vAlign w:val="center"/>
            <w:hideMark/>
          </w:tcPr>
          <w:p w14:paraId="7009008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20%</w:t>
            </w:r>
          </w:p>
        </w:tc>
        <w:tc>
          <w:tcPr>
            <w:tcW w:w="319" w:type="pct"/>
            <w:tcBorders>
              <w:top w:val="nil"/>
              <w:left w:val="nil"/>
              <w:bottom w:val="nil"/>
              <w:right w:val="nil"/>
            </w:tcBorders>
            <w:shd w:val="clear" w:color="auto" w:fill="auto"/>
            <w:vAlign w:val="center"/>
            <w:hideMark/>
          </w:tcPr>
          <w:p w14:paraId="24666D0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17%</w:t>
            </w:r>
          </w:p>
        </w:tc>
        <w:tc>
          <w:tcPr>
            <w:tcW w:w="319" w:type="pct"/>
            <w:tcBorders>
              <w:top w:val="nil"/>
              <w:left w:val="nil"/>
              <w:bottom w:val="nil"/>
              <w:right w:val="nil"/>
            </w:tcBorders>
            <w:shd w:val="clear" w:color="auto" w:fill="auto"/>
            <w:vAlign w:val="center"/>
            <w:hideMark/>
          </w:tcPr>
          <w:p w14:paraId="08705BC4"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20%</w:t>
            </w:r>
          </w:p>
        </w:tc>
        <w:tc>
          <w:tcPr>
            <w:tcW w:w="319" w:type="pct"/>
            <w:tcBorders>
              <w:top w:val="nil"/>
              <w:left w:val="nil"/>
              <w:bottom w:val="nil"/>
              <w:right w:val="nil"/>
            </w:tcBorders>
            <w:shd w:val="clear" w:color="auto" w:fill="auto"/>
            <w:vAlign w:val="center"/>
            <w:hideMark/>
          </w:tcPr>
          <w:p w14:paraId="597D1B9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29%</w:t>
            </w:r>
          </w:p>
        </w:tc>
        <w:tc>
          <w:tcPr>
            <w:tcW w:w="319" w:type="pct"/>
            <w:tcBorders>
              <w:top w:val="nil"/>
              <w:left w:val="nil"/>
              <w:bottom w:val="nil"/>
              <w:right w:val="nil"/>
            </w:tcBorders>
            <w:shd w:val="clear" w:color="auto" w:fill="auto"/>
            <w:vAlign w:val="center"/>
            <w:hideMark/>
          </w:tcPr>
          <w:p w14:paraId="2F990C5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37%</w:t>
            </w:r>
          </w:p>
        </w:tc>
        <w:tc>
          <w:tcPr>
            <w:tcW w:w="319" w:type="pct"/>
            <w:tcBorders>
              <w:top w:val="nil"/>
              <w:left w:val="nil"/>
              <w:bottom w:val="nil"/>
              <w:right w:val="nil"/>
            </w:tcBorders>
            <w:shd w:val="clear" w:color="auto" w:fill="auto"/>
            <w:vAlign w:val="center"/>
            <w:hideMark/>
          </w:tcPr>
          <w:p w14:paraId="1D7BF35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48%</w:t>
            </w:r>
          </w:p>
        </w:tc>
        <w:tc>
          <w:tcPr>
            <w:tcW w:w="309" w:type="pct"/>
            <w:tcBorders>
              <w:top w:val="nil"/>
              <w:left w:val="nil"/>
              <w:bottom w:val="nil"/>
              <w:right w:val="nil"/>
            </w:tcBorders>
            <w:shd w:val="clear" w:color="auto" w:fill="auto"/>
            <w:vAlign w:val="center"/>
            <w:hideMark/>
          </w:tcPr>
          <w:p w14:paraId="3733739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56%</w:t>
            </w:r>
          </w:p>
        </w:tc>
      </w:tr>
      <w:tr w:rsidR="006A269F" w:rsidRPr="006A269F" w14:paraId="431749F2" w14:textId="77777777" w:rsidTr="006A269F">
        <w:trPr>
          <w:trHeight w:val="172"/>
          <w:jc w:val="center"/>
        </w:trPr>
        <w:tc>
          <w:tcPr>
            <w:tcW w:w="1150" w:type="pct"/>
            <w:tcBorders>
              <w:top w:val="nil"/>
              <w:left w:val="nil"/>
              <w:right w:val="nil"/>
            </w:tcBorders>
            <w:shd w:val="clear" w:color="auto" w:fill="auto"/>
            <w:vAlign w:val="center"/>
            <w:hideMark/>
          </w:tcPr>
          <w:p w14:paraId="44D8BFA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Rainy days (d)</w:t>
            </w:r>
          </w:p>
        </w:tc>
        <w:tc>
          <w:tcPr>
            <w:tcW w:w="332" w:type="pct"/>
            <w:tcBorders>
              <w:top w:val="nil"/>
              <w:left w:val="nil"/>
              <w:right w:val="nil"/>
            </w:tcBorders>
            <w:shd w:val="clear" w:color="auto" w:fill="auto"/>
            <w:vAlign w:val="center"/>
            <w:hideMark/>
          </w:tcPr>
          <w:p w14:paraId="4A3DE5B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2</w:t>
            </w:r>
          </w:p>
        </w:tc>
        <w:tc>
          <w:tcPr>
            <w:tcW w:w="328" w:type="pct"/>
            <w:tcBorders>
              <w:top w:val="nil"/>
              <w:left w:val="nil"/>
              <w:right w:val="nil"/>
            </w:tcBorders>
            <w:shd w:val="clear" w:color="auto" w:fill="auto"/>
            <w:vAlign w:val="center"/>
            <w:hideMark/>
          </w:tcPr>
          <w:p w14:paraId="43A2EBE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27" w:type="pct"/>
            <w:tcBorders>
              <w:top w:val="nil"/>
              <w:left w:val="nil"/>
              <w:right w:val="nil"/>
            </w:tcBorders>
            <w:shd w:val="clear" w:color="auto" w:fill="auto"/>
            <w:vAlign w:val="center"/>
            <w:hideMark/>
          </w:tcPr>
          <w:p w14:paraId="5C410D3A"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19" w:type="pct"/>
            <w:tcBorders>
              <w:top w:val="nil"/>
              <w:left w:val="nil"/>
              <w:right w:val="nil"/>
            </w:tcBorders>
            <w:shd w:val="clear" w:color="auto" w:fill="auto"/>
            <w:vAlign w:val="center"/>
            <w:hideMark/>
          </w:tcPr>
          <w:p w14:paraId="46A5642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19" w:type="pct"/>
            <w:tcBorders>
              <w:top w:val="nil"/>
              <w:left w:val="nil"/>
              <w:right w:val="nil"/>
            </w:tcBorders>
            <w:shd w:val="clear" w:color="auto" w:fill="auto"/>
            <w:vAlign w:val="center"/>
            <w:hideMark/>
          </w:tcPr>
          <w:p w14:paraId="51FF1BB5"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19" w:type="pct"/>
            <w:tcBorders>
              <w:top w:val="nil"/>
              <w:left w:val="nil"/>
              <w:right w:val="nil"/>
            </w:tcBorders>
            <w:shd w:val="clear" w:color="auto" w:fill="auto"/>
            <w:vAlign w:val="center"/>
            <w:hideMark/>
          </w:tcPr>
          <w:p w14:paraId="42D6C0CD"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right w:val="nil"/>
            </w:tcBorders>
            <w:shd w:val="clear" w:color="auto" w:fill="auto"/>
            <w:vAlign w:val="center"/>
            <w:hideMark/>
          </w:tcPr>
          <w:p w14:paraId="43AF4E57"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0</w:t>
            </w:r>
          </w:p>
        </w:tc>
        <w:tc>
          <w:tcPr>
            <w:tcW w:w="319" w:type="pct"/>
            <w:tcBorders>
              <w:top w:val="nil"/>
              <w:left w:val="nil"/>
              <w:right w:val="nil"/>
            </w:tcBorders>
            <w:shd w:val="clear" w:color="auto" w:fill="auto"/>
            <w:vAlign w:val="center"/>
            <w:hideMark/>
          </w:tcPr>
          <w:p w14:paraId="375D3F97"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19" w:type="pct"/>
            <w:tcBorders>
              <w:top w:val="nil"/>
              <w:left w:val="nil"/>
              <w:right w:val="nil"/>
            </w:tcBorders>
            <w:shd w:val="clear" w:color="auto" w:fill="auto"/>
            <w:vAlign w:val="center"/>
            <w:hideMark/>
          </w:tcPr>
          <w:p w14:paraId="0F5D517C"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19" w:type="pct"/>
            <w:tcBorders>
              <w:top w:val="nil"/>
              <w:left w:val="nil"/>
              <w:right w:val="nil"/>
            </w:tcBorders>
            <w:shd w:val="clear" w:color="auto" w:fill="auto"/>
            <w:vAlign w:val="center"/>
            <w:hideMark/>
          </w:tcPr>
          <w:p w14:paraId="0A0BBC6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19" w:type="pct"/>
            <w:tcBorders>
              <w:top w:val="nil"/>
              <w:left w:val="nil"/>
              <w:right w:val="nil"/>
            </w:tcBorders>
            <w:shd w:val="clear" w:color="auto" w:fill="auto"/>
            <w:vAlign w:val="center"/>
            <w:hideMark/>
          </w:tcPr>
          <w:p w14:paraId="7F481B7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c>
          <w:tcPr>
            <w:tcW w:w="309" w:type="pct"/>
            <w:tcBorders>
              <w:top w:val="nil"/>
              <w:left w:val="nil"/>
              <w:right w:val="nil"/>
            </w:tcBorders>
            <w:shd w:val="clear" w:color="auto" w:fill="auto"/>
            <w:vAlign w:val="center"/>
            <w:hideMark/>
          </w:tcPr>
          <w:p w14:paraId="0C520F07"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w:t>
            </w:r>
          </w:p>
        </w:tc>
      </w:tr>
      <w:tr w:rsidR="006A269F" w:rsidRPr="006A269F" w14:paraId="467E77DE" w14:textId="77777777" w:rsidTr="006A269F">
        <w:trPr>
          <w:trHeight w:val="408"/>
          <w:jc w:val="center"/>
        </w:trPr>
        <w:tc>
          <w:tcPr>
            <w:tcW w:w="1150" w:type="pct"/>
            <w:tcBorders>
              <w:top w:val="nil"/>
              <w:left w:val="nil"/>
              <w:bottom w:val="single" w:sz="4" w:space="0" w:color="auto"/>
              <w:right w:val="nil"/>
            </w:tcBorders>
            <w:shd w:val="clear" w:color="auto" w:fill="auto"/>
            <w:vAlign w:val="center"/>
            <w:hideMark/>
          </w:tcPr>
          <w:p w14:paraId="6F7CB0E9"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Avg. Sun hours (hours)</w:t>
            </w:r>
          </w:p>
        </w:tc>
        <w:tc>
          <w:tcPr>
            <w:tcW w:w="332" w:type="pct"/>
            <w:tcBorders>
              <w:top w:val="nil"/>
              <w:left w:val="nil"/>
              <w:bottom w:val="single" w:sz="4" w:space="0" w:color="auto"/>
              <w:right w:val="nil"/>
            </w:tcBorders>
            <w:shd w:val="clear" w:color="000000" w:fill="FCF6F9"/>
            <w:vAlign w:val="center"/>
            <w:hideMark/>
          </w:tcPr>
          <w:p w14:paraId="1D9BDF5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8.7</w:t>
            </w:r>
          </w:p>
        </w:tc>
        <w:tc>
          <w:tcPr>
            <w:tcW w:w="328" w:type="pct"/>
            <w:tcBorders>
              <w:top w:val="nil"/>
              <w:left w:val="nil"/>
              <w:bottom w:val="single" w:sz="4" w:space="0" w:color="auto"/>
              <w:right w:val="nil"/>
            </w:tcBorders>
            <w:shd w:val="clear" w:color="000000" w:fill="FCDADD"/>
            <w:vAlign w:val="center"/>
            <w:hideMark/>
          </w:tcPr>
          <w:p w14:paraId="7FD400D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9.5</w:t>
            </w:r>
          </w:p>
        </w:tc>
        <w:tc>
          <w:tcPr>
            <w:tcW w:w="327" w:type="pct"/>
            <w:tcBorders>
              <w:top w:val="nil"/>
              <w:left w:val="nil"/>
              <w:bottom w:val="single" w:sz="4" w:space="0" w:color="auto"/>
              <w:right w:val="nil"/>
            </w:tcBorders>
            <w:shd w:val="clear" w:color="000000" w:fill="FBB8BB"/>
            <w:vAlign w:val="center"/>
            <w:hideMark/>
          </w:tcPr>
          <w:p w14:paraId="0330479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10.5</w:t>
            </w:r>
          </w:p>
        </w:tc>
        <w:tc>
          <w:tcPr>
            <w:tcW w:w="319" w:type="pct"/>
            <w:tcBorders>
              <w:top w:val="nil"/>
              <w:left w:val="nil"/>
              <w:bottom w:val="single" w:sz="4" w:space="0" w:color="auto"/>
              <w:right w:val="nil"/>
            </w:tcBorders>
            <w:shd w:val="clear" w:color="000000" w:fill="FA9698"/>
            <w:vAlign w:val="center"/>
            <w:hideMark/>
          </w:tcPr>
          <w:p w14:paraId="6E36400B"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11.5</w:t>
            </w:r>
          </w:p>
        </w:tc>
        <w:tc>
          <w:tcPr>
            <w:tcW w:w="319" w:type="pct"/>
            <w:tcBorders>
              <w:top w:val="nil"/>
              <w:left w:val="nil"/>
              <w:bottom w:val="single" w:sz="4" w:space="0" w:color="auto"/>
              <w:right w:val="nil"/>
            </w:tcBorders>
            <w:shd w:val="clear" w:color="000000" w:fill="F97B7D"/>
            <w:vAlign w:val="center"/>
            <w:hideMark/>
          </w:tcPr>
          <w:p w14:paraId="3243D2F2"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12.3</w:t>
            </w:r>
          </w:p>
        </w:tc>
        <w:tc>
          <w:tcPr>
            <w:tcW w:w="319" w:type="pct"/>
            <w:tcBorders>
              <w:top w:val="nil"/>
              <w:left w:val="nil"/>
              <w:bottom w:val="single" w:sz="4" w:space="0" w:color="auto"/>
              <w:right w:val="nil"/>
            </w:tcBorders>
            <w:shd w:val="clear" w:color="000000" w:fill="F8696B"/>
            <w:vAlign w:val="center"/>
            <w:hideMark/>
          </w:tcPr>
          <w:p w14:paraId="6F005C83"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12.8</w:t>
            </w:r>
          </w:p>
        </w:tc>
        <w:tc>
          <w:tcPr>
            <w:tcW w:w="319" w:type="pct"/>
            <w:tcBorders>
              <w:top w:val="nil"/>
              <w:left w:val="nil"/>
              <w:bottom w:val="single" w:sz="4" w:space="0" w:color="auto"/>
              <w:right w:val="nil"/>
            </w:tcBorders>
            <w:shd w:val="clear" w:color="000000" w:fill="F97072"/>
            <w:vAlign w:val="center"/>
            <w:hideMark/>
          </w:tcPr>
          <w:p w14:paraId="7BE9FC2E"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12.6</w:t>
            </w:r>
          </w:p>
        </w:tc>
        <w:tc>
          <w:tcPr>
            <w:tcW w:w="319" w:type="pct"/>
            <w:tcBorders>
              <w:top w:val="nil"/>
              <w:left w:val="nil"/>
              <w:bottom w:val="single" w:sz="4" w:space="0" w:color="auto"/>
              <w:right w:val="nil"/>
            </w:tcBorders>
            <w:shd w:val="clear" w:color="000000" w:fill="F98587"/>
            <w:vAlign w:val="center"/>
            <w:hideMark/>
          </w:tcPr>
          <w:p w14:paraId="5A7C74CF"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12.0</w:t>
            </w:r>
          </w:p>
        </w:tc>
        <w:tc>
          <w:tcPr>
            <w:tcW w:w="319" w:type="pct"/>
            <w:tcBorders>
              <w:top w:val="nil"/>
              <w:left w:val="nil"/>
              <w:bottom w:val="single" w:sz="4" w:space="0" w:color="auto"/>
              <w:right w:val="nil"/>
            </w:tcBorders>
            <w:shd w:val="clear" w:color="000000" w:fill="FAA4A6"/>
            <w:vAlign w:val="center"/>
            <w:hideMark/>
          </w:tcPr>
          <w:p w14:paraId="739A0C07"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11.1</w:t>
            </w:r>
          </w:p>
        </w:tc>
        <w:tc>
          <w:tcPr>
            <w:tcW w:w="319" w:type="pct"/>
            <w:tcBorders>
              <w:top w:val="nil"/>
              <w:left w:val="nil"/>
              <w:bottom w:val="single" w:sz="4" w:space="0" w:color="auto"/>
              <w:right w:val="nil"/>
            </w:tcBorders>
            <w:shd w:val="clear" w:color="000000" w:fill="FBC6C8"/>
            <w:vAlign w:val="center"/>
            <w:hideMark/>
          </w:tcPr>
          <w:p w14:paraId="77CC58C8"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10.1</w:t>
            </w:r>
          </w:p>
        </w:tc>
        <w:tc>
          <w:tcPr>
            <w:tcW w:w="319" w:type="pct"/>
            <w:tcBorders>
              <w:top w:val="nil"/>
              <w:left w:val="nil"/>
              <w:bottom w:val="single" w:sz="4" w:space="0" w:color="auto"/>
              <w:right w:val="nil"/>
            </w:tcBorders>
            <w:shd w:val="clear" w:color="000000" w:fill="FCE8EB"/>
            <w:vAlign w:val="center"/>
            <w:hideMark/>
          </w:tcPr>
          <w:p w14:paraId="7576F4C0"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9.1</w:t>
            </w:r>
          </w:p>
        </w:tc>
        <w:tc>
          <w:tcPr>
            <w:tcW w:w="309" w:type="pct"/>
            <w:tcBorders>
              <w:top w:val="nil"/>
              <w:left w:val="nil"/>
              <w:bottom w:val="single" w:sz="4" w:space="0" w:color="auto"/>
              <w:right w:val="nil"/>
            </w:tcBorders>
            <w:shd w:val="clear" w:color="000000" w:fill="FCFCFF"/>
            <w:vAlign w:val="center"/>
            <w:hideMark/>
          </w:tcPr>
          <w:p w14:paraId="6F9872F1" w14:textId="77777777" w:rsidR="006A269F" w:rsidRPr="006A269F" w:rsidRDefault="006A269F" w:rsidP="00417CF0">
            <w:pPr>
              <w:pStyle w:val="Table"/>
              <w:rPr>
                <w:rFonts w:asciiTheme="majorHAnsi" w:hAnsiTheme="majorHAnsi" w:cstheme="majorHAnsi"/>
                <w:bCs/>
                <w:sz w:val="16"/>
                <w:szCs w:val="16"/>
              </w:rPr>
            </w:pPr>
            <w:r w:rsidRPr="006A269F">
              <w:rPr>
                <w:rFonts w:asciiTheme="majorHAnsi" w:hAnsiTheme="majorHAnsi" w:cstheme="majorHAnsi"/>
                <w:bCs/>
                <w:sz w:val="16"/>
                <w:szCs w:val="16"/>
              </w:rPr>
              <w:t>8.5</w:t>
            </w:r>
          </w:p>
        </w:tc>
      </w:tr>
    </w:tbl>
    <w:p w14:paraId="73945D55" w14:textId="77777777" w:rsidR="006A269F" w:rsidRDefault="006A269F" w:rsidP="006A269F">
      <w:pPr>
        <w:ind w:firstLine="284"/>
        <w:jc w:val="both"/>
        <w:rPr>
          <w:rFonts w:asciiTheme="majorHAnsi" w:hAnsiTheme="majorHAnsi" w:cstheme="majorHAnsi"/>
          <w:sz w:val="20"/>
          <w:szCs w:val="20"/>
        </w:rPr>
      </w:pPr>
    </w:p>
    <w:p w14:paraId="026FAA9F" w14:textId="77777777" w:rsidR="006A269F" w:rsidRPr="006A269F" w:rsidRDefault="006A269F" w:rsidP="006A269F">
      <w:pPr>
        <w:ind w:firstLine="284"/>
        <w:jc w:val="both"/>
        <w:rPr>
          <w:rFonts w:asciiTheme="majorHAnsi" w:hAnsiTheme="majorHAnsi" w:cstheme="majorHAnsi"/>
          <w:sz w:val="20"/>
          <w:szCs w:val="20"/>
        </w:rPr>
      </w:pPr>
      <w:r w:rsidRPr="006A269F">
        <w:rPr>
          <w:rFonts w:asciiTheme="majorHAnsi" w:hAnsiTheme="majorHAnsi" w:cstheme="majorHAnsi"/>
          <w:sz w:val="20"/>
          <w:szCs w:val="20"/>
        </w:rPr>
        <w:t xml:space="preserve">The morphological relationship of the site to the urban fabric is ideal and carefully considered, as are the local and durable materials. The introversion of the house is a kind of sun avoidance and a typical social norm in which everyone is treated equally. In addition, the winding alleys of the </w:t>
      </w:r>
      <w:proofErr w:type="spellStart"/>
      <w:r w:rsidRPr="006A269F">
        <w:rPr>
          <w:rFonts w:asciiTheme="majorHAnsi" w:hAnsiTheme="majorHAnsi" w:cstheme="majorHAnsi"/>
          <w:sz w:val="20"/>
          <w:szCs w:val="20"/>
        </w:rPr>
        <w:t>Mozabite</w:t>
      </w:r>
      <w:proofErr w:type="spellEnd"/>
      <w:r w:rsidRPr="006A269F">
        <w:rPr>
          <w:rFonts w:asciiTheme="majorHAnsi" w:hAnsiTheme="majorHAnsi" w:cstheme="majorHAnsi"/>
          <w:sz w:val="20"/>
          <w:szCs w:val="20"/>
        </w:rPr>
        <w:t xml:space="preserve"> city are often roofed as they gradually rise to the mosque at the highest point, providing the pleasant sensation of walking through shaded underground tunnels [25]. Simple direct-light and sun-space components, sensibly applied to the street façade of small structures in narrow streets, have been effective for winter while providing efficient daylighting and natural ventilation in summer [27], [28]. </w:t>
      </w:r>
    </w:p>
    <w:p w14:paraId="10F14C8A" w14:textId="77777777" w:rsidR="006A269F" w:rsidRPr="006A269F" w:rsidRDefault="006A269F" w:rsidP="006A269F">
      <w:pPr>
        <w:ind w:firstLine="284"/>
        <w:jc w:val="both"/>
        <w:rPr>
          <w:rFonts w:asciiTheme="majorHAnsi" w:hAnsiTheme="majorHAnsi" w:cstheme="majorHAnsi"/>
          <w:sz w:val="20"/>
          <w:szCs w:val="20"/>
        </w:rPr>
      </w:pPr>
      <w:r w:rsidRPr="006A269F">
        <w:rPr>
          <w:rFonts w:asciiTheme="majorHAnsi" w:hAnsiTheme="majorHAnsi" w:cstheme="majorHAnsi"/>
          <w:sz w:val="20"/>
          <w:szCs w:val="20"/>
        </w:rPr>
        <w:tab/>
        <w:t xml:space="preserve">Five historic </w:t>
      </w:r>
      <w:proofErr w:type="spellStart"/>
      <w:r w:rsidRPr="006A269F">
        <w:rPr>
          <w:rFonts w:asciiTheme="majorHAnsi" w:hAnsiTheme="majorHAnsi" w:cstheme="majorHAnsi"/>
          <w:sz w:val="20"/>
          <w:szCs w:val="20"/>
        </w:rPr>
        <w:t>Ksour</w:t>
      </w:r>
      <w:proofErr w:type="spellEnd"/>
      <w:r w:rsidRPr="006A269F">
        <w:rPr>
          <w:rFonts w:asciiTheme="majorHAnsi" w:hAnsiTheme="majorHAnsi" w:cstheme="majorHAnsi"/>
          <w:sz w:val="20"/>
          <w:szCs w:val="20"/>
        </w:rPr>
        <w:t xml:space="preserve"> have been constructed in the Ghardaïa oasis. The </w:t>
      </w:r>
      <w:proofErr w:type="spellStart"/>
      <w:r w:rsidRPr="006A269F">
        <w:rPr>
          <w:rFonts w:asciiTheme="majorHAnsi" w:hAnsiTheme="majorHAnsi" w:cstheme="majorHAnsi"/>
          <w:sz w:val="20"/>
          <w:szCs w:val="20"/>
        </w:rPr>
        <w:t>Ksar</w:t>
      </w:r>
      <w:proofErr w:type="spellEnd"/>
      <w:r w:rsidRPr="006A269F">
        <w:rPr>
          <w:rFonts w:asciiTheme="majorHAnsi" w:hAnsiTheme="majorHAnsi" w:cstheme="majorHAnsi"/>
          <w:sz w:val="20"/>
          <w:szCs w:val="20"/>
        </w:rPr>
        <w:t xml:space="preserve"> of Ghardaïa (of the same name) is the youngest, founded in 1053 (426 Hijri); the oldest, El </w:t>
      </w:r>
      <w:proofErr w:type="spellStart"/>
      <w:r w:rsidRPr="006A269F">
        <w:rPr>
          <w:rFonts w:asciiTheme="majorHAnsi" w:hAnsiTheme="majorHAnsi" w:cstheme="majorHAnsi"/>
          <w:sz w:val="20"/>
          <w:szCs w:val="20"/>
        </w:rPr>
        <w:t>Ateuf</w:t>
      </w:r>
      <w:proofErr w:type="spellEnd"/>
      <w:r w:rsidRPr="006A269F">
        <w:rPr>
          <w:rFonts w:asciiTheme="majorHAnsi" w:hAnsiTheme="majorHAnsi" w:cstheme="majorHAnsi"/>
          <w:sz w:val="20"/>
          <w:szCs w:val="20"/>
        </w:rPr>
        <w:t xml:space="preserve">, was founded in 1011 (401 Hijri), followed by Bou Noura, Melika, and Beni </w:t>
      </w:r>
      <w:proofErr w:type="spellStart"/>
      <w:r w:rsidRPr="006A269F">
        <w:rPr>
          <w:rFonts w:asciiTheme="majorHAnsi" w:hAnsiTheme="majorHAnsi" w:cstheme="majorHAnsi"/>
          <w:sz w:val="20"/>
          <w:szCs w:val="20"/>
        </w:rPr>
        <w:t>Isguen</w:t>
      </w:r>
      <w:proofErr w:type="spellEnd"/>
      <w:r w:rsidRPr="006A269F">
        <w:rPr>
          <w:rFonts w:asciiTheme="majorHAnsi" w:hAnsiTheme="majorHAnsi" w:cstheme="majorHAnsi"/>
          <w:sz w:val="20"/>
          <w:szCs w:val="20"/>
        </w:rPr>
        <w:t xml:space="preserve">. They arose when the persecuted Ibadite sect was forced to evacuate Kairouan, Tiaret, and </w:t>
      </w:r>
      <w:proofErr w:type="spellStart"/>
      <w:r w:rsidRPr="006A269F">
        <w:rPr>
          <w:rFonts w:asciiTheme="majorHAnsi" w:hAnsiTheme="majorHAnsi" w:cstheme="majorHAnsi"/>
          <w:sz w:val="20"/>
          <w:szCs w:val="20"/>
        </w:rPr>
        <w:t>Sedrata</w:t>
      </w:r>
      <w:proofErr w:type="spellEnd"/>
      <w:r w:rsidRPr="006A269F">
        <w:rPr>
          <w:rFonts w:asciiTheme="majorHAnsi" w:hAnsiTheme="majorHAnsi" w:cstheme="majorHAnsi"/>
          <w:sz w:val="20"/>
          <w:szCs w:val="20"/>
        </w:rPr>
        <w:t xml:space="preserve"> before finding refuge in the oasis of Ghardaïa [25]. This study focuses exclusively on two vernacular Islamic </w:t>
      </w:r>
      <w:proofErr w:type="spellStart"/>
      <w:r w:rsidRPr="006A269F">
        <w:rPr>
          <w:rFonts w:asciiTheme="majorHAnsi" w:hAnsiTheme="majorHAnsi" w:cstheme="majorHAnsi"/>
          <w:sz w:val="20"/>
          <w:szCs w:val="20"/>
        </w:rPr>
        <w:t>Ksour</w:t>
      </w:r>
      <w:proofErr w:type="spellEnd"/>
      <w:r w:rsidRPr="006A269F">
        <w:rPr>
          <w:rFonts w:asciiTheme="majorHAnsi" w:hAnsiTheme="majorHAnsi" w:cstheme="majorHAnsi"/>
          <w:sz w:val="20"/>
          <w:szCs w:val="20"/>
        </w:rPr>
        <w:t xml:space="preserve"> (El-</w:t>
      </w:r>
      <w:proofErr w:type="spellStart"/>
      <w:r w:rsidRPr="006A269F">
        <w:rPr>
          <w:rFonts w:asciiTheme="majorHAnsi" w:hAnsiTheme="majorHAnsi" w:cstheme="majorHAnsi"/>
          <w:sz w:val="20"/>
          <w:szCs w:val="20"/>
        </w:rPr>
        <w:t>Ateuf</w:t>
      </w:r>
      <w:proofErr w:type="spellEnd"/>
      <w:r w:rsidRPr="006A269F">
        <w:rPr>
          <w:rFonts w:asciiTheme="majorHAnsi" w:hAnsiTheme="majorHAnsi" w:cstheme="majorHAnsi"/>
          <w:sz w:val="20"/>
          <w:szCs w:val="20"/>
        </w:rPr>
        <w:t xml:space="preserve"> and Beni </w:t>
      </w:r>
      <w:proofErr w:type="spellStart"/>
      <w:r w:rsidRPr="006A269F">
        <w:rPr>
          <w:rFonts w:asciiTheme="majorHAnsi" w:hAnsiTheme="majorHAnsi" w:cstheme="majorHAnsi"/>
          <w:sz w:val="20"/>
          <w:szCs w:val="20"/>
        </w:rPr>
        <w:t>Isguen</w:t>
      </w:r>
      <w:proofErr w:type="spellEnd"/>
      <w:r w:rsidRPr="006A269F">
        <w:rPr>
          <w:rFonts w:asciiTheme="majorHAnsi" w:hAnsiTheme="majorHAnsi" w:cstheme="majorHAnsi"/>
          <w:sz w:val="20"/>
          <w:szCs w:val="20"/>
        </w:rPr>
        <w:t xml:space="preserve">) on the one hand and a new </w:t>
      </w:r>
      <w:proofErr w:type="spellStart"/>
      <w:r w:rsidRPr="006A269F">
        <w:rPr>
          <w:rFonts w:asciiTheme="majorHAnsi" w:hAnsiTheme="majorHAnsi" w:cstheme="majorHAnsi"/>
          <w:sz w:val="20"/>
          <w:szCs w:val="20"/>
        </w:rPr>
        <w:t>ksar</w:t>
      </w:r>
      <w:proofErr w:type="spellEnd"/>
      <w:r w:rsidRPr="006A269F">
        <w:rPr>
          <w:rFonts w:asciiTheme="majorHAnsi" w:hAnsiTheme="majorHAnsi" w:cstheme="majorHAnsi"/>
          <w:sz w:val="20"/>
          <w:szCs w:val="20"/>
        </w:rPr>
        <w:t xml:space="preserve"> on the other. The old </w:t>
      </w:r>
      <w:proofErr w:type="spellStart"/>
      <w:r w:rsidRPr="006A269F">
        <w:rPr>
          <w:rFonts w:asciiTheme="majorHAnsi" w:hAnsiTheme="majorHAnsi" w:cstheme="majorHAnsi"/>
          <w:sz w:val="20"/>
          <w:szCs w:val="20"/>
        </w:rPr>
        <w:t>Ksar</w:t>
      </w:r>
      <w:proofErr w:type="spellEnd"/>
      <w:r w:rsidRPr="006A269F">
        <w:rPr>
          <w:rFonts w:asciiTheme="majorHAnsi" w:hAnsiTheme="majorHAnsi" w:cstheme="majorHAnsi"/>
          <w:sz w:val="20"/>
          <w:szCs w:val="20"/>
        </w:rPr>
        <w:t xml:space="preserve"> of </w:t>
      </w:r>
      <w:r w:rsidRPr="006A269F">
        <w:rPr>
          <w:rFonts w:asciiTheme="majorHAnsi" w:hAnsiTheme="majorHAnsi" w:cstheme="majorHAnsi"/>
          <w:sz w:val="20"/>
          <w:szCs w:val="20"/>
        </w:rPr>
        <w:lastRenderedPageBreak/>
        <w:t>El-</w:t>
      </w:r>
      <w:proofErr w:type="spellStart"/>
      <w:r w:rsidRPr="006A269F">
        <w:rPr>
          <w:rFonts w:asciiTheme="majorHAnsi" w:hAnsiTheme="majorHAnsi" w:cstheme="majorHAnsi"/>
          <w:sz w:val="20"/>
          <w:szCs w:val="20"/>
        </w:rPr>
        <w:t>Ateuf</w:t>
      </w:r>
      <w:proofErr w:type="spellEnd"/>
      <w:r w:rsidRPr="006A269F">
        <w:rPr>
          <w:rFonts w:asciiTheme="majorHAnsi" w:hAnsiTheme="majorHAnsi" w:cstheme="majorHAnsi"/>
          <w:sz w:val="20"/>
          <w:szCs w:val="20"/>
        </w:rPr>
        <w:t xml:space="preserve"> is mainly characterized by its two mosques and minarets rising towards the blue African sky, symbolizing the city's bloodshed and pride in introducing Ibadism to the </w:t>
      </w:r>
      <w:proofErr w:type="spellStart"/>
      <w:r w:rsidRPr="006A269F">
        <w:rPr>
          <w:rFonts w:asciiTheme="majorHAnsi" w:hAnsiTheme="majorHAnsi" w:cstheme="majorHAnsi"/>
          <w:sz w:val="20"/>
          <w:szCs w:val="20"/>
        </w:rPr>
        <w:t>M'zab</w:t>
      </w:r>
      <w:proofErr w:type="spellEnd"/>
      <w:r w:rsidRPr="006A269F">
        <w:rPr>
          <w:rFonts w:asciiTheme="majorHAnsi" w:hAnsiTheme="majorHAnsi" w:cstheme="majorHAnsi"/>
          <w:sz w:val="20"/>
          <w:szCs w:val="20"/>
        </w:rPr>
        <w:t xml:space="preserve">. The </w:t>
      </w:r>
      <w:proofErr w:type="spellStart"/>
      <w:r w:rsidRPr="006A269F">
        <w:rPr>
          <w:rFonts w:asciiTheme="majorHAnsi" w:hAnsiTheme="majorHAnsi" w:cstheme="majorHAnsi"/>
          <w:sz w:val="20"/>
          <w:szCs w:val="20"/>
        </w:rPr>
        <w:t>Ksar</w:t>
      </w:r>
      <w:proofErr w:type="spellEnd"/>
      <w:r w:rsidRPr="006A269F">
        <w:rPr>
          <w:rFonts w:asciiTheme="majorHAnsi" w:hAnsiTheme="majorHAnsi" w:cstheme="majorHAnsi"/>
          <w:sz w:val="20"/>
          <w:szCs w:val="20"/>
        </w:rPr>
        <w:t xml:space="preserve"> of Beni </w:t>
      </w:r>
      <w:proofErr w:type="spellStart"/>
      <w:r w:rsidRPr="006A269F">
        <w:rPr>
          <w:rFonts w:asciiTheme="majorHAnsi" w:hAnsiTheme="majorHAnsi" w:cstheme="majorHAnsi"/>
          <w:sz w:val="20"/>
          <w:szCs w:val="20"/>
        </w:rPr>
        <w:t>Isguen</w:t>
      </w:r>
      <w:proofErr w:type="spellEnd"/>
      <w:r w:rsidRPr="006A269F">
        <w:rPr>
          <w:rFonts w:asciiTheme="majorHAnsi" w:hAnsiTheme="majorHAnsi" w:cstheme="majorHAnsi"/>
          <w:sz w:val="20"/>
          <w:szCs w:val="20"/>
        </w:rPr>
        <w:t xml:space="preserve">, the most mysterious of the </w:t>
      </w:r>
      <w:proofErr w:type="spellStart"/>
      <w:r w:rsidRPr="006A269F">
        <w:rPr>
          <w:rFonts w:asciiTheme="majorHAnsi" w:hAnsiTheme="majorHAnsi" w:cstheme="majorHAnsi"/>
          <w:sz w:val="20"/>
          <w:szCs w:val="20"/>
        </w:rPr>
        <w:t>M'zab</w:t>
      </w:r>
      <w:proofErr w:type="spellEnd"/>
      <w:r w:rsidRPr="006A269F">
        <w:rPr>
          <w:rFonts w:asciiTheme="majorHAnsi" w:hAnsiTheme="majorHAnsi" w:cstheme="majorHAnsi"/>
          <w:sz w:val="20"/>
          <w:szCs w:val="20"/>
        </w:rPr>
        <w:t xml:space="preserve"> cities, depicts a holy city whose gates were once sealed at night, and only the city's inhabitants were allowed to enter after dark. Although this is no longer the case, the city remains the most traditional in </w:t>
      </w:r>
      <w:proofErr w:type="spellStart"/>
      <w:r w:rsidRPr="006A269F">
        <w:rPr>
          <w:rFonts w:asciiTheme="majorHAnsi" w:hAnsiTheme="majorHAnsi" w:cstheme="majorHAnsi"/>
          <w:sz w:val="20"/>
          <w:szCs w:val="20"/>
        </w:rPr>
        <w:t>M'Zab</w:t>
      </w:r>
      <w:proofErr w:type="spellEnd"/>
      <w:r w:rsidRPr="006A269F">
        <w:rPr>
          <w:rFonts w:asciiTheme="majorHAnsi" w:hAnsiTheme="majorHAnsi" w:cstheme="majorHAnsi"/>
          <w:sz w:val="20"/>
          <w:szCs w:val="20"/>
        </w:rPr>
        <w:t xml:space="preserve">. As for the </w:t>
      </w:r>
      <w:proofErr w:type="spellStart"/>
      <w:r w:rsidRPr="006A269F">
        <w:rPr>
          <w:rFonts w:asciiTheme="majorHAnsi" w:hAnsiTheme="majorHAnsi" w:cstheme="majorHAnsi"/>
          <w:sz w:val="20"/>
          <w:szCs w:val="20"/>
        </w:rPr>
        <w:t>Ksar</w:t>
      </w:r>
      <w:proofErr w:type="spellEnd"/>
      <w:r w:rsidRPr="006A269F">
        <w:rPr>
          <w:rFonts w:asciiTheme="majorHAnsi" w:hAnsiTheme="majorHAnsi" w:cstheme="majorHAnsi"/>
          <w:sz w:val="20"/>
          <w:szCs w:val="20"/>
        </w:rPr>
        <w:t xml:space="preserve"> of </w:t>
      </w:r>
      <w:proofErr w:type="spellStart"/>
      <w:r w:rsidRPr="006A269F">
        <w:rPr>
          <w:rFonts w:asciiTheme="majorHAnsi" w:hAnsiTheme="majorHAnsi" w:cstheme="majorHAnsi"/>
          <w:sz w:val="20"/>
          <w:szCs w:val="20"/>
        </w:rPr>
        <w:t>Tafilalet</w:t>
      </w:r>
      <w:proofErr w:type="spellEnd"/>
      <w:r w:rsidRPr="006A269F">
        <w:rPr>
          <w:rFonts w:asciiTheme="majorHAnsi" w:hAnsiTheme="majorHAnsi" w:cstheme="majorHAnsi"/>
          <w:sz w:val="20"/>
          <w:szCs w:val="20"/>
        </w:rPr>
        <w:t>, it is very recent, having been created in 1997 (1417 Hijri) to alleviate the housing crisis that affected not only Ghardaïa but the entire country.</w:t>
      </w:r>
    </w:p>
    <w:p w14:paraId="1411F526" w14:textId="77777777" w:rsidR="006A269F" w:rsidRPr="006A269F" w:rsidRDefault="006A269F" w:rsidP="006A269F">
      <w:pPr>
        <w:ind w:firstLine="284"/>
        <w:jc w:val="both"/>
        <w:rPr>
          <w:rFonts w:asciiTheme="majorHAnsi" w:hAnsiTheme="majorHAnsi" w:cstheme="majorHAnsi"/>
          <w:sz w:val="20"/>
          <w:szCs w:val="20"/>
        </w:rPr>
      </w:pPr>
      <w:r w:rsidRPr="006A269F">
        <w:rPr>
          <w:rFonts w:asciiTheme="majorHAnsi" w:hAnsiTheme="majorHAnsi" w:cstheme="majorHAnsi"/>
          <w:sz w:val="20"/>
          <w:szCs w:val="20"/>
        </w:rPr>
        <w:tab/>
        <w:t xml:space="preserve">The methodological approach begins with a study of the </w:t>
      </w:r>
      <w:proofErr w:type="gramStart"/>
      <w:r w:rsidRPr="006A269F">
        <w:rPr>
          <w:rFonts w:asciiTheme="majorHAnsi" w:hAnsiTheme="majorHAnsi" w:cstheme="majorHAnsi"/>
          <w:sz w:val="20"/>
          <w:szCs w:val="20"/>
        </w:rPr>
        <w:t>lanes</w:t>
      </w:r>
      <w:proofErr w:type="gramEnd"/>
      <w:r w:rsidRPr="006A269F">
        <w:rPr>
          <w:rFonts w:asciiTheme="majorHAnsi" w:hAnsiTheme="majorHAnsi" w:cstheme="majorHAnsi"/>
          <w:sz w:val="20"/>
          <w:szCs w:val="20"/>
        </w:rPr>
        <w:t xml:space="preserve"> morphology using satellite imagery of the selected </w:t>
      </w:r>
      <w:proofErr w:type="spellStart"/>
      <w:r w:rsidRPr="006A269F">
        <w:rPr>
          <w:rFonts w:asciiTheme="majorHAnsi" w:hAnsiTheme="majorHAnsi" w:cstheme="majorHAnsi"/>
          <w:sz w:val="20"/>
          <w:szCs w:val="20"/>
        </w:rPr>
        <w:t>Ksour</w:t>
      </w:r>
      <w:proofErr w:type="spellEnd"/>
      <w:r w:rsidRPr="006A269F">
        <w:rPr>
          <w:rFonts w:asciiTheme="majorHAnsi" w:hAnsiTheme="majorHAnsi" w:cstheme="majorHAnsi"/>
          <w:sz w:val="20"/>
          <w:szCs w:val="20"/>
        </w:rPr>
        <w:t xml:space="preserve">, followed by a computational evaluation of the reflection of sunlight in the three </w:t>
      </w:r>
      <w:proofErr w:type="spellStart"/>
      <w:r w:rsidRPr="006A269F">
        <w:rPr>
          <w:rFonts w:asciiTheme="majorHAnsi" w:hAnsiTheme="majorHAnsi" w:cstheme="majorHAnsi"/>
          <w:sz w:val="20"/>
          <w:szCs w:val="20"/>
        </w:rPr>
        <w:t>Ksour</w:t>
      </w:r>
      <w:proofErr w:type="spellEnd"/>
      <w:r w:rsidRPr="006A269F">
        <w:rPr>
          <w:rFonts w:asciiTheme="majorHAnsi" w:hAnsiTheme="majorHAnsi" w:cstheme="majorHAnsi"/>
          <w:sz w:val="20"/>
          <w:szCs w:val="20"/>
        </w:rPr>
        <w:t xml:space="preserve">. The computation is based on global criteria for the movement of the sun and the actual lengths of the wind paths of the </w:t>
      </w:r>
      <w:proofErr w:type="spellStart"/>
      <w:r w:rsidRPr="006A269F">
        <w:rPr>
          <w:rFonts w:asciiTheme="majorHAnsi" w:hAnsiTheme="majorHAnsi" w:cstheme="majorHAnsi"/>
          <w:sz w:val="20"/>
          <w:szCs w:val="20"/>
        </w:rPr>
        <w:t>Ksour</w:t>
      </w:r>
      <w:proofErr w:type="spellEnd"/>
      <w:r w:rsidRPr="006A269F">
        <w:rPr>
          <w:rFonts w:asciiTheme="majorHAnsi" w:hAnsiTheme="majorHAnsi" w:cstheme="majorHAnsi"/>
          <w:sz w:val="20"/>
          <w:szCs w:val="20"/>
        </w:rPr>
        <w:t xml:space="preserve"> (Figure 5). Because solar radiation affects not only walls and ceilings but also surfaces that people walk on throughout the day, such as public areas and streets, reducing the amount of sunlight in hot desert cities is critical to the city's existence. We calculated the circles of the angles of the sun's rays for June 21st, September 21st, and December 21st, as well as their solstices, using Ernest </w:t>
      </w:r>
      <w:proofErr w:type="spellStart"/>
      <w:r w:rsidRPr="006A269F">
        <w:rPr>
          <w:rFonts w:asciiTheme="majorHAnsi" w:hAnsiTheme="majorHAnsi" w:cstheme="majorHAnsi"/>
          <w:sz w:val="20"/>
          <w:szCs w:val="20"/>
        </w:rPr>
        <w:t>Neufert's</w:t>
      </w:r>
      <w:proofErr w:type="spellEnd"/>
      <w:r w:rsidRPr="006A269F">
        <w:rPr>
          <w:rFonts w:asciiTheme="majorHAnsi" w:hAnsiTheme="majorHAnsi" w:cstheme="majorHAnsi"/>
          <w:sz w:val="20"/>
          <w:szCs w:val="20"/>
        </w:rPr>
        <w:t xml:space="preserve"> formula. To accomplish this task, the writers used the vector computation program, </w:t>
      </w:r>
      <w:proofErr w:type="spellStart"/>
      <w:r w:rsidRPr="006A269F">
        <w:rPr>
          <w:rFonts w:asciiTheme="majorHAnsi" w:hAnsiTheme="majorHAnsi" w:cstheme="majorHAnsi"/>
          <w:sz w:val="20"/>
          <w:szCs w:val="20"/>
        </w:rPr>
        <w:t>Autocad</w:t>
      </w:r>
      <w:proofErr w:type="spellEnd"/>
      <w:r w:rsidRPr="006A269F">
        <w:rPr>
          <w:rFonts w:asciiTheme="majorHAnsi" w:hAnsiTheme="majorHAnsi" w:cstheme="majorHAnsi"/>
          <w:sz w:val="20"/>
          <w:szCs w:val="20"/>
        </w:rPr>
        <w:t xml:space="preserve">. They then performed a statistical analysis comparing the two old </w:t>
      </w:r>
      <w:proofErr w:type="spellStart"/>
      <w:r w:rsidRPr="006A269F">
        <w:rPr>
          <w:rFonts w:asciiTheme="majorHAnsi" w:hAnsiTheme="majorHAnsi" w:cstheme="majorHAnsi"/>
          <w:sz w:val="20"/>
          <w:szCs w:val="20"/>
        </w:rPr>
        <w:t>Ksour</w:t>
      </w:r>
      <w:proofErr w:type="spellEnd"/>
      <w:r w:rsidRPr="006A269F">
        <w:rPr>
          <w:rFonts w:asciiTheme="majorHAnsi" w:hAnsiTheme="majorHAnsi" w:cstheme="majorHAnsi"/>
          <w:sz w:val="20"/>
          <w:szCs w:val="20"/>
        </w:rPr>
        <w:t xml:space="preserve"> with the new one. It was performed to provide a neutral mathematical explanation for this solar orientation anomaly in these desert vernacular Islamic and sustainable communities. The equation is mathematically based on specific factors, in this example the sunshine index, the importance of which may be described by a coefficient and is directly related to the sunlight zones, the number and size of the lanes per zone. Thus, the next step conducted was selecting the orientation zones of the lanes based on the seasons, the orientation of the lanes based on the road network of each </w:t>
      </w:r>
      <w:proofErr w:type="spellStart"/>
      <w:r w:rsidRPr="006A269F">
        <w:rPr>
          <w:rFonts w:asciiTheme="majorHAnsi" w:hAnsiTheme="majorHAnsi" w:cstheme="majorHAnsi"/>
          <w:sz w:val="20"/>
          <w:szCs w:val="20"/>
        </w:rPr>
        <w:t>Ksar</w:t>
      </w:r>
      <w:proofErr w:type="spellEnd"/>
      <w:r w:rsidRPr="006A269F">
        <w:rPr>
          <w:rFonts w:asciiTheme="majorHAnsi" w:hAnsiTheme="majorHAnsi" w:cstheme="majorHAnsi"/>
          <w:sz w:val="20"/>
          <w:szCs w:val="20"/>
        </w:rPr>
        <w:t xml:space="preserve"> (circular or chessboard), and the quantities sought of each constituent. These are expressed in the unit distance and angles of inclination using the following formula:</w:t>
      </w:r>
    </w:p>
    <w:p w14:paraId="0FF660F7" w14:textId="77777777" w:rsidR="006A269F" w:rsidRPr="006A269F" w:rsidRDefault="006A269F" w:rsidP="006A269F">
      <w:pPr>
        <w:ind w:firstLine="284"/>
        <w:jc w:val="both"/>
        <w:rPr>
          <w:rFonts w:asciiTheme="majorHAnsi" w:hAnsiTheme="majorHAnsi" w:cstheme="majorHAnsi"/>
          <w:sz w:val="20"/>
          <w:szCs w:val="20"/>
        </w:rPr>
      </w:pPr>
      <w:r w:rsidRPr="006A269F">
        <w:rPr>
          <w:rFonts w:asciiTheme="majorHAnsi" w:hAnsiTheme="majorHAnsi" w:cstheme="majorHAnsi"/>
          <w:sz w:val="20"/>
          <w:szCs w:val="20"/>
        </w:rPr>
        <w:t xml:space="preserve">(Number </w:t>
      </w:r>
      <w:proofErr w:type="gramStart"/>
      <w:r w:rsidRPr="006A269F">
        <w:rPr>
          <w:rFonts w:asciiTheme="majorHAnsi" w:hAnsiTheme="majorHAnsi" w:cstheme="majorHAnsi"/>
          <w:sz w:val="20"/>
          <w:szCs w:val="20"/>
        </w:rPr>
        <w:t>Zone(</w:t>
      </w:r>
      <w:proofErr w:type="gramEnd"/>
      <w:r w:rsidRPr="006A269F">
        <w:rPr>
          <w:rFonts w:asciiTheme="majorHAnsi" w:hAnsiTheme="majorHAnsi" w:cstheme="majorHAnsi"/>
          <w:sz w:val="20"/>
          <w:szCs w:val="20"/>
        </w:rPr>
        <w:t>Lanes)*100/N Total(L))*((Angle max + Angle min)/2)/360°.</w:t>
      </w:r>
    </w:p>
    <w:p w14:paraId="47DAF732" w14:textId="69FEA52A" w:rsidR="006A269F" w:rsidRDefault="006A269F" w:rsidP="006A269F">
      <w:pPr>
        <w:ind w:firstLine="284"/>
        <w:jc w:val="both"/>
        <w:rPr>
          <w:rFonts w:asciiTheme="majorHAnsi" w:hAnsiTheme="majorHAnsi" w:cstheme="majorHAnsi"/>
          <w:sz w:val="20"/>
          <w:szCs w:val="20"/>
        </w:rPr>
      </w:pPr>
      <w:r w:rsidRPr="006A269F">
        <w:rPr>
          <w:rFonts w:asciiTheme="majorHAnsi" w:hAnsiTheme="majorHAnsi" w:cstheme="majorHAnsi"/>
          <w:sz w:val="20"/>
          <w:szCs w:val="20"/>
        </w:rPr>
        <w:tab/>
        <w:t>The outcome reveals the role of isolation in the global direction of cities as determined by their designers. The main advantage of the approach is the availability of a powerful tool, in this case, the algebraic calculation, which allows for the systematic search for answers</w:t>
      </w:r>
      <w:r>
        <w:rPr>
          <w:rFonts w:asciiTheme="majorHAnsi" w:hAnsiTheme="majorHAnsi" w:cstheme="majorHAnsi"/>
          <w:sz w:val="20"/>
          <w:szCs w:val="20"/>
        </w:rPr>
        <w:t>.</w:t>
      </w:r>
    </w:p>
    <w:p w14:paraId="5AEC4F9F" w14:textId="77777777" w:rsidR="00437D56" w:rsidRDefault="00437D56" w:rsidP="006A269F">
      <w:pPr>
        <w:ind w:firstLine="284"/>
        <w:jc w:val="both"/>
        <w:rPr>
          <w:rFonts w:asciiTheme="majorHAnsi" w:hAnsiTheme="majorHAnsi" w:cstheme="majorHAnsi"/>
          <w:sz w:val="20"/>
          <w:szCs w:val="20"/>
        </w:rPr>
      </w:pPr>
    </w:p>
    <w:p w14:paraId="37CA35D2" w14:textId="3D336C02" w:rsidR="00437D56" w:rsidRDefault="00437D56" w:rsidP="00437D56">
      <w:pPr>
        <w:ind w:firstLine="284"/>
        <w:jc w:val="center"/>
        <w:rPr>
          <w:rFonts w:asciiTheme="majorHAnsi" w:hAnsiTheme="majorHAnsi" w:cstheme="majorHAnsi"/>
          <w:sz w:val="20"/>
          <w:szCs w:val="20"/>
        </w:rPr>
      </w:pPr>
      <w:r>
        <w:rPr>
          <w:noProof/>
        </w:rPr>
        <w:drawing>
          <wp:inline distT="0" distB="0" distL="0" distR="0" wp14:anchorId="3F1B596A" wp14:editId="64AFE78F">
            <wp:extent cx="2816860" cy="1737925"/>
            <wp:effectExtent l="0" t="0" r="2540" b="0"/>
            <wp:docPr id="8421014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61716" cy="1765600"/>
                    </a:xfrm>
                    <a:prstGeom prst="rect">
                      <a:avLst/>
                    </a:prstGeom>
                    <a:noFill/>
                    <a:ln>
                      <a:noFill/>
                    </a:ln>
                  </pic:spPr>
                </pic:pic>
              </a:graphicData>
            </a:graphic>
          </wp:inline>
        </w:drawing>
      </w:r>
    </w:p>
    <w:p w14:paraId="529CC0F9" w14:textId="77777777" w:rsidR="006A269F" w:rsidRDefault="006A269F" w:rsidP="006A269F">
      <w:pPr>
        <w:ind w:firstLine="284"/>
        <w:jc w:val="both"/>
        <w:rPr>
          <w:rFonts w:asciiTheme="majorHAnsi" w:hAnsiTheme="majorHAnsi" w:cstheme="majorHAnsi"/>
          <w:sz w:val="20"/>
          <w:szCs w:val="20"/>
        </w:rPr>
      </w:pPr>
    </w:p>
    <w:p w14:paraId="528C8883" w14:textId="7379E9C6" w:rsidR="009776E4" w:rsidRDefault="009776E4" w:rsidP="009776E4">
      <w:pPr>
        <w:ind w:firstLine="284"/>
        <w:jc w:val="center"/>
        <w:rPr>
          <w:rFonts w:asciiTheme="majorHAnsi" w:hAnsiTheme="majorHAnsi" w:cstheme="majorHAnsi"/>
          <w:sz w:val="20"/>
          <w:szCs w:val="20"/>
        </w:rPr>
      </w:pPr>
      <w:r w:rsidRPr="005E66A5">
        <w:rPr>
          <w:rFonts w:asciiTheme="majorHAnsi" w:hAnsiTheme="majorHAnsi" w:cstheme="majorHAnsi"/>
          <w:bCs/>
          <w:sz w:val="16"/>
          <w:szCs w:val="16"/>
        </w:rPr>
        <w:t xml:space="preserve">Figure </w:t>
      </w:r>
      <w:r w:rsidRPr="009776E4">
        <w:rPr>
          <w:rFonts w:asciiTheme="majorHAnsi" w:hAnsiTheme="majorHAnsi" w:cstheme="majorHAnsi"/>
          <w:bCs/>
          <w:sz w:val="16"/>
          <w:szCs w:val="16"/>
        </w:rPr>
        <w:t>5</w:t>
      </w:r>
      <w:r>
        <w:rPr>
          <w:rFonts w:asciiTheme="majorHAnsi" w:hAnsiTheme="majorHAnsi" w:cstheme="majorHAnsi"/>
          <w:bCs/>
          <w:sz w:val="16"/>
          <w:szCs w:val="16"/>
        </w:rPr>
        <w:t>.</w:t>
      </w:r>
      <w:r w:rsidRPr="009776E4">
        <w:rPr>
          <w:rFonts w:asciiTheme="majorHAnsi" w:hAnsiTheme="majorHAnsi" w:cstheme="majorHAnsi"/>
          <w:bCs/>
          <w:sz w:val="16"/>
          <w:szCs w:val="16"/>
        </w:rPr>
        <w:t xml:space="preserve"> Methodological framework of the study</w:t>
      </w:r>
    </w:p>
    <w:p w14:paraId="48D2AF94" w14:textId="77777777" w:rsidR="006A269F" w:rsidRPr="005E66A5" w:rsidRDefault="006A269F" w:rsidP="006A269F">
      <w:pPr>
        <w:ind w:firstLine="284"/>
        <w:jc w:val="both"/>
        <w:rPr>
          <w:rFonts w:asciiTheme="minorHAnsi" w:hAnsiTheme="minorHAnsi" w:cstheme="minorHAnsi"/>
          <w:b/>
          <w:bCs/>
        </w:rPr>
      </w:pPr>
    </w:p>
    <w:p w14:paraId="2AC0427C" w14:textId="03B1E7EA" w:rsidR="00AF2E86" w:rsidRDefault="00AF2E86" w:rsidP="00AF2E86">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w:t>
      </w:r>
    </w:p>
    <w:p w14:paraId="2CC36A63" w14:textId="64BD7F95" w:rsidR="00AF2E86" w:rsidRDefault="009776E4" w:rsidP="00AF2E86">
      <w:pPr>
        <w:ind w:firstLine="283"/>
        <w:jc w:val="both"/>
        <w:rPr>
          <w:rFonts w:asciiTheme="majorHAnsi" w:hAnsiTheme="majorHAnsi" w:cstheme="majorHAnsi"/>
          <w:sz w:val="20"/>
          <w:szCs w:val="20"/>
        </w:rPr>
      </w:pPr>
      <w:r w:rsidRPr="009776E4">
        <w:rPr>
          <w:rFonts w:asciiTheme="majorHAnsi" w:hAnsiTheme="majorHAnsi" w:cstheme="majorHAnsi"/>
          <w:sz w:val="20"/>
          <w:szCs w:val="20"/>
        </w:rPr>
        <w:t xml:space="preserve">The manual and experimental computations performed on 1273 lanes in the three </w:t>
      </w:r>
      <w:proofErr w:type="spellStart"/>
      <w:r w:rsidRPr="009776E4">
        <w:rPr>
          <w:rFonts w:asciiTheme="majorHAnsi" w:hAnsiTheme="majorHAnsi" w:cstheme="majorHAnsi"/>
          <w:sz w:val="20"/>
          <w:szCs w:val="20"/>
        </w:rPr>
        <w:t>Ksour</w:t>
      </w:r>
      <w:proofErr w:type="spellEnd"/>
      <w:r w:rsidRPr="009776E4">
        <w:rPr>
          <w:rFonts w:asciiTheme="majorHAnsi" w:hAnsiTheme="majorHAnsi" w:cstheme="majorHAnsi"/>
          <w:sz w:val="20"/>
          <w:szCs w:val="20"/>
        </w:rPr>
        <w:t xml:space="preserve">, including their 1273 angular inclination concerning the North-South axis, led to the results shown in Figure 6. The results show the long-standing dominance of the effect of the sun on the orientation of buildings, windows, and roads in the vernacular Islamic architecture of the </w:t>
      </w:r>
      <w:proofErr w:type="spellStart"/>
      <w:r w:rsidRPr="009776E4">
        <w:rPr>
          <w:rFonts w:asciiTheme="majorHAnsi" w:hAnsiTheme="majorHAnsi" w:cstheme="majorHAnsi"/>
          <w:sz w:val="20"/>
          <w:szCs w:val="20"/>
        </w:rPr>
        <w:t>Ksour</w:t>
      </w:r>
      <w:proofErr w:type="spellEnd"/>
      <w:r w:rsidR="00AF2E86" w:rsidRPr="00D132AE">
        <w:rPr>
          <w:rFonts w:asciiTheme="majorHAnsi" w:hAnsiTheme="majorHAnsi" w:cstheme="majorHAnsi"/>
          <w:sz w:val="20"/>
          <w:szCs w:val="20"/>
        </w:rPr>
        <w:t>.</w:t>
      </w:r>
    </w:p>
    <w:p w14:paraId="4E47D339" w14:textId="77777777" w:rsidR="00437D56" w:rsidRDefault="00437D56" w:rsidP="00AF2E86">
      <w:pPr>
        <w:ind w:firstLine="283"/>
        <w:jc w:val="both"/>
        <w:rPr>
          <w:rFonts w:asciiTheme="majorHAnsi" w:hAnsiTheme="majorHAnsi" w:cstheme="majorHAnsi"/>
          <w:sz w:val="20"/>
          <w:szCs w:val="20"/>
        </w:rPr>
      </w:pPr>
    </w:p>
    <w:p w14:paraId="5D22868C" w14:textId="0DE553E2" w:rsidR="00437D56" w:rsidRDefault="00437D56" w:rsidP="00437D56">
      <w:pPr>
        <w:ind w:firstLine="283"/>
        <w:jc w:val="center"/>
        <w:rPr>
          <w:rFonts w:asciiTheme="majorHAnsi" w:hAnsiTheme="majorHAnsi" w:cstheme="majorHAnsi"/>
          <w:sz w:val="20"/>
          <w:szCs w:val="20"/>
        </w:rPr>
      </w:pPr>
      <w:r>
        <w:rPr>
          <w:noProof/>
        </w:rPr>
        <w:drawing>
          <wp:inline distT="0" distB="0" distL="0" distR="0" wp14:anchorId="27C16FC1" wp14:editId="12221C7D">
            <wp:extent cx="2657475" cy="1426260"/>
            <wp:effectExtent l="0" t="0" r="0" b="2540"/>
            <wp:docPr id="11741580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3915" cy="1440450"/>
                    </a:xfrm>
                    <a:prstGeom prst="rect">
                      <a:avLst/>
                    </a:prstGeom>
                    <a:noFill/>
                    <a:ln>
                      <a:noFill/>
                    </a:ln>
                  </pic:spPr>
                </pic:pic>
              </a:graphicData>
            </a:graphic>
          </wp:inline>
        </w:drawing>
      </w:r>
    </w:p>
    <w:p w14:paraId="5FD51B8C" w14:textId="77777777" w:rsidR="00AF2E86" w:rsidRDefault="00AF2E86" w:rsidP="00AF2E86">
      <w:pPr>
        <w:jc w:val="both"/>
        <w:rPr>
          <w:rFonts w:asciiTheme="minorHAnsi" w:hAnsiTheme="minorHAnsi" w:cstheme="minorHAnsi"/>
          <w:b/>
          <w:bCs/>
        </w:rPr>
      </w:pPr>
    </w:p>
    <w:p w14:paraId="72E6DC1F" w14:textId="586F2FF7" w:rsidR="009776E4" w:rsidRDefault="009776E4" w:rsidP="009776E4">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6.</w:t>
      </w:r>
      <w:r w:rsidRPr="009776E4">
        <w:rPr>
          <w:rFonts w:asciiTheme="majorHAnsi" w:hAnsiTheme="majorHAnsi" w:cstheme="majorHAnsi"/>
          <w:bCs/>
          <w:sz w:val="16"/>
          <w:szCs w:val="16"/>
        </w:rPr>
        <w:t xml:space="preserve"> Solar projection circles of the street network and its orientation in the three </w:t>
      </w:r>
      <w:proofErr w:type="spellStart"/>
      <w:r w:rsidRPr="009776E4">
        <w:rPr>
          <w:rFonts w:asciiTheme="majorHAnsi" w:hAnsiTheme="majorHAnsi" w:cstheme="majorHAnsi"/>
          <w:bCs/>
          <w:sz w:val="16"/>
          <w:szCs w:val="16"/>
        </w:rPr>
        <w:t>Ksour</w:t>
      </w:r>
      <w:proofErr w:type="spellEnd"/>
    </w:p>
    <w:p w14:paraId="315DF8CA" w14:textId="77777777" w:rsidR="009776E4" w:rsidRPr="009776E4" w:rsidRDefault="009776E4" w:rsidP="009776E4">
      <w:pPr>
        <w:jc w:val="center"/>
        <w:rPr>
          <w:rFonts w:asciiTheme="majorHAnsi" w:hAnsiTheme="majorHAnsi" w:cstheme="majorHAnsi"/>
          <w:bCs/>
          <w:sz w:val="20"/>
          <w:szCs w:val="20"/>
        </w:rPr>
      </w:pPr>
    </w:p>
    <w:p w14:paraId="2E84C3A1" w14:textId="0BF53C4C" w:rsidR="009776E4" w:rsidRDefault="009776E4" w:rsidP="009776E4">
      <w:pPr>
        <w:ind w:firstLine="283"/>
        <w:jc w:val="both"/>
        <w:rPr>
          <w:rFonts w:asciiTheme="majorHAnsi" w:hAnsiTheme="majorHAnsi" w:cstheme="majorHAnsi"/>
          <w:sz w:val="20"/>
          <w:szCs w:val="20"/>
        </w:rPr>
      </w:pPr>
      <w:r w:rsidRPr="009776E4">
        <w:rPr>
          <w:rFonts w:asciiTheme="majorHAnsi" w:hAnsiTheme="majorHAnsi" w:cstheme="majorHAnsi"/>
          <w:sz w:val="20"/>
          <w:szCs w:val="20"/>
        </w:rPr>
        <w:t xml:space="preserve">By evaluating the morphology of the alleys exposed to sunlight in the three </w:t>
      </w:r>
      <w:proofErr w:type="spellStart"/>
      <w:r w:rsidRPr="009776E4">
        <w:rPr>
          <w:rFonts w:asciiTheme="majorHAnsi" w:hAnsiTheme="majorHAnsi" w:cstheme="majorHAnsi"/>
          <w:sz w:val="20"/>
          <w:szCs w:val="20"/>
        </w:rPr>
        <w:t>Ksours</w:t>
      </w:r>
      <w:proofErr w:type="spellEnd"/>
      <w:r w:rsidRPr="009776E4">
        <w:rPr>
          <w:rFonts w:asciiTheme="majorHAnsi" w:hAnsiTheme="majorHAnsi" w:cstheme="majorHAnsi"/>
          <w:sz w:val="20"/>
          <w:szCs w:val="20"/>
        </w:rPr>
        <w:t>, the results are shown in Figure 7, 8, and 9</w:t>
      </w:r>
      <w:r w:rsidRPr="00D132AE">
        <w:rPr>
          <w:rFonts w:asciiTheme="majorHAnsi" w:hAnsiTheme="majorHAnsi" w:cstheme="majorHAnsi"/>
          <w:sz w:val="20"/>
          <w:szCs w:val="20"/>
        </w:rPr>
        <w:t>.</w:t>
      </w:r>
    </w:p>
    <w:p w14:paraId="74E2C966" w14:textId="77777777" w:rsidR="00437D56" w:rsidRDefault="00437D56" w:rsidP="009776E4">
      <w:pPr>
        <w:ind w:firstLine="283"/>
        <w:jc w:val="both"/>
        <w:rPr>
          <w:rFonts w:asciiTheme="majorHAnsi" w:hAnsiTheme="majorHAnsi" w:cstheme="majorHAnsi"/>
          <w:sz w:val="20"/>
          <w:szCs w:val="20"/>
        </w:rPr>
      </w:pPr>
    </w:p>
    <w:p w14:paraId="531546CF" w14:textId="244CC159" w:rsidR="00437D56" w:rsidRDefault="00437D56" w:rsidP="00437D56">
      <w:pPr>
        <w:ind w:firstLine="283"/>
        <w:jc w:val="center"/>
        <w:rPr>
          <w:rFonts w:asciiTheme="majorHAnsi" w:hAnsiTheme="majorHAnsi" w:cstheme="majorHAnsi"/>
          <w:sz w:val="20"/>
          <w:szCs w:val="20"/>
        </w:rPr>
      </w:pPr>
      <w:r>
        <w:rPr>
          <w:noProof/>
        </w:rPr>
        <w:drawing>
          <wp:inline distT="0" distB="0" distL="0" distR="0" wp14:anchorId="297B85CB" wp14:editId="4A8325C5">
            <wp:extent cx="4152900" cy="3467100"/>
            <wp:effectExtent l="0" t="0" r="0" b="0"/>
            <wp:docPr id="642173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152900" cy="3467100"/>
                    </a:xfrm>
                    <a:prstGeom prst="rect">
                      <a:avLst/>
                    </a:prstGeom>
                    <a:noFill/>
                    <a:ln>
                      <a:noFill/>
                    </a:ln>
                  </pic:spPr>
                </pic:pic>
              </a:graphicData>
            </a:graphic>
          </wp:inline>
        </w:drawing>
      </w:r>
    </w:p>
    <w:p w14:paraId="3651C304" w14:textId="77777777" w:rsidR="009776E4" w:rsidRDefault="009776E4" w:rsidP="009776E4">
      <w:pPr>
        <w:ind w:firstLine="283"/>
        <w:jc w:val="both"/>
        <w:rPr>
          <w:rFonts w:asciiTheme="majorHAnsi" w:hAnsiTheme="majorHAnsi" w:cstheme="majorHAnsi"/>
          <w:sz w:val="20"/>
          <w:szCs w:val="20"/>
        </w:rPr>
      </w:pPr>
    </w:p>
    <w:p w14:paraId="539C1BA9" w14:textId="50B92458" w:rsidR="009776E4" w:rsidRDefault="009776E4" w:rsidP="009776E4">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 xml:space="preserve">7. </w:t>
      </w:r>
      <w:r w:rsidRPr="009776E4">
        <w:rPr>
          <w:rFonts w:asciiTheme="majorHAnsi" w:hAnsiTheme="majorHAnsi" w:cstheme="majorHAnsi"/>
          <w:bCs/>
          <w:sz w:val="16"/>
          <w:szCs w:val="16"/>
        </w:rPr>
        <w:t xml:space="preserve">Street network and its orientation in the </w:t>
      </w:r>
      <w:proofErr w:type="spellStart"/>
      <w:r w:rsidRPr="009776E4">
        <w:rPr>
          <w:rFonts w:asciiTheme="majorHAnsi" w:hAnsiTheme="majorHAnsi" w:cstheme="majorHAnsi"/>
          <w:bCs/>
          <w:sz w:val="16"/>
          <w:szCs w:val="16"/>
        </w:rPr>
        <w:t>Ksar</w:t>
      </w:r>
      <w:proofErr w:type="spellEnd"/>
      <w:r w:rsidRPr="009776E4">
        <w:rPr>
          <w:rFonts w:asciiTheme="majorHAnsi" w:hAnsiTheme="majorHAnsi" w:cstheme="majorHAnsi"/>
          <w:bCs/>
          <w:sz w:val="16"/>
          <w:szCs w:val="16"/>
        </w:rPr>
        <w:t xml:space="preserve"> of El </w:t>
      </w:r>
      <w:proofErr w:type="spellStart"/>
      <w:r w:rsidRPr="009776E4">
        <w:rPr>
          <w:rFonts w:asciiTheme="majorHAnsi" w:hAnsiTheme="majorHAnsi" w:cstheme="majorHAnsi"/>
          <w:bCs/>
          <w:sz w:val="16"/>
          <w:szCs w:val="16"/>
        </w:rPr>
        <w:t>Atheuf</w:t>
      </w:r>
      <w:proofErr w:type="spellEnd"/>
    </w:p>
    <w:p w14:paraId="26DE109E" w14:textId="77777777" w:rsidR="009776E4" w:rsidRDefault="009776E4" w:rsidP="009776E4">
      <w:pPr>
        <w:jc w:val="center"/>
        <w:rPr>
          <w:rFonts w:asciiTheme="majorHAnsi" w:hAnsiTheme="majorHAnsi" w:cstheme="majorHAnsi"/>
          <w:bCs/>
        </w:rPr>
      </w:pPr>
    </w:p>
    <w:p w14:paraId="5D81AE3C" w14:textId="295DDE19" w:rsidR="00437D56" w:rsidRPr="009E69DF" w:rsidRDefault="00437D56" w:rsidP="009776E4">
      <w:pPr>
        <w:jc w:val="center"/>
        <w:rPr>
          <w:rFonts w:asciiTheme="majorHAnsi" w:hAnsiTheme="majorHAnsi" w:cstheme="majorHAnsi"/>
          <w:bCs/>
        </w:rPr>
      </w:pPr>
      <w:r>
        <w:rPr>
          <w:noProof/>
        </w:rPr>
        <w:drawing>
          <wp:inline distT="0" distB="0" distL="0" distR="0" wp14:anchorId="79AAE7A2" wp14:editId="43E0FD2F">
            <wp:extent cx="4152900" cy="4038600"/>
            <wp:effectExtent l="0" t="0" r="0" b="0"/>
            <wp:docPr id="108528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2900" cy="4038600"/>
                    </a:xfrm>
                    <a:prstGeom prst="rect">
                      <a:avLst/>
                    </a:prstGeom>
                    <a:noFill/>
                    <a:ln>
                      <a:noFill/>
                    </a:ln>
                  </pic:spPr>
                </pic:pic>
              </a:graphicData>
            </a:graphic>
          </wp:inline>
        </w:drawing>
      </w:r>
    </w:p>
    <w:p w14:paraId="138017D2" w14:textId="77777777" w:rsidR="009776E4" w:rsidRPr="009776E4" w:rsidRDefault="009776E4" w:rsidP="009776E4">
      <w:pPr>
        <w:jc w:val="center"/>
        <w:rPr>
          <w:rFonts w:asciiTheme="majorHAnsi" w:hAnsiTheme="majorHAnsi" w:cstheme="majorHAnsi"/>
          <w:bCs/>
          <w:sz w:val="20"/>
          <w:szCs w:val="20"/>
        </w:rPr>
      </w:pPr>
    </w:p>
    <w:p w14:paraId="49728653" w14:textId="5F9DC8B5" w:rsidR="009776E4" w:rsidRDefault="009776E4" w:rsidP="009776E4">
      <w:pPr>
        <w:jc w:val="center"/>
        <w:rPr>
          <w:rFonts w:asciiTheme="majorHAnsi" w:hAnsiTheme="majorHAnsi" w:cstheme="majorHAnsi"/>
          <w:bCs/>
          <w:sz w:val="16"/>
          <w:szCs w:val="16"/>
        </w:rPr>
      </w:pPr>
      <w:r w:rsidRPr="009776E4">
        <w:rPr>
          <w:rFonts w:asciiTheme="majorHAnsi" w:hAnsiTheme="majorHAnsi" w:cstheme="majorHAnsi"/>
          <w:bCs/>
          <w:sz w:val="16"/>
          <w:szCs w:val="16"/>
        </w:rPr>
        <w:t>Figure 8</w:t>
      </w:r>
      <w:r>
        <w:rPr>
          <w:rFonts w:asciiTheme="majorHAnsi" w:hAnsiTheme="majorHAnsi" w:cstheme="majorHAnsi"/>
          <w:bCs/>
          <w:sz w:val="16"/>
          <w:szCs w:val="16"/>
        </w:rPr>
        <w:t>.</w:t>
      </w:r>
      <w:r w:rsidRPr="009776E4">
        <w:rPr>
          <w:rFonts w:asciiTheme="majorHAnsi" w:hAnsiTheme="majorHAnsi" w:cstheme="majorHAnsi"/>
          <w:bCs/>
          <w:sz w:val="16"/>
          <w:szCs w:val="16"/>
        </w:rPr>
        <w:t xml:space="preserve"> Street network and its orientation in the </w:t>
      </w:r>
      <w:proofErr w:type="spellStart"/>
      <w:r w:rsidRPr="009776E4">
        <w:rPr>
          <w:rFonts w:asciiTheme="majorHAnsi" w:hAnsiTheme="majorHAnsi" w:cstheme="majorHAnsi"/>
          <w:bCs/>
          <w:sz w:val="16"/>
          <w:szCs w:val="16"/>
        </w:rPr>
        <w:t>Ksar</w:t>
      </w:r>
      <w:proofErr w:type="spellEnd"/>
      <w:r w:rsidRPr="009776E4">
        <w:rPr>
          <w:rFonts w:asciiTheme="majorHAnsi" w:hAnsiTheme="majorHAnsi" w:cstheme="majorHAnsi"/>
          <w:bCs/>
          <w:sz w:val="16"/>
          <w:szCs w:val="16"/>
        </w:rPr>
        <w:t xml:space="preserve"> of Beni </w:t>
      </w:r>
      <w:proofErr w:type="spellStart"/>
      <w:r w:rsidRPr="009776E4">
        <w:rPr>
          <w:rFonts w:asciiTheme="majorHAnsi" w:hAnsiTheme="majorHAnsi" w:cstheme="majorHAnsi"/>
          <w:bCs/>
          <w:sz w:val="16"/>
          <w:szCs w:val="16"/>
        </w:rPr>
        <w:t>Yezeguen</w:t>
      </w:r>
      <w:proofErr w:type="spellEnd"/>
    </w:p>
    <w:p w14:paraId="08483944" w14:textId="2AF84CEB" w:rsidR="009776E4" w:rsidRPr="009776E4" w:rsidRDefault="00437D56" w:rsidP="009776E4">
      <w:pPr>
        <w:jc w:val="center"/>
        <w:rPr>
          <w:rFonts w:asciiTheme="majorHAnsi" w:hAnsiTheme="majorHAnsi" w:cstheme="majorHAnsi"/>
          <w:bCs/>
          <w:sz w:val="20"/>
          <w:szCs w:val="20"/>
        </w:rPr>
      </w:pPr>
      <w:r>
        <w:rPr>
          <w:noProof/>
        </w:rPr>
        <w:lastRenderedPageBreak/>
        <w:drawing>
          <wp:inline distT="0" distB="0" distL="0" distR="0" wp14:anchorId="1FEC598C" wp14:editId="074CDE49">
            <wp:extent cx="4152900" cy="3581400"/>
            <wp:effectExtent l="0" t="0" r="0" b="0"/>
            <wp:docPr id="3797625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52900" cy="3581400"/>
                    </a:xfrm>
                    <a:prstGeom prst="rect">
                      <a:avLst/>
                    </a:prstGeom>
                    <a:noFill/>
                    <a:ln>
                      <a:noFill/>
                    </a:ln>
                  </pic:spPr>
                </pic:pic>
              </a:graphicData>
            </a:graphic>
          </wp:inline>
        </w:drawing>
      </w:r>
    </w:p>
    <w:p w14:paraId="4510D58D" w14:textId="77777777" w:rsidR="009776E4" w:rsidRPr="009776E4" w:rsidRDefault="009776E4" w:rsidP="009776E4">
      <w:pPr>
        <w:jc w:val="center"/>
        <w:rPr>
          <w:rFonts w:asciiTheme="majorHAnsi" w:hAnsiTheme="majorHAnsi" w:cstheme="majorHAnsi"/>
          <w:bCs/>
          <w:sz w:val="18"/>
          <w:szCs w:val="18"/>
        </w:rPr>
      </w:pPr>
    </w:p>
    <w:p w14:paraId="31DD5864" w14:textId="0F054921" w:rsidR="009776E4" w:rsidRDefault="009776E4" w:rsidP="009776E4">
      <w:pPr>
        <w:jc w:val="center"/>
        <w:rPr>
          <w:rFonts w:asciiTheme="majorHAnsi" w:hAnsiTheme="majorHAnsi" w:cstheme="majorHAnsi"/>
          <w:bCs/>
          <w:sz w:val="16"/>
          <w:szCs w:val="16"/>
        </w:rPr>
      </w:pPr>
      <w:r w:rsidRPr="009776E4">
        <w:rPr>
          <w:rFonts w:asciiTheme="majorHAnsi" w:hAnsiTheme="majorHAnsi" w:cstheme="majorHAnsi"/>
          <w:bCs/>
          <w:sz w:val="16"/>
          <w:szCs w:val="16"/>
        </w:rPr>
        <w:t>Figure 9</w:t>
      </w:r>
      <w:r>
        <w:rPr>
          <w:rFonts w:asciiTheme="majorHAnsi" w:hAnsiTheme="majorHAnsi" w:cstheme="majorHAnsi"/>
          <w:bCs/>
          <w:sz w:val="16"/>
          <w:szCs w:val="16"/>
        </w:rPr>
        <w:t>.</w:t>
      </w:r>
      <w:r w:rsidRPr="009776E4">
        <w:rPr>
          <w:rFonts w:asciiTheme="majorHAnsi" w:hAnsiTheme="majorHAnsi" w:cstheme="majorHAnsi"/>
          <w:bCs/>
          <w:sz w:val="16"/>
          <w:szCs w:val="16"/>
        </w:rPr>
        <w:t xml:space="preserve"> Street network system and its orientation in the </w:t>
      </w:r>
      <w:proofErr w:type="spellStart"/>
      <w:r w:rsidRPr="009776E4">
        <w:rPr>
          <w:rFonts w:asciiTheme="majorHAnsi" w:hAnsiTheme="majorHAnsi" w:cstheme="majorHAnsi"/>
          <w:bCs/>
          <w:sz w:val="16"/>
          <w:szCs w:val="16"/>
        </w:rPr>
        <w:t>Ksar</w:t>
      </w:r>
      <w:proofErr w:type="spellEnd"/>
      <w:r w:rsidRPr="009776E4">
        <w:rPr>
          <w:rFonts w:asciiTheme="majorHAnsi" w:hAnsiTheme="majorHAnsi" w:cstheme="majorHAnsi"/>
          <w:bCs/>
          <w:sz w:val="16"/>
          <w:szCs w:val="16"/>
        </w:rPr>
        <w:t xml:space="preserve"> of </w:t>
      </w:r>
      <w:proofErr w:type="spellStart"/>
      <w:r w:rsidRPr="009776E4">
        <w:rPr>
          <w:rFonts w:asciiTheme="majorHAnsi" w:hAnsiTheme="majorHAnsi" w:cstheme="majorHAnsi"/>
          <w:bCs/>
          <w:sz w:val="16"/>
          <w:szCs w:val="16"/>
        </w:rPr>
        <w:t>Tafilalet</w:t>
      </w:r>
      <w:proofErr w:type="spellEnd"/>
    </w:p>
    <w:p w14:paraId="1394C9D3" w14:textId="77777777" w:rsidR="009776E4" w:rsidRPr="009776E4" w:rsidRDefault="009776E4" w:rsidP="009776E4">
      <w:pPr>
        <w:jc w:val="center"/>
        <w:rPr>
          <w:rFonts w:asciiTheme="majorHAnsi" w:hAnsiTheme="majorHAnsi" w:cstheme="majorHAnsi"/>
          <w:bCs/>
          <w:sz w:val="20"/>
          <w:szCs w:val="20"/>
        </w:rPr>
      </w:pPr>
    </w:p>
    <w:p w14:paraId="4E0F60CB" w14:textId="68E39E11" w:rsidR="009776E4" w:rsidRDefault="009776E4" w:rsidP="009776E4">
      <w:pPr>
        <w:ind w:firstLine="284"/>
        <w:jc w:val="both"/>
        <w:rPr>
          <w:rFonts w:asciiTheme="majorHAnsi" w:eastAsia="Times New Roman" w:hAnsiTheme="majorHAnsi" w:cstheme="majorHAnsi"/>
          <w:sz w:val="20"/>
          <w:szCs w:val="20"/>
          <w:lang w:val="id-ID" w:eastAsia="ko-KR"/>
        </w:rPr>
      </w:pPr>
      <w:r w:rsidRPr="009776E4">
        <w:rPr>
          <w:rFonts w:asciiTheme="majorHAnsi" w:eastAsia="Times New Roman" w:hAnsiTheme="majorHAnsi" w:cstheme="majorHAnsi"/>
          <w:sz w:val="20"/>
          <w:szCs w:val="20"/>
          <w:lang w:val="id-ID" w:eastAsia="ko-KR"/>
        </w:rPr>
        <w:t xml:space="preserve">Due to new building technology, solutions of all kinds in modern urbanization are becoming increasingly technological. When the sun is shining, movable insulation with a reflective surface allows the temperature of the building to quickly adapt to the solar radiation [29]. In vernacular Islamic architecture, however, the walls limit the exterior spaces, resulting in a deeper reflection. Thus, the influence of solar radiation and its persistence in ancient Ksour show that it is not only a matter of building materials. Following international standards, the computations led to the results which are given respectively for December, when insolation is the lowest; for June, which corresponds to the summer solstice, considered as the period when insolation reaches its peak; and finally, for September, which heralds the equinox period. The number of lanes according to their orientation expresses the results (see </w:t>
      </w:r>
      <w:r w:rsidR="00CD28F0">
        <w:rPr>
          <w:rFonts w:asciiTheme="majorHAnsi" w:eastAsia="Times New Roman" w:hAnsiTheme="majorHAnsi" w:cstheme="majorHAnsi"/>
          <w:sz w:val="20"/>
          <w:szCs w:val="20"/>
          <w:lang w:val="id-ID" w:eastAsia="ko-KR"/>
        </w:rPr>
        <w:t>Figure</w:t>
      </w:r>
      <w:r w:rsidRPr="009776E4">
        <w:rPr>
          <w:rFonts w:asciiTheme="majorHAnsi" w:eastAsia="Times New Roman" w:hAnsiTheme="majorHAnsi" w:cstheme="majorHAnsi"/>
          <w:sz w:val="20"/>
          <w:szCs w:val="20"/>
          <w:lang w:val="id-ID" w:eastAsia="ko-KR"/>
        </w:rPr>
        <w:t xml:space="preserve"> 1</w:t>
      </w:r>
      <w:r w:rsidR="00CD28F0">
        <w:rPr>
          <w:rFonts w:asciiTheme="majorHAnsi" w:eastAsia="Times New Roman" w:hAnsiTheme="majorHAnsi" w:cstheme="majorHAnsi"/>
          <w:sz w:val="20"/>
          <w:szCs w:val="20"/>
          <w:lang w:val="id-ID" w:eastAsia="ko-KR"/>
        </w:rPr>
        <w:t>0</w:t>
      </w:r>
      <w:r w:rsidRPr="009776E4">
        <w:rPr>
          <w:rFonts w:asciiTheme="majorHAnsi" w:eastAsia="Times New Roman" w:hAnsiTheme="majorHAnsi" w:cstheme="majorHAnsi"/>
          <w:sz w:val="20"/>
          <w:szCs w:val="20"/>
          <w:lang w:val="id-ID" w:eastAsia="ko-KR"/>
        </w:rPr>
        <w:t xml:space="preserve">, </w:t>
      </w:r>
      <w:r w:rsidR="00CD28F0">
        <w:rPr>
          <w:rFonts w:asciiTheme="majorHAnsi" w:eastAsia="Times New Roman" w:hAnsiTheme="majorHAnsi" w:cstheme="majorHAnsi"/>
          <w:sz w:val="20"/>
          <w:szCs w:val="20"/>
          <w:lang w:val="id-ID" w:eastAsia="ko-KR"/>
        </w:rPr>
        <w:t>11</w:t>
      </w:r>
      <w:r w:rsidRPr="009776E4">
        <w:rPr>
          <w:rFonts w:asciiTheme="majorHAnsi" w:eastAsia="Times New Roman" w:hAnsiTheme="majorHAnsi" w:cstheme="majorHAnsi"/>
          <w:sz w:val="20"/>
          <w:szCs w:val="20"/>
          <w:lang w:val="id-ID" w:eastAsia="ko-KR"/>
        </w:rPr>
        <w:t xml:space="preserve">, </w:t>
      </w:r>
      <w:r w:rsidR="00CD28F0">
        <w:rPr>
          <w:rFonts w:asciiTheme="majorHAnsi" w:eastAsia="Times New Roman" w:hAnsiTheme="majorHAnsi" w:cstheme="majorHAnsi"/>
          <w:sz w:val="20"/>
          <w:szCs w:val="20"/>
          <w:lang w:val="id-ID" w:eastAsia="ko-KR"/>
        </w:rPr>
        <w:t>12</w:t>
      </w:r>
      <w:r w:rsidRPr="009776E4">
        <w:rPr>
          <w:rFonts w:asciiTheme="majorHAnsi" w:eastAsia="Times New Roman" w:hAnsiTheme="majorHAnsi" w:cstheme="majorHAnsi"/>
          <w:sz w:val="20"/>
          <w:szCs w:val="20"/>
          <w:lang w:val="id-ID" w:eastAsia="ko-KR"/>
        </w:rPr>
        <w:t xml:space="preserve"> &amp; </w:t>
      </w:r>
      <w:r w:rsidR="00CD28F0">
        <w:rPr>
          <w:rFonts w:asciiTheme="majorHAnsi" w:eastAsia="Times New Roman" w:hAnsiTheme="majorHAnsi" w:cstheme="majorHAnsi"/>
          <w:sz w:val="20"/>
          <w:szCs w:val="20"/>
          <w:lang w:val="id-ID" w:eastAsia="ko-KR"/>
        </w:rPr>
        <w:t>13</w:t>
      </w:r>
      <w:r w:rsidRPr="009776E4">
        <w:rPr>
          <w:rFonts w:asciiTheme="majorHAnsi" w:eastAsia="Times New Roman" w:hAnsiTheme="majorHAnsi" w:cstheme="majorHAnsi"/>
          <w:sz w:val="20"/>
          <w:szCs w:val="20"/>
          <w:lang w:val="id-ID" w:eastAsia="ko-KR"/>
        </w:rPr>
        <w:t>)</w:t>
      </w:r>
      <w:r>
        <w:rPr>
          <w:rFonts w:asciiTheme="majorHAnsi" w:eastAsia="Times New Roman" w:hAnsiTheme="majorHAnsi" w:cstheme="majorHAnsi"/>
          <w:sz w:val="20"/>
          <w:szCs w:val="20"/>
          <w:lang w:val="id-ID" w:eastAsia="ko-KR"/>
        </w:rPr>
        <w:t>.</w:t>
      </w:r>
    </w:p>
    <w:p w14:paraId="4C463A41" w14:textId="77777777" w:rsidR="009776E4" w:rsidRDefault="009776E4" w:rsidP="009776E4">
      <w:pPr>
        <w:ind w:firstLine="284"/>
        <w:jc w:val="both"/>
        <w:rPr>
          <w:rFonts w:asciiTheme="majorHAnsi" w:eastAsia="Times New Roman" w:hAnsiTheme="majorHAnsi" w:cstheme="majorHAnsi"/>
          <w:sz w:val="20"/>
          <w:szCs w:val="20"/>
          <w:lang w:val="id-ID" w:eastAsia="ko-KR"/>
        </w:rPr>
      </w:pPr>
    </w:p>
    <w:p w14:paraId="3412FFA5" w14:textId="3C2CD2D9" w:rsidR="009776E4" w:rsidRDefault="009776E4" w:rsidP="009776E4">
      <w:pPr>
        <w:jc w:val="center"/>
        <w:rPr>
          <w:rFonts w:asciiTheme="majorHAnsi" w:hAnsiTheme="majorHAnsi" w:cstheme="majorHAnsi"/>
          <w:bCs/>
          <w:sz w:val="16"/>
          <w:szCs w:val="16"/>
        </w:rPr>
      </w:pPr>
      <w:r w:rsidRPr="00466162">
        <w:rPr>
          <w:rFonts w:asciiTheme="majorBidi" w:hAnsiTheme="majorBidi" w:cstheme="majorBidi"/>
          <w:noProof/>
          <w:sz w:val="24"/>
          <w:szCs w:val="24"/>
        </w:rPr>
        <w:drawing>
          <wp:inline distT="0" distB="0" distL="0" distR="0" wp14:anchorId="1EA1945E" wp14:editId="37C5A334">
            <wp:extent cx="5308600" cy="2946400"/>
            <wp:effectExtent l="0" t="0" r="6350" b="6350"/>
            <wp:docPr id="49" name="Graphique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7E61C08" w14:textId="77777777" w:rsidR="009776E4" w:rsidRPr="009776E4" w:rsidRDefault="009776E4" w:rsidP="009776E4">
      <w:pPr>
        <w:jc w:val="center"/>
        <w:rPr>
          <w:rFonts w:asciiTheme="majorHAnsi" w:hAnsiTheme="majorHAnsi" w:cstheme="majorHAnsi"/>
          <w:bCs/>
        </w:rPr>
      </w:pPr>
    </w:p>
    <w:p w14:paraId="31CE3680" w14:textId="03A2F6B9" w:rsidR="009776E4" w:rsidRDefault="00CD28F0" w:rsidP="009776E4">
      <w:pPr>
        <w:jc w:val="center"/>
        <w:rPr>
          <w:rFonts w:asciiTheme="majorHAnsi" w:hAnsiTheme="majorHAnsi" w:cstheme="majorHAnsi"/>
          <w:bCs/>
          <w:sz w:val="16"/>
          <w:szCs w:val="16"/>
        </w:rPr>
      </w:pPr>
      <w:r>
        <w:rPr>
          <w:rFonts w:asciiTheme="majorHAnsi" w:hAnsiTheme="majorHAnsi" w:cstheme="majorHAnsi"/>
          <w:bCs/>
          <w:sz w:val="16"/>
          <w:szCs w:val="16"/>
        </w:rPr>
        <w:t xml:space="preserve">Figure </w:t>
      </w:r>
      <w:r w:rsidR="009776E4" w:rsidRPr="009776E4">
        <w:rPr>
          <w:rFonts w:asciiTheme="majorHAnsi" w:hAnsiTheme="majorHAnsi" w:cstheme="majorHAnsi"/>
          <w:bCs/>
          <w:sz w:val="16"/>
          <w:szCs w:val="16"/>
        </w:rPr>
        <w:t>1</w:t>
      </w:r>
      <w:r>
        <w:rPr>
          <w:rFonts w:asciiTheme="majorHAnsi" w:hAnsiTheme="majorHAnsi" w:cstheme="majorHAnsi"/>
          <w:bCs/>
          <w:sz w:val="16"/>
          <w:szCs w:val="16"/>
        </w:rPr>
        <w:t>0.</w:t>
      </w:r>
      <w:r w:rsidR="009776E4" w:rsidRPr="009776E4">
        <w:rPr>
          <w:rFonts w:asciiTheme="majorHAnsi" w:hAnsiTheme="majorHAnsi" w:cstheme="majorHAnsi"/>
          <w:bCs/>
          <w:sz w:val="16"/>
          <w:szCs w:val="16"/>
        </w:rPr>
        <w:t xml:space="preserve"> Computation of the sunshine of the lanes in accordance with the coefficients in December.</w:t>
      </w:r>
    </w:p>
    <w:p w14:paraId="327AE591" w14:textId="77777777" w:rsidR="009776E4" w:rsidRPr="009776E4" w:rsidRDefault="009776E4" w:rsidP="009776E4">
      <w:pPr>
        <w:jc w:val="center"/>
        <w:rPr>
          <w:rFonts w:asciiTheme="majorHAnsi" w:hAnsiTheme="majorHAnsi" w:cstheme="majorHAnsi"/>
          <w:bCs/>
          <w:sz w:val="20"/>
          <w:szCs w:val="20"/>
        </w:rPr>
      </w:pPr>
    </w:p>
    <w:p w14:paraId="4205293F" w14:textId="76520572" w:rsidR="009776E4" w:rsidRDefault="009776E4" w:rsidP="009776E4">
      <w:pPr>
        <w:jc w:val="center"/>
        <w:rPr>
          <w:rFonts w:asciiTheme="majorHAnsi" w:hAnsiTheme="majorHAnsi" w:cstheme="majorHAnsi"/>
          <w:bCs/>
          <w:sz w:val="16"/>
          <w:szCs w:val="16"/>
        </w:rPr>
      </w:pPr>
      <w:r w:rsidRPr="00466162">
        <w:rPr>
          <w:rFonts w:asciiTheme="majorBidi" w:hAnsiTheme="majorBidi" w:cstheme="majorBidi"/>
          <w:noProof/>
          <w:sz w:val="24"/>
          <w:szCs w:val="24"/>
        </w:rPr>
        <w:drawing>
          <wp:inline distT="0" distB="0" distL="0" distR="0" wp14:anchorId="43A7CE31" wp14:editId="179DF74F">
            <wp:extent cx="4787900" cy="3956050"/>
            <wp:effectExtent l="0" t="0" r="12700" b="6350"/>
            <wp:docPr id="50" name="Graphique 5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0C3E8F" w14:textId="77777777" w:rsidR="009776E4" w:rsidRPr="009776E4" w:rsidRDefault="009776E4" w:rsidP="009776E4">
      <w:pPr>
        <w:jc w:val="center"/>
        <w:rPr>
          <w:rFonts w:asciiTheme="majorHAnsi" w:hAnsiTheme="majorHAnsi" w:cstheme="majorHAnsi"/>
          <w:bCs/>
        </w:rPr>
      </w:pPr>
    </w:p>
    <w:p w14:paraId="7FC8EAA2" w14:textId="3655FDAB" w:rsidR="009776E4" w:rsidRDefault="00CD28F0" w:rsidP="009776E4">
      <w:pPr>
        <w:jc w:val="center"/>
        <w:rPr>
          <w:rFonts w:asciiTheme="majorHAnsi" w:hAnsiTheme="majorHAnsi" w:cstheme="majorHAnsi"/>
          <w:bCs/>
          <w:sz w:val="16"/>
          <w:szCs w:val="16"/>
        </w:rPr>
      </w:pPr>
      <w:r>
        <w:rPr>
          <w:rFonts w:asciiTheme="majorHAnsi" w:hAnsiTheme="majorHAnsi" w:cstheme="majorHAnsi"/>
          <w:bCs/>
          <w:sz w:val="16"/>
          <w:szCs w:val="16"/>
        </w:rPr>
        <w:t>Figure 11.</w:t>
      </w:r>
      <w:r w:rsidR="009776E4" w:rsidRPr="009776E4">
        <w:rPr>
          <w:rFonts w:asciiTheme="majorHAnsi" w:hAnsiTheme="majorHAnsi" w:cstheme="majorHAnsi"/>
          <w:bCs/>
          <w:sz w:val="16"/>
          <w:szCs w:val="16"/>
        </w:rPr>
        <w:t xml:space="preserve"> Computation of the sunshine of the lanes in accordance with the coefficients in June.</w:t>
      </w:r>
    </w:p>
    <w:p w14:paraId="2FC5C032" w14:textId="3329CA02" w:rsidR="009776E4" w:rsidRDefault="009776E4" w:rsidP="009776E4">
      <w:pPr>
        <w:jc w:val="center"/>
        <w:rPr>
          <w:rFonts w:asciiTheme="majorHAnsi" w:hAnsiTheme="majorHAnsi" w:cstheme="majorHAnsi"/>
          <w:bCs/>
          <w:sz w:val="16"/>
          <w:szCs w:val="16"/>
        </w:rPr>
      </w:pPr>
    </w:p>
    <w:p w14:paraId="506B13CE" w14:textId="77777777" w:rsidR="009776E4" w:rsidRDefault="009776E4" w:rsidP="009776E4">
      <w:pPr>
        <w:jc w:val="center"/>
        <w:rPr>
          <w:rFonts w:asciiTheme="majorHAnsi" w:hAnsiTheme="majorHAnsi" w:cstheme="majorHAnsi"/>
          <w:bCs/>
          <w:sz w:val="18"/>
          <w:szCs w:val="18"/>
        </w:rPr>
      </w:pPr>
    </w:p>
    <w:p w14:paraId="3C6E3D8D" w14:textId="7BE2F917" w:rsidR="009776E4" w:rsidRPr="009776E4" w:rsidRDefault="009776E4" w:rsidP="009776E4">
      <w:pPr>
        <w:jc w:val="center"/>
        <w:rPr>
          <w:rFonts w:asciiTheme="majorHAnsi" w:hAnsiTheme="majorHAnsi" w:cstheme="majorHAnsi"/>
          <w:bCs/>
          <w:sz w:val="18"/>
          <w:szCs w:val="18"/>
        </w:rPr>
      </w:pPr>
      <w:r w:rsidRPr="00466162">
        <w:rPr>
          <w:rFonts w:asciiTheme="majorBidi" w:hAnsiTheme="majorBidi" w:cstheme="majorBidi"/>
          <w:noProof/>
          <w:sz w:val="24"/>
          <w:szCs w:val="24"/>
        </w:rPr>
        <w:drawing>
          <wp:inline distT="0" distB="0" distL="0" distR="0" wp14:anchorId="4D7AD679" wp14:editId="7C82C82E">
            <wp:extent cx="4737735" cy="3790950"/>
            <wp:effectExtent l="0" t="0" r="5715" b="0"/>
            <wp:docPr id="51" name="Graphique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7B8BD1" w14:textId="77777777" w:rsidR="009776E4" w:rsidRPr="009776E4" w:rsidRDefault="009776E4" w:rsidP="009776E4">
      <w:pPr>
        <w:jc w:val="center"/>
        <w:rPr>
          <w:rFonts w:asciiTheme="majorHAnsi" w:hAnsiTheme="majorHAnsi" w:cstheme="majorHAnsi"/>
          <w:bCs/>
        </w:rPr>
      </w:pPr>
    </w:p>
    <w:p w14:paraId="36E3B747" w14:textId="3A2CB4DF" w:rsidR="009776E4" w:rsidRDefault="00CD28F0" w:rsidP="009776E4">
      <w:pPr>
        <w:jc w:val="center"/>
        <w:rPr>
          <w:rFonts w:asciiTheme="majorHAnsi" w:hAnsiTheme="majorHAnsi" w:cstheme="majorHAnsi"/>
          <w:bCs/>
          <w:sz w:val="16"/>
          <w:szCs w:val="16"/>
        </w:rPr>
      </w:pPr>
      <w:r>
        <w:rPr>
          <w:rFonts w:asciiTheme="majorHAnsi" w:hAnsiTheme="majorHAnsi" w:cstheme="majorHAnsi"/>
          <w:bCs/>
          <w:sz w:val="16"/>
          <w:szCs w:val="16"/>
        </w:rPr>
        <w:t>Figure 12.</w:t>
      </w:r>
      <w:r w:rsidR="009776E4" w:rsidRPr="009776E4">
        <w:rPr>
          <w:rFonts w:asciiTheme="majorHAnsi" w:hAnsiTheme="majorHAnsi" w:cstheme="majorHAnsi"/>
          <w:bCs/>
          <w:sz w:val="16"/>
          <w:szCs w:val="16"/>
        </w:rPr>
        <w:t xml:space="preserve"> Computation of the sunshine of the lanes in accordance with the coefficients in September.</w:t>
      </w:r>
    </w:p>
    <w:p w14:paraId="591F8FA3" w14:textId="77777777" w:rsidR="009776E4" w:rsidRPr="009776E4" w:rsidRDefault="009776E4" w:rsidP="009776E4">
      <w:pPr>
        <w:spacing w:line="264" w:lineRule="auto"/>
        <w:jc w:val="center"/>
        <w:rPr>
          <w:rFonts w:ascii="Candara" w:hAnsi="Candara"/>
          <w:b/>
        </w:rPr>
      </w:pPr>
    </w:p>
    <w:p w14:paraId="71C5353C" w14:textId="08CBE461" w:rsidR="00704CCA" w:rsidRPr="008D2C92" w:rsidRDefault="00704CCA" w:rsidP="009776E4">
      <w:pPr>
        <w:tabs>
          <w:tab w:val="left" w:pos="426"/>
        </w:tabs>
        <w:ind w:right="-1"/>
        <w:jc w:val="center"/>
        <w:rPr>
          <w:rFonts w:asciiTheme="majorHAnsi" w:hAnsiTheme="majorHAnsi" w:cstheme="majorHAnsi"/>
          <w:noProof/>
        </w:rPr>
      </w:pPr>
      <w:r w:rsidRPr="00466162">
        <w:rPr>
          <w:rFonts w:asciiTheme="majorBidi" w:hAnsiTheme="majorBidi" w:cstheme="majorBidi"/>
          <w:noProof/>
        </w:rPr>
        <w:drawing>
          <wp:inline distT="0" distB="0" distL="0" distR="0" wp14:anchorId="110512F7" wp14:editId="7C043790">
            <wp:extent cx="5283200" cy="2152650"/>
            <wp:effectExtent l="0" t="0" r="12700" b="0"/>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6C80AFC" w14:textId="496971ED" w:rsidR="009776E4" w:rsidRPr="008D2C92" w:rsidRDefault="00704CCA" w:rsidP="008D2C92">
      <w:pPr>
        <w:rPr>
          <w:rFonts w:asciiTheme="minorHAnsi" w:hAnsiTheme="minorHAnsi" w:cstheme="minorHAnsi"/>
          <w:b/>
          <w:bCs/>
          <w:sz w:val="24"/>
          <w:szCs w:val="24"/>
        </w:rPr>
      </w:pPr>
      <w:r>
        <w:rPr>
          <w:rFonts w:asciiTheme="minorHAnsi" w:hAnsiTheme="minorHAnsi" w:cstheme="minorHAnsi"/>
          <w:b/>
          <w:bCs/>
          <w:noProof/>
          <w:sz w:val="24"/>
          <w:szCs w:val="24"/>
        </w:rPr>
        <mc:AlternateContent>
          <mc:Choice Requires="wps">
            <w:drawing>
              <wp:anchor distT="0" distB="0" distL="114300" distR="114300" simplePos="0" relativeHeight="251659264" behindDoc="0" locked="0" layoutInCell="1" allowOverlap="1" wp14:anchorId="6D447E57" wp14:editId="59C7CEB2">
                <wp:simplePos x="0" y="0"/>
                <wp:positionH relativeFrom="column">
                  <wp:posOffset>229235</wp:posOffset>
                </wp:positionH>
                <wp:positionV relativeFrom="paragraph">
                  <wp:posOffset>2134</wp:posOffset>
                </wp:positionV>
                <wp:extent cx="5283200" cy="0"/>
                <wp:effectExtent l="0" t="0" r="0" b="0"/>
                <wp:wrapNone/>
                <wp:docPr id="1232649918" name="Straight Connector 1"/>
                <wp:cNvGraphicFramePr/>
                <a:graphic xmlns:a="http://schemas.openxmlformats.org/drawingml/2006/main">
                  <a:graphicData uri="http://schemas.microsoft.com/office/word/2010/wordprocessingShape">
                    <wps:wsp>
                      <wps:cNvCnPr/>
                      <wps:spPr>
                        <a:xfrm>
                          <a:off x="0" y="0"/>
                          <a:ext cx="5283200" cy="0"/>
                        </a:xfrm>
                        <a:prstGeom prst="line">
                          <a:avLst/>
                        </a:prstGeom>
                        <a:ln>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99F0E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05pt,.15pt" to="434.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" strokecolor="#a5a5a5 [2092]" strokeweight=".5pt">
                <v:stroke joinstyle="miter"/>
              </v:line>
            </w:pict>
          </mc:Fallback>
        </mc:AlternateContent>
      </w:r>
    </w:p>
    <w:p w14:paraId="32473F7B" w14:textId="5E971BFD" w:rsidR="009776E4" w:rsidRDefault="00CD28F0" w:rsidP="009776E4">
      <w:pPr>
        <w:ind w:firstLine="284"/>
        <w:jc w:val="center"/>
        <w:rPr>
          <w:rFonts w:asciiTheme="minorHAnsi" w:hAnsiTheme="minorHAnsi" w:cstheme="minorHAnsi"/>
          <w:b/>
          <w:bCs/>
        </w:rPr>
      </w:pPr>
      <w:r>
        <w:rPr>
          <w:rFonts w:asciiTheme="majorHAnsi" w:hAnsiTheme="majorHAnsi" w:cstheme="majorHAnsi"/>
          <w:bCs/>
          <w:sz w:val="16"/>
          <w:szCs w:val="16"/>
        </w:rPr>
        <w:t>Figure 13.</w:t>
      </w:r>
      <w:r w:rsidR="009776E4" w:rsidRPr="009776E4">
        <w:rPr>
          <w:rFonts w:asciiTheme="majorHAnsi" w:hAnsiTheme="majorHAnsi" w:cstheme="majorHAnsi"/>
          <w:bCs/>
          <w:sz w:val="16"/>
          <w:szCs w:val="16"/>
        </w:rPr>
        <w:t xml:space="preserve"> illustrates the computation of insolation importance of the three </w:t>
      </w:r>
      <w:proofErr w:type="spellStart"/>
      <w:r w:rsidR="009776E4" w:rsidRPr="009776E4">
        <w:rPr>
          <w:rFonts w:asciiTheme="majorHAnsi" w:hAnsiTheme="majorHAnsi" w:cstheme="majorHAnsi"/>
          <w:bCs/>
          <w:sz w:val="16"/>
          <w:szCs w:val="16"/>
        </w:rPr>
        <w:t>Ksour</w:t>
      </w:r>
      <w:proofErr w:type="spellEnd"/>
      <w:r w:rsidR="009776E4" w:rsidRPr="009776E4">
        <w:rPr>
          <w:rFonts w:asciiTheme="majorHAnsi" w:hAnsiTheme="majorHAnsi" w:cstheme="majorHAnsi"/>
          <w:bCs/>
          <w:sz w:val="16"/>
          <w:szCs w:val="16"/>
        </w:rPr>
        <w:t xml:space="preserve"> according to the coefficients of the normalized areas.</w:t>
      </w:r>
    </w:p>
    <w:p w14:paraId="670E3B87" w14:textId="77777777" w:rsidR="009776E4" w:rsidRPr="00D132AE" w:rsidRDefault="009776E4" w:rsidP="009776E4">
      <w:pPr>
        <w:ind w:firstLine="284"/>
        <w:jc w:val="center"/>
        <w:rPr>
          <w:rFonts w:asciiTheme="minorHAnsi" w:hAnsiTheme="minorHAnsi" w:cstheme="minorHAnsi"/>
          <w:b/>
          <w:bCs/>
        </w:rPr>
      </w:pPr>
    </w:p>
    <w:p w14:paraId="32C9C297" w14:textId="12566B54" w:rsidR="009776E4" w:rsidRDefault="008D2C92" w:rsidP="009776E4">
      <w:pPr>
        <w:ind w:firstLine="284"/>
        <w:jc w:val="both"/>
        <w:rPr>
          <w:rFonts w:asciiTheme="majorHAnsi" w:eastAsia="Times New Roman" w:hAnsiTheme="majorHAnsi" w:cstheme="majorHAnsi"/>
          <w:sz w:val="20"/>
          <w:szCs w:val="20"/>
          <w:lang w:val="id-ID" w:eastAsia="ko-KR"/>
        </w:rPr>
      </w:pPr>
      <w:r>
        <w:rPr>
          <w:rFonts w:asciiTheme="majorHAnsi" w:eastAsia="Times New Roman" w:hAnsiTheme="majorHAnsi" w:cstheme="majorHAnsi"/>
          <w:sz w:val="20"/>
          <w:szCs w:val="20"/>
          <w:lang w:val="id-ID" w:eastAsia="ko-KR"/>
        </w:rPr>
        <w:t>Figure 13</w:t>
      </w:r>
      <w:r w:rsidR="009776E4" w:rsidRPr="009776E4">
        <w:rPr>
          <w:rFonts w:asciiTheme="majorHAnsi" w:eastAsia="Times New Roman" w:hAnsiTheme="majorHAnsi" w:cstheme="majorHAnsi"/>
          <w:sz w:val="20"/>
          <w:szCs w:val="20"/>
          <w:lang w:val="id-ID" w:eastAsia="ko-KR"/>
        </w:rPr>
        <w:t xml:space="preserve"> confirm the results of the study, according to which vernacular Islamic architecture is a behavioral and local architecture that is entirely in line with the notion of sustainability. The computation of the solar radiation from a system of coefficients for each insolation area shows that the result is positive in the three cases studied. This explains the importance of solar exposure in desert areas. The results are very close in both modern and vernacular Islamic urbanism solstices. However, in the summer period, the vernacular Islamic Ksar gave more importance to insolation exposure than the modern Ksar did, and vice versa for the winter period. According to the results, this explains a fundamental point in ancient Ksour's design, where designers consider shade a priority. In contrast, modern designers think of avoiding direct exposure to sunlight</w:t>
      </w:r>
      <w:r w:rsidR="009776E4">
        <w:rPr>
          <w:rFonts w:asciiTheme="majorHAnsi" w:eastAsia="Times New Roman" w:hAnsiTheme="majorHAnsi" w:cstheme="majorHAnsi"/>
          <w:sz w:val="20"/>
          <w:szCs w:val="20"/>
          <w:lang w:val="id-ID" w:eastAsia="ko-KR"/>
        </w:rPr>
        <w:t>.</w:t>
      </w:r>
    </w:p>
    <w:p w14:paraId="1C11F87F" w14:textId="77777777" w:rsidR="00CD28F0" w:rsidRDefault="00CD28F0" w:rsidP="009776E4">
      <w:pPr>
        <w:ind w:firstLine="284"/>
        <w:jc w:val="both"/>
        <w:rPr>
          <w:rFonts w:asciiTheme="majorHAnsi" w:eastAsia="Times New Roman" w:hAnsiTheme="majorHAnsi" w:cstheme="majorHAnsi"/>
          <w:sz w:val="20"/>
          <w:szCs w:val="20"/>
          <w:lang w:val="id-ID" w:eastAsia="ko-KR"/>
        </w:rPr>
      </w:pPr>
    </w:p>
    <w:p w14:paraId="283806AE" w14:textId="204A58F1" w:rsidR="00CD28F0" w:rsidRDefault="00CD28F0" w:rsidP="00CD28F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DISCUSSION</w:t>
      </w:r>
    </w:p>
    <w:p w14:paraId="08651C07" w14:textId="624C099E" w:rsidR="00CD28F0" w:rsidRPr="005E66A5" w:rsidRDefault="00CD28F0" w:rsidP="00CD28F0">
      <w:pPr>
        <w:ind w:firstLine="284"/>
        <w:jc w:val="both"/>
        <w:rPr>
          <w:rFonts w:asciiTheme="majorHAnsi" w:hAnsiTheme="majorHAnsi" w:cstheme="majorHAnsi"/>
          <w:b/>
          <w:sz w:val="20"/>
          <w:szCs w:val="20"/>
          <w:lang w:val="id-ID"/>
        </w:rPr>
      </w:pPr>
      <w:r w:rsidRPr="00CD28F0">
        <w:rPr>
          <w:rFonts w:asciiTheme="majorHAnsi" w:hAnsiTheme="majorHAnsi" w:cstheme="majorHAnsi"/>
          <w:sz w:val="20"/>
          <w:szCs w:val="20"/>
        </w:rPr>
        <w:t xml:space="preserve">Following the empirical results and comparing the computation of the lanes systems of the old and new designs of the </w:t>
      </w:r>
      <w:proofErr w:type="spellStart"/>
      <w:r w:rsidRPr="00CD28F0">
        <w:rPr>
          <w:rFonts w:asciiTheme="majorHAnsi" w:hAnsiTheme="majorHAnsi" w:cstheme="majorHAnsi"/>
          <w:sz w:val="20"/>
          <w:szCs w:val="20"/>
        </w:rPr>
        <w:t>Ksour</w:t>
      </w:r>
      <w:proofErr w:type="spellEnd"/>
      <w:r w:rsidRPr="00CD28F0">
        <w:rPr>
          <w:rFonts w:asciiTheme="majorHAnsi" w:hAnsiTheme="majorHAnsi" w:cstheme="majorHAnsi"/>
          <w:sz w:val="20"/>
          <w:szCs w:val="20"/>
        </w:rPr>
        <w:t xml:space="preserve"> in Ghardaïa, we discovered that vernacular Islamic and modern </w:t>
      </w:r>
      <w:proofErr w:type="spellStart"/>
      <w:r w:rsidRPr="00CD28F0">
        <w:rPr>
          <w:rFonts w:asciiTheme="majorHAnsi" w:hAnsiTheme="majorHAnsi" w:cstheme="majorHAnsi"/>
          <w:sz w:val="20"/>
          <w:szCs w:val="20"/>
        </w:rPr>
        <w:t>Ksour</w:t>
      </w:r>
      <w:proofErr w:type="spellEnd"/>
      <w:r w:rsidRPr="00CD28F0">
        <w:rPr>
          <w:rFonts w:asciiTheme="majorHAnsi" w:hAnsiTheme="majorHAnsi" w:cstheme="majorHAnsi"/>
          <w:sz w:val="20"/>
          <w:szCs w:val="20"/>
        </w:rPr>
        <w:t xml:space="preserve"> may be utilizing sensors and regulators of energy and sunlight for sustainable living by adapting their design and morphologies to the location (</w:t>
      </w:r>
      <w:r w:rsidR="008D2C92">
        <w:rPr>
          <w:rFonts w:asciiTheme="majorHAnsi" w:hAnsiTheme="majorHAnsi" w:cstheme="majorHAnsi"/>
          <w:sz w:val="20"/>
          <w:szCs w:val="20"/>
        </w:rPr>
        <w:t>Figure</w:t>
      </w:r>
      <w:r w:rsidRPr="00CD28F0">
        <w:rPr>
          <w:rFonts w:asciiTheme="majorHAnsi" w:hAnsiTheme="majorHAnsi" w:cstheme="majorHAnsi"/>
          <w:sz w:val="20"/>
          <w:szCs w:val="20"/>
        </w:rPr>
        <w:t xml:space="preserve"> </w:t>
      </w:r>
      <w:r w:rsidR="008D2C92">
        <w:rPr>
          <w:rFonts w:asciiTheme="majorHAnsi" w:hAnsiTheme="majorHAnsi" w:cstheme="majorHAnsi"/>
          <w:sz w:val="20"/>
          <w:szCs w:val="20"/>
        </w:rPr>
        <w:t>14,15 &amp; 16)</w:t>
      </w:r>
      <w:r w:rsidRPr="00CD28F0">
        <w:rPr>
          <w:rFonts w:asciiTheme="majorHAnsi" w:hAnsiTheme="majorHAnsi" w:cstheme="majorHAnsi"/>
          <w:sz w:val="20"/>
          <w:szCs w:val="20"/>
        </w:rPr>
        <w:t xml:space="preserve">. According to the findings, there is a significant difference between the two designs regarding lane orientation, particularly during warmer seasons. Unlike recent </w:t>
      </w:r>
      <w:proofErr w:type="spellStart"/>
      <w:r w:rsidRPr="00CD28F0">
        <w:rPr>
          <w:rFonts w:asciiTheme="majorHAnsi" w:hAnsiTheme="majorHAnsi" w:cstheme="majorHAnsi"/>
          <w:sz w:val="20"/>
          <w:szCs w:val="20"/>
        </w:rPr>
        <w:t>Ksour</w:t>
      </w:r>
      <w:proofErr w:type="spellEnd"/>
      <w:r w:rsidRPr="00CD28F0">
        <w:rPr>
          <w:rFonts w:asciiTheme="majorHAnsi" w:hAnsiTheme="majorHAnsi" w:cstheme="majorHAnsi"/>
          <w:sz w:val="20"/>
          <w:szCs w:val="20"/>
        </w:rPr>
        <w:t xml:space="preserve">, shaded lanes were prioritized, and sunshine should be avoided in the old ones. Avoiding solar shocks is no longer crucial in modern </w:t>
      </w:r>
      <w:proofErr w:type="spellStart"/>
      <w:r w:rsidRPr="00CD28F0">
        <w:rPr>
          <w:rFonts w:asciiTheme="majorHAnsi" w:hAnsiTheme="majorHAnsi" w:cstheme="majorHAnsi"/>
          <w:sz w:val="20"/>
          <w:szCs w:val="20"/>
        </w:rPr>
        <w:t>Ksour</w:t>
      </w:r>
      <w:proofErr w:type="spellEnd"/>
      <w:r w:rsidRPr="00CD28F0">
        <w:rPr>
          <w:rFonts w:asciiTheme="majorHAnsi" w:hAnsiTheme="majorHAnsi" w:cstheme="majorHAnsi"/>
          <w:sz w:val="20"/>
          <w:szCs w:val="20"/>
        </w:rPr>
        <w:t xml:space="preserve"> where motorization had vastly shortened trips both in space and time. Whereas, sinuous lanes could no longer be adopted, allowing wide mechanical traffic routes. The new </w:t>
      </w:r>
      <w:proofErr w:type="spellStart"/>
      <w:r w:rsidRPr="00CD28F0">
        <w:rPr>
          <w:rFonts w:asciiTheme="majorHAnsi" w:hAnsiTheme="majorHAnsi" w:cstheme="majorHAnsi"/>
          <w:sz w:val="20"/>
          <w:szCs w:val="20"/>
        </w:rPr>
        <w:t>Ksar</w:t>
      </w:r>
      <w:proofErr w:type="spellEnd"/>
      <w:r w:rsidRPr="00CD28F0">
        <w:rPr>
          <w:rFonts w:asciiTheme="majorHAnsi" w:hAnsiTheme="majorHAnsi" w:cstheme="majorHAnsi"/>
          <w:sz w:val="20"/>
          <w:szCs w:val="20"/>
        </w:rPr>
        <w:t xml:space="preserve"> of </w:t>
      </w:r>
      <w:proofErr w:type="spellStart"/>
      <w:r w:rsidRPr="00CD28F0">
        <w:rPr>
          <w:rFonts w:asciiTheme="majorHAnsi" w:hAnsiTheme="majorHAnsi" w:cstheme="majorHAnsi"/>
          <w:sz w:val="20"/>
          <w:szCs w:val="20"/>
        </w:rPr>
        <w:t>Tafilalet</w:t>
      </w:r>
      <w:proofErr w:type="spellEnd"/>
      <w:r w:rsidRPr="00CD28F0">
        <w:rPr>
          <w:rFonts w:asciiTheme="majorHAnsi" w:hAnsiTheme="majorHAnsi" w:cstheme="majorHAnsi"/>
          <w:sz w:val="20"/>
          <w:szCs w:val="20"/>
        </w:rPr>
        <w:t xml:space="preserve"> was designed rapidly thanks to a unique preconceived plan, whereas the design of the previous </w:t>
      </w:r>
      <w:proofErr w:type="spellStart"/>
      <w:r w:rsidRPr="00CD28F0">
        <w:rPr>
          <w:rFonts w:asciiTheme="majorHAnsi" w:hAnsiTheme="majorHAnsi" w:cstheme="majorHAnsi"/>
          <w:sz w:val="20"/>
          <w:szCs w:val="20"/>
        </w:rPr>
        <w:t>Ksour</w:t>
      </w:r>
      <w:proofErr w:type="spellEnd"/>
      <w:r w:rsidRPr="00CD28F0">
        <w:rPr>
          <w:rFonts w:asciiTheme="majorHAnsi" w:hAnsiTheme="majorHAnsi" w:cstheme="majorHAnsi"/>
          <w:sz w:val="20"/>
          <w:szCs w:val="20"/>
        </w:rPr>
        <w:t xml:space="preserve"> took about 10 centuries. This fact can be explained by the involvement of generations of designers in the old and some in the recent </w:t>
      </w:r>
      <w:proofErr w:type="spellStart"/>
      <w:r w:rsidRPr="00CD28F0">
        <w:rPr>
          <w:rFonts w:asciiTheme="majorHAnsi" w:hAnsiTheme="majorHAnsi" w:cstheme="majorHAnsi"/>
          <w:sz w:val="20"/>
          <w:szCs w:val="20"/>
        </w:rPr>
        <w:t>Ksour</w:t>
      </w:r>
      <w:proofErr w:type="spellEnd"/>
      <w:r w:rsidRPr="00CD28F0">
        <w:rPr>
          <w:rFonts w:asciiTheme="majorHAnsi" w:hAnsiTheme="majorHAnsi" w:cstheme="majorHAnsi"/>
          <w:sz w:val="20"/>
          <w:szCs w:val="20"/>
        </w:rPr>
        <w:t xml:space="preserve">. Incorporating fundamental vernacular Islamic design aspects in the modern </w:t>
      </w:r>
      <w:proofErr w:type="spellStart"/>
      <w:r w:rsidRPr="00CD28F0">
        <w:rPr>
          <w:rFonts w:asciiTheme="majorHAnsi" w:hAnsiTheme="majorHAnsi" w:cstheme="majorHAnsi"/>
          <w:sz w:val="20"/>
          <w:szCs w:val="20"/>
        </w:rPr>
        <w:t>Ksar</w:t>
      </w:r>
      <w:proofErr w:type="spellEnd"/>
      <w:r w:rsidRPr="00CD28F0">
        <w:rPr>
          <w:rFonts w:asciiTheme="majorHAnsi" w:hAnsiTheme="majorHAnsi" w:cstheme="majorHAnsi"/>
          <w:sz w:val="20"/>
          <w:szCs w:val="20"/>
        </w:rPr>
        <w:t xml:space="preserve"> has given the old </w:t>
      </w:r>
      <w:proofErr w:type="spellStart"/>
      <w:r w:rsidRPr="00CD28F0">
        <w:rPr>
          <w:rFonts w:asciiTheme="majorHAnsi" w:hAnsiTheme="majorHAnsi" w:cstheme="majorHAnsi"/>
          <w:sz w:val="20"/>
          <w:szCs w:val="20"/>
        </w:rPr>
        <w:t>Ksour's</w:t>
      </w:r>
      <w:proofErr w:type="spellEnd"/>
      <w:r w:rsidRPr="00CD28F0">
        <w:rPr>
          <w:rFonts w:asciiTheme="majorHAnsi" w:hAnsiTheme="majorHAnsi" w:cstheme="majorHAnsi"/>
          <w:sz w:val="20"/>
          <w:szCs w:val="20"/>
        </w:rPr>
        <w:t xml:space="preserve"> ancestral know-how an intergenerational, ongoing, and sustainable character</w:t>
      </w:r>
      <w:r w:rsidRPr="005E66A5">
        <w:rPr>
          <w:rFonts w:asciiTheme="majorHAnsi" w:hAnsiTheme="majorHAnsi" w:cstheme="majorHAnsi"/>
          <w:sz w:val="20"/>
          <w:szCs w:val="20"/>
        </w:rPr>
        <w:t>.</w:t>
      </w:r>
    </w:p>
    <w:p w14:paraId="162BC0C7" w14:textId="77777777" w:rsidR="00CD28F0" w:rsidRDefault="00CD28F0" w:rsidP="009776E4">
      <w:pPr>
        <w:ind w:firstLine="284"/>
        <w:jc w:val="both"/>
        <w:rPr>
          <w:rFonts w:asciiTheme="majorHAnsi" w:eastAsia="Times New Roman" w:hAnsiTheme="majorHAnsi" w:cstheme="majorHAnsi"/>
          <w:sz w:val="20"/>
          <w:szCs w:val="20"/>
          <w:lang w:val="id-ID" w:eastAsia="ko-KR"/>
        </w:rPr>
      </w:pPr>
    </w:p>
    <w:p w14:paraId="24505D72" w14:textId="466F200A" w:rsidR="009776E4" w:rsidRDefault="00CD28F0" w:rsidP="00F236A4">
      <w:pPr>
        <w:jc w:val="center"/>
        <w:rPr>
          <w:rFonts w:asciiTheme="majorHAnsi" w:eastAsia="Times New Roman" w:hAnsiTheme="majorHAnsi" w:cstheme="majorHAnsi"/>
          <w:sz w:val="20"/>
          <w:szCs w:val="20"/>
          <w:lang w:val="id-ID" w:eastAsia="ko-KR"/>
        </w:rPr>
      </w:pPr>
      <w:r w:rsidRPr="00466162">
        <w:rPr>
          <w:rFonts w:asciiTheme="majorBidi" w:hAnsiTheme="majorBidi" w:cstheme="majorBidi"/>
          <w:noProof/>
          <w:sz w:val="24"/>
          <w:szCs w:val="24"/>
        </w:rPr>
        <w:drawing>
          <wp:inline distT="0" distB="0" distL="0" distR="0" wp14:anchorId="302D0277" wp14:editId="0C175C73">
            <wp:extent cx="5554980" cy="2380891"/>
            <wp:effectExtent l="0" t="0" r="7620" b="635"/>
            <wp:docPr id="28" name="Graphique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73189CA" w14:textId="77777777" w:rsidR="00CD28F0" w:rsidRDefault="00CD28F0" w:rsidP="009776E4">
      <w:pPr>
        <w:ind w:firstLine="284"/>
        <w:jc w:val="both"/>
        <w:rPr>
          <w:rFonts w:asciiTheme="majorHAnsi" w:eastAsia="Times New Roman" w:hAnsiTheme="majorHAnsi" w:cstheme="majorHAnsi"/>
          <w:sz w:val="20"/>
          <w:szCs w:val="20"/>
          <w:lang w:val="id-ID" w:eastAsia="ko-KR"/>
        </w:rPr>
      </w:pPr>
    </w:p>
    <w:p w14:paraId="65CAD78F" w14:textId="1686DFD1" w:rsidR="00CD28F0" w:rsidRPr="005E66A5" w:rsidRDefault="00CD28F0" w:rsidP="00CD28F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Figure 1</w:t>
      </w:r>
      <w:r>
        <w:rPr>
          <w:rFonts w:asciiTheme="majorHAnsi" w:hAnsiTheme="majorHAnsi" w:cstheme="majorHAnsi"/>
          <w:bCs/>
          <w:sz w:val="16"/>
          <w:szCs w:val="16"/>
        </w:rPr>
        <w:t>4</w:t>
      </w:r>
      <w:r w:rsidRPr="005E66A5">
        <w:rPr>
          <w:rFonts w:asciiTheme="majorHAnsi" w:hAnsiTheme="majorHAnsi" w:cstheme="majorHAnsi"/>
          <w:bCs/>
          <w:sz w:val="16"/>
          <w:szCs w:val="16"/>
        </w:rPr>
        <w:t xml:space="preserve">. </w:t>
      </w:r>
      <w:r w:rsidRPr="00CD28F0">
        <w:rPr>
          <w:rFonts w:asciiTheme="majorHAnsi" w:hAnsiTheme="majorHAnsi" w:cstheme="majorHAnsi"/>
          <w:bCs/>
          <w:sz w:val="16"/>
          <w:szCs w:val="16"/>
        </w:rPr>
        <w:t>Footprints of the lanes and their angles according to the sunshine (</w:t>
      </w:r>
      <w:proofErr w:type="spellStart"/>
      <w:r w:rsidRPr="00CD28F0">
        <w:rPr>
          <w:rFonts w:asciiTheme="majorHAnsi" w:hAnsiTheme="majorHAnsi" w:cstheme="majorHAnsi"/>
          <w:bCs/>
          <w:sz w:val="16"/>
          <w:szCs w:val="16"/>
        </w:rPr>
        <w:t>Ksar</w:t>
      </w:r>
      <w:proofErr w:type="spellEnd"/>
      <w:r w:rsidRPr="00CD28F0">
        <w:rPr>
          <w:rFonts w:asciiTheme="majorHAnsi" w:hAnsiTheme="majorHAnsi" w:cstheme="majorHAnsi"/>
          <w:bCs/>
          <w:sz w:val="16"/>
          <w:szCs w:val="16"/>
        </w:rPr>
        <w:t xml:space="preserve"> El </w:t>
      </w:r>
      <w:proofErr w:type="spellStart"/>
      <w:r w:rsidRPr="00CD28F0">
        <w:rPr>
          <w:rFonts w:asciiTheme="majorHAnsi" w:hAnsiTheme="majorHAnsi" w:cstheme="majorHAnsi"/>
          <w:bCs/>
          <w:sz w:val="16"/>
          <w:szCs w:val="16"/>
        </w:rPr>
        <w:t>Atheuf</w:t>
      </w:r>
      <w:proofErr w:type="spellEnd"/>
      <w:r w:rsidRPr="00CD28F0">
        <w:rPr>
          <w:rFonts w:asciiTheme="majorHAnsi" w:hAnsiTheme="majorHAnsi" w:cstheme="majorHAnsi"/>
          <w:bCs/>
          <w:sz w:val="16"/>
          <w:szCs w:val="16"/>
        </w:rPr>
        <w:t>)</w:t>
      </w:r>
    </w:p>
    <w:p w14:paraId="46761EFA" w14:textId="77777777" w:rsidR="00CD28F0" w:rsidRDefault="00CD28F0" w:rsidP="009776E4">
      <w:pPr>
        <w:ind w:firstLine="284"/>
        <w:jc w:val="both"/>
        <w:rPr>
          <w:rFonts w:asciiTheme="majorHAnsi" w:eastAsia="Times New Roman" w:hAnsiTheme="majorHAnsi" w:cstheme="majorHAnsi"/>
          <w:sz w:val="20"/>
          <w:szCs w:val="20"/>
          <w:lang w:val="id-ID" w:eastAsia="ko-KR"/>
        </w:rPr>
      </w:pPr>
    </w:p>
    <w:p w14:paraId="60AF2F48" w14:textId="37ABFA3D" w:rsidR="00CD28F0" w:rsidRDefault="00F236A4" w:rsidP="00F236A4">
      <w:pPr>
        <w:ind w:firstLine="284"/>
        <w:jc w:val="center"/>
        <w:rPr>
          <w:rFonts w:asciiTheme="majorHAnsi" w:eastAsia="Times New Roman" w:hAnsiTheme="majorHAnsi" w:cstheme="majorHAnsi"/>
          <w:sz w:val="20"/>
          <w:szCs w:val="20"/>
          <w:lang w:val="id-ID" w:eastAsia="ko-KR"/>
        </w:rPr>
      </w:pPr>
      <w:r w:rsidRPr="00466162">
        <w:rPr>
          <w:rFonts w:asciiTheme="majorBidi" w:hAnsiTheme="majorBidi" w:cstheme="majorBidi"/>
          <w:noProof/>
          <w:sz w:val="24"/>
          <w:szCs w:val="24"/>
        </w:rPr>
        <w:drawing>
          <wp:inline distT="0" distB="0" distL="0" distR="0" wp14:anchorId="5BABD2EC" wp14:editId="69C77CA0">
            <wp:extent cx="5638800" cy="2768600"/>
            <wp:effectExtent l="0" t="0" r="0" b="12700"/>
            <wp:docPr id="29" name="Graphique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BB5BE7D" w14:textId="77777777" w:rsidR="00CD28F0" w:rsidRDefault="00CD28F0" w:rsidP="00CD28F0">
      <w:pPr>
        <w:ind w:firstLine="284"/>
        <w:jc w:val="both"/>
        <w:rPr>
          <w:rFonts w:asciiTheme="majorHAnsi" w:eastAsia="Times New Roman" w:hAnsiTheme="majorHAnsi" w:cstheme="majorHAnsi"/>
          <w:sz w:val="20"/>
          <w:szCs w:val="20"/>
          <w:lang w:val="id-ID" w:eastAsia="ko-KR"/>
        </w:rPr>
      </w:pPr>
    </w:p>
    <w:p w14:paraId="46599960" w14:textId="5C3DBC18" w:rsidR="00CD28F0" w:rsidRPr="005E66A5" w:rsidRDefault="00CD28F0" w:rsidP="00CD28F0">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Figure 1</w:t>
      </w:r>
      <w:r>
        <w:rPr>
          <w:rFonts w:asciiTheme="majorHAnsi" w:hAnsiTheme="majorHAnsi" w:cstheme="majorHAnsi"/>
          <w:bCs/>
          <w:sz w:val="16"/>
          <w:szCs w:val="16"/>
        </w:rPr>
        <w:t>5</w:t>
      </w:r>
      <w:r w:rsidRPr="005E66A5">
        <w:rPr>
          <w:rFonts w:asciiTheme="majorHAnsi" w:hAnsiTheme="majorHAnsi" w:cstheme="majorHAnsi"/>
          <w:bCs/>
          <w:sz w:val="16"/>
          <w:szCs w:val="16"/>
        </w:rPr>
        <w:t xml:space="preserve">. </w:t>
      </w:r>
      <w:r w:rsidRPr="00CD28F0">
        <w:rPr>
          <w:rFonts w:asciiTheme="majorHAnsi" w:hAnsiTheme="majorHAnsi" w:cstheme="majorHAnsi"/>
          <w:bCs/>
          <w:sz w:val="16"/>
          <w:szCs w:val="16"/>
        </w:rPr>
        <w:t>Footprints of the lanes and their angles according to the sunshine (</w:t>
      </w:r>
      <w:proofErr w:type="spellStart"/>
      <w:r w:rsidRPr="00CD28F0">
        <w:rPr>
          <w:rFonts w:asciiTheme="majorHAnsi" w:hAnsiTheme="majorHAnsi" w:cstheme="majorHAnsi"/>
          <w:bCs/>
          <w:sz w:val="16"/>
          <w:szCs w:val="16"/>
        </w:rPr>
        <w:t>Ksar</w:t>
      </w:r>
      <w:proofErr w:type="spellEnd"/>
      <w:r w:rsidRPr="00CD28F0">
        <w:rPr>
          <w:rFonts w:asciiTheme="majorHAnsi" w:hAnsiTheme="majorHAnsi" w:cstheme="majorHAnsi"/>
          <w:bCs/>
          <w:sz w:val="16"/>
          <w:szCs w:val="16"/>
        </w:rPr>
        <w:t xml:space="preserve"> Beni </w:t>
      </w:r>
      <w:proofErr w:type="spellStart"/>
      <w:r w:rsidRPr="00CD28F0">
        <w:rPr>
          <w:rFonts w:asciiTheme="majorHAnsi" w:hAnsiTheme="majorHAnsi" w:cstheme="majorHAnsi"/>
          <w:bCs/>
          <w:sz w:val="16"/>
          <w:szCs w:val="16"/>
        </w:rPr>
        <w:t>Yezeguen</w:t>
      </w:r>
      <w:proofErr w:type="spellEnd"/>
      <w:r w:rsidRPr="00CD28F0">
        <w:rPr>
          <w:rFonts w:asciiTheme="majorHAnsi" w:hAnsiTheme="majorHAnsi" w:cstheme="majorHAnsi"/>
          <w:bCs/>
          <w:sz w:val="16"/>
          <w:szCs w:val="16"/>
        </w:rPr>
        <w:t>)</w:t>
      </w:r>
    </w:p>
    <w:p w14:paraId="5B0E7CB3" w14:textId="77777777" w:rsidR="00CD28F0" w:rsidRDefault="00CD28F0" w:rsidP="009776E4">
      <w:pPr>
        <w:ind w:firstLine="284"/>
        <w:jc w:val="both"/>
        <w:rPr>
          <w:rFonts w:asciiTheme="minorHAnsi" w:hAnsiTheme="minorHAnsi" w:cstheme="minorHAnsi"/>
          <w:b/>
          <w:bCs/>
        </w:rPr>
      </w:pPr>
    </w:p>
    <w:p w14:paraId="5A01E974" w14:textId="5B0D6AF8" w:rsidR="00CD28F0" w:rsidRDefault="00CD28F0" w:rsidP="009776E4">
      <w:pPr>
        <w:ind w:firstLine="284"/>
        <w:jc w:val="both"/>
        <w:rPr>
          <w:rFonts w:asciiTheme="minorHAnsi" w:hAnsiTheme="minorHAnsi" w:cstheme="minorHAnsi"/>
          <w:b/>
          <w:bCs/>
        </w:rPr>
      </w:pPr>
      <w:r w:rsidRPr="00466162">
        <w:rPr>
          <w:rFonts w:asciiTheme="majorBidi" w:hAnsiTheme="majorBidi" w:cstheme="majorBidi"/>
          <w:noProof/>
          <w:sz w:val="24"/>
          <w:szCs w:val="24"/>
        </w:rPr>
        <w:drawing>
          <wp:inline distT="0" distB="0" distL="0" distR="0" wp14:anchorId="2CCDA22F" wp14:editId="67D3A2BD">
            <wp:extent cx="5683250" cy="2971800"/>
            <wp:effectExtent l="0" t="0" r="12700" b="0"/>
            <wp:docPr id="1484187480" name="Graphique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78D0919" w14:textId="77777777" w:rsidR="00CD28F0" w:rsidRDefault="00CD28F0" w:rsidP="009776E4">
      <w:pPr>
        <w:ind w:firstLine="284"/>
        <w:jc w:val="both"/>
        <w:rPr>
          <w:rFonts w:asciiTheme="minorHAnsi" w:hAnsiTheme="minorHAnsi" w:cstheme="minorHAnsi"/>
          <w:b/>
          <w:bCs/>
        </w:rPr>
      </w:pPr>
    </w:p>
    <w:p w14:paraId="470F479C" w14:textId="01116209" w:rsidR="00CD28F0" w:rsidRDefault="00CD28F0" w:rsidP="00CD28F0">
      <w:pPr>
        <w:ind w:firstLine="284"/>
        <w:jc w:val="center"/>
        <w:rPr>
          <w:rFonts w:asciiTheme="minorHAnsi" w:hAnsiTheme="minorHAnsi" w:cstheme="minorHAnsi"/>
          <w:b/>
          <w:bCs/>
        </w:rPr>
      </w:pPr>
      <w:r w:rsidRPr="005E66A5">
        <w:rPr>
          <w:rFonts w:asciiTheme="majorHAnsi" w:hAnsiTheme="majorHAnsi" w:cstheme="majorHAnsi"/>
          <w:bCs/>
          <w:sz w:val="16"/>
          <w:szCs w:val="16"/>
        </w:rPr>
        <w:t>Figure 1</w:t>
      </w:r>
      <w:r>
        <w:rPr>
          <w:rFonts w:asciiTheme="majorHAnsi" w:hAnsiTheme="majorHAnsi" w:cstheme="majorHAnsi"/>
          <w:bCs/>
          <w:sz w:val="16"/>
          <w:szCs w:val="16"/>
        </w:rPr>
        <w:t>6</w:t>
      </w:r>
      <w:r w:rsidRPr="005E66A5">
        <w:rPr>
          <w:rFonts w:asciiTheme="majorHAnsi" w:hAnsiTheme="majorHAnsi" w:cstheme="majorHAnsi"/>
          <w:bCs/>
          <w:sz w:val="16"/>
          <w:szCs w:val="16"/>
        </w:rPr>
        <w:t xml:space="preserve">. </w:t>
      </w:r>
      <w:r w:rsidRPr="00CD28F0">
        <w:rPr>
          <w:rFonts w:asciiTheme="majorHAnsi" w:hAnsiTheme="majorHAnsi" w:cstheme="majorHAnsi"/>
          <w:bCs/>
          <w:sz w:val="16"/>
          <w:szCs w:val="16"/>
        </w:rPr>
        <w:t>Footprints of the lanes and their angles according to the sunshine (</w:t>
      </w:r>
      <w:proofErr w:type="spellStart"/>
      <w:r w:rsidRPr="00CD28F0">
        <w:rPr>
          <w:rFonts w:asciiTheme="majorHAnsi" w:hAnsiTheme="majorHAnsi" w:cstheme="majorHAnsi"/>
          <w:bCs/>
          <w:sz w:val="16"/>
          <w:szCs w:val="16"/>
        </w:rPr>
        <w:t>Ksar</w:t>
      </w:r>
      <w:proofErr w:type="spellEnd"/>
      <w:r w:rsidRPr="00CD28F0">
        <w:rPr>
          <w:rFonts w:asciiTheme="majorHAnsi" w:hAnsiTheme="majorHAnsi" w:cstheme="majorHAnsi"/>
          <w:bCs/>
          <w:sz w:val="16"/>
          <w:szCs w:val="16"/>
        </w:rPr>
        <w:t xml:space="preserve"> </w:t>
      </w:r>
      <w:proofErr w:type="spellStart"/>
      <w:r w:rsidRPr="00CD28F0">
        <w:rPr>
          <w:rFonts w:asciiTheme="majorHAnsi" w:hAnsiTheme="majorHAnsi" w:cstheme="majorHAnsi"/>
          <w:bCs/>
          <w:sz w:val="16"/>
          <w:szCs w:val="16"/>
        </w:rPr>
        <w:t>Tafilalt</w:t>
      </w:r>
      <w:proofErr w:type="spellEnd"/>
      <w:r w:rsidRPr="00CD28F0">
        <w:rPr>
          <w:rFonts w:asciiTheme="majorHAnsi" w:hAnsiTheme="majorHAnsi" w:cstheme="majorHAnsi"/>
          <w:bCs/>
          <w:sz w:val="16"/>
          <w:szCs w:val="16"/>
        </w:rPr>
        <w:t>)</w:t>
      </w:r>
    </w:p>
    <w:p w14:paraId="6B684454" w14:textId="77777777" w:rsidR="00CD28F0" w:rsidRDefault="00CD28F0" w:rsidP="009776E4">
      <w:pPr>
        <w:ind w:firstLine="284"/>
        <w:jc w:val="both"/>
        <w:rPr>
          <w:rFonts w:asciiTheme="majorHAnsi" w:eastAsia="Times New Roman" w:hAnsiTheme="majorHAnsi" w:cstheme="majorHAnsi"/>
          <w:sz w:val="20"/>
          <w:szCs w:val="20"/>
          <w:lang w:val="id-ID" w:eastAsia="ko-KR"/>
        </w:rPr>
      </w:pPr>
    </w:p>
    <w:p w14:paraId="1485DAB9" w14:textId="6A83128B" w:rsidR="00CD28F0" w:rsidRDefault="00CD28F0" w:rsidP="009776E4">
      <w:pPr>
        <w:ind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The old architectural know-how has made millennium buildings harmonious with their surroundings [30]. It has employed natural and local materials and energy-saving measures such as solar architecture, natural ventilation, and rainwater collection. The concern for insolation in Ksour's design is also multigenerational and entrenched in Ksour's vernacular Islamic architecture. Sunlight is carefully addressed in the form, position, and morphology of each piece of the vernacular Islamic Ksour. Their implementation on a high-altitude location required a radio-concentric shape for the urban fabric's morphology. This technique allows for various options using feasible and researched slopes and sun orientation. In vernacular Islamic urbanism, the objective is always to restore as many shady places as possible in the exterior and alleyways, as demonstrated in Figure 10. By combining extended time and design unity on a human and small scale, vernacular Islamic Ksour's long design period has affected its urban fabric's overall design. It is a housing or, more broadly, an island. Storytellers design the twisting routes and outside areas to represent the interior and exterior</w:t>
      </w:r>
      <w:r>
        <w:rPr>
          <w:rFonts w:asciiTheme="majorHAnsi" w:eastAsia="Times New Roman" w:hAnsiTheme="majorHAnsi" w:cstheme="majorHAnsi"/>
          <w:sz w:val="20"/>
          <w:szCs w:val="20"/>
          <w:lang w:val="id-ID" w:eastAsia="ko-KR"/>
        </w:rPr>
        <w:t>.</w:t>
      </w:r>
    </w:p>
    <w:p w14:paraId="4E59537E" w14:textId="3295C859" w:rsidR="00CD28F0" w:rsidRDefault="00437D56" w:rsidP="00437D56">
      <w:pPr>
        <w:ind w:firstLine="284"/>
        <w:jc w:val="center"/>
        <w:rPr>
          <w:rFonts w:asciiTheme="majorHAnsi" w:eastAsia="Times New Roman" w:hAnsiTheme="majorHAnsi" w:cstheme="majorHAnsi"/>
          <w:sz w:val="20"/>
          <w:szCs w:val="20"/>
          <w:lang w:val="id-ID" w:eastAsia="ko-KR"/>
        </w:rPr>
      </w:pPr>
      <w:r>
        <w:rPr>
          <w:noProof/>
        </w:rPr>
        <w:lastRenderedPageBreak/>
        <w:drawing>
          <wp:inline distT="0" distB="0" distL="0" distR="0" wp14:anchorId="6D31578E" wp14:editId="317E38A9">
            <wp:extent cx="3102956" cy="2415654"/>
            <wp:effectExtent l="0" t="0" r="2540" b="3810"/>
            <wp:docPr id="3690613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24397" cy="2432346"/>
                    </a:xfrm>
                    <a:prstGeom prst="rect">
                      <a:avLst/>
                    </a:prstGeom>
                    <a:noFill/>
                    <a:ln>
                      <a:noFill/>
                    </a:ln>
                  </pic:spPr>
                </pic:pic>
              </a:graphicData>
            </a:graphic>
          </wp:inline>
        </w:drawing>
      </w:r>
    </w:p>
    <w:p w14:paraId="50678F69" w14:textId="77777777" w:rsidR="00CD28F0" w:rsidRDefault="00CD28F0" w:rsidP="009776E4">
      <w:pPr>
        <w:ind w:firstLine="284"/>
        <w:jc w:val="both"/>
        <w:rPr>
          <w:rFonts w:asciiTheme="minorHAnsi" w:hAnsiTheme="minorHAnsi" w:cstheme="minorHAnsi"/>
          <w:b/>
          <w:bCs/>
        </w:rPr>
      </w:pPr>
    </w:p>
    <w:p w14:paraId="7B3FD9F9" w14:textId="78C4E52A" w:rsidR="00CD28F0" w:rsidRDefault="00CD28F0" w:rsidP="00CD28F0">
      <w:pPr>
        <w:ind w:firstLine="284"/>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CD28F0">
        <w:rPr>
          <w:rFonts w:asciiTheme="majorHAnsi" w:hAnsiTheme="majorHAnsi" w:cstheme="majorHAnsi"/>
          <w:bCs/>
          <w:sz w:val="16"/>
          <w:szCs w:val="16"/>
        </w:rPr>
        <w:t>1</w:t>
      </w:r>
      <w:r>
        <w:rPr>
          <w:rFonts w:asciiTheme="majorHAnsi" w:hAnsiTheme="majorHAnsi" w:cstheme="majorHAnsi"/>
          <w:bCs/>
          <w:sz w:val="16"/>
          <w:szCs w:val="16"/>
        </w:rPr>
        <w:t>7.</w:t>
      </w:r>
      <w:r w:rsidRPr="00CD28F0">
        <w:rPr>
          <w:rFonts w:asciiTheme="majorHAnsi" w:hAnsiTheme="majorHAnsi" w:cstheme="majorHAnsi"/>
          <w:bCs/>
          <w:sz w:val="16"/>
          <w:szCs w:val="16"/>
        </w:rPr>
        <w:t xml:space="preserve"> Prevalence of shaded lanes in the vernacular Islamic architecture of </w:t>
      </w:r>
      <w:proofErr w:type="spellStart"/>
      <w:r w:rsidRPr="00CD28F0">
        <w:rPr>
          <w:rFonts w:asciiTheme="majorHAnsi" w:hAnsiTheme="majorHAnsi" w:cstheme="majorHAnsi"/>
          <w:bCs/>
          <w:sz w:val="16"/>
          <w:szCs w:val="16"/>
        </w:rPr>
        <w:t>M’zab</w:t>
      </w:r>
      <w:proofErr w:type="spellEnd"/>
    </w:p>
    <w:p w14:paraId="435319C3" w14:textId="77777777" w:rsidR="00CD28F0" w:rsidRDefault="00CD28F0" w:rsidP="009776E4">
      <w:pPr>
        <w:ind w:firstLine="284"/>
        <w:jc w:val="both"/>
        <w:rPr>
          <w:rFonts w:asciiTheme="minorHAnsi" w:hAnsiTheme="minorHAnsi" w:cstheme="minorHAnsi"/>
          <w:b/>
          <w:bCs/>
        </w:rPr>
      </w:pPr>
    </w:p>
    <w:p w14:paraId="59478879" w14:textId="2B21CB5A" w:rsidR="00CD28F0" w:rsidRDefault="00CD28F0" w:rsidP="009776E4">
      <w:pPr>
        <w:ind w:firstLine="284"/>
        <w:jc w:val="both"/>
        <w:rPr>
          <w:rFonts w:asciiTheme="minorHAnsi" w:hAnsiTheme="minorHAnsi" w:cstheme="minorHAnsi"/>
          <w:b/>
          <w:bCs/>
        </w:rPr>
      </w:pPr>
      <w:r w:rsidRPr="00CD28F0">
        <w:rPr>
          <w:rFonts w:asciiTheme="majorHAnsi" w:eastAsia="Times New Roman" w:hAnsiTheme="majorHAnsi" w:cstheme="majorHAnsi"/>
          <w:sz w:val="20"/>
          <w:szCs w:val="20"/>
          <w:lang w:val="id-ID" w:eastAsia="ko-KR"/>
        </w:rPr>
        <w:t>On the other hand, the new Ksar used a geometric approach with rectilinear lanes as the design unit. The street is the unit of orientation in the new Ksar since the involvement of cars and motorcycles has influenced the general design in its temporary and unitary aspects. The longer the street, the less importance its direction has in the final computation, significantly impacting the total appraisal of sunlight, which differs in vernacular Islamic architecture. The sinuous curve of the vernacular Islamic Ksour road system indicates the designers' strong desire to prevent solar shocks and the emphasis on the population's health by avoiding sunstroke-induced diseases. Temporality in vernacular Islamic architecture is subjugated to the journey on foot in the external areas. However, cars and motorcycles have shortened travel times with the new design. This fact explains our findings regarding the importance of sunlight duration and its effects on vernacular Islamic and modern urban fabrics. The solutions for a complete orientation may be provided numerically in both cases: radio concentric and chessboard</w:t>
      </w:r>
    </w:p>
    <w:p w14:paraId="73764A48" w14:textId="77777777" w:rsidR="00CD28F0" w:rsidRDefault="00CD28F0" w:rsidP="009776E4">
      <w:pPr>
        <w:ind w:firstLine="284"/>
        <w:jc w:val="both"/>
        <w:rPr>
          <w:rFonts w:asciiTheme="minorHAnsi" w:hAnsiTheme="minorHAnsi" w:cstheme="minorHAnsi"/>
          <w:b/>
          <w:bCs/>
        </w:rPr>
      </w:pPr>
    </w:p>
    <w:p w14:paraId="5186AB7E" w14:textId="2B3C396B" w:rsidR="00CD28F0" w:rsidRDefault="00CD28F0" w:rsidP="00CD28F0">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638A73BB" w14:textId="5428463A" w:rsidR="00CD28F0" w:rsidRDefault="00CD28F0" w:rsidP="00CD28F0">
      <w:pPr>
        <w:ind w:firstLine="284"/>
        <w:jc w:val="both"/>
        <w:rPr>
          <w:rFonts w:asciiTheme="majorHAnsi" w:hAnsiTheme="majorHAnsi" w:cstheme="majorHAnsi"/>
          <w:sz w:val="20"/>
          <w:szCs w:val="20"/>
        </w:rPr>
      </w:pPr>
      <w:r w:rsidRPr="00CD28F0">
        <w:rPr>
          <w:rFonts w:asciiTheme="majorHAnsi" w:hAnsiTheme="majorHAnsi" w:cstheme="majorHAnsi"/>
          <w:sz w:val="20"/>
          <w:szCs w:val="20"/>
        </w:rPr>
        <w:t>In conclusion, two mathematical formulae can be obtained to better orientate the axes of future urban production by considering the insolation factor in desert environments, such as the great Algerian South or even the cities of the great North African Sahara. This contribution makes it possible to take advantage of ancient know-how to produce vernacular Islamic cities. Two situations are distinguished according to the urban form of the fabric, namely, a radio concentric configuration and a checkerboard configuration.</w:t>
      </w:r>
    </w:p>
    <w:p w14:paraId="2D12EA3E" w14:textId="77777777" w:rsidR="00CD28F0" w:rsidRPr="00D132AE" w:rsidRDefault="00CD28F0" w:rsidP="00CD28F0">
      <w:pPr>
        <w:ind w:firstLine="284"/>
        <w:jc w:val="both"/>
        <w:rPr>
          <w:rFonts w:asciiTheme="minorHAnsi" w:hAnsiTheme="minorHAnsi" w:cstheme="minorHAnsi"/>
          <w:b/>
          <w:bCs/>
        </w:rPr>
      </w:pPr>
    </w:p>
    <w:p w14:paraId="0D8EC3EC" w14:textId="6FB32A76" w:rsidR="00AF2E86" w:rsidRDefault="00CD28F0" w:rsidP="00AF2E86">
      <w:pPr>
        <w:pStyle w:val="ListParagraph"/>
        <w:numPr>
          <w:ilvl w:val="1"/>
          <w:numId w:val="2"/>
        </w:numPr>
        <w:ind w:left="567" w:hanging="284"/>
        <w:jc w:val="both"/>
        <w:rPr>
          <w:rFonts w:asciiTheme="minorHAnsi" w:hAnsiTheme="minorHAnsi" w:cstheme="minorHAnsi"/>
          <w:b/>
          <w:bCs/>
          <w:sz w:val="18"/>
          <w:szCs w:val="18"/>
        </w:rPr>
      </w:pPr>
      <w:r w:rsidRPr="00CD28F0">
        <w:rPr>
          <w:rFonts w:asciiTheme="minorHAnsi" w:hAnsiTheme="minorHAnsi" w:cstheme="minorHAnsi"/>
          <w:b/>
          <w:bCs/>
          <w:sz w:val="18"/>
          <w:szCs w:val="18"/>
        </w:rPr>
        <w:t>FOR A RADIOCONCENTRIC SYSTEM</w:t>
      </w:r>
    </w:p>
    <w:p w14:paraId="1115CB6F" w14:textId="77777777" w:rsidR="00CD28F0" w:rsidRPr="00CD28F0" w:rsidRDefault="00CD28F0" w:rsidP="00CD28F0">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The computation is based on the solar circle from Ernest Neufert's book [31], regarded as worldwide standardized. The pathways are calculated using A° (max and min angle) and the zone Z belonging to Ernest Neufert's normalized circles.</w:t>
      </w:r>
    </w:p>
    <w:p w14:paraId="0C2A0AC3" w14:textId="77777777" w:rsidR="00CD28F0" w:rsidRPr="00CD28F0" w:rsidRDefault="00CD28F0" w:rsidP="00CD28F0">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The potential ownership area of the lanes is:</w:t>
      </w:r>
    </w:p>
    <w:p w14:paraId="43EB9F79" w14:textId="17B26D8A"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 xml:space="preserve"> ((Amax+Amin)/2)/360°=A%..................................................................................1</w:t>
      </w:r>
    </w:p>
    <w:p w14:paraId="4151CD7B" w14:textId="77777777" w:rsidR="00CD28F0" w:rsidRPr="00CD28F0" w:rsidRDefault="00CD28F0" w:rsidP="00F236A4">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 xml:space="preserve">As a result of (Z), the following cases were obtained: Favourable (F), Unfavourable (Uf), Less Favourable (Lf), Less Unfavourable (Luf), and Very Unfavourable (Vuf). </w:t>
      </w:r>
    </w:p>
    <w:p w14:paraId="7A44D06E" w14:textId="77777777" w:rsidR="00CD28F0" w:rsidRPr="00CD28F0" w:rsidRDefault="00CD28F0" w:rsidP="00F236A4">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The following computation is based on the number of lanes (L):</w:t>
      </w:r>
    </w:p>
    <w:p w14:paraId="3CFD099E"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NL= (NZone(L)*100/NTotal(L))* ((Amax+Amin)/2)/360°………………………....2</w:t>
      </w:r>
    </w:p>
    <w:p w14:paraId="5266BD67"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 xml:space="preserve">We get the following linear equation if we apply this formula for June. </w:t>
      </w:r>
    </w:p>
    <w:p w14:paraId="4A7CEB70" w14:textId="77777777" w:rsidR="00CD28F0" w:rsidRPr="00CD28F0" w:rsidRDefault="00CD28F0" w:rsidP="00F236A4">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NL=(NZoneL*100/NTotalL)*((0°+27,7°)/2)/360°+(NZoneL*100/NTotalL)*((27,7°+50,8°)/2)/360°+(NZoneL*100/NTotalL)*((50,8°+60,0°)/2)/360°+(NZoneL*100/NTotalL)*((60,0°+81,8°)/2)/360°+(NZoneL*100/NTotalL)*((81,8°+94,3°)/2)/360°+(NZoneL*100/NTotalL)*((94,3°+105,2°)/2)/360°+(NZoneL*100/NTotalL)*((116,1°+127,3°)/2)/360°+(NZoneL*100/NTotalL)*((180°+127,3°)/2)/360°………….….3</w:t>
      </w:r>
    </w:p>
    <w:p w14:paraId="086909F6" w14:textId="77777777" w:rsidR="00F236A4" w:rsidRDefault="00F236A4" w:rsidP="00F236A4">
      <w:pPr>
        <w:ind w:left="283" w:firstLine="284"/>
        <w:jc w:val="both"/>
        <w:rPr>
          <w:rFonts w:asciiTheme="majorHAnsi" w:eastAsia="Times New Roman" w:hAnsiTheme="majorHAnsi" w:cstheme="majorHAnsi"/>
          <w:sz w:val="20"/>
          <w:szCs w:val="20"/>
          <w:lang w:val="id-ID" w:eastAsia="ko-KR"/>
        </w:rPr>
      </w:pPr>
    </w:p>
    <w:p w14:paraId="2179CA34" w14:textId="14D7AFC1" w:rsidR="008D2C92" w:rsidRDefault="00CD28F0" w:rsidP="00437D56">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This linear equation also applies to the other months of the year for computing insolation according to the standardized zones in December and September.</w:t>
      </w:r>
    </w:p>
    <w:p w14:paraId="5E0C95A2" w14:textId="689066BA" w:rsidR="00CD28F0" w:rsidRDefault="00CD28F0" w:rsidP="00CD28F0">
      <w:pPr>
        <w:pStyle w:val="ListParagraph"/>
        <w:numPr>
          <w:ilvl w:val="1"/>
          <w:numId w:val="2"/>
        </w:numPr>
        <w:ind w:left="567" w:hanging="284"/>
        <w:jc w:val="both"/>
        <w:rPr>
          <w:rFonts w:asciiTheme="minorHAnsi" w:hAnsiTheme="minorHAnsi" w:cstheme="minorHAnsi"/>
          <w:b/>
          <w:bCs/>
          <w:sz w:val="18"/>
          <w:szCs w:val="18"/>
        </w:rPr>
      </w:pPr>
      <w:r w:rsidRPr="00CD28F0">
        <w:rPr>
          <w:rFonts w:asciiTheme="minorHAnsi" w:hAnsiTheme="minorHAnsi" w:cstheme="minorHAnsi"/>
          <w:b/>
          <w:bCs/>
          <w:sz w:val="18"/>
          <w:szCs w:val="18"/>
        </w:rPr>
        <w:lastRenderedPageBreak/>
        <w:t>FOR CHEQUERED SYSTEM</w:t>
      </w:r>
    </w:p>
    <w:p w14:paraId="00270471" w14:textId="77777777" w:rsidR="00CD28F0" w:rsidRPr="00CD28F0" w:rsidRDefault="00CD28F0" w:rsidP="00F236A4">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 xml:space="preserve">For a chequered system, we have the following data: </w:t>
      </w:r>
    </w:p>
    <w:p w14:paraId="73E21600"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Horizontal lanes : (H) : Lhorizolal=Σ ((Amax+Amin)/2)/360°=A% ………….…..4</w:t>
      </w:r>
    </w:p>
    <w:p w14:paraId="4372EB9F"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Vertical lines (V) : Lvertical= Σ ((180°)-(Amax+Amin))/2)/360°=A%  ……....….5</w:t>
      </w:r>
    </w:p>
    <w:p w14:paraId="2AC61119"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This computation  is subject to the number of lanes:</w:t>
      </w:r>
    </w:p>
    <w:p w14:paraId="0B8AB9DC"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N(L)Horizontal  = ((NZoneL*100/NTotalL)* (Amax+Amin)/2)/360°……………....…..6</w:t>
      </w:r>
    </w:p>
    <w:p w14:paraId="6408F53A"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N(L)vertical = (NZoneL*100/NTotalL)* ((180)-(Amax+Amin))/2)/360°……………..7</w:t>
      </w:r>
    </w:p>
    <w:p w14:paraId="46B496C6"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The same formula (3) applies to regular chequered lanes:</w:t>
      </w:r>
    </w:p>
    <w:p w14:paraId="19090891"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D(L) horizontal=(DZoneL*100/DTotalL)* ((Amax+Amin)/2)/360°……………….…..8</w:t>
      </w:r>
    </w:p>
    <w:p w14:paraId="0A9A65F7" w14:textId="77777777" w:rsidR="00CD28F0" w:rsidRPr="00CD28F0" w:rsidRDefault="00CD28F0" w:rsidP="00F236A4">
      <w:pPr>
        <w:spacing w:before="120" w:after="120"/>
        <w:ind w:left="284"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D(L) vertical=(DZoneL*100/DTotalL)* ((180°)-(Amax+Amin))/2)/360°…………….9</w:t>
      </w:r>
    </w:p>
    <w:p w14:paraId="60466C8D" w14:textId="77777777" w:rsidR="00CD28F0" w:rsidRDefault="00CD28F0" w:rsidP="00F236A4">
      <w:pPr>
        <w:ind w:left="283"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Equation (4) also applies to the other months of the year for determining insolation for December, March, and June.</w:t>
      </w:r>
    </w:p>
    <w:p w14:paraId="6CE01089" w14:textId="77777777" w:rsidR="00F236A4" w:rsidRPr="00CD28F0" w:rsidRDefault="00F236A4" w:rsidP="00F236A4">
      <w:pPr>
        <w:ind w:left="283" w:firstLine="284"/>
        <w:jc w:val="both"/>
        <w:rPr>
          <w:rFonts w:asciiTheme="majorHAnsi" w:eastAsia="Times New Roman" w:hAnsiTheme="majorHAnsi" w:cstheme="majorHAnsi"/>
          <w:sz w:val="20"/>
          <w:szCs w:val="20"/>
          <w:lang w:val="id-ID" w:eastAsia="ko-KR"/>
        </w:rPr>
      </w:pPr>
    </w:p>
    <w:p w14:paraId="08BF436E" w14:textId="35677808" w:rsidR="00CD28F0" w:rsidRPr="00CD28F0" w:rsidRDefault="00CD28F0" w:rsidP="00A25A75">
      <w:pPr>
        <w:ind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Through the adaptability of its design to intense sun radiation, this study aims to analyze and explain another facet of the sustainability of the ancient and intergenerational vernacular Islamic desert Ksour. Solar radiation is one of the most crucial indicators of human progress for the habitability of these dry zones. Thermal insulation and roofing must fulfill strict specifications. Without the view of architects, light and sunlight are regarded as key aspects of architecture in general and in vernacular Islamic buildings in particular. After considering this notion in the millennium architecture of Ksour, which is regarded as a heritage for mankind and sustainable at the same time, it is discovered that the sun is given significant priority and importance in every urban expression of the city. Where each piece of land is different and unique, vernacular Islamic architecture prioritizes the avoidance of solar shocks to maintain the public health of the residents. The vernacular Islamic morphological feature may be noticed through the several segments of the lanes. Each section of the Ksar narrates the tale of its creation from generation to generation. This vision has the same principles as a 10-century-old ancestral notion.</w:t>
      </w:r>
      <w:r w:rsidRPr="00CD28F0">
        <w:rPr>
          <w:rFonts w:asciiTheme="majorHAnsi" w:eastAsia="Times New Roman" w:hAnsiTheme="majorHAnsi" w:cstheme="majorHAnsi"/>
          <w:sz w:val="20"/>
          <w:szCs w:val="20"/>
          <w:lang w:val="id-ID" w:eastAsia="ko-KR"/>
        </w:rPr>
        <w:tab/>
      </w:r>
    </w:p>
    <w:p w14:paraId="19CCF113" w14:textId="77777777" w:rsidR="00CD28F0" w:rsidRDefault="00CD28F0" w:rsidP="00A25A75">
      <w:pPr>
        <w:ind w:firstLine="284"/>
        <w:jc w:val="both"/>
        <w:rPr>
          <w:rFonts w:asciiTheme="majorHAnsi" w:eastAsia="Times New Roman" w:hAnsiTheme="majorHAnsi" w:cstheme="majorHAnsi"/>
          <w:sz w:val="20"/>
          <w:szCs w:val="20"/>
          <w:lang w:val="id-ID" w:eastAsia="ko-KR"/>
        </w:rPr>
      </w:pPr>
      <w:r w:rsidRPr="00CD28F0">
        <w:rPr>
          <w:rFonts w:asciiTheme="majorHAnsi" w:eastAsia="Times New Roman" w:hAnsiTheme="majorHAnsi" w:cstheme="majorHAnsi"/>
          <w:sz w:val="20"/>
          <w:szCs w:val="20"/>
          <w:lang w:val="id-ID" w:eastAsia="ko-KR"/>
        </w:rPr>
        <w:t>The modern architecture of Ksour prioritizes shaded areas as a design principle, taking into account the short duration of design, realization, availability of techniques, and duration of passage of the inhabitants by allowing the avoidance of solar shocks and better-developed sanitary conditions. Man has succeeded in creating urban fabrics by prioritizing the well-being of the residents, preventing dust via windows and urban doors, and avoiding solar shocks by seeking control of regions of direct encounter with hurting sun rays, particularly during the summer. The preservation and sustainability of heritage are sacrificed to the human desire to develop toward behavioral urbanization. Further, the use of indigenous materials in desert locations is complemented by incorporating local environmental conditions, where shade is essential, particularly in outdoor settings. In a dry region, social activities such as walking in meandering and shady routes for most of the day are a better answer for avoiding the sun's rays and the emergence of illnesses, as scientific study has shown. As André Ravéreau prophesied, the evolution of the vernacular Islamic city through time has taken a lengthy period, with each component teaching lessons for subsequent structures and generations</w:t>
      </w:r>
      <w:r>
        <w:rPr>
          <w:rFonts w:asciiTheme="majorHAnsi" w:eastAsia="Times New Roman" w:hAnsiTheme="majorHAnsi" w:cstheme="majorHAnsi"/>
          <w:sz w:val="20"/>
          <w:szCs w:val="20"/>
          <w:lang w:val="id-ID" w:eastAsia="ko-KR"/>
        </w:rPr>
        <w:t>.</w:t>
      </w:r>
    </w:p>
    <w:p w14:paraId="21F15B47" w14:textId="77777777" w:rsidR="00CD28F0" w:rsidRDefault="00CD28F0" w:rsidP="00CD28F0">
      <w:pPr>
        <w:ind w:left="283" w:firstLine="284"/>
        <w:jc w:val="both"/>
        <w:rPr>
          <w:rFonts w:asciiTheme="majorHAnsi" w:eastAsia="Times New Roman" w:hAnsiTheme="majorHAnsi" w:cstheme="majorHAnsi"/>
          <w:sz w:val="20"/>
          <w:szCs w:val="20"/>
          <w:lang w:val="id-ID" w:eastAsia="ko-KR"/>
        </w:rPr>
      </w:pPr>
    </w:p>
    <w:p w14:paraId="4272776B" w14:textId="5C301D11"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CFD318F" w14:textId="0C604839" w:rsidR="00CD28F0" w:rsidRDefault="00477FC8"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CD28F0">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CD28F0" w:rsidRPr="00CD28F0">
        <w:rPr>
          <w:rFonts w:asciiTheme="majorHAnsi" w:hAnsiTheme="majorHAnsi" w:cstheme="majorHAnsi"/>
          <w:noProof/>
          <w:sz w:val="20"/>
          <w:szCs w:val="28"/>
        </w:rPr>
        <w:t>J. Pal, A. Dey, S. Ghosh, D. K.  Bhattacharya, and T. Mukherjee, "Analysis of Similarity Between Protein Sequences Through the Study of Symbolic Dynamics", Computational Advancement in Communication Circuits and Systems. Lecture Notes in Electrical Engineering, New Delhi: Springer, 2015. doi: https://doi.org/10.1007/978-81-322-2274-3_24</w:t>
      </w:r>
    </w:p>
    <w:p w14:paraId="265F70A0" w14:textId="77777777" w:rsidR="00CD28F0" w:rsidRP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3862FF5C" w14:textId="77777777"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T. R. Bynum, Insulation Handbook, McGraw Hill Professional, 2000. </w:t>
      </w:r>
    </w:p>
    <w:p w14:paraId="138C630A"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48EB400B" w14:textId="367076DA"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S. Mirrahimi, M. F. Mohamed, L. C. Haw, N. L. N. Ibrahim, W. F. M. Yusoff, A. Aflaki, "The effect of building envelope on the thermal comfort and energy saving for high-rise buildings in hot–humid climate," Renewable and Sustainable Energy Reviews, vol. 53, pp. 1508-1519, 2016. doi: https://doi.org/10.1016/j.rser.2015.09.055</w:t>
      </w:r>
    </w:p>
    <w:p w14:paraId="4FB2AE5B" w14:textId="77777777" w:rsidR="00437D56" w:rsidRDefault="00437D56"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0404B4C0" w14:textId="4F69C80B"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D. A. Barber, Modern Architecture and Climate: Design Before Air Conditioning, New Jersey: Princeton University Press, 2023. </w:t>
      </w:r>
    </w:p>
    <w:p w14:paraId="2ACA7E09"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4396D98E" w14:textId="44AFE3FF"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S. Chang, W. He, H. Yan, L. Yang, C. Song, "Influences of vernacular building spaces on human thermal comfort in China's arid climate areas," Energy and Buildings, vol. 244, 2021. doi: https://doi.org/10.1016/j.enbuild.2021.110978</w:t>
      </w:r>
    </w:p>
    <w:p w14:paraId="243BDF71"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0D24F215" w14:textId="3551F54A"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G. Frantam, "Solar Architecture," in ASC/AIA Forum 75, Arizona, 1975. </w:t>
      </w:r>
    </w:p>
    <w:p w14:paraId="6544FECE" w14:textId="77777777" w:rsidR="00CD28F0" w:rsidRDefault="00CD28F0" w:rsidP="00615627">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5D67CCC5" w14:textId="27F7B770"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T. Henri, Dictionnaire peul du corps et de la santé, Diamaré: KARTHALA , 2007. </w:t>
      </w:r>
    </w:p>
    <w:p w14:paraId="6DD8CFB2" w14:textId="77777777" w:rsidR="00CD28F0" w:rsidRDefault="00CD28F0" w:rsidP="00615627">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22783CB" w14:textId="22F00ABE"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P. Deunov , B. Douno and D. De Angelis, The Health Book, streetLib eBooks, 2002. </w:t>
      </w:r>
    </w:p>
    <w:p w14:paraId="1B69CDC7" w14:textId="77777777" w:rsidR="00CD28F0" w:rsidRDefault="00CD28F0" w:rsidP="00615627">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0F807F7" w14:textId="31A4D41B"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G. Filhole and J. P. Besancenot, Risques pathologiques, rythmes et paroxysmes climatiques, John Libbey Eurotext, 1992. </w:t>
      </w:r>
    </w:p>
    <w:p w14:paraId="6004AEE2" w14:textId="77777777" w:rsidR="00CD28F0" w:rsidRDefault="00CD28F0" w:rsidP="00615627">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6568D6E" w14:textId="45080716"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V. G. Bardov, Hygiene and ecology, NOVA KHYHA publishers, 2009. </w:t>
      </w:r>
    </w:p>
    <w:p w14:paraId="677AAB5E" w14:textId="77777777" w:rsidR="008D2C92" w:rsidRDefault="008D2C92" w:rsidP="00615627">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17CBB28" w14:textId="2EB5F06A"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A. Cao, Q. Li and Q. Meng, "Effects of Orientation of Urban Roads on the Local Thermal Environment in Guangzhou City," Procedia Engineering, no. 121, pp. 2075-2082, 2015. doi: https://doi.org/10.1016/j.proeng.2015.09.209</w:t>
      </w:r>
    </w:p>
    <w:p w14:paraId="38188000"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5924D3A8" w14:textId="4639F27D"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S. Al Khaled, P. Coseo, A. J. Brazel, C. Cheng and D. J. Sailor, "Between aspiration and actuality: A systematic review of morphological heat mitigation strategies in hot urban deserts," Urban Climate, vol. 31, no. 100570, 2020. doi: https://doi.org/10.1016/j.uclim.2019.100570</w:t>
      </w:r>
    </w:p>
    <w:p w14:paraId="6AA0B1AB"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4D8C40C" w14:textId="1403A369"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G. Predari, D. Prati and A. Massafra, "Modern Construction in Bologna. The Faculty of Engineering by Giuseppe Vaccaro," in Digital Modernism Heritage Lexicon, Springer, 2022, pp. 233-258.</w:t>
      </w:r>
    </w:p>
    <w:p w14:paraId="218204EC"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3AE5EF67" w14:textId="00C85C1A"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A. Harzallah, D. Siret, E. Monin and J. Bouyer, "Controverses autour de l’axe héliothermique : L’apport de la simulation physique à l’analyse des théories urbaines," in Repenser les limites : l’architecture à travers l’espace, le temps et les disciplines, Paris, 2005. </w:t>
      </w:r>
    </w:p>
    <w:p w14:paraId="16C438EB"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221E23C1" w14:textId="2F562488"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F. Giovanna and A. Magrini, Historical Buildings and Energy, Springer Cham, 2017. </w:t>
      </w:r>
    </w:p>
    <w:p w14:paraId="423967F6"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94E54B6" w14:textId="2583895C"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A. Acocella and D. Turrini, Sienese travertine, Alinea, 2010. </w:t>
      </w:r>
    </w:p>
    <w:p w14:paraId="48349D4E"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4D14D3C3" w14:textId="61B71885"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J. Jacobs, The Death and Life of Great American Cities: The Failure of Town Planning, Penguin, 1964. </w:t>
      </w:r>
    </w:p>
    <w:p w14:paraId="32800B68"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330CAD3E" w14:textId="09FFB99A"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Y. Jiang, D. Song, T. Shi and X. Han, "Adaptive Analysis of Green Space Network Planning for the Cooling Effect of Residential Blocks in Summer: A Case Study in Shanghai," Sustainability, vol. 10, p. 3189, 2018. </w:t>
      </w:r>
    </w:p>
    <w:p w14:paraId="5ABC6F1E"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085EEF5B" w14:textId="2179DA67"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A. V. Nguyen and S. Reiter, " Bioclimatism in architecture: An evolutionary perspective," International Journal of Design &amp; Nature and Ecodynamics, vol. 12, no. 1, pp. 16-29, 2017. doi: 10.2495/DNE-V12-N1-16-29</w:t>
      </w:r>
    </w:p>
    <w:p w14:paraId="26AEF857"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3D1122A4" w14:textId="4A973A93"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A. Kaihoul, L. Sriti, K. Amraoiu, S. D. Turi, F. Ruggiero, "The effect of climate-responsive design on thermal and energy performance: A simulation based study in the hot-dry Algerian South region," Journal of Building Engineering, vol. 43, 2021. doi: https://doi.org/10.1016/j.jobe.2021.103023</w:t>
      </w:r>
    </w:p>
    <w:p w14:paraId="3E2C7527"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556ACA57" w14:textId="300B579A"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A. Bassoud, H. Khelafi, A. M. Mokhtari and A. Bada, "Evaluation of summer thermal comfort in arid desert areas. Case study: Old adobe building in Adrar (South of Algeria)," Building and Environment, vol. 205, no. 108140, 2021. doi: https://doi.org/10.1016/j.buildenv.2021.108140</w:t>
      </w:r>
    </w:p>
    <w:p w14:paraId="0771B3CC"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7CE1407F" w14:textId="2211297F"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P. De Joanna and D. Francese, Sustainable Mediterranean Construction. Sustainable Environment in the Mediterranean Region: from Housing to Urban and Land Scale Construction, Franco Angeli, 2012. </w:t>
      </w:r>
    </w:p>
    <w:p w14:paraId="3976EA8E"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6874409F" w14:textId="4AE7CB81"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M. Salameh, B. Touqan, "Traditional passive design solutions as a key factor for sustainable modern urban designs in the hot, arid climate of the United Arab Emirates," Buildings, vol. 12, no. 11, p. 1811, 2022. </w:t>
      </w:r>
    </w:p>
    <w:p w14:paraId="75F81FC5"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4EDFF099" w14:textId="0EEEB08F"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A. M. R. a. L. S. Boumerzoug, "Thermal analysis of the vernacular architecture in the Ziban, Algeria," Pollack Periodica, vol. 17, no. 3, p. 123–128, 2022. doi: https://doi.org/10.3390/buildings12111811</w:t>
      </w:r>
    </w:p>
    <w:p w14:paraId="3010C8A8"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001DF973" w14:textId="2504467C"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A. E. J. Morris, History of Urban Form Before the Industrial Revolution, Routledge, 2013. </w:t>
      </w:r>
    </w:p>
    <w:p w14:paraId="0139E49F"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18F7586B" w14:textId="15C9FE9F"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Climate Data, "Climate Data," 2023. [Online]. Available: https://pt.climate-data.org/. [Accessed December 12th 2023].</w:t>
      </w:r>
    </w:p>
    <w:p w14:paraId="5EF37464"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6407B7B8" w14:textId="586CBF4B"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F. Haghighat and J. J. Jong-Jin Kim, Sustainable Built Environment, EOLSS Publications, 2009. </w:t>
      </w:r>
    </w:p>
    <w:p w14:paraId="6BA43674"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171FF48E" w14:textId="3CC4F97E"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A. Aboelata, "Vegetation in Different Street Orientations of Aspect Ratio (H/W 1:1) to Mitigate UHI and Reduce Buildings’ Energy in Arid Climate," Build. Environ., vol. 172, p. 106712, 2020. doi: https://doi.org/10.1016/j.buildenv.2020.106712</w:t>
      </w:r>
    </w:p>
    <w:p w14:paraId="5537CAD2" w14:textId="5A0FFA0B"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3FF5A80E" w14:textId="5B01200F"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H. Stanley and H. S. Scofield, Comprehensive Planning for Passive Solar Architectural Retrofit, United States Air Force Engineering and Services, 1980. </w:t>
      </w:r>
    </w:p>
    <w:p w14:paraId="11CF5BCA"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4E3CEAF7" w14:textId="14CCD9E1"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 xml:space="preserve">A. Naidja, S. Chettah and D. Farid, "Human Ingenuity through Vernacular islamic Architecture in Arid Environments, the Case of the Ancient Core of Biskra," International Journal of Innovative Studies in Sociology and Humanities, vol. 7, no. 4, pp. 1-14, 2022. </w:t>
      </w:r>
    </w:p>
    <w:p w14:paraId="7682D907" w14:textId="77777777" w:rsidR="00CD28F0" w:rsidRDefault="00CD28F0" w:rsidP="00CD28F0">
      <w:pPr>
        <w:pStyle w:val="ListParagraph"/>
        <w:widowControl w:val="0"/>
        <w:autoSpaceDE w:val="0"/>
        <w:autoSpaceDN w:val="0"/>
        <w:adjustRightInd w:val="0"/>
        <w:spacing w:after="240"/>
        <w:ind w:left="714"/>
        <w:jc w:val="both"/>
        <w:rPr>
          <w:rFonts w:asciiTheme="majorHAnsi" w:hAnsiTheme="majorHAnsi" w:cstheme="majorHAnsi"/>
          <w:noProof/>
          <w:sz w:val="20"/>
          <w:szCs w:val="28"/>
        </w:rPr>
      </w:pPr>
    </w:p>
    <w:p w14:paraId="1AE830E7" w14:textId="1EF34AA2" w:rsidR="00CD28F0" w:rsidRPr="00CD28F0" w:rsidRDefault="00CD28F0" w:rsidP="00CD28F0">
      <w:pPr>
        <w:pStyle w:val="ListParagraph"/>
        <w:widowControl w:val="0"/>
        <w:numPr>
          <w:ilvl w:val="0"/>
          <w:numId w:val="3"/>
        </w:numPr>
        <w:autoSpaceDE w:val="0"/>
        <w:autoSpaceDN w:val="0"/>
        <w:adjustRightInd w:val="0"/>
        <w:spacing w:after="240"/>
        <w:ind w:left="714" w:hanging="357"/>
        <w:jc w:val="both"/>
        <w:rPr>
          <w:rFonts w:asciiTheme="majorHAnsi" w:hAnsiTheme="majorHAnsi" w:cstheme="majorHAnsi"/>
          <w:noProof/>
          <w:sz w:val="20"/>
          <w:szCs w:val="28"/>
        </w:rPr>
      </w:pPr>
      <w:r w:rsidRPr="00CD28F0">
        <w:rPr>
          <w:rFonts w:asciiTheme="majorHAnsi" w:hAnsiTheme="majorHAnsi" w:cstheme="majorHAnsi"/>
          <w:noProof/>
          <w:sz w:val="20"/>
          <w:szCs w:val="28"/>
        </w:rPr>
        <w:t>E. Neufert, Architect's data, Wiley BlackWell, 2002.</w:t>
      </w:r>
    </w:p>
    <w:p w14:paraId="5E748153" w14:textId="77777777" w:rsidR="00CD28F0" w:rsidRDefault="00CD28F0" w:rsidP="00CD28F0">
      <w:pPr>
        <w:widowControl w:val="0"/>
        <w:autoSpaceDE w:val="0"/>
        <w:autoSpaceDN w:val="0"/>
        <w:adjustRightInd w:val="0"/>
        <w:spacing w:before="20" w:after="240"/>
        <w:ind w:left="567" w:hanging="283"/>
        <w:jc w:val="both"/>
        <w:rPr>
          <w:rFonts w:asciiTheme="majorHAnsi" w:hAnsiTheme="majorHAnsi" w:cstheme="majorHAnsi"/>
          <w:noProof/>
          <w:sz w:val="20"/>
          <w:szCs w:val="28"/>
        </w:rPr>
      </w:pPr>
    </w:p>
    <w:p w14:paraId="34D0241F" w14:textId="5423D80D" w:rsidR="00605B4D" w:rsidRPr="00477FC8" w:rsidRDefault="00477FC8" w:rsidP="00CD28F0">
      <w:pPr>
        <w:spacing w:after="240"/>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AF2E86">
      <w:headerReference w:type="even" r:id="rId25"/>
      <w:headerReference w:type="default" r:id="rId26"/>
      <w:footerReference w:type="even" r:id="rId27"/>
      <w:footerReference w:type="default" r:id="rId28"/>
      <w:footerReference w:type="first" r:id="rId29"/>
      <w:pgSz w:w="11906" w:h="16838" w:code="9"/>
      <w:pgMar w:top="1418" w:right="1418" w:bottom="1418" w:left="1418" w:header="709" w:footer="709" w:gutter="0"/>
      <w:pgNumType w:start="40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A69DC" w14:textId="77777777" w:rsidR="00807923" w:rsidRDefault="00807923" w:rsidP="001101DA">
      <w:r>
        <w:separator/>
      </w:r>
    </w:p>
  </w:endnote>
  <w:endnote w:type="continuationSeparator" w:id="0">
    <w:p w14:paraId="1ACF4884" w14:textId="77777777" w:rsidR="00807923" w:rsidRDefault="00807923"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77DD49B0"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D2C92">
          <w:rPr>
            <w:sz w:val="16"/>
            <w:szCs w:val="16"/>
          </w:rPr>
          <w:t>8</w:t>
        </w:r>
        <w:r w:rsidRPr="00920627">
          <w:rPr>
            <w:sz w:val="16"/>
            <w:szCs w:val="16"/>
          </w:rPr>
          <w:t>(</w:t>
        </w:r>
        <w:r w:rsidR="008D2C92">
          <w:rPr>
            <w:sz w:val="16"/>
            <w:szCs w:val="16"/>
          </w:rPr>
          <w:t>2</w:t>
        </w:r>
        <w:r w:rsidRPr="00920627">
          <w:rPr>
            <w:sz w:val="16"/>
            <w:szCs w:val="16"/>
          </w:rPr>
          <w:t>), December 202</w:t>
        </w:r>
        <w:r w:rsidR="008D2C92">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38A96EE4" w:rsidR="001101DA" w:rsidRPr="00920627" w:rsidRDefault="00920627" w:rsidP="00920627">
        <w:pPr>
          <w:pStyle w:val="Footer"/>
          <w:jc w:val="right"/>
          <w:rPr>
            <w:sz w:val="16"/>
            <w:szCs w:val="16"/>
          </w:rPr>
        </w:pPr>
        <w:r w:rsidRPr="00920627">
          <w:rPr>
            <w:sz w:val="16"/>
            <w:szCs w:val="16"/>
          </w:rPr>
          <w:t xml:space="preserve">Journal of Islamic Architecture </w:t>
        </w:r>
        <w:r w:rsidR="008D2C92">
          <w:rPr>
            <w:sz w:val="16"/>
            <w:szCs w:val="16"/>
          </w:rPr>
          <w:t>8</w:t>
        </w:r>
        <w:r w:rsidRPr="00920627">
          <w:rPr>
            <w:sz w:val="16"/>
            <w:szCs w:val="16"/>
          </w:rPr>
          <w:t>(</w:t>
        </w:r>
        <w:r w:rsidR="008D2C92">
          <w:rPr>
            <w:sz w:val="16"/>
            <w:szCs w:val="16"/>
          </w:rPr>
          <w:t>2</w:t>
        </w:r>
        <w:r w:rsidRPr="00920627">
          <w:rPr>
            <w:sz w:val="16"/>
            <w:szCs w:val="16"/>
          </w:rPr>
          <w:t>), December 202</w:t>
        </w:r>
        <w:r w:rsidR="008D2C92">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4DE781D5"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9E69DF">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876B2" w14:textId="77777777" w:rsidR="00807923" w:rsidRDefault="00807923" w:rsidP="001101DA">
      <w:r>
        <w:separator/>
      </w:r>
    </w:p>
  </w:footnote>
  <w:footnote w:type="continuationSeparator" w:id="0">
    <w:p w14:paraId="2E365951" w14:textId="77777777" w:rsidR="00807923" w:rsidRDefault="00807923"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39A92F3E" w:rsidR="001101DA" w:rsidRPr="001101DA" w:rsidRDefault="008D2C92" w:rsidP="001101DA">
    <w:pPr>
      <w:pStyle w:val="Header"/>
      <w:rPr>
        <w:sz w:val="16"/>
        <w:szCs w:val="16"/>
      </w:rPr>
    </w:pPr>
    <w:r w:rsidRPr="008D2C92">
      <w:rPr>
        <w:sz w:val="16"/>
        <w:szCs w:val="16"/>
      </w:rPr>
      <w:t>Implementing Sustainability in Urban Desert Regions Through Solar Orientation</w:t>
    </w:r>
    <w:r>
      <w:rPr>
        <w:sz w:val="16"/>
        <w:szCs w:val="16"/>
      </w:rPr>
      <w:t>,</w:t>
    </w:r>
    <w:r w:rsidRPr="008D2C92">
      <w:rPr>
        <w:sz w:val="16"/>
        <w:szCs w:val="16"/>
      </w:rPr>
      <w:t xml:space="preserve"> The Islamic Vernacular Architecture of the </w:t>
    </w:r>
    <w:proofErr w:type="spellStart"/>
    <w:r w:rsidRPr="008D2C92">
      <w:rPr>
        <w:sz w:val="16"/>
        <w:szCs w:val="16"/>
      </w:rPr>
      <w:t>M'zab</w:t>
    </w:r>
    <w:proofErr w:type="spellEnd"/>
    <w:r w:rsidRPr="008D2C92">
      <w:rPr>
        <w:sz w:val="16"/>
        <w:szCs w:val="16"/>
      </w:rPr>
      <w:t xml:space="preserve"> </w:t>
    </w:r>
    <w:proofErr w:type="spellStart"/>
    <w:r w:rsidRPr="008D2C92">
      <w:rPr>
        <w:sz w:val="16"/>
        <w:szCs w:val="16"/>
      </w:rPr>
      <w:t>Ksour</w:t>
    </w:r>
    <w:proofErr w:type="spellEnd"/>
    <w:r w:rsidRPr="008D2C92">
      <w:rPr>
        <w:sz w:val="16"/>
        <w:szCs w:val="16"/>
      </w:rPr>
      <w:t xml:space="preserve"> in Particular</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4070CCEA" w:rsidR="001101DA" w:rsidRPr="001101DA" w:rsidRDefault="008D2C92" w:rsidP="001101DA">
    <w:pPr>
      <w:pStyle w:val="Header"/>
      <w:jc w:val="right"/>
      <w:rPr>
        <w:sz w:val="16"/>
        <w:szCs w:val="16"/>
      </w:rPr>
    </w:pPr>
    <w:proofErr w:type="spellStart"/>
    <w:r w:rsidRPr="008D2C92">
      <w:rPr>
        <w:sz w:val="16"/>
        <w:szCs w:val="16"/>
      </w:rPr>
      <w:t>Krimo</w:t>
    </w:r>
    <w:proofErr w:type="spellEnd"/>
    <w:r w:rsidRPr="008D2C92">
      <w:rPr>
        <w:sz w:val="16"/>
        <w:szCs w:val="16"/>
      </w:rPr>
      <w:t xml:space="preserve"> Dahmani, Khalil Bachir Aouissi, Saif Eddine Chettah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8C07D52"/>
    <w:multiLevelType w:val="hybridMultilevel"/>
    <w:tmpl w:val="01183F18"/>
    <w:lvl w:ilvl="0" w:tplc="39944E3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50577831">
    <w:abstractNumId w:val="1"/>
  </w:num>
  <w:num w:numId="2" w16cid:durableId="452790764">
    <w:abstractNumId w:val="0"/>
  </w:num>
  <w:num w:numId="3" w16cid:durableId="9126623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21499"/>
    <w:rsid w:val="002676BA"/>
    <w:rsid w:val="00283372"/>
    <w:rsid w:val="002D1CEA"/>
    <w:rsid w:val="00330A7A"/>
    <w:rsid w:val="003C0164"/>
    <w:rsid w:val="00417EF0"/>
    <w:rsid w:val="00437D56"/>
    <w:rsid w:val="00464461"/>
    <w:rsid w:val="00477FC8"/>
    <w:rsid w:val="004C7CB9"/>
    <w:rsid w:val="00502594"/>
    <w:rsid w:val="00536D0C"/>
    <w:rsid w:val="00554438"/>
    <w:rsid w:val="005E66A5"/>
    <w:rsid w:val="00605B4D"/>
    <w:rsid w:val="00615627"/>
    <w:rsid w:val="006A269F"/>
    <w:rsid w:val="006C55A1"/>
    <w:rsid w:val="00704CCA"/>
    <w:rsid w:val="00727ABB"/>
    <w:rsid w:val="00745A2A"/>
    <w:rsid w:val="00767111"/>
    <w:rsid w:val="007771EC"/>
    <w:rsid w:val="0079305C"/>
    <w:rsid w:val="007B2C0D"/>
    <w:rsid w:val="007C62F4"/>
    <w:rsid w:val="00803F91"/>
    <w:rsid w:val="00807923"/>
    <w:rsid w:val="008535AE"/>
    <w:rsid w:val="00883F54"/>
    <w:rsid w:val="008D2C92"/>
    <w:rsid w:val="008D73E0"/>
    <w:rsid w:val="00920392"/>
    <w:rsid w:val="00920627"/>
    <w:rsid w:val="00926CF7"/>
    <w:rsid w:val="00944AD0"/>
    <w:rsid w:val="0095781D"/>
    <w:rsid w:val="009776E4"/>
    <w:rsid w:val="009E69DF"/>
    <w:rsid w:val="009E6DE8"/>
    <w:rsid w:val="00A055B3"/>
    <w:rsid w:val="00A25A75"/>
    <w:rsid w:val="00AC1C31"/>
    <w:rsid w:val="00AC4F01"/>
    <w:rsid w:val="00AF2E86"/>
    <w:rsid w:val="00B45E75"/>
    <w:rsid w:val="00BE2239"/>
    <w:rsid w:val="00C26026"/>
    <w:rsid w:val="00C4316A"/>
    <w:rsid w:val="00C55526"/>
    <w:rsid w:val="00CB6F5A"/>
    <w:rsid w:val="00CD28F0"/>
    <w:rsid w:val="00CE135F"/>
    <w:rsid w:val="00D132AE"/>
    <w:rsid w:val="00D57761"/>
    <w:rsid w:val="00D869DB"/>
    <w:rsid w:val="00E4204D"/>
    <w:rsid w:val="00E837BE"/>
    <w:rsid w:val="00F12FAC"/>
    <w:rsid w:val="00F236A4"/>
    <w:rsid w:val="00F67B44"/>
    <w:rsid w:val="00F86F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2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chart" Target="charts/chart2.xml"/><Relationship Id="rId26"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chart" Target="charts/chart5.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chart" Target="charts/chart1.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chart" Target="charts/chart4.xml"/><Relationship Id="rId29"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1.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chart" Target="charts/chart7.xml"/><Relationship Id="rId28"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chart" Target="charts/chart3.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chart" Target="charts/chart6.xml"/><Relationship Id="rId27" Type="http://schemas.openxmlformats.org/officeDocument/2006/relationships/footer" Target="footer1.xml"/><Relationship Id="rId30"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1%20Decembre.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1%20juin.xls"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1%20septembre.xls"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1%20Decembre.xls"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el%20atteuf%20calcule.xls"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beni%20isguen%20calcule.xls"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Ait%20saadi\doctorant%20probl&#233;matique\article%20axe%20h&#233;liothermique\calcul%20excell\belvadaire%20calcure%20finale.xls"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170311741744051E-2"/>
          <c:y val="0.17698047780523785"/>
          <c:w val="0.93257806615218963"/>
          <c:h val="0.62948317591687897"/>
        </c:manualLayout>
      </c:layout>
      <c:lineChart>
        <c:grouping val="standard"/>
        <c:varyColors val="0"/>
        <c:ser>
          <c:idx val="0"/>
          <c:order val="0"/>
          <c:tx>
            <c:strRef>
              <c:f>'%'!$D$4</c:f>
              <c:strCache>
                <c:ptCount val="1"/>
                <c:pt idx="0">
                  <c:v>Number of lanes El Atteuf</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'%'!$B$5:$C$12</c:f>
              <c:multiLvlStrCache>
                <c:ptCount val="8"/>
                <c:lvl>
                  <c:pt idx="0">
                    <c:v>Less unfavorable</c:v>
                  </c:pt>
                  <c:pt idx="1">
                    <c:v>Less unfavorable</c:v>
                  </c:pt>
                  <c:pt idx="2">
                    <c:v>Less unfavorable</c:v>
                  </c:pt>
                  <c:pt idx="3">
                    <c:v>Highly favorable</c:v>
                  </c:pt>
                  <c:pt idx="4">
                    <c:v>Unfavorable</c:v>
                  </c:pt>
                  <c:pt idx="5">
                    <c:v>Less favorable</c:v>
                  </c:pt>
                  <c:pt idx="6">
                    <c:v>Less favorable</c:v>
                  </c:pt>
                  <c:pt idx="7">
                    <c:v>Less favorable</c:v>
                  </c:pt>
                </c:lvl>
                <c:lvl>
                  <c:pt idx="0">
                    <c:v>27,8°-14,2°</c:v>
                  </c:pt>
                  <c:pt idx="1">
                    <c:v>40,7°-27,8°</c:v>
                  </c:pt>
                  <c:pt idx="2">
                    <c:v>50,2°-40,7°</c:v>
                  </c:pt>
                  <c:pt idx="3">
                    <c:v>50,2°-50,2°</c:v>
                  </c:pt>
                  <c:pt idx="4">
                    <c:v>Azimuth-14,2°</c:v>
                  </c:pt>
                  <c:pt idx="5">
                    <c:v>14,2°-27,8°</c:v>
                  </c:pt>
                  <c:pt idx="6">
                    <c:v>27,8°-40,7°</c:v>
                  </c:pt>
                  <c:pt idx="7">
                    <c:v>40,7°-50,2°</c:v>
                  </c:pt>
                </c:lvl>
              </c:multiLvlStrCache>
            </c:multiLvlStrRef>
          </c:cat>
          <c:val>
            <c:numRef>
              <c:f>'%'!$D$5:$D$12</c:f>
              <c:numCache>
                <c:formatCode>General</c:formatCode>
                <c:ptCount val="8"/>
                <c:pt idx="0">
                  <c:v>7</c:v>
                </c:pt>
                <c:pt idx="1">
                  <c:v>6</c:v>
                </c:pt>
                <c:pt idx="2">
                  <c:v>1</c:v>
                </c:pt>
                <c:pt idx="3">
                  <c:v>422</c:v>
                </c:pt>
                <c:pt idx="4">
                  <c:v>24</c:v>
                </c:pt>
                <c:pt idx="5">
                  <c:v>13</c:v>
                </c:pt>
                <c:pt idx="6">
                  <c:v>5</c:v>
                </c:pt>
                <c:pt idx="7">
                  <c:v>5</c:v>
                </c:pt>
              </c:numCache>
            </c:numRef>
          </c:val>
          <c:smooth val="0"/>
          <c:extLst>
            <c:ext xmlns:c16="http://schemas.microsoft.com/office/drawing/2014/chart" uri="{C3380CC4-5D6E-409C-BE32-E72D297353CC}">
              <c16:uniqueId val="{00000000-278D-4852-B811-8479CD09752A}"/>
            </c:ext>
          </c:extLst>
        </c:ser>
        <c:ser>
          <c:idx val="1"/>
          <c:order val="1"/>
          <c:tx>
            <c:strRef>
              <c:f>'%'!$E$4</c:f>
              <c:strCache>
                <c:ptCount val="1"/>
                <c:pt idx="0">
                  <c:v>% of El Atteuf</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'%'!$B$5:$C$12</c:f>
              <c:multiLvlStrCache>
                <c:ptCount val="8"/>
                <c:lvl>
                  <c:pt idx="0">
                    <c:v>Less unfavorable</c:v>
                  </c:pt>
                  <c:pt idx="1">
                    <c:v>Less unfavorable</c:v>
                  </c:pt>
                  <c:pt idx="2">
                    <c:v>Less unfavorable</c:v>
                  </c:pt>
                  <c:pt idx="3">
                    <c:v>Highly favorable</c:v>
                  </c:pt>
                  <c:pt idx="4">
                    <c:v>Unfavorable</c:v>
                  </c:pt>
                  <c:pt idx="5">
                    <c:v>Less favorable</c:v>
                  </c:pt>
                  <c:pt idx="6">
                    <c:v>Less favorable</c:v>
                  </c:pt>
                  <c:pt idx="7">
                    <c:v>Less favorable</c:v>
                  </c:pt>
                </c:lvl>
                <c:lvl>
                  <c:pt idx="0">
                    <c:v>27,8°-14,2°</c:v>
                  </c:pt>
                  <c:pt idx="1">
                    <c:v>40,7°-27,8°</c:v>
                  </c:pt>
                  <c:pt idx="2">
                    <c:v>50,2°-40,7°</c:v>
                  </c:pt>
                  <c:pt idx="3">
                    <c:v>50,2°-50,2°</c:v>
                  </c:pt>
                  <c:pt idx="4">
                    <c:v>Azimuth-14,2°</c:v>
                  </c:pt>
                  <c:pt idx="5">
                    <c:v>14,2°-27,8°</c:v>
                  </c:pt>
                  <c:pt idx="6">
                    <c:v>27,8°-40,7°</c:v>
                  </c:pt>
                  <c:pt idx="7">
                    <c:v>40,7°-50,2°</c:v>
                  </c:pt>
                </c:lvl>
              </c:multiLvlStrCache>
            </c:multiLvlStrRef>
          </c:cat>
          <c:val>
            <c:numRef>
              <c:f>'%'!$E$5:$E$12</c:f>
              <c:numCache>
                <c:formatCode>General</c:formatCode>
                <c:ptCount val="8"/>
                <c:pt idx="0">
                  <c:v>1.4492753623188406</c:v>
                </c:pt>
                <c:pt idx="1">
                  <c:v>1.2422360248447204</c:v>
                </c:pt>
                <c:pt idx="2">
                  <c:v>0.20703933747412009</c:v>
                </c:pt>
                <c:pt idx="3">
                  <c:v>87.37060041407868</c:v>
                </c:pt>
                <c:pt idx="4">
                  <c:v>4.9689440993788816</c:v>
                </c:pt>
                <c:pt idx="5">
                  <c:v>2.691511387163561</c:v>
                </c:pt>
                <c:pt idx="6">
                  <c:v>1.0351966873706004</c:v>
                </c:pt>
                <c:pt idx="7">
                  <c:v>1.0351966873706004</c:v>
                </c:pt>
              </c:numCache>
            </c:numRef>
          </c:val>
          <c:smooth val="0"/>
          <c:extLst>
            <c:ext xmlns:c16="http://schemas.microsoft.com/office/drawing/2014/chart" uri="{C3380CC4-5D6E-409C-BE32-E72D297353CC}">
              <c16:uniqueId val="{00000001-278D-4852-B811-8479CD09752A}"/>
            </c:ext>
          </c:extLst>
        </c:ser>
        <c:ser>
          <c:idx val="2"/>
          <c:order val="2"/>
          <c:tx>
            <c:strRef>
              <c:f>'%'!$F$4</c:f>
              <c:strCache>
                <c:ptCount val="1"/>
                <c:pt idx="0">
                  <c:v>Number of lanes of Beni Yezueguen</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'%'!$B$5:$C$12</c:f>
              <c:multiLvlStrCache>
                <c:ptCount val="8"/>
                <c:lvl>
                  <c:pt idx="0">
                    <c:v>Less unfavorable</c:v>
                  </c:pt>
                  <c:pt idx="1">
                    <c:v>Less unfavorable</c:v>
                  </c:pt>
                  <c:pt idx="2">
                    <c:v>Less unfavorable</c:v>
                  </c:pt>
                  <c:pt idx="3">
                    <c:v>Highly favorable</c:v>
                  </c:pt>
                  <c:pt idx="4">
                    <c:v>Unfavorable</c:v>
                  </c:pt>
                  <c:pt idx="5">
                    <c:v>Less favorable</c:v>
                  </c:pt>
                  <c:pt idx="6">
                    <c:v>Less favorable</c:v>
                  </c:pt>
                  <c:pt idx="7">
                    <c:v>Less favorable</c:v>
                  </c:pt>
                </c:lvl>
                <c:lvl>
                  <c:pt idx="0">
                    <c:v>27,8°-14,2°</c:v>
                  </c:pt>
                  <c:pt idx="1">
                    <c:v>40,7°-27,8°</c:v>
                  </c:pt>
                  <c:pt idx="2">
                    <c:v>50,2°-40,7°</c:v>
                  </c:pt>
                  <c:pt idx="3">
                    <c:v>50,2°-50,2°</c:v>
                  </c:pt>
                  <c:pt idx="4">
                    <c:v>Azimuth-14,2°</c:v>
                  </c:pt>
                  <c:pt idx="5">
                    <c:v>14,2°-27,8°</c:v>
                  </c:pt>
                  <c:pt idx="6">
                    <c:v>27,8°-40,7°</c:v>
                  </c:pt>
                  <c:pt idx="7">
                    <c:v>40,7°-50,2°</c:v>
                  </c:pt>
                </c:lvl>
              </c:multiLvlStrCache>
            </c:multiLvlStrRef>
          </c:cat>
          <c:val>
            <c:numRef>
              <c:f>'%'!$F$5:$F$12</c:f>
              <c:numCache>
                <c:formatCode>General</c:formatCode>
                <c:ptCount val="8"/>
                <c:pt idx="0">
                  <c:v>15</c:v>
                </c:pt>
                <c:pt idx="1">
                  <c:v>37</c:v>
                </c:pt>
                <c:pt idx="2">
                  <c:v>4</c:v>
                </c:pt>
                <c:pt idx="3">
                  <c:v>59</c:v>
                </c:pt>
                <c:pt idx="4">
                  <c:v>420</c:v>
                </c:pt>
                <c:pt idx="5">
                  <c:v>18</c:v>
                </c:pt>
                <c:pt idx="6">
                  <c:v>6</c:v>
                </c:pt>
                <c:pt idx="7">
                  <c:v>8</c:v>
                </c:pt>
              </c:numCache>
            </c:numRef>
          </c:val>
          <c:smooth val="0"/>
          <c:extLst>
            <c:ext xmlns:c16="http://schemas.microsoft.com/office/drawing/2014/chart" uri="{C3380CC4-5D6E-409C-BE32-E72D297353CC}">
              <c16:uniqueId val="{00000002-278D-4852-B811-8479CD09752A}"/>
            </c:ext>
          </c:extLst>
        </c:ser>
        <c:ser>
          <c:idx val="3"/>
          <c:order val="3"/>
          <c:tx>
            <c:strRef>
              <c:f>'%'!$G$4</c:f>
              <c:strCache>
                <c:ptCount val="1"/>
                <c:pt idx="0">
                  <c:v>% Beni Yezuguen</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'%'!$B$5:$C$12</c:f>
              <c:multiLvlStrCache>
                <c:ptCount val="8"/>
                <c:lvl>
                  <c:pt idx="0">
                    <c:v>Less unfavorable</c:v>
                  </c:pt>
                  <c:pt idx="1">
                    <c:v>Less unfavorable</c:v>
                  </c:pt>
                  <c:pt idx="2">
                    <c:v>Less unfavorable</c:v>
                  </c:pt>
                  <c:pt idx="3">
                    <c:v>Highly favorable</c:v>
                  </c:pt>
                  <c:pt idx="4">
                    <c:v>Unfavorable</c:v>
                  </c:pt>
                  <c:pt idx="5">
                    <c:v>Less favorable</c:v>
                  </c:pt>
                  <c:pt idx="6">
                    <c:v>Less favorable</c:v>
                  </c:pt>
                  <c:pt idx="7">
                    <c:v>Less favorable</c:v>
                  </c:pt>
                </c:lvl>
                <c:lvl>
                  <c:pt idx="0">
                    <c:v>27,8°-14,2°</c:v>
                  </c:pt>
                  <c:pt idx="1">
                    <c:v>40,7°-27,8°</c:v>
                  </c:pt>
                  <c:pt idx="2">
                    <c:v>50,2°-40,7°</c:v>
                  </c:pt>
                  <c:pt idx="3">
                    <c:v>50,2°-50,2°</c:v>
                  </c:pt>
                  <c:pt idx="4">
                    <c:v>Azimuth-14,2°</c:v>
                  </c:pt>
                  <c:pt idx="5">
                    <c:v>14,2°-27,8°</c:v>
                  </c:pt>
                  <c:pt idx="6">
                    <c:v>27,8°-40,7°</c:v>
                  </c:pt>
                  <c:pt idx="7">
                    <c:v>40,7°-50,2°</c:v>
                  </c:pt>
                </c:lvl>
              </c:multiLvlStrCache>
            </c:multiLvlStrRef>
          </c:cat>
          <c:val>
            <c:numRef>
              <c:f>'%'!$G$5:$G$12</c:f>
              <c:numCache>
                <c:formatCode>General</c:formatCode>
                <c:ptCount val="8"/>
                <c:pt idx="0">
                  <c:v>2.6455026455026456</c:v>
                </c:pt>
                <c:pt idx="1">
                  <c:v>6.5255731922398592</c:v>
                </c:pt>
                <c:pt idx="2">
                  <c:v>0.70546737213403876</c:v>
                </c:pt>
                <c:pt idx="3">
                  <c:v>10.405643738977073</c:v>
                </c:pt>
                <c:pt idx="4">
                  <c:v>74.074074074074076</c:v>
                </c:pt>
                <c:pt idx="5">
                  <c:v>3.1746031746031744</c:v>
                </c:pt>
                <c:pt idx="6">
                  <c:v>1.0582010582010581</c:v>
                </c:pt>
                <c:pt idx="7">
                  <c:v>1.4109347442680775</c:v>
                </c:pt>
              </c:numCache>
            </c:numRef>
          </c:val>
          <c:smooth val="0"/>
          <c:extLst>
            <c:ext xmlns:c16="http://schemas.microsoft.com/office/drawing/2014/chart" uri="{C3380CC4-5D6E-409C-BE32-E72D297353CC}">
              <c16:uniqueId val="{00000003-278D-4852-B811-8479CD09752A}"/>
            </c:ext>
          </c:extLst>
        </c:ser>
        <c:ser>
          <c:idx val="4"/>
          <c:order val="4"/>
          <c:tx>
            <c:strRef>
              <c:f>'%'!$H$4</c:f>
              <c:strCache>
                <c:ptCount val="1"/>
                <c:pt idx="0">
                  <c:v> Number of lanes of Tafilalt</c:v>
                </c:pt>
              </c:strCache>
            </c:strRef>
          </c:tx>
          <c:spPr>
            <a:ln w="22225" cap="rnd">
              <a:solidFill>
                <a:schemeClr val="accent5"/>
              </a:solidFill>
              <a:round/>
            </a:ln>
            <a:effectLst/>
          </c:spPr>
          <c:marker>
            <c:symbol val="star"/>
            <c:size val="6"/>
            <c:spPr>
              <a:noFill/>
              <a:ln w="9525">
                <a:solidFill>
                  <a:schemeClr val="accent5"/>
                </a:solidFill>
                <a:round/>
              </a:ln>
              <a:effectLst/>
            </c:spPr>
          </c:marker>
          <c:cat>
            <c:multiLvlStrRef>
              <c:f>'%'!$B$5:$C$12</c:f>
              <c:multiLvlStrCache>
                <c:ptCount val="8"/>
                <c:lvl>
                  <c:pt idx="0">
                    <c:v>Less unfavorable</c:v>
                  </c:pt>
                  <c:pt idx="1">
                    <c:v>Less unfavorable</c:v>
                  </c:pt>
                  <c:pt idx="2">
                    <c:v>Less unfavorable</c:v>
                  </c:pt>
                  <c:pt idx="3">
                    <c:v>Highly favorable</c:v>
                  </c:pt>
                  <c:pt idx="4">
                    <c:v>Unfavorable</c:v>
                  </c:pt>
                  <c:pt idx="5">
                    <c:v>Less favorable</c:v>
                  </c:pt>
                  <c:pt idx="6">
                    <c:v>Less favorable</c:v>
                  </c:pt>
                  <c:pt idx="7">
                    <c:v>Less favorable</c:v>
                  </c:pt>
                </c:lvl>
                <c:lvl>
                  <c:pt idx="0">
                    <c:v>27,8°-14,2°</c:v>
                  </c:pt>
                  <c:pt idx="1">
                    <c:v>40,7°-27,8°</c:v>
                  </c:pt>
                  <c:pt idx="2">
                    <c:v>50,2°-40,7°</c:v>
                  </c:pt>
                  <c:pt idx="3">
                    <c:v>50,2°-50,2°</c:v>
                  </c:pt>
                  <c:pt idx="4">
                    <c:v>Azimuth-14,2°</c:v>
                  </c:pt>
                  <c:pt idx="5">
                    <c:v>14,2°-27,8°</c:v>
                  </c:pt>
                  <c:pt idx="6">
                    <c:v>27,8°-40,7°</c:v>
                  </c:pt>
                  <c:pt idx="7">
                    <c:v>40,7°-50,2°</c:v>
                  </c:pt>
                </c:lvl>
              </c:multiLvlStrCache>
            </c:multiLvlStrRef>
          </c:cat>
          <c:val>
            <c:numRef>
              <c:f>'%'!$H$5:$H$12</c:f>
              <c:numCache>
                <c:formatCode>0</c:formatCode>
                <c:ptCount val="8"/>
                <c:pt idx="0">
                  <c:v>14</c:v>
                </c:pt>
                <c:pt idx="1">
                  <c:v>2</c:v>
                </c:pt>
                <c:pt idx="2">
                  <c:v>8</c:v>
                </c:pt>
                <c:pt idx="3">
                  <c:v>17</c:v>
                </c:pt>
                <c:pt idx="4">
                  <c:v>131</c:v>
                </c:pt>
                <c:pt idx="5">
                  <c:v>5</c:v>
                </c:pt>
                <c:pt idx="6">
                  <c:v>25</c:v>
                </c:pt>
                <c:pt idx="7">
                  <c:v>21</c:v>
                </c:pt>
              </c:numCache>
            </c:numRef>
          </c:val>
          <c:smooth val="0"/>
          <c:extLst>
            <c:ext xmlns:c16="http://schemas.microsoft.com/office/drawing/2014/chart" uri="{C3380CC4-5D6E-409C-BE32-E72D297353CC}">
              <c16:uniqueId val="{00000004-278D-4852-B811-8479CD09752A}"/>
            </c:ext>
          </c:extLst>
        </c:ser>
        <c:ser>
          <c:idx val="5"/>
          <c:order val="5"/>
          <c:tx>
            <c:strRef>
              <c:f>'%'!$I$4</c:f>
              <c:strCache>
                <c:ptCount val="1"/>
                <c:pt idx="0">
                  <c:v>% Tafilalt</c:v>
                </c:pt>
              </c:strCache>
            </c:strRef>
          </c:tx>
          <c:spPr>
            <a:ln w="22225" cap="rnd">
              <a:solidFill>
                <a:schemeClr val="accent6"/>
              </a:solidFill>
              <a:round/>
            </a:ln>
            <a:effectLst/>
          </c:spPr>
          <c:marker>
            <c:symbol val="circle"/>
            <c:size val="6"/>
            <c:spPr>
              <a:solidFill>
                <a:schemeClr val="accent6"/>
              </a:solidFill>
              <a:ln w="9525">
                <a:solidFill>
                  <a:schemeClr val="accent6"/>
                </a:solidFill>
                <a:round/>
              </a:ln>
              <a:effectLst/>
            </c:spPr>
          </c:marker>
          <c:cat>
            <c:multiLvlStrRef>
              <c:f>'%'!$B$5:$C$12</c:f>
              <c:multiLvlStrCache>
                <c:ptCount val="8"/>
                <c:lvl>
                  <c:pt idx="0">
                    <c:v>Less unfavorable</c:v>
                  </c:pt>
                  <c:pt idx="1">
                    <c:v>Less unfavorable</c:v>
                  </c:pt>
                  <c:pt idx="2">
                    <c:v>Less unfavorable</c:v>
                  </c:pt>
                  <c:pt idx="3">
                    <c:v>Highly favorable</c:v>
                  </c:pt>
                  <c:pt idx="4">
                    <c:v>Unfavorable</c:v>
                  </c:pt>
                  <c:pt idx="5">
                    <c:v>Less favorable</c:v>
                  </c:pt>
                  <c:pt idx="6">
                    <c:v>Less favorable</c:v>
                  </c:pt>
                  <c:pt idx="7">
                    <c:v>Less favorable</c:v>
                  </c:pt>
                </c:lvl>
                <c:lvl>
                  <c:pt idx="0">
                    <c:v>27,8°-14,2°</c:v>
                  </c:pt>
                  <c:pt idx="1">
                    <c:v>40,7°-27,8°</c:v>
                  </c:pt>
                  <c:pt idx="2">
                    <c:v>50,2°-40,7°</c:v>
                  </c:pt>
                  <c:pt idx="3">
                    <c:v>50,2°-50,2°</c:v>
                  </c:pt>
                  <c:pt idx="4">
                    <c:v>Azimuth-14,2°</c:v>
                  </c:pt>
                  <c:pt idx="5">
                    <c:v>14,2°-27,8°</c:v>
                  </c:pt>
                  <c:pt idx="6">
                    <c:v>27,8°-40,7°</c:v>
                  </c:pt>
                  <c:pt idx="7">
                    <c:v>40,7°-50,2°</c:v>
                  </c:pt>
                </c:lvl>
              </c:multiLvlStrCache>
            </c:multiLvlStrRef>
          </c:cat>
          <c:val>
            <c:numRef>
              <c:f>'%'!$I$5:$I$12</c:f>
              <c:numCache>
                <c:formatCode>0.00</c:formatCode>
                <c:ptCount val="8"/>
                <c:pt idx="0">
                  <c:v>6.2780269058295968</c:v>
                </c:pt>
                <c:pt idx="1">
                  <c:v>0.89686098654708524</c:v>
                </c:pt>
                <c:pt idx="2">
                  <c:v>3.5874439461883409</c:v>
                </c:pt>
                <c:pt idx="3">
                  <c:v>7.623318385650224</c:v>
                </c:pt>
                <c:pt idx="4">
                  <c:v>58.744394618834079</c:v>
                </c:pt>
                <c:pt idx="5">
                  <c:v>2.2421524663677128</c:v>
                </c:pt>
                <c:pt idx="6">
                  <c:v>11.210762331838565</c:v>
                </c:pt>
                <c:pt idx="7">
                  <c:v>9.4170403587443943</c:v>
                </c:pt>
              </c:numCache>
            </c:numRef>
          </c:val>
          <c:smooth val="0"/>
          <c:extLst>
            <c:ext xmlns:c16="http://schemas.microsoft.com/office/drawing/2014/chart" uri="{C3380CC4-5D6E-409C-BE32-E72D297353CC}">
              <c16:uniqueId val="{00000005-278D-4852-B811-8479CD09752A}"/>
            </c:ext>
          </c:extLst>
        </c:ser>
        <c:dLbls>
          <c:showLegendKey val="0"/>
          <c:showVal val="0"/>
          <c:showCatName val="0"/>
          <c:showSerName val="0"/>
          <c:showPercent val="0"/>
          <c:showBubbleSize val="0"/>
        </c:dLbls>
        <c:marker val="1"/>
        <c:smooth val="0"/>
        <c:axId val="451337184"/>
        <c:axId val="225574224"/>
      </c:lineChart>
      <c:catAx>
        <c:axId val="4513371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25574224"/>
        <c:crosses val="autoZero"/>
        <c:auto val="1"/>
        <c:lblAlgn val="ctr"/>
        <c:lblOffset val="100"/>
        <c:noMultiLvlLbl val="0"/>
      </c:catAx>
      <c:valAx>
        <c:axId val="225574224"/>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133718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9207499965274912E-2"/>
          <c:y val="0.23976218301179505"/>
          <c:w val="0.93362900043222519"/>
          <c:h val="0.55802121450147202"/>
        </c:manualLayout>
      </c:layout>
      <c:lineChart>
        <c:grouping val="standard"/>
        <c:varyColors val="0"/>
        <c:ser>
          <c:idx val="0"/>
          <c:order val="0"/>
          <c:tx>
            <c:strRef>
              <c:f>'%'!$S$3</c:f>
              <c:strCache>
                <c:ptCount val="1"/>
                <c:pt idx="0">
                  <c:v>Number of lanes El Atteuf</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'%'!$Q$4:$R$12</c:f>
              <c:multiLvlStrCache>
                <c:ptCount val="9"/>
                <c:lvl>
                  <c:pt idx="0">
                    <c:v>Less favorable</c:v>
                  </c:pt>
                  <c:pt idx="1">
                    <c:v>Less favorable</c:v>
                  </c:pt>
                  <c:pt idx="2">
                    <c:v>Favorable</c:v>
                  </c:pt>
                  <c:pt idx="3">
                    <c:v>Favorable</c:v>
                  </c:pt>
                  <c:pt idx="4">
                    <c:v>Highly favorable</c:v>
                  </c:pt>
                  <c:pt idx="5">
                    <c:v>highly unfavorable</c:v>
                  </c:pt>
                  <c:pt idx="6">
                    <c:v>Unfavorable</c:v>
                  </c:pt>
                  <c:pt idx="7">
                    <c:v>Less unfavorable</c:v>
                  </c:pt>
                  <c:pt idx="8">
                    <c:v>Less unfavorable</c:v>
                  </c:pt>
                </c:lvl>
                <c:lvl>
                  <c:pt idx="0">
                    <c:v>81,8°-94,3°</c:v>
                  </c:pt>
                  <c:pt idx="1">
                    <c:v>94,3°-105,2°</c:v>
                  </c:pt>
                  <c:pt idx="2">
                    <c:v>116,1°-105,2°</c:v>
                  </c:pt>
                  <c:pt idx="3">
                    <c:v>116,1°-127,3°</c:v>
                  </c:pt>
                  <c:pt idx="4">
                    <c:v>127,3°-127,3°</c:v>
                  </c:pt>
                  <c:pt idx="5">
                    <c:v>Az-27,7°</c:v>
                  </c:pt>
                  <c:pt idx="6">
                    <c:v>27,7°-50,8°</c:v>
                  </c:pt>
                  <c:pt idx="7">
                    <c:v>50,8°-60,0°</c:v>
                  </c:pt>
                  <c:pt idx="8">
                    <c:v>60,0°-81,8°</c:v>
                  </c:pt>
                </c:lvl>
              </c:multiLvlStrCache>
            </c:multiLvlStrRef>
          </c:cat>
          <c:val>
            <c:numRef>
              <c:f>'%'!$S$4:$S$12</c:f>
              <c:numCache>
                <c:formatCode>General</c:formatCode>
                <c:ptCount val="9"/>
                <c:pt idx="0">
                  <c:v>56</c:v>
                </c:pt>
                <c:pt idx="1">
                  <c:v>44</c:v>
                </c:pt>
                <c:pt idx="2">
                  <c:v>45</c:v>
                </c:pt>
                <c:pt idx="3">
                  <c:v>39</c:v>
                </c:pt>
                <c:pt idx="4">
                  <c:v>176</c:v>
                </c:pt>
                <c:pt idx="5">
                  <c:v>42</c:v>
                </c:pt>
                <c:pt idx="6">
                  <c:v>19</c:v>
                </c:pt>
                <c:pt idx="7">
                  <c:v>12</c:v>
                </c:pt>
                <c:pt idx="8">
                  <c:v>50</c:v>
                </c:pt>
              </c:numCache>
            </c:numRef>
          </c:val>
          <c:smooth val="0"/>
          <c:extLst>
            <c:ext xmlns:c16="http://schemas.microsoft.com/office/drawing/2014/chart" uri="{C3380CC4-5D6E-409C-BE32-E72D297353CC}">
              <c16:uniqueId val="{00000000-0A99-4F31-8832-1FDB65AA8986}"/>
            </c:ext>
          </c:extLst>
        </c:ser>
        <c:ser>
          <c:idx val="1"/>
          <c:order val="1"/>
          <c:tx>
            <c:strRef>
              <c:f>'%'!$T$3</c:f>
              <c:strCache>
                <c:ptCount val="1"/>
                <c:pt idx="0">
                  <c:v>% of El Atteuf</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'%'!$Q$4:$R$12</c:f>
              <c:multiLvlStrCache>
                <c:ptCount val="9"/>
                <c:lvl>
                  <c:pt idx="0">
                    <c:v>Less favorable</c:v>
                  </c:pt>
                  <c:pt idx="1">
                    <c:v>Less favorable</c:v>
                  </c:pt>
                  <c:pt idx="2">
                    <c:v>Favorable</c:v>
                  </c:pt>
                  <c:pt idx="3">
                    <c:v>Favorable</c:v>
                  </c:pt>
                  <c:pt idx="4">
                    <c:v>Highly favorable</c:v>
                  </c:pt>
                  <c:pt idx="5">
                    <c:v>highly unfavorable</c:v>
                  </c:pt>
                  <c:pt idx="6">
                    <c:v>Unfavorable</c:v>
                  </c:pt>
                  <c:pt idx="7">
                    <c:v>Less unfavorable</c:v>
                  </c:pt>
                  <c:pt idx="8">
                    <c:v>Less unfavorable</c:v>
                  </c:pt>
                </c:lvl>
                <c:lvl>
                  <c:pt idx="0">
                    <c:v>81,8°-94,3°</c:v>
                  </c:pt>
                  <c:pt idx="1">
                    <c:v>94,3°-105,2°</c:v>
                  </c:pt>
                  <c:pt idx="2">
                    <c:v>116,1°-105,2°</c:v>
                  </c:pt>
                  <c:pt idx="3">
                    <c:v>116,1°-127,3°</c:v>
                  </c:pt>
                  <c:pt idx="4">
                    <c:v>127,3°-127,3°</c:v>
                  </c:pt>
                  <c:pt idx="5">
                    <c:v>Az-27,7°</c:v>
                  </c:pt>
                  <c:pt idx="6">
                    <c:v>27,7°-50,8°</c:v>
                  </c:pt>
                  <c:pt idx="7">
                    <c:v>50,8°-60,0°</c:v>
                  </c:pt>
                  <c:pt idx="8">
                    <c:v>60,0°-81,8°</c:v>
                  </c:pt>
                </c:lvl>
              </c:multiLvlStrCache>
            </c:multiLvlStrRef>
          </c:cat>
          <c:val>
            <c:numRef>
              <c:f>'%'!$T$4:$T$12</c:f>
              <c:numCache>
                <c:formatCode>0.00</c:formatCode>
                <c:ptCount val="9"/>
                <c:pt idx="0">
                  <c:v>11.594202898550725</c:v>
                </c:pt>
                <c:pt idx="1">
                  <c:v>9.1097308488612843</c:v>
                </c:pt>
                <c:pt idx="2">
                  <c:v>9.316770186335404</c:v>
                </c:pt>
                <c:pt idx="3">
                  <c:v>8.074534161490682</c:v>
                </c:pt>
                <c:pt idx="4">
                  <c:v>36.438923395445137</c:v>
                </c:pt>
                <c:pt idx="5">
                  <c:v>8.695652173913043</c:v>
                </c:pt>
                <c:pt idx="6">
                  <c:v>3.9337474120082816</c:v>
                </c:pt>
                <c:pt idx="7">
                  <c:v>2.4844720496894412</c:v>
                </c:pt>
                <c:pt idx="8">
                  <c:v>10.351966873706004</c:v>
                </c:pt>
              </c:numCache>
            </c:numRef>
          </c:val>
          <c:smooth val="0"/>
          <c:extLst>
            <c:ext xmlns:c16="http://schemas.microsoft.com/office/drawing/2014/chart" uri="{C3380CC4-5D6E-409C-BE32-E72D297353CC}">
              <c16:uniqueId val="{00000001-0A99-4F31-8832-1FDB65AA8986}"/>
            </c:ext>
          </c:extLst>
        </c:ser>
        <c:ser>
          <c:idx val="2"/>
          <c:order val="2"/>
          <c:tx>
            <c:strRef>
              <c:f>'%'!$U$3</c:f>
              <c:strCache>
                <c:ptCount val="1"/>
                <c:pt idx="0">
                  <c:v>Number of lanes of Beni Yezueguen</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'%'!$Q$4:$R$12</c:f>
              <c:multiLvlStrCache>
                <c:ptCount val="9"/>
                <c:lvl>
                  <c:pt idx="0">
                    <c:v>Less favorable</c:v>
                  </c:pt>
                  <c:pt idx="1">
                    <c:v>Less favorable</c:v>
                  </c:pt>
                  <c:pt idx="2">
                    <c:v>Favorable</c:v>
                  </c:pt>
                  <c:pt idx="3">
                    <c:v>Favorable</c:v>
                  </c:pt>
                  <c:pt idx="4">
                    <c:v>Highly favorable</c:v>
                  </c:pt>
                  <c:pt idx="5">
                    <c:v>highly unfavorable</c:v>
                  </c:pt>
                  <c:pt idx="6">
                    <c:v>Unfavorable</c:v>
                  </c:pt>
                  <c:pt idx="7">
                    <c:v>Less unfavorable</c:v>
                  </c:pt>
                  <c:pt idx="8">
                    <c:v>Less unfavorable</c:v>
                  </c:pt>
                </c:lvl>
                <c:lvl>
                  <c:pt idx="0">
                    <c:v>81,8°-94,3°</c:v>
                  </c:pt>
                  <c:pt idx="1">
                    <c:v>94,3°-105,2°</c:v>
                  </c:pt>
                  <c:pt idx="2">
                    <c:v>116,1°-105,2°</c:v>
                  </c:pt>
                  <c:pt idx="3">
                    <c:v>116,1°-127,3°</c:v>
                  </c:pt>
                  <c:pt idx="4">
                    <c:v>127,3°-127,3°</c:v>
                  </c:pt>
                  <c:pt idx="5">
                    <c:v>Az-27,7°</c:v>
                  </c:pt>
                  <c:pt idx="6">
                    <c:v>27,7°-50,8°</c:v>
                  </c:pt>
                  <c:pt idx="7">
                    <c:v>50,8°-60,0°</c:v>
                  </c:pt>
                  <c:pt idx="8">
                    <c:v>60,0°-81,8°</c:v>
                  </c:pt>
                </c:lvl>
              </c:multiLvlStrCache>
            </c:multiLvlStrRef>
          </c:cat>
          <c:val>
            <c:numRef>
              <c:f>'%'!$U$4:$U$12</c:f>
              <c:numCache>
                <c:formatCode>General</c:formatCode>
                <c:ptCount val="9"/>
                <c:pt idx="0">
                  <c:v>47</c:v>
                </c:pt>
                <c:pt idx="1">
                  <c:v>41</c:v>
                </c:pt>
                <c:pt idx="2">
                  <c:v>50</c:v>
                </c:pt>
                <c:pt idx="3">
                  <c:v>41</c:v>
                </c:pt>
                <c:pt idx="4">
                  <c:v>167</c:v>
                </c:pt>
                <c:pt idx="5">
                  <c:v>113</c:v>
                </c:pt>
                <c:pt idx="6">
                  <c:v>42</c:v>
                </c:pt>
                <c:pt idx="7">
                  <c:v>28</c:v>
                </c:pt>
                <c:pt idx="8">
                  <c:v>38</c:v>
                </c:pt>
              </c:numCache>
            </c:numRef>
          </c:val>
          <c:smooth val="0"/>
          <c:extLst>
            <c:ext xmlns:c16="http://schemas.microsoft.com/office/drawing/2014/chart" uri="{C3380CC4-5D6E-409C-BE32-E72D297353CC}">
              <c16:uniqueId val="{00000002-0A99-4F31-8832-1FDB65AA8986}"/>
            </c:ext>
          </c:extLst>
        </c:ser>
        <c:ser>
          <c:idx val="3"/>
          <c:order val="3"/>
          <c:tx>
            <c:strRef>
              <c:f>'%'!$V$3</c:f>
              <c:strCache>
                <c:ptCount val="1"/>
                <c:pt idx="0">
                  <c:v>% Beni Yezuguen</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'%'!$Q$4:$R$12</c:f>
              <c:multiLvlStrCache>
                <c:ptCount val="9"/>
                <c:lvl>
                  <c:pt idx="0">
                    <c:v>Less favorable</c:v>
                  </c:pt>
                  <c:pt idx="1">
                    <c:v>Less favorable</c:v>
                  </c:pt>
                  <c:pt idx="2">
                    <c:v>Favorable</c:v>
                  </c:pt>
                  <c:pt idx="3">
                    <c:v>Favorable</c:v>
                  </c:pt>
                  <c:pt idx="4">
                    <c:v>Highly favorable</c:v>
                  </c:pt>
                  <c:pt idx="5">
                    <c:v>highly unfavorable</c:v>
                  </c:pt>
                  <c:pt idx="6">
                    <c:v>Unfavorable</c:v>
                  </c:pt>
                  <c:pt idx="7">
                    <c:v>Less unfavorable</c:v>
                  </c:pt>
                  <c:pt idx="8">
                    <c:v>Less unfavorable</c:v>
                  </c:pt>
                </c:lvl>
                <c:lvl>
                  <c:pt idx="0">
                    <c:v>81,8°-94,3°</c:v>
                  </c:pt>
                  <c:pt idx="1">
                    <c:v>94,3°-105,2°</c:v>
                  </c:pt>
                  <c:pt idx="2">
                    <c:v>116,1°-105,2°</c:v>
                  </c:pt>
                  <c:pt idx="3">
                    <c:v>116,1°-127,3°</c:v>
                  </c:pt>
                  <c:pt idx="4">
                    <c:v>127,3°-127,3°</c:v>
                  </c:pt>
                  <c:pt idx="5">
                    <c:v>Az-27,7°</c:v>
                  </c:pt>
                  <c:pt idx="6">
                    <c:v>27,7°-50,8°</c:v>
                  </c:pt>
                  <c:pt idx="7">
                    <c:v>50,8°-60,0°</c:v>
                  </c:pt>
                  <c:pt idx="8">
                    <c:v>60,0°-81,8°</c:v>
                  </c:pt>
                </c:lvl>
              </c:multiLvlStrCache>
            </c:multiLvlStrRef>
          </c:cat>
          <c:val>
            <c:numRef>
              <c:f>'%'!$V$4:$V$12</c:f>
              <c:numCache>
                <c:formatCode>0.00</c:formatCode>
                <c:ptCount val="9"/>
                <c:pt idx="0">
                  <c:v>8.2892416225749557</c:v>
                </c:pt>
                <c:pt idx="1">
                  <c:v>7.2310405643738971</c:v>
                </c:pt>
                <c:pt idx="2">
                  <c:v>8.8183421516754841</c:v>
                </c:pt>
                <c:pt idx="3">
                  <c:v>7.231040564373898</c:v>
                </c:pt>
                <c:pt idx="4">
                  <c:v>29.45326278659612</c:v>
                </c:pt>
                <c:pt idx="5">
                  <c:v>19.929453262786595</c:v>
                </c:pt>
                <c:pt idx="6">
                  <c:v>7.4074074074074074</c:v>
                </c:pt>
                <c:pt idx="7">
                  <c:v>4.9382716049382713</c:v>
                </c:pt>
                <c:pt idx="8">
                  <c:v>6.7019400352733687</c:v>
                </c:pt>
              </c:numCache>
            </c:numRef>
          </c:val>
          <c:smooth val="0"/>
          <c:extLst>
            <c:ext xmlns:c16="http://schemas.microsoft.com/office/drawing/2014/chart" uri="{C3380CC4-5D6E-409C-BE32-E72D297353CC}">
              <c16:uniqueId val="{00000003-0A99-4F31-8832-1FDB65AA8986}"/>
            </c:ext>
          </c:extLst>
        </c:ser>
        <c:ser>
          <c:idx val="4"/>
          <c:order val="4"/>
          <c:tx>
            <c:strRef>
              <c:f>'%'!$W$3</c:f>
              <c:strCache>
                <c:ptCount val="1"/>
                <c:pt idx="0">
                  <c:v> Number of lanes of Tafilalt</c:v>
                </c:pt>
              </c:strCache>
            </c:strRef>
          </c:tx>
          <c:spPr>
            <a:ln w="22225" cap="rnd">
              <a:solidFill>
                <a:schemeClr val="accent5"/>
              </a:solidFill>
              <a:round/>
            </a:ln>
            <a:effectLst/>
          </c:spPr>
          <c:marker>
            <c:symbol val="star"/>
            <c:size val="6"/>
            <c:spPr>
              <a:noFill/>
              <a:ln w="9525">
                <a:solidFill>
                  <a:schemeClr val="accent5"/>
                </a:solidFill>
                <a:round/>
              </a:ln>
              <a:effectLst/>
            </c:spPr>
          </c:marker>
          <c:cat>
            <c:multiLvlStrRef>
              <c:f>'%'!$Q$4:$R$12</c:f>
              <c:multiLvlStrCache>
                <c:ptCount val="9"/>
                <c:lvl>
                  <c:pt idx="0">
                    <c:v>Less favorable</c:v>
                  </c:pt>
                  <c:pt idx="1">
                    <c:v>Less favorable</c:v>
                  </c:pt>
                  <c:pt idx="2">
                    <c:v>Favorable</c:v>
                  </c:pt>
                  <c:pt idx="3">
                    <c:v>Favorable</c:v>
                  </c:pt>
                  <c:pt idx="4">
                    <c:v>Highly favorable</c:v>
                  </c:pt>
                  <c:pt idx="5">
                    <c:v>highly unfavorable</c:v>
                  </c:pt>
                  <c:pt idx="6">
                    <c:v>Unfavorable</c:v>
                  </c:pt>
                  <c:pt idx="7">
                    <c:v>Less unfavorable</c:v>
                  </c:pt>
                  <c:pt idx="8">
                    <c:v>Less unfavorable</c:v>
                  </c:pt>
                </c:lvl>
                <c:lvl>
                  <c:pt idx="0">
                    <c:v>81,8°-94,3°</c:v>
                  </c:pt>
                  <c:pt idx="1">
                    <c:v>94,3°-105,2°</c:v>
                  </c:pt>
                  <c:pt idx="2">
                    <c:v>116,1°-105,2°</c:v>
                  </c:pt>
                  <c:pt idx="3">
                    <c:v>116,1°-127,3°</c:v>
                  </c:pt>
                  <c:pt idx="4">
                    <c:v>127,3°-127,3°</c:v>
                  </c:pt>
                  <c:pt idx="5">
                    <c:v>Az-27,7°</c:v>
                  </c:pt>
                  <c:pt idx="6">
                    <c:v>27,7°-50,8°</c:v>
                  </c:pt>
                  <c:pt idx="7">
                    <c:v>50,8°-60,0°</c:v>
                  </c:pt>
                  <c:pt idx="8">
                    <c:v>60,0°-81,8°</c:v>
                  </c:pt>
                </c:lvl>
              </c:multiLvlStrCache>
            </c:multiLvlStrRef>
          </c:cat>
          <c:val>
            <c:numRef>
              <c:f>'%'!$W$4:$W$12</c:f>
              <c:numCache>
                <c:formatCode>General</c:formatCode>
                <c:ptCount val="9"/>
                <c:pt idx="0">
                  <c:v>5</c:v>
                </c:pt>
                <c:pt idx="1">
                  <c:v>33</c:v>
                </c:pt>
                <c:pt idx="2">
                  <c:v>19</c:v>
                </c:pt>
                <c:pt idx="3">
                  <c:v>52</c:v>
                </c:pt>
                <c:pt idx="4">
                  <c:v>27</c:v>
                </c:pt>
                <c:pt idx="5">
                  <c:v>6</c:v>
                </c:pt>
                <c:pt idx="6">
                  <c:v>40</c:v>
                </c:pt>
                <c:pt idx="7">
                  <c:v>38</c:v>
                </c:pt>
                <c:pt idx="8">
                  <c:v>3</c:v>
                </c:pt>
              </c:numCache>
            </c:numRef>
          </c:val>
          <c:smooth val="0"/>
          <c:extLst>
            <c:ext xmlns:c16="http://schemas.microsoft.com/office/drawing/2014/chart" uri="{C3380CC4-5D6E-409C-BE32-E72D297353CC}">
              <c16:uniqueId val="{00000004-0A99-4F31-8832-1FDB65AA8986}"/>
            </c:ext>
          </c:extLst>
        </c:ser>
        <c:ser>
          <c:idx val="5"/>
          <c:order val="5"/>
          <c:tx>
            <c:strRef>
              <c:f>'%'!$X$3</c:f>
              <c:strCache>
                <c:ptCount val="1"/>
                <c:pt idx="0">
                  <c:v>% Tafilalt</c:v>
                </c:pt>
              </c:strCache>
            </c:strRef>
          </c:tx>
          <c:spPr>
            <a:ln w="22225" cap="rnd">
              <a:solidFill>
                <a:schemeClr val="accent6"/>
              </a:solidFill>
              <a:round/>
            </a:ln>
            <a:effectLst/>
          </c:spPr>
          <c:marker>
            <c:symbol val="circle"/>
            <c:size val="6"/>
            <c:spPr>
              <a:solidFill>
                <a:schemeClr val="accent6"/>
              </a:solidFill>
              <a:ln w="9525">
                <a:solidFill>
                  <a:schemeClr val="accent6"/>
                </a:solidFill>
                <a:round/>
              </a:ln>
              <a:effectLst/>
            </c:spPr>
          </c:marker>
          <c:cat>
            <c:multiLvlStrRef>
              <c:f>'%'!$Q$4:$R$12</c:f>
              <c:multiLvlStrCache>
                <c:ptCount val="9"/>
                <c:lvl>
                  <c:pt idx="0">
                    <c:v>Less favorable</c:v>
                  </c:pt>
                  <c:pt idx="1">
                    <c:v>Less favorable</c:v>
                  </c:pt>
                  <c:pt idx="2">
                    <c:v>Favorable</c:v>
                  </c:pt>
                  <c:pt idx="3">
                    <c:v>Favorable</c:v>
                  </c:pt>
                  <c:pt idx="4">
                    <c:v>Highly favorable</c:v>
                  </c:pt>
                  <c:pt idx="5">
                    <c:v>highly unfavorable</c:v>
                  </c:pt>
                  <c:pt idx="6">
                    <c:v>Unfavorable</c:v>
                  </c:pt>
                  <c:pt idx="7">
                    <c:v>Less unfavorable</c:v>
                  </c:pt>
                  <c:pt idx="8">
                    <c:v>Less unfavorable</c:v>
                  </c:pt>
                </c:lvl>
                <c:lvl>
                  <c:pt idx="0">
                    <c:v>81,8°-94,3°</c:v>
                  </c:pt>
                  <c:pt idx="1">
                    <c:v>94,3°-105,2°</c:v>
                  </c:pt>
                  <c:pt idx="2">
                    <c:v>116,1°-105,2°</c:v>
                  </c:pt>
                  <c:pt idx="3">
                    <c:v>116,1°-127,3°</c:v>
                  </c:pt>
                  <c:pt idx="4">
                    <c:v>127,3°-127,3°</c:v>
                  </c:pt>
                  <c:pt idx="5">
                    <c:v>Az-27,7°</c:v>
                  </c:pt>
                  <c:pt idx="6">
                    <c:v>27,7°-50,8°</c:v>
                  </c:pt>
                  <c:pt idx="7">
                    <c:v>50,8°-60,0°</c:v>
                  </c:pt>
                  <c:pt idx="8">
                    <c:v>60,0°-81,8°</c:v>
                  </c:pt>
                </c:lvl>
              </c:multiLvlStrCache>
            </c:multiLvlStrRef>
          </c:cat>
          <c:val>
            <c:numRef>
              <c:f>'%'!$X$4:$X$12</c:f>
              <c:numCache>
                <c:formatCode>0.00</c:formatCode>
                <c:ptCount val="9"/>
                <c:pt idx="0">
                  <c:v>2.2421524663677133</c:v>
                </c:pt>
                <c:pt idx="1">
                  <c:v>14.798206278026907</c:v>
                </c:pt>
                <c:pt idx="2">
                  <c:v>8.52017937219731</c:v>
                </c:pt>
                <c:pt idx="3">
                  <c:v>23.318385650224215</c:v>
                </c:pt>
                <c:pt idx="4">
                  <c:v>12.107623318385651</c:v>
                </c:pt>
                <c:pt idx="5">
                  <c:v>2.6905829596412558</c:v>
                </c:pt>
                <c:pt idx="6">
                  <c:v>17.937219730941706</c:v>
                </c:pt>
                <c:pt idx="7">
                  <c:v>17.04035874439462</c:v>
                </c:pt>
                <c:pt idx="8">
                  <c:v>1.3452914798206279</c:v>
                </c:pt>
              </c:numCache>
            </c:numRef>
          </c:val>
          <c:smooth val="0"/>
          <c:extLst>
            <c:ext xmlns:c16="http://schemas.microsoft.com/office/drawing/2014/chart" uri="{C3380CC4-5D6E-409C-BE32-E72D297353CC}">
              <c16:uniqueId val="{00000005-0A99-4F31-8832-1FDB65AA8986}"/>
            </c:ext>
          </c:extLst>
        </c:ser>
        <c:dLbls>
          <c:showLegendKey val="0"/>
          <c:showVal val="0"/>
          <c:showCatName val="0"/>
          <c:showSerName val="0"/>
          <c:showPercent val="0"/>
          <c:showBubbleSize val="0"/>
        </c:dLbls>
        <c:marker val="1"/>
        <c:smooth val="0"/>
        <c:axId val="225576944"/>
        <c:axId val="225574768"/>
      </c:lineChart>
      <c:catAx>
        <c:axId val="22557694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25574768"/>
        <c:crosses val="autoZero"/>
        <c:auto val="1"/>
        <c:lblAlgn val="ctr"/>
        <c:lblOffset val="100"/>
        <c:noMultiLvlLbl val="0"/>
      </c:catAx>
      <c:valAx>
        <c:axId val="225574768"/>
        <c:scaling>
          <c:orientation val="minMax"/>
        </c:scaling>
        <c:delete val="0"/>
        <c:axPos val="l"/>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57694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628459537919381E-2"/>
          <c:y val="0.23570703297124357"/>
          <c:w val="0.92837154046208059"/>
          <c:h val="0.57823629710519764"/>
        </c:manualLayout>
      </c:layout>
      <c:lineChart>
        <c:grouping val="standard"/>
        <c:varyColors val="0"/>
        <c:ser>
          <c:idx val="0"/>
          <c:order val="0"/>
          <c:tx>
            <c:strRef>
              <c:f>'%'!$T$3</c:f>
              <c:strCache>
                <c:ptCount val="1"/>
                <c:pt idx="0">
                  <c:v>Number of lanes El Atteuf</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multiLvlStrRef>
              <c:f>'%'!$R$4:$S$10</c:f>
              <c:multiLvlStrCache>
                <c:ptCount val="7"/>
                <c:lvl>
                  <c:pt idx="0">
                    <c:v>Less favorable</c:v>
                  </c:pt>
                  <c:pt idx="1">
                    <c:v>Favorable</c:v>
                  </c:pt>
                  <c:pt idx="2">
                    <c:v>Favorable</c:v>
                  </c:pt>
                  <c:pt idx="3">
                    <c:v>Highly favorable</c:v>
                  </c:pt>
                  <c:pt idx="4">
                    <c:v>Highly unfavorable</c:v>
                  </c:pt>
                  <c:pt idx="5">
                    <c:v>Unfavorable</c:v>
                  </c:pt>
                  <c:pt idx="6">
                    <c:v>Less Unfavorable</c:v>
                  </c:pt>
                </c:lvl>
                <c:lvl>
                  <c:pt idx="0">
                    <c:v>65,7°-51,9°</c:v>
                  </c:pt>
                  <c:pt idx="1">
                    <c:v>78,3°-65,7°</c:v>
                  </c:pt>
                  <c:pt idx="2">
                    <c:v>90°-78,3°</c:v>
                  </c:pt>
                  <c:pt idx="3">
                    <c:v>90°-90°</c:v>
                  </c:pt>
                  <c:pt idx="4">
                    <c:v>19°-Az</c:v>
                  </c:pt>
                  <c:pt idx="5">
                    <c:v>19°-36,5°</c:v>
                  </c:pt>
                  <c:pt idx="6">
                    <c:v>36,5°-51,9°</c:v>
                  </c:pt>
                </c:lvl>
              </c:multiLvlStrCache>
            </c:multiLvlStrRef>
          </c:cat>
          <c:val>
            <c:numRef>
              <c:f>'%'!$T$4:$T$10</c:f>
              <c:numCache>
                <c:formatCode>General</c:formatCode>
                <c:ptCount val="7"/>
                <c:pt idx="0" formatCode="0">
                  <c:v>14</c:v>
                </c:pt>
                <c:pt idx="1">
                  <c:v>33</c:v>
                </c:pt>
                <c:pt idx="2">
                  <c:v>65</c:v>
                </c:pt>
                <c:pt idx="3">
                  <c:v>265</c:v>
                </c:pt>
                <c:pt idx="4">
                  <c:v>54</c:v>
                </c:pt>
                <c:pt idx="5">
                  <c:v>30</c:v>
                </c:pt>
                <c:pt idx="6">
                  <c:v>22</c:v>
                </c:pt>
              </c:numCache>
            </c:numRef>
          </c:val>
          <c:smooth val="0"/>
          <c:extLst>
            <c:ext xmlns:c16="http://schemas.microsoft.com/office/drawing/2014/chart" uri="{C3380CC4-5D6E-409C-BE32-E72D297353CC}">
              <c16:uniqueId val="{00000000-022B-48D6-B463-5DE5846E6794}"/>
            </c:ext>
          </c:extLst>
        </c:ser>
        <c:ser>
          <c:idx val="1"/>
          <c:order val="1"/>
          <c:tx>
            <c:strRef>
              <c:f>'%'!$U$3</c:f>
              <c:strCache>
                <c:ptCount val="1"/>
                <c:pt idx="0">
                  <c:v>% of El Atteuf</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multiLvlStrRef>
              <c:f>'%'!$R$4:$S$10</c:f>
              <c:multiLvlStrCache>
                <c:ptCount val="7"/>
                <c:lvl>
                  <c:pt idx="0">
                    <c:v>Less favorable</c:v>
                  </c:pt>
                  <c:pt idx="1">
                    <c:v>Favorable</c:v>
                  </c:pt>
                  <c:pt idx="2">
                    <c:v>Favorable</c:v>
                  </c:pt>
                  <c:pt idx="3">
                    <c:v>Highly favorable</c:v>
                  </c:pt>
                  <c:pt idx="4">
                    <c:v>Highly unfavorable</c:v>
                  </c:pt>
                  <c:pt idx="5">
                    <c:v>Unfavorable</c:v>
                  </c:pt>
                  <c:pt idx="6">
                    <c:v>Less Unfavorable</c:v>
                  </c:pt>
                </c:lvl>
                <c:lvl>
                  <c:pt idx="0">
                    <c:v>65,7°-51,9°</c:v>
                  </c:pt>
                  <c:pt idx="1">
                    <c:v>78,3°-65,7°</c:v>
                  </c:pt>
                  <c:pt idx="2">
                    <c:v>90°-78,3°</c:v>
                  </c:pt>
                  <c:pt idx="3">
                    <c:v>90°-90°</c:v>
                  </c:pt>
                  <c:pt idx="4">
                    <c:v>19°-Az</c:v>
                  </c:pt>
                  <c:pt idx="5">
                    <c:v>19°-36,5°</c:v>
                  </c:pt>
                  <c:pt idx="6">
                    <c:v>36,5°-51,9°</c:v>
                  </c:pt>
                </c:lvl>
              </c:multiLvlStrCache>
            </c:multiLvlStrRef>
          </c:cat>
          <c:val>
            <c:numRef>
              <c:f>'%'!$U$4:$U$10</c:f>
              <c:numCache>
                <c:formatCode>0.00</c:formatCode>
                <c:ptCount val="7"/>
                <c:pt idx="0">
                  <c:v>2.8985507246376812</c:v>
                </c:pt>
                <c:pt idx="1">
                  <c:v>6.8322981366459627</c:v>
                </c:pt>
                <c:pt idx="2">
                  <c:v>13.457556935817804</c:v>
                </c:pt>
                <c:pt idx="3">
                  <c:v>54.865424430641824</c:v>
                </c:pt>
                <c:pt idx="4">
                  <c:v>11.180124223602485</c:v>
                </c:pt>
                <c:pt idx="5">
                  <c:v>6.2111801242236027</c:v>
                </c:pt>
                <c:pt idx="6">
                  <c:v>4.5548654244306421</c:v>
                </c:pt>
              </c:numCache>
            </c:numRef>
          </c:val>
          <c:smooth val="0"/>
          <c:extLst>
            <c:ext xmlns:c16="http://schemas.microsoft.com/office/drawing/2014/chart" uri="{C3380CC4-5D6E-409C-BE32-E72D297353CC}">
              <c16:uniqueId val="{00000001-022B-48D6-B463-5DE5846E6794}"/>
            </c:ext>
          </c:extLst>
        </c:ser>
        <c:ser>
          <c:idx val="2"/>
          <c:order val="2"/>
          <c:tx>
            <c:strRef>
              <c:f>'%'!$V$3</c:f>
              <c:strCache>
                <c:ptCount val="1"/>
                <c:pt idx="0">
                  <c:v>Number of lanes of Beni Yezueguen</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multiLvlStrRef>
              <c:f>'%'!$R$4:$S$10</c:f>
              <c:multiLvlStrCache>
                <c:ptCount val="7"/>
                <c:lvl>
                  <c:pt idx="0">
                    <c:v>Less favorable</c:v>
                  </c:pt>
                  <c:pt idx="1">
                    <c:v>Favorable</c:v>
                  </c:pt>
                  <c:pt idx="2">
                    <c:v>Favorable</c:v>
                  </c:pt>
                  <c:pt idx="3">
                    <c:v>Highly favorable</c:v>
                  </c:pt>
                  <c:pt idx="4">
                    <c:v>Highly unfavorable</c:v>
                  </c:pt>
                  <c:pt idx="5">
                    <c:v>Unfavorable</c:v>
                  </c:pt>
                  <c:pt idx="6">
                    <c:v>Less Unfavorable</c:v>
                  </c:pt>
                </c:lvl>
                <c:lvl>
                  <c:pt idx="0">
                    <c:v>65,7°-51,9°</c:v>
                  </c:pt>
                  <c:pt idx="1">
                    <c:v>78,3°-65,7°</c:v>
                  </c:pt>
                  <c:pt idx="2">
                    <c:v>90°-78,3°</c:v>
                  </c:pt>
                  <c:pt idx="3">
                    <c:v>90°-90°</c:v>
                  </c:pt>
                  <c:pt idx="4">
                    <c:v>19°-Az</c:v>
                  </c:pt>
                  <c:pt idx="5">
                    <c:v>19°-36,5°</c:v>
                  </c:pt>
                  <c:pt idx="6">
                    <c:v>36,5°-51,9°</c:v>
                  </c:pt>
                </c:lvl>
              </c:multiLvlStrCache>
            </c:multiLvlStrRef>
          </c:cat>
          <c:val>
            <c:numRef>
              <c:f>'%'!$V$4:$V$10</c:f>
              <c:numCache>
                <c:formatCode>General</c:formatCode>
                <c:ptCount val="7"/>
                <c:pt idx="0" formatCode="0">
                  <c:v>23</c:v>
                </c:pt>
                <c:pt idx="1">
                  <c:v>37</c:v>
                </c:pt>
                <c:pt idx="2">
                  <c:v>26</c:v>
                </c:pt>
                <c:pt idx="3">
                  <c:v>329</c:v>
                </c:pt>
                <c:pt idx="4">
                  <c:v>81</c:v>
                </c:pt>
                <c:pt idx="5">
                  <c:v>46</c:v>
                </c:pt>
                <c:pt idx="6">
                  <c:v>25</c:v>
                </c:pt>
              </c:numCache>
            </c:numRef>
          </c:val>
          <c:smooth val="0"/>
          <c:extLst>
            <c:ext xmlns:c16="http://schemas.microsoft.com/office/drawing/2014/chart" uri="{C3380CC4-5D6E-409C-BE32-E72D297353CC}">
              <c16:uniqueId val="{00000002-022B-48D6-B463-5DE5846E6794}"/>
            </c:ext>
          </c:extLst>
        </c:ser>
        <c:ser>
          <c:idx val="3"/>
          <c:order val="3"/>
          <c:tx>
            <c:strRef>
              <c:f>'%'!$W$3</c:f>
              <c:strCache>
                <c:ptCount val="1"/>
                <c:pt idx="0">
                  <c:v>% Beni Yezuguen</c:v>
                </c:pt>
              </c:strCache>
            </c:strRef>
          </c:tx>
          <c:spPr>
            <a:ln w="22225" cap="rnd">
              <a:solidFill>
                <a:schemeClr val="accent4"/>
              </a:solidFill>
              <a:round/>
            </a:ln>
            <a:effectLst/>
          </c:spPr>
          <c:marker>
            <c:symbol val="x"/>
            <c:size val="6"/>
            <c:spPr>
              <a:noFill/>
              <a:ln w="9525">
                <a:solidFill>
                  <a:schemeClr val="accent4"/>
                </a:solidFill>
                <a:round/>
              </a:ln>
              <a:effectLst/>
            </c:spPr>
          </c:marker>
          <c:cat>
            <c:multiLvlStrRef>
              <c:f>'%'!$R$4:$S$10</c:f>
              <c:multiLvlStrCache>
                <c:ptCount val="7"/>
                <c:lvl>
                  <c:pt idx="0">
                    <c:v>Less favorable</c:v>
                  </c:pt>
                  <c:pt idx="1">
                    <c:v>Favorable</c:v>
                  </c:pt>
                  <c:pt idx="2">
                    <c:v>Favorable</c:v>
                  </c:pt>
                  <c:pt idx="3">
                    <c:v>Highly favorable</c:v>
                  </c:pt>
                  <c:pt idx="4">
                    <c:v>Highly unfavorable</c:v>
                  </c:pt>
                  <c:pt idx="5">
                    <c:v>Unfavorable</c:v>
                  </c:pt>
                  <c:pt idx="6">
                    <c:v>Less Unfavorable</c:v>
                  </c:pt>
                </c:lvl>
                <c:lvl>
                  <c:pt idx="0">
                    <c:v>65,7°-51,9°</c:v>
                  </c:pt>
                  <c:pt idx="1">
                    <c:v>78,3°-65,7°</c:v>
                  </c:pt>
                  <c:pt idx="2">
                    <c:v>90°-78,3°</c:v>
                  </c:pt>
                  <c:pt idx="3">
                    <c:v>90°-90°</c:v>
                  </c:pt>
                  <c:pt idx="4">
                    <c:v>19°-Az</c:v>
                  </c:pt>
                  <c:pt idx="5">
                    <c:v>19°-36,5°</c:v>
                  </c:pt>
                  <c:pt idx="6">
                    <c:v>36,5°-51,9°</c:v>
                  </c:pt>
                </c:lvl>
              </c:multiLvlStrCache>
            </c:multiLvlStrRef>
          </c:cat>
          <c:val>
            <c:numRef>
              <c:f>'%'!$W$4:$W$10</c:f>
              <c:numCache>
                <c:formatCode>0.00</c:formatCode>
                <c:ptCount val="7"/>
                <c:pt idx="0">
                  <c:v>4.0564373897707231</c:v>
                </c:pt>
                <c:pt idx="1">
                  <c:v>6.5255731922398592</c:v>
                </c:pt>
                <c:pt idx="2">
                  <c:v>4.5855379188712515</c:v>
                </c:pt>
                <c:pt idx="3">
                  <c:v>58.02469135802469</c:v>
                </c:pt>
                <c:pt idx="4">
                  <c:v>14.285714285714286</c:v>
                </c:pt>
                <c:pt idx="5">
                  <c:v>8.1128747795414462</c:v>
                </c:pt>
                <c:pt idx="6">
                  <c:v>4.409171075837742</c:v>
                </c:pt>
              </c:numCache>
            </c:numRef>
          </c:val>
          <c:smooth val="0"/>
          <c:extLst>
            <c:ext xmlns:c16="http://schemas.microsoft.com/office/drawing/2014/chart" uri="{C3380CC4-5D6E-409C-BE32-E72D297353CC}">
              <c16:uniqueId val="{00000003-022B-48D6-B463-5DE5846E6794}"/>
            </c:ext>
          </c:extLst>
        </c:ser>
        <c:ser>
          <c:idx val="4"/>
          <c:order val="4"/>
          <c:tx>
            <c:strRef>
              <c:f>'%'!$X$3</c:f>
              <c:strCache>
                <c:ptCount val="1"/>
                <c:pt idx="0">
                  <c:v> Number of lanes of Tafilalt</c:v>
                </c:pt>
              </c:strCache>
            </c:strRef>
          </c:tx>
          <c:spPr>
            <a:ln w="22225" cap="rnd">
              <a:solidFill>
                <a:schemeClr val="accent5"/>
              </a:solidFill>
              <a:round/>
            </a:ln>
            <a:effectLst/>
          </c:spPr>
          <c:marker>
            <c:symbol val="star"/>
            <c:size val="6"/>
            <c:spPr>
              <a:noFill/>
              <a:ln w="9525">
                <a:solidFill>
                  <a:schemeClr val="accent5"/>
                </a:solidFill>
                <a:round/>
              </a:ln>
              <a:effectLst/>
            </c:spPr>
          </c:marker>
          <c:cat>
            <c:multiLvlStrRef>
              <c:f>'%'!$R$4:$S$10</c:f>
              <c:multiLvlStrCache>
                <c:ptCount val="7"/>
                <c:lvl>
                  <c:pt idx="0">
                    <c:v>Less favorable</c:v>
                  </c:pt>
                  <c:pt idx="1">
                    <c:v>Favorable</c:v>
                  </c:pt>
                  <c:pt idx="2">
                    <c:v>Favorable</c:v>
                  </c:pt>
                  <c:pt idx="3">
                    <c:v>Highly favorable</c:v>
                  </c:pt>
                  <c:pt idx="4">
                    <c:v>Highly unfavorable</c:v>
                  </c:pt>
                  <c:pt idx="5">
                    <c:v>Unfavorable</c:v>
                  </c:pt>
                  <c:pt idx="6">
                    <c:v>Less Unfavorable</c:v>
                  </c:pt>
                </c:lvl>
                <c:lvl>
                  <c:pt idx="0">
                    <c:v>65,7°-51,9°</c:v>
                  </c:pt>
                  <c:pt idx="1">
                    <c:v>78,3°-65,7°</c:v>
                  </c:pt>
                  <c:pt idx="2">
                    <c:v>90°-78,3°</c:v>
                  </c:pt>
                  <c:pt idx="3">
                    <c:v>90°-90°</c:v>
                  </c:pt>
                  <c:pt idx="4">
                    <c:v>19°-Az</c:v>
                  </c:pt>
                  <c:pt idx="5">
                    <c:v>19°-36,5°</c:v>
                  </c:pt>
                  <c:pt idx="6">
                    <c:v>36,5°-51,9°</c:v>
                  </c:pt>
                </c:lvl>
              </c:multiLvlStrCache>
            </c:multiLvlStrRef>
          </c:cat>
          <c:val>
            <c:numRef>
              <c:f>'%'!$X$4:$X$10</c:f>
              <c:numCache>
                <c:formatCode>General</c:formatCode>
                <c:ptCount val="7"/>
                <c:pt idx="0" formatCode="0">
                  <c:v>8</c:v>
                </c:pt>
                <c:pt idx="1">
                  <c:v>12</c:v>
                </c:pt>
                <c:pt idx="2">
                  <c:v>14</c:v>
                </c:pt>
                <c:pt idx="3">
                  <c:v>88</c:v>
                </c:pt>
                <c:pt idx="4">
                  <c:v>25</c:v>
                </c:pt>
                <c:pt idx="5">
                  <c:v>24</c:v>
                </c:pt>
                <c:pt idx="6">
                  <c:v>52</c:v>
                </c:pt>
              </c:numCache>
            </c:numRef>
          </c:val>
          <c:smooth val="0"/>
          <c:extLst>
            <c:ext xmlns:c16="http://schemas.microsoft.com/office/drawing/2014/chart" uri="{C3380CC4-5D6E-409C-BE32-E72D297353CC}">
              <c16:uniqueId val="{00000004-022B-48D6-B463-5DE5846E6794}"/>
            </c:ext>
          </c:extLst>
        </c:ser>
        <c:ser>
          <c:idx val="5"/>
          <c:order val="5"/>
          <c:tx>
            <c:strRef>
              <c:f>'%'!$Y$3</c:f>
              <c:strCache>
                <c:ptCount val="1"/>
                <c:pt idx="0">
                  <c:v>% Tafilalt</c:v>
                </c:pt>
              </c:strCache>
            </c:strRef>
          </c:tx>
          <c:spPr>
            <a:ln w="22225" cap="rnd">
              <a:solidFill>
                <a:schemeClr val="accent6"/>
              </a:solidFill>
              <a:round/>
            </a:ln>
            <a:effectLst/>
          </c:spPr>
          <c:marker>
            <c:symbol val="circle"/>
            <c:size val="6"/>
            <c:spPr>
              <a:solidFill>
                <a:schemeClr val="accent6"/>
              </a:solidFill>
              <a:ln w="9525">
                <a:solidFill>
                  <a:schemeClr val="accent6"/>
                </a:solidFill>
                <a:round/>
              </a:ln>
              <a:effectLst/>
            </c:spPr>
          </c:marker>
          <c:cat>
            <c:multiLvlStrRef>
              <c:f>'%'!$R$4:$S$10</c:f>
              <c:multiLvlStrCache>
                <c:ptCount val="7"/>
                <c:lvl>
                  <c:pt idx="0">
                    <c:v>Less favorable</c:v>
                  </c:pt>
                  <c:pt idx="1">
                    <c:v>Favorable</c:v>
                  </c:pt>
                  <c:pt idx="2">
                    <c:v>Favorable</c:v>
                  </c:pt>
                  <c:pt idx="3">
                    <c:v>Highly favorable</c:v>
                  </c:pt>
                  <c:pt idx="4">
                    <c:v>Highly unfavorable</c:v>
                  </c:pt>
                  <c:pt idx="5">
                    <c:v>Unfavorable</c:v>
                  </c:pt>
                  <c:pt idx="6">
                    <c:v>Less Unfavorable</c:v>
                  </c:pt>
                </c:lvl>
                <c:lvl>
                  <c:pt idx="0">
                    <c:v>65,7°-51,9°</c:v>
                  </c:pt>
                  <c:pt idx="1">
                    <c:v>78,3°-65,7°</c:v>
                  </c:pt>
                  <c:pt idx="2">
                    <c:v>90°-78,3°</c:v>
                  </c:pt>
                  <c:pt idx="3">
                    <c:v>90°-90°</c:v>
                  </c:pt>
                  <c:pt idx="4">
                    <c:v>19°-Az</c:v>
                  </c:pt>
                  <c:pt idx="5">
                    <c:v>19°-36,5°</c:v>
                  </c:pt>
                  <c:pt idx="6">
                    <c:v>36,5°-51,9°</c:v>
                  </c:pt>
                </c:lvl>
              </c:multiLvlStrCache>
            </c:multiLvlStrRef>
          </c:cat>
          <c:val>
            <c:numRef>
              <c:f>'%'!$Y$4:$Y$10</c:f>
              <c:numCache>
                <c:formatCode>0.00</c:formatCode>
                <c:ptCount val="7"/>
                <c:pt idx="0">
                  <c:v>3.5874439461883409</c:v>
                </c:pt>
                <c:pt idx="1">
                  <c:v>5.3811659192825116</c:v>
                </c:pt>
                <c:pt idx="2">
                  <c:v>6.2780269058295968</c:v>
                </c:pt>
                <c:pt idx="3">
                  <c:v>39.461883408071749</c:v>
                </c:pt>
                <c:pt idx="4">
                  <c:v>11.210762331838565</c:v>
                </c:pt>
                <c:pt idx="5">
                  <c:v>10.762331838565022</c:v>
                </c:pt>
                <c:pt idx="6">
                  <c:v>23.318385650224215</c:v>
                </c:pt>
              </c:numCache>
            </c:numRef>
          </c:val>
          <c:smooth val="0"/>
          <c:extLst>
            <c:ext xmlns:c16="http://schemas.microsoft.com/office/drawing/2014/chart" uri="{C3380CC4-5D6E-409C-BE32-E72D297353CC}">
              <c16:uniqueId val="{00000005-022B-48D6-B463-5DE5846E6794}"/>
            </c:ext>
          </c:extLst>
        </c:ser>
        <c:dLbls>
          <c:showLegendKey val="0"/>
          <c:showVal val="0"/>
          <c:showCatName val="0"/>
          <c:showSerName val="0"/>
          <c:showPercent val="0"/>
          <c:showBubbleSize val="0"/>
        </c:dLbls>
        <c:hiLowLines>
          <c:spPr>
            <a:ln w="9525">
              <a:solidFill>
                <a:schemeClr val="tx1">
                  <a:lumMod val="50000"/>
                  <a:lumOff val="50000"/>
                </a:schemeClr>
              </a:solidFill>
            </a:ln>
            <a:effectLst/>
          </c:spPr>
        </c:hiLowLines>
        <c:marker val="1"/>
        <c:smooth val="0"/>
        <c:axId val="225571504"/>
        <c:axId val="225575312"/>
      </c:lineChart>
      <c:catAx>
        <c:axId val="2255715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225575312"/>
        <c:crosses val="autoZero"/>
        <c:auto val="1"/>
        <c:lblAlgn val="ctr"/>
        <c:lblOffset val="100"/>
        <c:noMultiLvlLbl val="0"/>
      </c:catAx>
      <c:valAx>
        <c:axId val="225575312"/>
        <c:scaling>
          <c:orientation val="minMax"/>
        </c:scaling>
        <c:delete val="0"/>
        <c:axPos val="l"/>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557150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644883140458366E-2"/>
          <c:y val="2.7430503075660435E-2"/>
          <c:w val="0.75436769348691868"/>
          <c:h val="0.56883319925566589"/>
        </c:manualLayout>
      </c:layout>
      <c:lineChart>
        <c:grouping val="standard"/>
        <c:varyColors val="0"/>
        <c:ser>
          <c:idx val="0"/>
          <c:order val="0"/>
          <c:tx>
            <c:strRef>
              <c:f>coefficient!$B$5</c:f>
              <c:strCache>
                <c:ptCount val="1"/>
                <c:pt idx="0">
                  <c:v>In December</c:v>
                </c:pt>
              </c:strCache>
            </c:strRef>
          </c:tx>
          <c:spPr>
            <a:ln w="28575" cap="rnd" cmpd="sng" algn="ctr">
              <a:solidFill>
                <a:schemeClr val="accent6">
                  <a:shade val="95000"/>
                  <a:satMod val="105000"/>
                </a:schemeClr>
              </a:solidFill>
              <a:prstDash val="solid"/>
              <a:round/>
            </a:ln>
            <a:effectLst/>
          </c:spPr>
          <c:marker>
            <c:spPr>
              <a:solidFill>
                <a:schemeClr val="accent6"/>
              </a:solidFill>
              <a:ln w="9525" cap="flat" cmpd="sng" algn="ctr">
                <a:solidFill>
                  <a:schemeClr val="accent6">
                    <a:shade val="95000"/>
                    <a:satMod val="105000"/>
                  </a:schemeClr>
                </a:solidFill>
                <a:prstDash val="solid"/>
                <a:round/>
              </a:ln>
              <a:effectLst/>
            </c:spPr>
          </c:marker>
          <c:cat>
            <c:strRef>
              <c:f>coefficient!$C$4:$E$4</c:f>
              <c:strCache>
                <c:ptCount val="3"/>
                <c:pt idx="0">
                  <c:v>Ksar of el Ateuf</c:v>
                </c:pt>
                <c:pt idx="1">
                  <c:v>Ksar of Beni Yezuguen</c:v>
                </c:pt>
                <c:pt idx="2">
                  <c:v>Ksar of Tafilalt</c:v>
                </c:pt>
              </c:strCache>
            </c:strRef>
          </c:cat>
          <c:val>
            <c:numRef>
              <c:f>coefficient!$C$5:$E$5</c:f>
              <c:numCache>
                <c:formatCode>General</c:formatCode>
                <c:ptCount val="3"/>
                <c:pt idx="0">
                  <c:v>14483.39</c:v>
                </c:pt>
                <c:pt idx="1">
                  <c:v>19349.650000000001</c:v>
                </c:pt>
                <c:pt idx="2">
                  <c:v>23537.759999999998</c:v>
                </c:pt>
              </c:numCache>
            </c:numRef>
          </c:val>
          <c:smooth val="0"/>
          <c:extLst>
            <c:ext xmlns:c16="http://schemas.microsoft.com/office/drawing/2014/chart" uri="{C3380CC4-5D6E-409C-BE32-E72D297353CC}">
              <c16:uniqueId val="{00000000-4810-4566-9DA0-A977A7B6E650}"/>
            </c:ext>
          </c:extLst>
        </c:ser>
        <c:ser>
          <c:idx val="1"/>
          <c:order val="1"/>
          <c:tx>
            <c:strRef>
              <c:f>coefficient!$B$6</c:f>
              <c:strCache>
                <c:ptCount val="1"/>
                <c:pt idx="0">
                  <c:v>In June</c:v>
                </c:pt>
              </c:strCache>
            </c:strRef>
          </c:tx>
          <c:spPr>
            <a:ln w="28575" cap="rnd" cmpd="sng" algn="ctr">
              <a:solidFill>
                <a:schemeClr val="accent5">
                  <a:shade val="95000"/>
                  <a:satMod val="105000"/>
                </a:schemeClr>
              </a:solidFill>
              <a:prstDash val="solid"/>
              <a:round/>
            </a:ln>
            <a:effectLst/>
          </c:spPr>
          <c:marker>
            <c:spPr>
              <a:solidFill>
                <a:schemeClr val="accent5"/>
              </a:solidFill>
              <a:ln w="9525" cap="flat" cmpd="sng" algn="ctr">
                <a:solidFill>
                  <a:schemeClr val="accent5">
                    <a:shade val="95000"/>
                    <a:satMod val="105000"/>
                  </a:schemeClr>
                </a:solidFill>
                <a:prstDash val="solid"/>
                <a:round/>
              </a:ln>
              <a:effectLst/>
            </c:spPr>
          </c:marker>
          <c:cat>
            <c:strRef>
              <c:f>coefficient!$C$4:$E$4</c:f>
              <c:strCache>
                <c:ptCount val="3"/>
                <c:pt idx="0">
                  <c:v>Ksar of el Ateuf</c:v>
                </c:pt>
                <c:pt idx="1">
                  <c:v>Ksar of Beni Yezuguen</c:v>
                </c:pt>
                <c:pt idx="2">
                  <c:v>Ksar of Tafilalt</c:v>
                </c:pt>
              </c:strCache>
            </c:strRef>
          </c:cat>
          <c:val>
            <c:numRef>
              <c:f>coefficient!$C$6:$E$6</c:f>
              <c:numCache>
                <c:formatCode>General</c:formatCode>
                <c:ptCount val="3"/>
                <c:pt idx="0">
                  <c:v>17438.3</c:v>
                </c:pt>
                <c:pt idx="1">
                  <c:v>8492.3700000000008</c:v>
                </c:pt>
                <c:pt idx="2">
                  <c:v>1365.2</c:v>
                </c:pt>
              </c:numCache>
            </c:numRef>
          </c:val>
          <c:smooth val="0"/>
          <c:extLst>
            <c:ext xmlns:c16="http://schemas.microsoft.com/office/drawing/2014/chart" uri="{C3380CC4-5D6E-409C-BE32-E72D297353CC}">
              <c16:uniqueId val="{00000001-4810-4566-9DA0-A977A7B6E650}"/>
            </c:ext>
          </c:extLst>
        </c:ser>
        <c:ser>
          <c:idx val="2"/>
          <c:order val="2"/>
          <c:tx>
            <c:strRef>
              <c:f>coefficient!$B$7</c:f>
              <c:strCache>
                <c:ptCount val="1"/>
                <c:pt idx="0">
                  <c:v>In September</c:v>
                </c:pt>
              </c:strCache>
            </c:strRef>
          </c:tx>
          <c:spPr>
            <a:ln w="28575" cap="rnd" cmpd="sng" algn="ctr">
              <a:solidFill>
                <a:schemeClr val="accent4">
                  <a:shade val="95000"/>
                  <a:satMod val="105000"/>
                </a:schemeClr>
              </a:solidFill>
              <a:prstDash val="solid"/>
              <a:round/>
            </a:ln>
            <a:effectLst/>
          </c:spPr>
          <c:marker>
            <c:spPr>
              <a:solidFill>
                <a:schemeClr val="accent4"/>
              </a:solidFill>
              <a:ln w="9525" cap="flat" cmpd="sng" algn="ctr">
                <a:solidFill>
                  <a:schemeClr val="accent4">
                    <a:shade val="95000"/>
                    <a:satMod val="105000"/>
                  </a:schemeClr>
                </a:solidFill>
                <a:prstDash val="solid"/>
                <a:round/>
              </a:ln>
              <a:effectLst/>
            </c:spPr>
          </c:marker>
          <c:cat>
            <c:strRef>
              <c:f>coefficient!$C$4:$E$4</c:f>
              <c:strCache>
                <c:ptCount val="3"/>
                <c:pt idx="0">
                  <c:v>Ksar of el Ateuf</c:v>
                </c:pt>
                <c:pt idx="1">
                  <c:v>Ksar of Beni Yezuguen</c:v>
                </c:pt>
                <c:pt idx="2">
                  <c:v>Ksar of Tafilalt</c:v>
                </c:pt>
              </c:strCache>
            </c:strRef>
          </c:cat>
          <c:val>
            <c:numRef>
              <c:f>coefficient!$C$7:$E$7</c:f>
              <c:numCache>
                <c:formatCode>General</c:formatCode>
                <c:ptCount val="3"/>
                <c:pt idx="0">
                  <c:v>15348.73</c:v>
                </c:pt>
                <c:pt idx="1">
                  <c:v>18580.080000000002</c:v>
                </c:pt>
                <c:pt idx="2">
                  <c:v>15098.33</c:v>
                </c:pt>
              </c:numCache>
            </c:numRef>
          </c:val>
          <c:smooth val="0"/>
          <c:extLst>
            <c:ext xmlns:c16="http://schemas.microsoft.com/office/drawing/2014/chart" uri="{C3380CC4-5D6E-409C-BE32-E72D297353CC}">
              <c16:uniqueId val="{00000002-4810-4566-9DA0-A977A7B6E650}"/>
            </c:ext>
          </c:extLst>
        </c:ser>
        <c:dLbls>
          <c:showLegendKey val="0"/>
          <c:showVal val="0"/>
          <c:showCatName val="0"/>
          <c:showSerName val="0"/>
          <c:showPercent val="0"/>
          <c:showBubbleSize val="0"/>
        </c:dLbls>
        <c:marker val="1"/>
        <c:smooth val="0"/>
        <c:axId val="225580752"/>
        <c:axId val="225581296"/>
      </c:lineChart>
      <c:catAx>
        <c:axId val="225580752"/>
        <c:scaling>
          <c:orientation val="minMax"/>
        </c:scaling>
        <c:delete val="0"/>
        <c:axPos val="b"/>
        <c:numFmt formatCode="General" sourceLinked="0"/>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25581296"/>
        <c:crosses val="autoZero"/>
        <c:auto val="1"/>
        <c:lblAlgn val="ctr"/>
        <c:lblOffset val="100"/>
        <c:noMultiLvlLbl val="0"/>
      </c:catAx>
      <c:valAx>
        <c:axId val="225581296"/>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none"/>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225580752"/>
        <c:crosses val="autoZero"/>
        <c:crossBetween val="between"/>
      </c:valAx>
      <c:dTable>
        <c:showHorzBorder val="1"/>
        <c:showVertBorder val="1"/>
        <c:showOutline val="1"/>
        <c:showKeys val="1"/>
        <c:spPr>
          <a:noFill/>
          <a:ln w="9525" cap="flat" cmpd="sng" algn="ctr">
            <a:solidFill>
              <a:schemeClr val="tx1">
                <a:tint val="75000"/>
                <a:shade val="95000"/>
                <a:satMod val="105000"/>
              </a:schemeClr>
            </a:solidFill>
            <a:prstDash val="solid"/>
            <a:round/>
          </a:ln>
          <a:effectLst/>
        </c:spPr>
        <c:txPr>
          <a:bodyPr rot="0" spcFirstLastPara="1" vertOverflow="ellipsis" vert="horz" wrap="square" anchor="ctr" anchorCtr="1"/>
          <a:lstStyle/>
          <a:p>
            <a:pPr rtl="0">
              <a:defRPr sz="11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dTable>
      <c:spPr>
        <a:solidFill>
          <a:schemeClr val="bg1"/>
        </a:solidFill>
        <a:ln>
          <a:noFill/>
        </a:ln>
        <a:effectLst/>
      </c:spPr>
    </c:plotArea>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sz="11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cap="none" spc="0" normalizeH="0" baseline="0">
                <a:solidFill>
                  <a:schemeClr val="dk1">
                    <a:lumMod val="50000"/>
                    <a:lumOff val="50000"/>
                  </a:schemeClr>
                </a:solidFill>
                <a:latin typeface="+mj-lt"/>
                <a:ea typeface="+mj-ea"/>
                <a:cs typeface="+mj-cs"/>
              </a:defRPr>
            </a:pPr>
            <a:r>
              <a:rPr lang="fr-FR" sz="1050"/>
              <a:t>Footprint of the </a:t>
            </a:r>
            <a:r>
              <a:rPr lang="fr-FR" sz="1050" b="1" i="0" u="none" strike="noStrike" cap="none" normalizeH="0" baseline="0">
                <a:effectLst/>
              </a:rPr>
              <a:t>lanes</a:t>
            </a:r>
            <a:r>
              <a:rPr lang="fr-FR" sz="1050"/>
              <a:t> (Ksar El Atheuf)</a:t>
            </a:r>
          </a:p>
        </c:rich>
      </c:tx>
      <c:overlay val="0"/>
      <c:spPr>
        <a:noFill/>
        <a:ln>
          <a:noFill/>
        </a:ln>
        <a:effectLst/>
      </c:spPr>
      <c:txPr>
        <a:bodyPr rot="0" spcFirstLastPara="1" vertOverflow="ellipsis" vert="horz" wrap="square" anchor="ctr" anchorCtr="1"/>
        <a:lstStyle/>
        <a:p>
          <a:pPr>
            <a:defRPr sz="105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6.6039661708953049E-2"/>
          <c:y val="0.18259036144578314"/>
          <c:w val="0.9210117745698454"/>
          <c:h val="0.56452803339341628"/>
        </c:manualLayout>
      </c:layout>
      <c:lineChart>
        <c:grouping val="standard"/>
        <c:varyColors val="0"/>
        <c:ser>
          <c:idx val="0"/>
          <c:order val="0"/>
          <c:tx>
            <c:strRef>
              <c:f>'EL-Atteuf'!$B$1</c:f>
              <c:strCache>
                <c:ptCount val="1"/>
                <c:pt idx="0">
                  <c:v>Angle</c:v>
                </c:pt>
              </c:strCache>
            </c:strRef>
          </c:tx>
          <c:spPr>
            <a:ln w="9525" cap="rnd">
              <a:solidFill>
                <a:schemeClr val="accent1"/>
              </a:solidFill>
              <a:round/>
            </a:ln>
            <a:effectLst/>
          </c:spPr>
          <c:marker>
            <c:symbol val="none"/>
          </c:marker>
          <c:cat>
            <c:strRef>
              <c:f>'EL-Atteuf'!$A$2:$A$484</c:f>
              <c:strCache>
                <c:ptCount val="483"/>
                <c:pt idx="0">
                  <c:v>A1</c:v>
                </c:pt>
                <c:pt idx="1">
                  <c:v>A2</c:v>
                </c:pt>
                <c:pt idx="2">
                  <c:v>A3</c:v>
                </c:pt>
                <c:pt idx="3">
                  <c:v>A4</c:v>
                </c:pt>
                <c:pt idx="4">
                  <c:v>A5</c:v>
                </c:pt>
                <c:pt idx="5">
                  <c:v>A6</c:v>
                </c:pt>
                <c:pt idx="6">
                  <c:v>A7</c:v>
                </c:pt>
                <c:pt idx="7">
                  <c:v>A8</c:v>
                </c:pt>
                <c:pt idx="8">
                  <c:v>A9</c:v>
                </c:pt>
                <c:pt idx="9">
                  <c:v>A10</c:v>
                </c:pt>
                <c:pt idx="10">
                  <c:v>A11</c:v>
                </c:pt>
                <c:pt idx="11">
                  <c:v>A12</c:v>
                </c:pt>
                <c:pt idx="12">
                  <c:v>A13</c:v>
                </c:pt>
                <c:pt idx="13">
                  <c:v>A14</c:v>
                </c:pt>
                <c:pt idx="14">
                  <c:v>A15</c:v>
                </c:pt>
                <c:pt idx="15">
                  <c:v>A16</c:v>
                </c:pt>
                <c:pt idx="16">
                  <c:v>A17</c:v>
                </c:pt>
                <c:pt idx="17">
                  <c:v>A18</c:v>
                </c:pt>
                <c:pt idx="18">
                  <c:v>A19</c:v>
                </c:pt>
                <c:pt idx="19">
                  <c:v>A20</c:v>
                </c:pt>
                <c:pt idx="20">
                  <c:v>A21</c:v>
                </c:pt>
                <c:pt idx="21">
                  <c:v>A22</c:v>
                </c:pt>
                <c:pt idx="22">
                  <c:v>A23</c:v>
                </c:pt>
                <c:pt idx="23">
                  <c:v>A24</c:v>
                </c:pt>
                <c:pt idx="24">
                  <c:v>A25</c:v>
                </c:pt>
                <c:pt idx="25">
                  <c:v>A26</c:v>
                </c:pt>
                <c:pt idx="26">
                  <c:v>A27</c:v>
                </c:pt>
                <c:pt idx="27">
                  <c:v>A28</c:v>
                </c:pt>
                <c:pt idx="28">
                  <c:v>A29</c:v>
                </c:pt>
                <c:pt idx="29">
                  <c:v>A30</c:v>
                </c:pt>
                <c:pt idx="30">
                  <c:v>A31</c:v>
                </c:pt>
                <c:pt idx="31">
                  <c:v>A32</c:v>
                </c:pt>
                <c:pt idx="32">
                  <c:v>A33</c:v>
                </c:pt>
                <c:pt idx="33">
                  <c:v>A34</c:v>
                </c:pt>
                <c:pt idx="34">
                  <c:v>A35</c:v>
                </c:pt>
                <c:pt idx="35">
                  <c:v>A36</c:v>
                </c:pt>
                <c:pt idx="36">
                  <c:v>A37</c:v>
                </c:pt>
                <c:pt idx="37">
                  <c:v>A38</c:v>
                </c:pt>
                <c:pt idx="38">
                  <c:v>A39</c:v>
                </c:pt>
                <c:pt idx="39">
                  <c:v>A40</c:v>
                </c:pt>
                <c:pt idx="40">
                  <c:v>A41</c:v>
                </c:pt>
                <c:pt idx="41">
                  <c:v>A42</c:v>
                </c:pt>
                <c:pt idx="42">
                  <c:v>A43</c:v>
                </c:pt>
                <c:pt idx="43">
                  <c:v>A44</c:v>
                </c:pt>
                <c:pt idx="44">
                  <c:v>A45</c:v>
                </c:pt>
                <c:pt idx="45">
                  <c:v>A46</c:v>
                </c:pt>
                <c:pt idx="46">
                  <c:v>A47</c:v>
                </c:pt>
                <c:pt idx="47">
                  <c:v>A48</c:v>
                </c:pt>
                <c:pt idx="48">
                  <c:v>A49</c:v>
                </c:pt>
                <c:pt idx="49">
                  <c:v>A50</c:v>
                </c:pt>
                <c:pt idx="50">
                  <c:v>A51</c:v>
                </c:pt>
                <c:pt idx="51">
                  <c:v>A52</c:v>
                </c:pt>
                <c:pt idx="52">
                  <c:v>A53</c:v>
                </c:pt>
                <c:pt idx="53">
                  <c:v>A54</c:v>
                </c:pt>
                <c:pt idx="54">
                  <c:v>A55</c:v>
                </c:pt>
                <c:pt idx="55">
                  <c:v>A56</c:v>
                </c:pt>
                <c:pt idx="56">
                  <c:v>A57</c:v>
                </c:pt>
                <c:pt idx="57">
                  <c:v>A58</c:v>
                </c:pt>
                <c:pt idx="58">
                  <c:v>A59</c:v>
                </c:pt>
                <c:pt idx="59">
                  <c:v>A60</c:v>
                </c:pt>
                <c:pt idx="60">
                  <c:v>A61</c:v>
                </c:pt>
                <c:pt idx="61">
                  <c:v>A62</c:v>
                </c:pt>
                <c:pt idx="62">
                  <c:v>A63</c:v>
                </c:pt>
                <c:pt idx="63">
                  <c:v>A64</c:v>
                </c:pt>
                <c:pt idx="64">
                  <c:v>A65</c:v>
                </c:pt>
                <c:pt idx="65">
                  <c:v>A66</c:v>
                </c:pt>
                <c:pt idx="66">
                  <c:v>A67</c:v>
                </c:pt>
                <c:pt idx="67">
                  <c:v>A68</c:v>
                </c:pt>
                <c:pt idx="68">
                  <c:v>A69</c:v>
                </c:pt>
                <c:pt idx="69">
                  <c:v>A70</c:v>
                </c:pt>
                <c:pt idx="70">
                  <c:v>A71</c:v>
                </c:pt>
                <c:pt idx="71">
                  <c:v>A72</c:v>
                </c:pt>
                <c:pt idx="72">
                  <c:v>A73</c:v>
                </c:pt>
                <c:pt idx="73">
                  <c:v>A74</c:v>
                </c:pt>
                <c:pt idx="74">
                  <c:v>A75</c:v>
                </c:pt>
                <c:pt idx="75">
                  <c:v>A76</c:v>
                </c:pt>
                <c:pt idx="76">
                  <c:v>A77</c:v>
                </c:pt>
                <c:pt idx="77">
                  <c:v>A78</c:v>
                </c:pt>
                <c:pt idx="78">
                  <c:v>A79</c:v>
                </c:pt>
                <c:pt idx="79">
                  <c:v>A80</c:v>
                </c:pt>
                <c:pt idx="80">
                  <c:v>A81</c:v>
                </c:pt>
                <c:pt idx="81">
                  <c:v>A82</c:v>
                </c:pt>
                <c:pt idx="82">
                  <c:v>A83</c:v>
                </c:pt>
                <c:pt idx="83">
                  <c:v>A84</c:v>
                </c:pt>
                <c:pt idx="84">
                  <c:v>A85</c:v>
                </c:pt>
                <c:pt idx="85">
                  <c:v>A86</c:v>
                </c:pt>
                <c:pt idx="86">
                  <c:v>A87</c:v>
                </c:pt>
                <c:pt idx="87">
                  <c:v>A88</c:v>
                </c:pt>
                <c:pt idx="88">
                  <c:v>A89</c:v>
                </c:pt>
                <c:pt idx="89">
                  <c:v>A90</c:v>
                </c:pt>
                <c:pt idx="90">
                  <c:v>A91</c:v>
                </c:pt>
                <c:pt idx="91">
                  <c:v>A92</c:v>
                </c:pt>
                <c:pt idx="92">
                  <c:v>A93</c:v>
                </c:pt>
                <c:pt idx="93">
                  <c:v>A94</c:v>
                </c:pt>
                <c:pt idx="94">
                  <c:v>A95</c:v>
                </c:pt>
                <c:pt idx="95">
                  <c:v>A96</c:v>
                </c:pt>
                <c:pt idx="96">
                  <c:v>A97</c:v>
                </c:pt>
                <c:pt idx="97">
                  <c:v>A98</c:v>
                </c:pt>
                <c:pt idx="98">
                  <c:v>A99</c:v>
                </c:pt>
                <c:pt idx="99">
                  <c:v>A100</c:v>
                </c:pt>
                <c:pt idx="100">
                  <c:v>A101</c:v>
                </c:pt>
                <c:pt idx="101">
                  <c:v>A102</c:v>
                </c:pt>
                <c:pt idx="102">
                  <c:v>A103</c:v>
                </c:pt>
                <c:pt idx="103">
                  <c:v>A104</c:v>
                </c:pt>
                <c:pt idx="104">
                  <c:v>A105</c:v>
                </c:pt>
                <c:pt idx="105">
                  <c:v>A106</c:v>
                </c:pt>
                <c:pt idx="106">
                  <c:v>A107</c:v>
                </c:pt>
                <c:pt idx="107">
                  <c:v>A108</c:v>
                </c:pt>
                <c:pt idx="108">
                  <c:v>A109</c:v>
                </c:pt>
                <c:pt idx="109">
                  <c:v>A110</c:v>
                </c:pt>
                <c:pt idx="110">
                  <c:v>A111</c:v>
                </c:pt>
                <c:pt idx="111">
                  <c:v>A112</c:v>
                </c:pt>
                <c:pt idx="112">
                  <c:v>A113</c:v>
                </c:pt>
                <c:pt idx="113">
                  <c:v>A114</c:v>
                </c:pt>
                <c:pt idx="114">
                  <c:v>A115</c:v>
                </c:pt>
                <c:pt idx="115">
                  <c:v>A116</c:v>
                </c:pt>
                <c:pt idx="116">
                  <c:v>A117</c:v>
                </c:pt>
                <c:pt idx="117">
                  <c:v>A118</c:v>
                </c:pt>
                <c:pt idx="118">
                  <c:v>A119</c:v>
                </c:pt>
                <c:pt idx="119">
                  <c:v>A120</c:v>
                </c:pt>
                <c:pt idx="120">
                  <c:v>A121</c:v>
                </c:pt>
                <c:pt idx="121">
                  <c:v>A122</c:v>
                </c:pt>
                <c:pt idx="122">
                  <c:v>A123</c:v>
                </c:pt>
                <c:pt idx="123">
                  <c:v>A124</c:v>
                </c:pt>
                <c:pt idx="124">
                  <c:v>A125</c:v>
                </c:pt>
                <c:pt idx="125">
                  <c:v>A126</c:v>
                </c:pt>
                <c:pt idx="126">
                  <c:v>A127</c:v>
                </c:pt>
                <c:pt idx="127">
                  <c:v>A128</c:v>
                </c:pt>
                <c:pt idx="128">
                  <c:v>A129</c:v>
                </c:pt>
                <c:pt idx="129">
                  <c:v>A130</c:v>
                </c:pt>
                <c:pt idx="130">
                  <c:v>A131</c:v>
                </c:pt>
                <c:pt idx="131">
                  <c:v>A132</c:v>
                </c:pt>
                <c:pt idx="132">
                  <c:v>A133</c:v>
                </c:pt>
                <c:pt idx="133">
                  <c:v>A134</c:v>
                </c:pt>
                <c:pt idx="134">
                  <c:v>A135</c:v>
                </c:pt>
                <c:pt idx="135">
                  <c:v>A136</c:v>
                </c:pt>
                <c:pt idx="136">
                  <c:v>A137</c:v>
                </c:pt>
                <c:pt idx="137">
                  <c:v>A138</c:v>
                </c:pt>
                <c:pt idx="138">
                  <c:v>A139</c:v>
                </c:pt>
                <c:pt idx="139">
                  <c:v>A140</c:v>
                </c:pt>
                <c:pt idx="140">
                  <c:v>A141</c:v>
                </c:pt>
                <c:pt idx="141">
                  <c:v>A142</c:v>
                </c:pt>
                <c:pt idx="142">
                  <c:v>A143</c:v>
                </c:pt>
                <c:pt idx="143">
                  <c:v>A144</c:v>
                </c:pt>
                <c:pt idx="144">
                  <c:v>A145</c:v>
                </c:pt>
                <c:pt idx="145">
                  <c:v>A146</c:v>
                </c:pt>
                <c:pt idx="146">
                  <c:v>A147</c:v>
                </c:pt>
                <c:pt idx="147">
                  <c:v>A148</c:v>
                </c:pt>
                <c:pt idx="148">
                  <c:v>A149</c:v>
                </c:pt>
                <c:pt idx="149">
                  <c:v>A150</c:v>
                </c:pt>
                <c:pt idx="150">
                  <c:v>A151</c:v>
                </c:pt>
                <c:pt idx="151">
                  <c:v>A152</c:v>
                </c:pt>
                <c:pt idx="152">
                  <c:v>A153</c:v>
                </c:pt>
                <c:pt idx="153">
                  <c:v>A154</c:v>
                </c:pt>
                <c:pt idx="154">
                  <c:v>A155</c:v>
                </c:pt>
                <c:pt idx="155">
                  <c:v>A156</c:v>
                </c:pt>
                <c:pt idx="156">
                  <c:v>A157</c:v>
                </c:pt>
                <c:pt idx="157">
                  <c:v>A158</c:v>
                </c:pt>
                <c:pt idx="158">
                  <c:v>A159</c:v>
                </c:pt>
                <c:pt idx="159">
                  <c:v>A160</c:v>
                </c:pt>
                <c:pt idx="160">
                  <c:v>A161</c:v>
                </c:pt>
                <c:pt idx="161">
                  <c:v>A162</c:v>
                </c:pt>
                <c:pt idx="162">
                  <c:v>A163</c:v>
                </c:pt>
                <c:pt idx="163">
                  <c:v>A164</c:v>
                </c:pt>
                <c:pt idx="164">
                  <c:v>A165</c:v>
                </c:pt>
                <c:pt idx="165">
                  <c:v>A166</c:v>
                </c:pt>
                <c:pt idx="166">
                  <c:v>A167</c:v>
                </c:pt>
                <c:pt idx="167">
                  <c:v>A168</c:v>
                </c:pt>
                <c:pt idx="168">
                  <c:v>A169</c:v>
                </c:pt>
                <c:pt idx="169">
                  <c:v>A170</c:v>
                </c:pt>
                <c:pt idx="170">
                  <c:v>A171</c:v>
                </c:pt>
                <c:pt idx="171">
                  <c:v>A172</c:v>
                </c:pt>
                <c:pt idx="172">
                  <c:v>A173</c:v>
                </c:pt>
                <c:pt idx="173">
                  <c:v>A174</c:v>
                </c:pt>
                <c:pt idx="174">
                  <c:v>A175</c:v>
                </c:pt>
                <c:pt idx="175">
                  <c:v>A176</c:v>
                </c:pt>
                <c:pt idx="176">
                  <c:v>A177</c:v>
                </c:pt>
                <c:pt idx="177">
                  <c:v>A178</c:v>
                </c:pt>
                <c:pt idx="178">
                  <c:v>A179</c:v>
                </c:pt>
                <c:pt idx="179">
                  <c:v>A180</c:v>
                </c:pt>
                <c:pt idx="180">
                  <c:v>A181</c:v>
                </c:pt>
                <c:pt idx="181">
                  <c:v>A182</c:v>
                </c:pt>
                <c:pt idx="182">
                  <c:v>A183</c:v>
                </c:pt>
                <c:pt idx="183">
                  <c:v>A184</c:v>
                </c:pt>
                <c:pt idx="184">
                  <c:v>A185</c:v>
                </c:pt>
                <c:pt idx="185">
                  <c:v>A186</c:v>
                </c:pt>
                <c:pt idx="186">
                  <c:v>A187</c:v>
                </c:pt>
                <c:pt idx="187">
                  <c:v>B1</c:v>
                </c:pt>
                <c:pt idx="188">
                  <c:v>B2</c:v>
                </c:pt>
                <c:pt idx="189">
                  <c:v>B3</c:v>
                </c:pt>
                <c:pt idx="190">
                  <c:v>B4</c:v>
                </c:pt>
                <c:pt idx="191">
                  <c:v>B5</c:v>
                </c:pt>
                <c:pt idx="192">
                  <c:v>B6</c:v>
                </c:pt>
                <c:pt idx="193">
                  <c:v>B7</c:v>
                </c:pt>
                <c:pt idx="194">
                  <c:v>B8</c:v>
                </c:pt>
                <c:pt idx="195">
                  <c:v>B9</c:v>
                </c:pt>
                <c:pt idx="196">
                  <c:v>B10</c:v>
                </c:pt>
                <c:pt idx="197">
                  <c:v>B11</c:v>
                </c:pt>
                <c:pt idx="198">
                  <c:v>B12</c:v>
                </c:pt>
                <c:pt idx="199">
                  <c:v>B13</c:v>
                </c:pt>
                <c:pt idx="200">
                  <c:v>B14</c:v>
                </c:pt>
                <c:pt idx="201">
                  <c:v>B15</c:v>
                </c:pt>
                <c:pt idx="202">
                  <c:v>B16</c:v>
                </c:pt>
                <c:pt idx="203">
                  <c:v>B17</c:v>
                </c:pt>
                <c:pt idx="204">
                  <c:v>B18</c:v>
                </c:pt>
                <c:pt idx="205">
                  <c:v>B19</c:v>
                </c:pt>
                <c:pt idx="206">
                  <c:v>B20</c:v>
                </c:pt>
                <c:pt idx="207">
                  <c:v>B21</c:v>
                </c:pt>
                <c:pt idx="208">
                  <c:v>B22</c:v>
                </c:pt>
                <c:pt idx="209">
                  <c:v>B23</c:v>
                </c:pt>
                <c:pt idx="210">
                  <c:v>B24</c:v>
                </c:pt>
                <c:pt idx="211">
                  <c:v>B25</c:v>
                </c:pt>
                <c:pt idx="212">
                  <c:v>B26</c:v>
                </c:pt>
                <c:pt idx="213">
                  <c:v>B27</c:v>
                </c:pt>
                <c:pt idx="214">
                  <c:v>B28</c:v>
                </c:pt>
                <c:pt idx="215">
                  <c:v>B29</c:v>
                </c:pt>
                <c:pt idx="216">
                  <c:v>B30</c:v>
                </c:pt>
                <c:pt idx="217">
                  <c:v>B31</c:v>
                </c:pt>
                <c:pt idx="218">
                  <c:v>B32</c:v>
                </c:pt>
                <c:pt idx="219">
                  <c:v>B33</c:v>
                </c:pt>
                <c:pt idx="220">
                  <c:v>B34</c:v>
                </c:pt>
                <c:pt idx="221">
                  <c:v>B35</c:v>
                </c:pt>
                <c:pt idx="222">
                  <c:v>B36</c:v>
                </c:pt>
                <c:pt idx="223">
                  <c:v>B37</c:v>
                </c:pt>
                <c:pt idx="224">
                  <c:v>B38</c:v>
                </c:pt>
                <c:pt idx="225">
                  <c:v>B39</c:v>
                </c:pt>
                <c:pt idx="226">
                  <c:v>B40</c:v>
                </c:pt>
                <c:pt idx="227">
                  <c:v>B41</c:v>
                </c:pt>
                <c:pt idx="228">
                  <c:v>B42</c:v>
                </c:pt>
                <c:pt idx="229">
                  <c:v>B43</c:v>
                </c:pt>
                <c:pt idx="230">
                  <c:v>B44</c:v>
                </c:pt>
                <c:pt idx="231">
                  <c:v>B45</c:v>
                </c:pt>
                <c:pt idx="232">
                  <c:v>B46</c:v>
                </c:pt>
                <c:pt idx="233">
                  <c:v>B47</c:v>
                </c:pt>
                <c:pt idx="234">
                  <c:v>B48</c:v>
                </c:pt>
                <c:pt idx="235">
                  <c:v>B49</c:v>
                </c:pt>
                <c:pt idx="236">
                  <c:v>B50</c:v>
                </c:pt>
                <c:pt idx="237">
                  <c:v>B51</c:v>
                </c:pt>
                <c:pt idx="238">
                  <c:v>B52</c:v>
                </c:pt>
                <c:pt idx="239">
                  <c:v>B53</c:v>
                </c:pt>
                <c:pt idx="240">
                  <c:v>B54</c:v>
                </c:pt>
                <c:pt idx="241">
                  <c:v>B55</c:v>
                </c:pt>
                <c:pt idx="242">
                  <c:v>B56</c:v>
                </c:pt>
                <c:pt idx="243">
                  <c:v>B57</c:v>
                </c:pt>
                <c:pt idx="244">
                  <c:v>B58</c:v>
                </c:pt>
                <c:pt idx="245">
                  <c:v>B59</c:v>
                </c:pt>
                <c:pt idx="246">
                  <c:v>B60</c:v>
                </c:pt>
                <c:pt idx="247">
                  <c:v>B61</c:v>
                </c:pt>
                <c:pt idx="248">
                  <c:v>B62</c:v>
                </c:pt>
                <c:pt idx="249">
                  <c:v>B63</c:v>
                </c:pt>
                <c:pt idx="250">
                  <c:v>B64</c:v>
                </c:pt>
                <c:pt idx="251">
                  <c:v>B65</c:v>
                </c:pt>
                <c:pt idx="252">
                  <c:v>B66</c:v>
                </c:pt>
                <c:pt idx="253">
                  <c:v>B67</c:v>
                </c:pt>
                <c:pt idx="254">
                  <c:v>B68</c:v>
                </c:pt>
                <c:pt idx="255">
                  <c:v>B69</c:v>
                </c:pt>
                <c:pt idx="256">
                  <c:v>B70</c:v>
                </c:pt>
                <c:pt idx="257">
                  <c:v>B71</c:v>
                </c:pt>
                <c:pt idx="258">
                  <c:v>B72</c:v>
                </c:pt>
                <c:pt idx="259">
                  <c:v>B73</c:v>
                </c:pt>
                <c:pt idx="260">
                  <c:v>B74</c:v>
                </c:pt>
                <c:pt idx="261">
                  <c:v>B75</c:v>
                </c:pt>
                <c:pt idx="262">
                  <c:v>B76</c:v>
                </c:pt>
                <c:pt idx="263">
                  <c:v>B77</c:v>
                </c:pt>
                <c:pt idx="264">
                  <c:v>B78</c:v>
                </c:pt>
                <c:pt idx="265">
                  <c:v>B79</c:v>
                </c:pt>
                <c:pt idx="266">
                  <c:v>B80</c:v>
                </c:pt>
                <c:pt idx="267">
                  <c:v>B81</c:v>
                </c:pt>
                <c:pt idx="268">
                  <c:v>B82</c:v>
                </c:pt>
                <c:pt idx="269">
                  <c:v>B83</c:v>
                </c:pt>
                <c:pt idx="270">
                  <c:v>B84</c:v>
                </c:pt>
                <c:pt idx="271">
                  <c:v>B85</c:v>
                </c:pt>
                <c:pt idx="272">
                  <c:v>B86</c:v>
                </c:pt>
                <c:pt idx="273">
                  <c:v>B87</c:v>
                </c:pt>
                <c:pt idx="274">
                  <c:v>B88</c:v>
                </c:pt>
                <c:pt idx="275">
                  <c:v>B89</c:v>
                </c:pt>
                <c:pt idx="276">
                  <c:v>B90</c:v>
                </c:pt>
                <c:pt idx="277">
                  <c:v>B91</c:v>
                </c:pt>
                <c:pt idx="278">
                  <c:v>B92</c:v>
                </c:pt>
                <c:pt idx="279">
                  <c:v>B93</c:v>
                </c:pt>
                <c:pt idx="280">
                  <c:v>B94</c:v>
                </c:pt>
                <c:pt idx="281">
                  <c:v>B95</c:v>
                </c:pt>
                <c:pt idx="282">
                  <c:v>B96</c:v>
                </c:pt>
                <c:pt idx="283">
                  <c:v>B97</c:v>
                </c:pt>
                <c:pt idx="284">
                  <c:v>B98</c:v>
                </c:pt>
                <c:pt idx="285">
                  <c:v>B99</c:v>
                </c:pt>
                <c:pt idx="286">
                  <c:v>B100</c:v>
                </c:pt>
                <c:pt idx="287">
                  <c:v>B101</c:v>
                </c:pt>
                <c:pt idx="288">
                  <c:v>B102</c:v>
                </c:pt>
                <c:pt idx="289">
                  <c:v>B103</c:v>
                </c:pt>
                <c:pt idx="290">
                  <c:v>B104</c:v>
                </c:pt>
                <c:pt idx="291">
                  <c:v>B105</c:v>
                </c:pt>
                <c:pt idx="292">
                  <c:v>B106</c:v>
                </c:pt>
                <c:pt idx="293">
                  <c:v>B107</c:v>
                </c:pt>
                <c:pt idx="294">
                  <c:v>B108</c:v>
                </c:pt>
                <c:pt idx="295">
                  <c:v>B109</c:v>
                </c:pt>
                <c:pt idx="296">
                  <c:v>B110</c:v>
                </c:pt>
                <c:pt idx="297">
                  <c:v>B111</c:v>
                </c:pt>
                <c:pt idx="298">
                  <c:v>B112</c:v>
                </c:pt>
                <c:pt idx="299">
                  <c:v>B113</c:v>
                </c:pt>
                <c:pt idx="300">
                  <c:v>B114</c:v>
                </c:pt>
                <c:pt idx="301">
                  <c:v>B115</c:v>
                </c:pt>
                <c:pt idx="302">
                  <c:v>B116</c:v>
                </c:pt>
                <c:pt idx="303">
                  <c:v>B117</c:v>
                </c:pt>
                <c:pt idx="304">
                  <c:v>B118</c:v>
                </c:pt>
                <c:pt idx="305">
                  <c:v>B119</c:v>
                </c:pt>
                <c:pt idx="306">
                  <c:v>B120</c:v>
                </c:pt>
                <c:pt idx="307">
                  <c:v>B121</c:v>
                </c:pt>
                <c:pt idx="308">
                  <c:v>B122</c:v>
                </c:pt>
                <c:pt idx="309">
                  <c:v>B123</c:v>
                </c:pt>
                <c:pt idx="310">
                  <c:v>B124</c:v>
                </c:pt>
                <c:pt idx="311">
                  <c:v>B125</c:v>
                </c:pt>
                <c:pt idx="312">
                  <c:v>B126</c:v>
                </c:pt>
                <c:pt idx="313">
                  <c:v>B127</c:v>
                </c:pt>
                <c:pt idx="314">
                  <c:v>B128</c:v>
                </c:pt>
                <c:pt idx="315">
                  <c:v>B129</c:v>
                </c:pt>
                <c:pt idx="316">
                  <c:v>B130</c:v>
                </c:pt>
                <c:pt idx="317">
                  <c:v>B131</c:v>
                </c:pt>
                <c:pt idx="318">
                  <c:v>B132</c:v>
                </c:pt>
                <c:pt idx="319">
                  <c:v>B133</c:v>
                </c:pt>
                <c:pt idx="320">
                  <c:v>B134</c:v>
                </c:pt>
                <c:pt idx="321">
                  <c:v>B135</c:v>
                </c:pt>
                <c:pt idx="322">
                  <c:v>B136</c:v>
                </c:pt>
                <c:pt idx="323">
                  <c:v>B137</c:v>
                </c:pt>
                <c:pt idx="324">
                  <c:v>B138</c:v>
                </c:pt>
                <c:pt idx="325">
                  <c:v>B139</c:v>
                </c:pt>
                <c:pt idx="326">
                  <c:v>B140</c:v>
                </c:pt>
                <c:pt idx="327">
                  <c:v>B141</c:v>
                </c:pt>
                <c:pt idx="328">
                  <c:v>B142</c:v>
                </c:pt>
                <c:pt idx="329">
                  <c:v>B143</c:v>
                </c:pt>
                <c:pt idx="330">
                  <c:v>B144</c:v>
                </c:pt>
                <c:pt idx="331">
                  <c:v>B145</c:v>
                </c:pt>
                <c:pt idx="332">
                  <c:v>B146</c:v>
                </c:pt>
                <c:pt idx="333">
                  <c:v>B147</c:v>
                </c:pt>
                <c:pt idx="334">
                  <c:v>B148</c:v>
                </c:pt>
                <c:pt idx="335">
                  <c:v>B149</c:v>
                </c:pt>
                <c:pt idx="336">
                  <c:v>B150</c:v>
                </c:pt>
                <c:pt idx="337">
                  <c:v>B151</c:v>
                </c:pt>
                <c:pt idx="338">
                  <c:v>B152</c:v>
                </c:pt>
                <c:pt idx="339">
                  <c:v>B153</c:v>
                </c:pt>
                <c:pt idx="340">
                  <c:v>B154</c:v>
                </c:pt>
                <c:pt idx="341">
                  <c:v>B155</c:v>
                </c:pt>
                <c:pt idx="342">
                  <c:v>B156</c:v>
                </c:pt>
                <c:pt idx="343">
                  <c:v>B157</c:v>
                </c:pt>
                <c:pt idx="344">
                  <c:v>B158</c:v>
                </c:pt>
                <c:pt idx="345">
                  <c:v>B159</c:v>
                </c:pt>
                <c:pt idx="346">
                  <c:v>B160</c:v>
                </c:pt>
                <c:pt idx="347">
                  <c:v>B161</c:v>
                </c:pt>
                <c:pt idx="348">
                  <c:v>B162</c:v>
                </c:pt>
                <c:pt idx="349">
                  <c:v>B163</c:v>
                </c:pt>
                <c:pt idx="350">
                  <c:v>B164</c:v>
                </c:pt>
                <c:pt idx="351">
                  <c:v>B165</c:v>
                </c:pt>
                <c:pt idx="352">
                  <c:v>B166</c:v>
                </c:pt>
                <c:pt idx="353">
                  <c:v>B167</c:v>
                </c:pt>
                <c:pt idx="354">
                  <c:v>B168</c:v>
                </c:pt>
                <c:pt idx="355">
                  <c:v>B169</c:v>
                </c:pt>
                <c:pt idx="356">
                  <c:v>B170</c:v>
                </c:pt>
                <c:pt idx="357">
                  <c:v>B171</c:v>
                </c:pt>
                <c:pt idx="358">
                  <c:v>B172</c:v>
                </c:pt>
                <c:pt idx="359">
                  <c:v>B173</c:v>
                </c:pt>
                <c:pt idx="360">
                  <c:v>B174</c:v>
                </c:pt>
                <c:pt idx="361">
                  <c:v>B175</c:v>
                </c:pt>
                <c:pt idx="362">
                  <c:v>B176</c:v>
                </c:pt>
                <c:pt idx="363">
                  <c:v>B177</c:v>
                </c:pt>
                <c:pt idx="364">
                  <c:v>B178</c:v>
                </c:pt>
                <c:pt idx="365">
                  <c:v>B179</c:v>
                </c:pt>
                <c:pt idx="366">
                  <c:v>B180</c:v>
                </c:pt>
                <c:pt idx="367">
                  <c:v>B181</c:v>
                </c:pt>
                <c:pt idx="368">
                  <c:v>B182</c:v>
                </c:pt>
                <c:pt idx="369">
                  <c:v>B183</c:v>
                </c:pt>
                <c:pt idx="370">
                  <c:v>B184</c:v>
                </c:pt>
                <c:pt idx="371">
                  <c:v>B185</c:v>
                </c:pt>
                <c:pt idx="372">
                  <c:v>B186</c:v>
                </c:pt>
                <c:pt idx="373">
                  <c:v>B187</c:v>
                </c:pt>
                <c:pt idx="374">
                  <c:v>B188</c:v>
                </c:pt>
                <c:pt idx="375">
                  <c:v>B189</c:v>
                </c:pt>
                <c:pt idx="376">
                  <c:v>B190</c:v>
                </c:pt>
                <c:pt idx="377">
                  <c:v>B191</c:v>
                </c:pt>
                <c:pt idx="378">
                  <c:v>B192</c:v>
                </c:pt>
                <c:pt idx="379">
                  <c:v>B193</c:v>
                </c:pt>
                <c:pt idx="380">
                  <c:v>B194</c:v>
                </c:pt>
                <c:pt idx="381">
                  <c:v>B195</c:v>
                </c:pt>
                <c:pt idx="382">
                  <c:v>B196</c:v>
                </c:pt>
                <c:pt idx="383">
                  <c:v>B197</c:v>
                </c:pt>
                <c:pt idx="384">
                  <c:v>B198</c:v>
                </c:pt>
                <c:pt idx="385">
                  <c:v>B199</c:v>
                </c:pt>
                <c:pt idx="386">
                  <c:v>B200</c:v>
                </c:pt>
                <c:pt idx="387">
                  <c:v>B201</c:v>
                </c:pt>
                <c:pt idx="388">
                  <c:v>B202</c:v>
                </c:pt>
                <c:pt idx="389">
                  <c:v>B203</c:v>
                </c:pt>
                <c:pt idx="390">
                  <c:v>B204</c:v>
                </c:pt>
                <c:pt idx="391">
                  <c:v>B205</c:v>
                </c:pt>
                <c:pt idx="392">
                  <c:v>B206</c:v>
                </c:pt>
                <c:pt idx="393">
                  <c:v>B207</c:v>
                </c:pt>
                <c:pt idx="394">
                  <c:v>B208</c:v>
                </c:pt>
                <c:pt idx="395">
                  <c:v>B209</c:v>
                </c:pt>
                <c:pt idx="396">
                  <c:v>B210</c:v>
                </c:pt>
                <c:pt idx="397">
                  <c:v>B211</c:v>
                </c:pt>
                <c:pt idx="398">
                  <c:v>B212</c:v>
                </c:pt>
                <c:pt idx="399">
                  <c:v>B213</c:v>
                </c:pt>
                <c:pt idx="400">
                  <c:v>B214</c:v>
                </c:pt>
                <c:pt idx="401">
                  <c:v>B215</c:v>
                </c:pt>
                <c:pt idx="402">
                  <c:v>B216</c:v>
                </c:pt>
                <c:pt idx="403">
                  <c:v>B217</c:v>
                </c:pt>
                <c:pt idx="404">
                  <c:v>B218</c:v>
                </c:pt>
                <c:pt idx="405">
                  <c:v>B219</c:v>
                </c:pt>
                <c:pt idx="406">
                  <c:v>B220</c:v>
                </c:pt>
                <c:pt idx="407">
                  <c:v>B221</c:v>
                </c:pt>
                <c:pt idx="408">
                  <c:v>B222</c:v>
                </c:pt>
                <c:pt idx="409">
                  <c:v>B223</c:v>
                </c:pt>
                <c:pt idx="410">
                  <c:v>B224</c:v>
                </c:pt>
                <c:pt idx="411">
                  <c:v>B225</c:v>
                </c:pt>
                <c:pt idx="412">
                  <c:v>B226</c:v>
                </c:pt>
                <c:pt idx="413">
                  <c:v>B227</c:v>
                </c:pt>
                <c:pt idx="414">
                  <c:v>B228</c:v>
                </c:pt>
                <c:pt idx="415">
                  <c:v>B229</c:v>
                </c:pt>
                <c:pt idx="416">
                  <c:v>B230</c:v>
                </c:pt>
                <c:pt idx="417">
                  <c:v>B231</c:v>
                </c:pt>
                <c:pt idx="418">
                  <c:v>B232</c:v>
                </c:pt>
                <c:pt idx="419">
                  <c:v>B233</c:v>
                </c:pt>
                <c:pt idx="420">
                  <c:v>B234</c:v>
                </c:pt>
                <c:pt idx="421">
                  <c:v>B235</c:v>
                </c:pt>
                <c:pt idx="422">
                  <c:v>B236</c:v>
                </c:pt>
                <c:pt idx="423">
                  <c:v>B237</c:v>
                </c:pt>
                <c:pt idx="424">
                  <c:v>B238</c:v>
                </c:pt>
                <c:pt idx="425">
                  <c:v>B239</c:v>
                </c:pt>
                <c:pt idx="426">
                  <c:v>B240</c:v>
                </c:pt>
                <c:pt idx="427">
                  <c:v>B241</c:v>
                </c:pt>
                <c:pt idx="428">
                  <c:v>B242</c:v>
                </c:pt>
                <c:pt idx="429">
                  <c:v>B243</c:v>
                </c:pt>
                <c:pt idx="430">
                  <c:v>B244</c:v>
                </c:pt>
                <c:pt idx="431">
                  <c:v>B245</c:v>
                </c:pt>
                <c:pt idx="432">
                  <c:v>B246</c:v>
                </c:pt>
                <c:pt idx="433">
                  <c:v>B247</c:v>
                </c:pt>
                <c:pt idx="434">
                  <c:v>B248</c:v>
                </c:pt>
                <c:pt idx="435">
                  <c:v>B249</c:v>
                </c:pt>
                <c:pt idx="436">
                  <c:v>B250</c:v>
                </c:pt>
                <c:pt idx="437">
                  <c:v>B251</c:v>
                </c:pt>
                <c:pt idx="438">
                  <c:v>B252</c:v>
                </c:pt>
                <c:pt idx="439">
                  <c:v>B253</c:v>
                </c:pt>
                <c:pt idx="440">
                  <c:v>B254</c:v>
                </c:pt>
                <c:pt idx="441">
                  <c:v>B255</c:v>
                </c:pt>
                <c:pt idx="442">
                  <c:v>B256</c:v>
                </c:pt>
                <c:pt idx="443">
                  <c:v>B257</c:v>
                </c:pt>
                <c:pt idx="444">
                  <c:v>B258</c:v>
                </c:pt>
                <c:pt idx="445">
                  <c:v>B259</c:v>
                </c:pt>
                <c:pt idx="446">
                  <c:v>B260</c:v>
                </c:pt>
                <c:pt idx="447">
                  <c:v>B261</c:v>
                </c:pt>
                <c:pt idx="448">
                  <c:v>B262</c:v>
                </c:pt>
                <c:pt idx="449">
                  <c:v>B263</c:v>
                </c:pt>
                <c:pt idx="450">
                  <c:v>B264</c:v>
                </c:pt>
                <c:pt idx="451">
                  <c:v>B265</c:v>
                </c:pt>
                <c:pt idx="452">
                  <c:v>B266</c:v>
                </c:pt>
                <c:pt idx="453">
                  <c:v>B267</c:v>
                </c:pt>
                <c:pt idx="454">
                  <c:v>B268</c:v>
                </c:pt>
                <c:pt idx="455">
                  <c:v>B269</c:v>
                </c:pt>
                <c:pt idx="456">
                  <c:v>B270</c:v>
                </c:pt>
                <c:pt idx="457">
                  <c:v>B271</c:v>
                </c:pt>
                <c:pt idx="458">
                  <c:v>B272</c:v>
                </c:pt>
                <c:pt idx="459">
                  <c:v>B273</c:v>
                </c:pt>
                <c:pt idx="460">
                  <c:v>B274</c:v>
                </c:pt>
                <c:pt idx="461">
                  <c:v>B275</c:v>
                </c:pt>
                <c:pt idx="462">
                  <c:v>B276</c:v>
                </c:pt>
                <c:pt idx="463">
                  <c:v>B277</c:v>
                </c:pt>
                <c:pt idx="464">
                  <c:v>B278</c:v>
                </c:pt>
                <c:pt idx="465">
                  <c:v>B279</c:v>
                </c:pt>
                <c:pt idx="466">
                  <c:v>B280</c:v>
                </c:pt>
                <c:pt idx="467">
                  <c:v>B281</c:v>
                </c:pt>
                <c:pt idx="468">
                  <c:v>B282</c:v>
                </c:pt>
                <c:pt idx="469">
                  <c:v>B283</c:v>
                </c:pt>
                <c:pt idx="470">
                  <c:v>B284</c:v>
                </c:pt>
                <c:pt idx="471">
                  <c:v>B285</c:v>
                </c:pt>
                <c:pt idx="472">
                  <c:v>B286</c:v>
                </c:pt>
                <c:pt idx="473">
                  <c:v>B287</c:v>
                </c:pt>
                <c:pt idx="474">
                  <c:v>B288</c:v>
                </c:pt>
                <c:pt idx="475">
                  <c:v>B289</c:v>
                </c:pt>
                <c:pt idx="476">
                  <c:v>B290</c:v>
                </c:pt>
                <c:pt idx="477">
                  <c:v>B291</c:v>
                </c:pt>
                <c:pt idx="478">
                  <c:v>B292</c:v>
                </c:pt>
                <c:pt idx="479">
                  <c:v>B293</c:v>
                </c:pt>
                <c:pt idx="480">
                  <c:v>B294</c:v>
                </c:pt>
                <c:pt idx="481">
                  <c:v>B295</c:v>
                </c:pt>
                <c:pt idx="482">
                  <c:v>B296</c:v>
                </c:pt>
              </c:strCache>
            </c:strRef>
          </c:cat>
          <c:val>
            <c:numRef>
              <c:f>'EL-Atteuf'!$B$2:$B$484</c:f>
              <c:numCache>
                <c:formatCode>General</c:formatCode>
                <c:ptCount val="483"/>
                <c:pt idx="0">
                  <c:v>87</c:v>
                </c:pt>
                <c:pt idx="1">
                  <c:v>73</c:v>
                </c:pt>
                <c:pt idx="2">
                  <c:v>82</c:v>
                </c:pt>
                <c:pt idx="3">
                  <c:v>121</c:v>
                </c:pt>
                <c:pt idx="4">
                  <c:v>75</c:v>
                </c:pt>
                <c:pt idx="5">
                  <c:v>22</c:v>
                </c:pt>
                <c:pt idx="6">
                  <c:v>1</c:v>
                </c:pt>
                <c:pt idx="7">
                  <c:v>77</c:v>
                </c:pt>
                <c:pt idx="8">
                  <c:v>170</c:v>
                </c:pt>
                <c:pt idx="9">
                  <c:v>140</c:v>
                </c:pt>
                <c:pt idx="10">
                  <c:v>85</c:v>
                </c:pt>
                <c:pt idx="11">
                  <c:v>67</c:v>
                </c:pt>
                <c:pt idx="12">
                  <c:v>53</c:v>
                </c:pt>
                <c:pt idx="13">
                  <c:v>99</c:v>
                </c:pt>
                <c:pt idx="14">
                  <c:v>74</c:v>
                </c:pt>
                <c:pt idx="15">
                  <c:v>69</c:v>
                </c:pt>
                <c:pt idx="16">
                  <c:v>51</c:v>
                </c:pt>
                <c:pt idx="17">
                  <c:v>132</c:v>
                </c:pt>
                <c:pt idx="18">
                  <c:v>78</c:v>
                </c:pt>
                <c:pt idx="19">
                  <c:v>27</c:v>
                </c:pt>
                <c:pt idx="20">
                  <c:v>82</c:v>
                </c:pt>
                <c:pt idx="21">
                  <c:v>1</c:v>
                </c:pt>
                <c:pt idx="22">
                  <c:v>12</c:v>
                </c:pt>
                <c:pt idx="23">
                  <c:v>162</c:v>
                </c:pt>
                <c:pt idx="24">
                  <c:v>8</c:v>
                </c:pt>
                <c:pt idx="25">
                  <c:v>56</c:v>
                </c:pt>
                <c:pt idx="26">
                  <c:v>12</c:v>
                </c:pt>
                <c:pt idx="27">
                  <c:v>89</c:v>
                </c:pt>
                <c:pt idx="28">
                  <c:v>98</c:v>
                </c:pt>
                <c:pt idx="29">
                  <c:v>6</c:v>
                </c:pt>
                <c:pt idx="30">
                  <c:v>15</c:v>
                </c:pt>
                <c:pt idx="31">
                  <c:v>8</c:v>
                </c:pt>
                <c:pt idx="32">
                  <c:v>29</c:v>
                </c:pt>
                <c:pt idx="33">
                  <c:v>99</c:v>
                </c:pt>
                <c:pt idx="34">
                  <c:v>41</c:v>
                </c:pt>
                <c:pt idx="35">
                  <c:v>126</c:v>
                </c:pt>
                <c:pt idx="36">
                  <c:v>149</c:v>
                </c:pt>
                <c:pt idx="37">
                  <c:v>44</c:v>
                </c:pt>
                <c:pt idx="38">
                  <c:v>44</c:v>
                </c:pt>
                <c:pt idx="39">
                  <c:v>121</c:v>
                </c:pt>
                <c:pt idx="40">
                  <c:v>64</c:v>
                </c:pt>
                <c:pt idx="41">
                  <c:v>6</c:v>
                </c:pt>
                <c:pt idx="42">
                  <c:v>107</c:v>
                </c:pt>
                <c:pt idx="43">
                  <c:v>17</c:v>
                </c:pt>
                <c:pt idx="44">
                  <c:v>8</c:v>
                </c:pt>
                <c:pt idx="45">
                  <c:v>93</c:v>
                </c:pt>
                <c:pt idx="46">
                  <c:v>107</c:v>
                </c:pt>
                <c:pt idx="47">
                  <c:v>133</c:v>
                </c:pt>
                <c:pt idx="48">
                  <c:v>70</c:v>
                </c:pt>
                <c:pt idx="49">
                  <c:v>147</c:v>
                </c:pt>
                <c:pt idx="50">
                  <c:v>106</c:v>
                </c:pt>
                <c:pt idx="51">
                  <c:v>90</c:v>
                </c:pt>
                <c:pt idx="52">
                  <c:v>4</c:v>
                </c:pt>
                <c:pt idx="53">
                  <c:v>80</c:v>
                </c:pt>
                <c:pt idx="54">
                  <c:v>161</c:v>
                </c:pt>
                <c:pt idx="55">
                  <c:v>89</c:v>
                </c:pt>
                <c:pt idx="56">
                  <c:v>81</c:v>
                </c:pt>
                <c:pt idx="57">
                  <c:v>76</c:v>
                </c:pt>
                <c:pt idx="58">
                  <c:v>98</c:v>
                </c:pt>
                <c:pt idx="59">
                  <c:v>14</c:v>
                </c:pt>
                <c:pt idx="60">
                  <c:v>26</c:v>
                </c:pt>
                <c:pt idx="61">
                  <c:v>34</c:v>
                </c:pt>
                <c:pt idx="62">
                  <c:v>107</c:v>
                </c:pt>
                <c:pt idx="63">
                  <c:v>38</c:v>
                </c:pt>
                <c:pt idx="64">
                  <c:v>90</c:v>
                </c:pt>
                <c:pt idx="65">
                  <c:v>96</c:v>
                </c:pt>
                <c:pt idx="66">
                  <c:v>13</c:v>
                </c:pt>
                <c:pt idx="67">
                  <c:v>11</c:v>
                </c:pt>
                <c:pt idx="68">
                  <c:v>178</c:v>
                </c:pt>
                <c:pt idx="69">
                  <c:v>20</c:v>
                </c:pt>
                <c:pt idx="70">
                  <c:v>36</c:v>
                </c:pt>
                <c:pt idx="71">
                  <c:v>55</c:v>
                </c:pt>
                <c:pt idx="72">
                  <c:v>38</c:v>
                </c:pt>
                <c:pt idx="73">
                  <c:v>25</c:v>
                </c:pt>
                <c:pt idx="74">
                  <c:v>104</c:v>
                </c:pt>
                <c:pt idx="75">
                  <c:v>22</c:v>
                </c:pt>
                <c:pt idx="76">
                  <c:v>84</c:v>
                </c:pt>
                <c:pt idx="77">
                  <c:v>85</c:v>
                </c:pt>
                <c:pt idx="78">
                  <c:v>87</c:v>
                </c:pt>
                <c:pt idx="79">
                  <c:v>106</c:v>
                </c:pt>
                <c:pt idx="80">
                  <c:v>21</c:v>
                </c:pt>
                <c:pt idx="81">
                  <c:v>89</c:v>
                </c:pt>
                <c:pt idx="82">
                  <c:v>83</c:v>
                </c:pt>
                <c:pt idx="83">
                  <c:v>77</c:v>
                </c:pt>
                <c:pt idx="84">
                  <c:v>91</c:v>
                </c:pt>
                <c:pt idx="85">
                  <c:v>71</c:v>
                </c:pt>
                <c:pt idx="86">
                  <c:v>141</c:v>
                </c:pt>
                <c:pt idx="87">
                  <c:v>138</c:v>
                </c:pt>
                <c:pt idx="88">
                  <c:v>96</c:v>
                </c:pt>
                <c:pt idx="89">
                  <c:v>116</c:v>
                </c:pt>
                <c:pt idx="90">
                  <c:v>87</c:v>
                </c:pt>
                <c:pt idx="91">
                  <c:v>98</c:v>
                </c:pt>
                <c:pt idx="92">
                  <c:v>61</c:v>
                </c:pt>
                <c:pt idx="93">
                  <c:v>121</c:v>
                </c:pt>
                <c:pt idx="94">
                  <c:v>73</c:v>
                </c:pt>
                <c:pt idx="95">
                  <c:v>64</c:v>
                </c:pt>
                <c:pt idx="96">
                  <c:v>125</c:v>
                </c:pt>
                <c:pt idx="97">
                  <c:v>84</c:v>
                </c:pt>
                <c:pt idx="98">
                  <c:v>39</c:v>
                </c:pt>
                <c:pt idx="99">
                  <c:v>66</c:v>
                </c:pt>
                <c:pt idx="100">
                  <c:v>110</c:v>
                </c:pt>
                <c:pt idx="101">
                  <c:v>162</c:v>
                </c:pt>
                <c:pt idx="102">
                  <c:v>172</c:v>
                </c:pt>
                <c:pt idx="103">
                  <c:v>80</c:v>
                </c:pt>
                <c:pt idx="104">
                  <c:v>55</c:v>
                </c:pt>
                <c:pt idx="105">
                  <c:v>83</c:v>
                </c:pt>
                <c:pt idx="106">
                  <c:v>63</c:v>
                </c:pt>
                <c:pt idx="107">
                  <c:v>87</c:v>
                </c:pt>
                <c:pt idx="108">
                  <c:v>6</c:v>
                </c:pt>
                <c:pt idx="109">
                  <c:v>176</c:v>
                </c:pt>
                <c:pt idx="110">
                  <c:v>79</c:v>
                </c:pt>
                <c:pt idx="111">
                  <c:v>85</c:v>
                </c:pt>
                <c:pt idx="112">
                  <c:v>80</c:v>
                </c:pt>
                <c:pt idx="113">
                  <c:v>171</c:v>
                </c:pt>
                <c:pt idx="114">
                  <c:v>162</c:v>
                </c:pt>
                <c:pt idx="115">
                  <c:v>79</c:v>
                </c:pt>
                <c:pt idx="116">
                  <c:v>76</c:v>
                </c:pt>
                <c:pt idx="117">
                  <c:v>27</c:v>
                </c:pt>
                <c:pt idx="118">
                  <c:v>164</c:v>
                </c:pt>
                <c:pt idx="119">
                  <c:v>160</c:v>
                </c:pt>
                <c:pt idx="120">
                  <c:v>76</c:v>
                </c:pt>
                <c:pt idx="121">
                  <c:v>157</c:v>
                </c:pt>
                <c:pt idx="122">
                  <c:v>169</c:v>
                </c:pt>
                <c:pt idx="123">
                  <c:v>95</c:v>
                </c:pt>
                <c:pt idx="124">
                  <c:v>172</c:v>
                </c:pt>
                <c:pt idx="125">
                  <c:v>162</c:v>
                </c:pt>
                <c:pt idx="126">
                  <c:v>50</c:v>
                </c:pt>
                <c:pt idx="127">
                  <c:v>159</c:v>
                </c:pt>
                <c:pt idx="128">
                  <c:v>13</c:v>
                </c:pt>
                <c:pt idx="129">
                  <c:v>162</c:v>
                </c:pt>
                <c:pt idx="130">
                  <c:v>76</c:v>
                </c:pt>
                <c:pt idx="131">
                  <c:v>157</c:v>
                </c:pt>
                <c:pt idx="132">
                  <c:v>83</c:v>
                </c:pt>
                <c:pt idx="133">
                  <c:v>173</c:v>
                </c:pt>
                <c:pt idx="134">
                  <c:v>88</c:v>
                </c:pt>
                <c:pt idx="135">
                  <c:v>87</c:v>
                </c:pt>
                <c:pt idx="136">
                  <c:v>89</c:v>
                </c:pt>
                <c:pt idx="137">
                  <c:v>82</c:v>
                </c:pt>
                <c:pt idx="138">
                  <c:v>88</c:v>
                </c:pt>
                <c:pt idx="139">
                  <c:v>174</c:v>
                </c:pt>
                <c:pt idx="140">
                  <c:v>178</c:v>
                </c:pt>
                <c:pt idx="141">
                  <c:v>89</c:v>
                </c:pt>
                <c:pt idx="142">
                  <c:v>11</c:v>
                </c:pt>
                <c:pt idx="143">
                  <c:v>86</c:v>
                </c:pt>
                <c:pt idx="144">
                  <c:v>175</c:v>
                </c:pt>
                <c:pt idx="145">
                  <c:v>69</c:v>
                </c:pt>
                <c:pt idx="146">
                  <c:v>77</c:v>
                </c:pt>
                <c:pt idx="147">
                  <c:v>65</c:v>
                </c:pt>
                <c:pt idx="148">
                  <c:v>162</c:v>
                </c:pt>
                <c:pt idx="149">
                  <c:v>58</c:v>
                </c:pt>
                <c:pt idx="150">
                  <c:v>74</c:v>
                </c:pt>
                <c:pt idx="151">
                  <c:v>164</c:v>
                </c:pt>
                <c:pt idx="152">
                  <c:v>95</c:v>
                </c:pt>
                <c:pt idx="153">
                  <c:v>114</c:v>
                </c:pt>
                <c:pt idx="154">
                  <c:v>155</c:v>
                </c:pt>
                <c:pt idx="155">
                  <c:v>111</c:v>
                </c:pt>
                <c:pt idx="156">
                  <c:v>128</c:v>
                </c:pt>
                <c:pt idx="157">
                  <c:v>160</c:v>
                </c:pt>
                <c:pt idx="158">
                  <c:v>171</c:v>
                </c:pt>
                <c:pt idx="159">
                  <c:v>4</c:v>
                </c:pt>
                <c:pt idx="160">
                  <c:v>85</c:v>
                </c:pt>
                <c:pt idx="161">
                  <c:v>139</c:v>
                </c:pt>
                <c:pt idx="162">
                  <c:v>51</c:v>
                </c:pt>
                <c:pt idx="163">
                  <c:v>98</c:v>
                </c:pt>
                <c:pt idx="164">
                  <c:v>119</c:v>
                </c:pt>
                <c:pt idx="165">
                  <c:v>110</c:v>
                </c:pt>
                <c:pt idx="166">
                  <c:v>79</c:v>
                </c:pt>
                <c:pt idx="167">
                  <c:v>41</c:v>
                </c:pt>
                <c:pt idx="168">
                  <c:v>65</c:v>
                </c:pt>
                <c:pt idx="169">
                  <c:v>157</c:v>
                </c:pt>
                <c:pt idx="170">
                  <c:v>74</c:v>
                </c:pt>
                <c:pt idx="171">
                  <c:v>92</c:v>
                </c:pt>
                <c:pt idx="172">
                  <c:v>114</c:v>
                </c:pt>
                <c:pt idx="173">
                  <c:v>133</c:v>
                </c:pt>
                <c:pt idx="174">
                  <c:v>151</c:v>
                </c:pt>
                <c:pt idx="175">
                  <c:v>161</c:v>
                </c:pt>
                <c:pt idx="176">
                  <c:v>14</c:v>
                </c:pt>
                <c:pt idx="177">
                  <c:v>3</c:v>
                </c:pt>
                <c:pt idx="178">
                  <c:v>19</c:v>
                </c:pt>
                <c:pt idx="179">
                  <c:v>93</c:v>
                </c:pt>
                <c:pt idx="180">
                  <c:v>22</c:v>
                </c:pt>
                <c:pt idx="181">
                  <c:v>92</c:v>
                </c:pt>
                <c:pt idx="182">
                  <c:v>1</c:v>
                </c:pt>
                <c:pt idx="183">
                  <c:v>94</c:v>
                </c:pt>
                <c:pt idx="184">
                  <c:v>157</c:v>
                </c:pt>
                <c:pt idx="185">
                  <c:v>176</c:v>
                </c:pt>
                <c:pt idx="186">
                  <c:v>75</c:v>
                </c:pt>
                <c:pt idx="187">
                  <c:v>168</c:v>
                </c:pt>
                <c:pt idx="188">
                  <c:v>60</c:v>
                </c:pt>
                <c:pt idx="189">
                  <c:v>73</c:v>
                </c:pt>
                <c:pt idx="190">
                  <c:v>77</c:v>
                </c:pt>
                <c:pt idx="191">
                  <c:v>173</c:v>
                </c:pt>
                <c:pt idx="192">
                  <c:v>79</c:v>
                </c:pt>
                <c:pt idx="193">
                  <c:v>182</c:v>
                </c:pt>
                <c:pt idx="194">
                  <c:v>40</c:v>
                </c:pt>
                <c:pt idx="195">
                  <c:v>77</c:v>
                </c:pt>
                <c:pt idx="196">
                  <c:v>72</c:v>
                </c:pt>
                <c:pt idx="197">
                  <c:v>70</c:v>
                </c:pt>
                <c:pt idx="198">
                  <c:v>166</c:v>
                </c:pt>
                <c:pt idx="199">
                  <c:v>127</c:v>
                </c:pt>
                <c:pt idx="200">
                  <c:v>136</c:v>
                </c:pt>
                <c:pt idx="201">
                  <c:v>79</c:v>
                </c:pt>
                <c:pt idx="202">
                  <c:v>176</c:v>
                </c:pt>
                <c:pt idx="203">
                  <c:v>173</c:v>
                </c:pt>
                <c:pt idx="204">
                  <c:v>82</c:v>
                </c:pt>
                <c:pt idx="205">
                  <c:v>140</c:v>
                </c:pt>
                <c:pt idx="206">
                  <c:v>80</c:v>
                </c:pt>
                <c:pt idx="207">
                  <c:v>69</c:v>
                </c:pt>
                <c:pt idx="208">
                  <c:v>77</c:v>
                </c:pt>
                <c:pt idx="209">
                  <c:v>78</c:v>
                </c:pt>
                <c:pt idx="210">
                  <c:v>75</c:v>
                </c:pt>
                <c:pt idx="211">
                  <c:v>167</c:v>
                </c:pt>
                <c:pt idx="212">
                  <c:v>73</c:v>
                </c:pt>
                <c:pt idx="213">
                  <c:v>171</c:v>
                </c:pt>
                <c:pt idx="214">
                  <c:v>66</c:v>
                </c:pt>
                <c:pt idx="215">
                  <c:v>179</c:v>
                </c:pt>
                <c:pt idx="216">
                  <c:v>79</c:v>
                </c:pt>
                <c:pt idx="217">
                  <c:v>82</c:v>
                </c:pt>
                <c:pt idx="218">
                  <c:v>180</c:v>
                </c:pt>
                <c:pt idx="219">
                  <c:v>84</c:v>
                </c:pt>
                <c:pt idx="220">
                  <c:v>78</c:v>
                </c:pt>
                <c:pt idx="221">
                  <c:v>72</c:v>
                </c:pt>
                <c:pt idx="222">
                  <c:v>166</c:v>
                </c:pt>
                <c:pt idx="223">
                  <c:v>122</c:v>
                </c:pt>
                <c:pt idx="224">
                  <c:v>166</c:v>
                </c:pt>
                <c:pt idx="225">
                  <c:v>70</c:v>
                </c:pt>
                <c:pt idx="226">
                  <c:v>73</c:v>
                </c:pt>
                <c:pt idx="227">
                  <c:v>173</c:v>
                </c:pt>
                <c:pt idx="228">
                  <c:v>172</c:v>
                </c:pt>
                <c:pt idx="229">
                  <c:v>176</c:v>
                </c:pt>
                <c:pt idx="230">
                  <c:v>170</c:v>
                </c:pt>
                <c:pt idx="231">
                  <c:v>180</c:v>
                </c:pt>
                <c:pt idx="232">
                  <c:v>179</c:v>
                </c:pt>
                <c:pt idx="233">
                  <c:v>175</c:v>
                </c:pt>
                <c:pt idx="234">
                  <c:v>171</c:v>
                </c:pt>
                <c:pt idx="235">
                  <c:v>176</c:v>
                </c:pt>
                <c:pt idx="236">
                  <c:v>171</c:v>
                </c:pt>
                <c:pt idx="237">
                  <c:v>84</c:v>
                </c:pt>
                <c:pt idx="238">
                  <c:v>71</c:v>
                </c:pt>
                <c:pt idx="239">
                  <c:v>63</c:v>
                </c:pt>
                <c:pt idx="240">
                  <c:v>162</c:v>
                </c:pt>
                <c:pt idx="241">
                  <c:v>159</c:v>
                </c:pt>
                <c:pt idx="242">
                  <c:v>77</c:v>
                </c:pt>
                <c:pt idx="243">
                  <c:v>176</c:v>
                </c:pt>
                <c:pt idx="244">
                  <c:v>78</c:v>
                </c:pt>
                <c:pt idx="245">
                  <c:v>67</c:v>
                </c:pt>
                <c:pt idx="246">
                  <c:v>68</c:v>
                </c:pt>
                <c:pt idx="247">
                  <c:v>164</c:v>
                </c:pt>
                <c:pt idx="248">
                  <c:v>145</c:v>
                </c:pt>
                <c:pt idx="249">
                  <c:v>64</c:v>
                </c:pt>
                <c:pt idx="250">
                  <c:v>82</c:v>
                </c:pt>
                <c:pt idx="251">
                  <c:v>170</c:v>
                </c:pt>
                <c:pt idx="252">
                  <c:v>81</c:v>
                </c:pt>
                <c:pt idx="253">
                  <c:v>82</c:v>
                </c:pt>
                <c:pt idx="254">
                  <c:v>93</c:v>
                </c:pt>
                <c:pt idx="255">
                  <c:v>100</c:v>
                </c:pt>
                <c:pt idx="256">
                  <c:v>169</c:v>
                </c:pt>
                <c:pt idx="257">
                  <c:v>187</c:v>
                </c:pt>
                <c:pt idx="258">
                  <c:v>161</c:v>
                </c:pt>
                <c:pt idx="259">
                  <c:v>165</c:v>
                </c:pt>
                <c:pt idx="260">
                  <c:v>78</c:v>
                </c:pt>
                <c:pt idx="261">
                  <c:v>113</c:v>
                </c:pt>
                <c:pt idx="262">
                  <c:v>101</c:v>
                </c:pt>
                <c:pt idx="263">
                  <c:v>73</c:v>
                </c:pt>
                <c:pt idx="264">
                  <c:v>161</c:v>
                </c:pt>
                <c:pt idx="265">
                  <c:v>70</c:v>
                </c:pt>
                <c:pt idx="266">
                  <c:v>134</c:v>
                </c:pt>
                <c:pt idx="267">
                  <c:v>151</c:v>
                </c:pt>
                <c:pt idx="268">
                  <c:v>148</c:v>
                </c:pt>
                <c:pt idx="269">
                  <c:v>66</c:v>
                </c:pt>
                <c:pt idx="270">
                  <c:v>86</c:v>
                </c:pt>
                <c:pt idx="271">
                  <c:v>93</c:v>
                </c:pt>
                <c:pt idx="272">
                  <c:v>173</c:v>
                </c:pt>
                <c:pt idx="273">
                  <c:v>180</c:v>
                </c:pt>
                <c:pt idx="274">
                  <c:v>171</c:v>
                </c:pt>
                <c:pt idx="275">
                  <c:v>172</c:v>
                </c:pt>
                <c:pt idx="276">
                  <c:v>179</c:v>
                </c:pt>
                <c:pt idx="277">
                  <c:v>99</c:v>
                </c:pt>
                <c:pt idx="278">
                  <c:v>98</c:v>
                </c:pt>
                <c:pt idx="279">
                  <c:v>174</c:v>
                </c:pt>
                <c:pt idx="280">
                  <c:v>179</c:v>
                </c:pt>
                <c:pt idx="281">
                  <c:v>122</c:v>
                </c:pt>
                <c:pt idx="282">
                  <c:v>178</c:v>
                </c:pt>
                <c:pt idx="283">
                  <c:v>177</c:v>
                </c:pt>
                <c:pt idx="284">
                  <c:v>71</c:v>
                </c:pt>
                <c:pt idx="285">
                  <c:v>93</c:v>
                </c:pt>
                <c:pt idx="286">
                  <c:v>152</c:v>
                </c:pt>
                <c:pt idx="287">
                  <c:v>54</c:v>
                </c:pt>
                <c:pt idx="288">
                  <c:v>50</c:v>
                </c:pt>
                <c:pt idx="289">
                  <c:v>57</c:v>
                </c:pt>
                <c:pt idx="290">
                  <c:v>88</c:v>
                </c:pt>
                <c:pt idx="291">
                  <c:v>89</c:v>
                </c:pt>
                <c:pt idx="292">
                  <c:v>76</c:v>
                </c:pt>
                <c:pt idx="293">
                  <c:v>74</c:v>
                </c:pt>
                <c:pt idx="294">
                  <c:v>78</c:v>
                </c:pt>
                <c:pt idx="295">
                  <c:v>93</c:v>
                </c:pt>
                <c:pt idx="296">
                  <c:v>80</c:v>
                </c:pt>
                <c:pt idx="297">
                  <c:v>68</c:v>
                </c:pt>
                <c:pt idx="298">
                  <c:v>75</c:v>
                </c:pt>
                <c:pt idx="299">
                  <c:v>98</c:v>
                </c:pt>
                <c:pt idx="300">
                  <c:v>61</c:v>
                </c:pt>
                <c:pt idx="301">
                  <c:v>121</c:v>
                </c:pt>
                <c:pt idx="302">
                  <c:v>69</c:v>
                </c:pt>
                <c:pt idx="303">
                  <c:v>74</c:v>
                </c:pt>
                <c:pt idx="304">
                  <c:v>120</c:v>
                </c:pt>
                <c:pt idx="305">
                  <c:v>70</c:v>
                </c:pt>
                <c:pt idx="306">
                  <c:v>79</c:v>
                </c:pt>
                <c:pt idx="307">
                  <c:v>62</c:v>
                </c:pt>
                <c:pt idx="308">
                  <c:v>161</c:v>
                </c:pt>
                <c:pt idx="309">
                  <c:v>150</c:v>
                </c:pt>
                <c:pt idx="310">
                  <c:v>158</c:v>
                </c:pt>
                <c:pt idx="311">
                  <c:v>171</c:v>
                </c:pt>
                <c:pt idx="312">
                  <c:v>123</c:v>
                </c:pt>
                <c:pt idx="313">
                  <c:v>162</c:v>
                </c:pt>
                <c:pt idx="314">
                  <c:v>159</c:v>
                </c:pt>
                <c:pt idx="315">
                  <c:v>74</c:v>
                </c:pt>
                <c:pt idx="316">
                  <c:v>116</c:v>
                </c:pt>
                <c:pt idx="317">
                  <c:v>143</c:v>
                </c:pt>
                <c:pt idx="318">
                  <c:v>179</c:v>
                </c:pt>
                <c:pt idx="319">
                  <c:v>180</c:v>
                </c:pt>
                <c:pt idx="320">
                  <c:v>172</c:v>
                </c:pt>
                <c:pt idx="321">
                  <c:v>72</c:v>
                </c:pt>
                <c:pt idx="322">
                  <c:v>63</c:v>
                </c:pt>
                <c:pt idx="323">
                  <c:v>65</c:v>
                </c:pt>
                <c:pt idx="324">
                  <c:v>59</c:v>
                </c:pt>
                <c:pt idx="325">
                  <c:v>36</c:v>
                </c:pt>
                <c:pt idx="326">
                  <c:v>47</c:v>
                </c:pt>
                <c:pt idx="327">
                  <c:v>51</c:v>
                </c:pt>
                <c:pt idx="328">
                  <c:v>66</c:v>
                </c:pt>
                <c:pt idx="329">
                  <c:v>139</c:v>
                </c:pt>
                <c:pt idx="330">
                  <c:v>147</c:v>
                </c:pt>
                <c:pt idx="331">
                  <c:v>77</c:v>
                </c:pt>
                <c:pt idx="332">
                  <c:v>64</c:v>
                </c:pt>
                <c:pt idx="333">
                  <c:v>79</c:v>
                </c:pt>
                <c:pt idx="334">
                  <c:v>69</c:v>
                </c:pt>
                <c:pt idx="335">
                  <c:v>4</c:v>
                </c:pt>
                <c:pt idx="336">
                  <c:v>11</c:v>
                </c:pt>
                <c:pt idx="337">
                  <c:v>37</c:v>
                </c:pt>
                <c:pt idx="338">
                  <c:v>125</c:v>
                </c:pt>
                <c:pt idx="339">
                  <c:v>163</c:v>
                </c:pt>
                <c:pt idx="340">
                  <c:v>155</c:v>
                </c:pt>
                <c:pt idx="341">
                  <c:v>149</c:v>
                </c:pt>
                <c:pt idx="342">
                  <c:v>110</c:v>
                </c:pt>
                <c:pt idx="343">
                  <c:v>106</c:v>
                </c:pt>
                <c:pt idx="344">
                  <c:v>166</c:v>
                </c:pt>
                <c:pt idx="345">
                  <c:v>15</c:v>
                </c:pt>
                <c:pt idx="346">
                  <c:v>73</c:v>
                </c:pt>
                <c:pt idx="347">
                  <c:v>15</c:v>
                </c:pt>
                <c:pt idx="348">
                  <c:v>176</c:v>
                </c:pt>
                <c:pt idx="349">
                  <c:v>131</c:v>
                </c:pt>
                <c:pt idx="350">
                  <c:v>145</c:v>
                </c:pt>
                <c:pt idx="351">
                  <c:v>165</c:v>
                </c:pt>
                <c:pt idx="352">
                  <c:v>8</c:v>
                </c:pt>
                <c:pt idx="353">
                  <c:v>169</c:v>
                </c:pt>
                <c:pt idx="354">
                  <c:v>24</c:v>
                </c:pt>
                <c:pt idx="355">
                  <c:v>35</c:v>
                </c:pt>
                <c:pt idx="356">
                  <c:v>4</c:v>
                </c:pt>
                <c:pt idx="357">
                  <c:v>85</c:v>
                </c:pt>
                <c:pt idx="358">
                  <c:v>100</c:v>
                </c:pt>
                <c:pt idx="359">
                  <c:v>138</c:v>
                </c:pt>
                <c:pt idx="360">
                  <c:v>100</c:v>
                </c:pt>
                <c:pt idx="361">
                  <c:v>50</c:v>
                </c:pt>
                <c:pt idx="362">
                  <c:v>160</c:v>
                </c:pt>
                <c:pt idx="363">
                  <c:v>80</c:v>
                </c:pt>
                <c:pt idx="364">
                  <c:v>0</c:v>
                </c:pt>
                <c:pt idx="365">
                  <c:v>72</c:v>
                </c:pt>
                <c:pt idx="366">
                  <c:v>151</c:v>
                </c:pt>
                <c:pt idx="367">
                  <c:v>82</c:v>
                </c:pt>
                <c:pt idx="368">
                  <c:v>79</c:v>
                </c:pt>
                <c:pt idx="369">
                  <c:v>156</c:v>
                </c:pt>
                <c:pt idx="370">
                  <c:v>22</c:v>
                </c:pt>
                <c:pt idx="371">
                  <c:v>10</c:v>
                </c:pt>
                <c:pt idx="372">
                  <c:v>24</c:v>
                </c:pt>
                <c:pt idx="373">
                  <c:v>35</c:v>
                </c:pt>
                <c:pt idx="374">
                  <c:v>144</c:v>
                </c:pt>
                <c:pt idx="375">
                  <c:v>65</c:v>
                </c:pt>
                <c:pt idx="376">
                  <c:v>17</c:v>
                </c:pt>
                <c:pt idx="377">
                  <c:v>66</c:v>
                </c:pt>
                <c:pt idx="378">
                  <c:v>168</c:v>
                </c:pt>
                <c:pt idx="379">
                  <c:v>141</c:v>
                </c:pt>
                <c:pt idx="380">
                  <c:v>150</c:v>
                </c:pt>
                <c:pt idx="381">
                  <c:v>177</c:v>
                </c:pt>
                <c:pt idx="382">
                  <c:v>79</c:v>
                </c:pt>
                <c:pt idx="383">
                  <c:v>62</c:v>
                </c:pt>
                <c:pt idx="384">
                  <c:v>146</c:v>
                </c:pt>
                <c:pt idx="385">
                  <c:v>154</c:v>
                </c:pt>
                <c:pt idx="386">
                  <c:v>146</c:v>
                </c:pt>
                <c:pt idx="387">
                  <c:v>79</c:v>
                </c:pt>
                <c:pt idx="388">
                  <c:v>141</c:v>
                </c:pt>
                <c:pt idx="389">
                  <c:v>82</c:v>
                </c:pt>
                <c:pt idx="390">
                  <c:v>133</c:v>
                </c:pt>
                <c:pt idx="391">
                  <c:v>149</c:v>
                </c:pt>
                <c:pt idx="392">
                  <c:v>89</c:v>
                </c:pt>
                <c:pt idx="393">
                  <c:v>164</c:v>
                </c:pt>
                <c:pt idx="394">
                  <c:v>77</c:v>
                </c:pt>
                <c:pt idx="395">
                  <c:v>69</c:v>
                </c:pt>
                <c:pt idx="396">
                  <c:v>157</c:v>
                </c:pt>
                <c:pt idx="397">
                  <c:v>10</c:v>
                </c:pt>
                <c:pt idx="398">
                  <c:v>18</c:v>
                </c:pt>
                <c:pt idx="399">
                  <c:v>180</c:v>
                </c:pt>
                <c:pt idx="400">
                  <c:v>145</c:v>
                </c:pt>
                <c:pt idx="401">
                  <c:v>75</c:v>
                </c:pt>
                <c:pt idx="402">
                  <c:v>24</c:v>
                </c:pt>
                <c:pt idx="403">
                  <c:v>79</c:v>
                </c:pt>
                <c:pt idx="404">
                  <c:v>136</c:v>
                </c:pt>
                <c:pt idx="405">
                  <c:v>2</c:v>
                </c:pt>
                <c:pt idx="406">
                  <c:v>220</c:v>
                </c:pt>
                <c:pt idx="407">
                  <c:v>127</c:v>
                </c:pt>
                <c:pt idx="408">
                  <c:v>99</c:v>
                </c:pt>
                <c:pt idx="409">
                  <c:v>124</c:v>
                </c:pt>
                <c:pt idx="410">
                  <c:v>116</c:v>
                </c:pt>
                <c:pt idx="411">
                  <c:v>90</c:v>
                </c:pt>
                <c:pt idx="412">
                  <c:v>100</c:v>
                </c:pt>
                <c:pt idx="413">
                  <c:v>91</c:v>
                </c:pt>
                <c:pt idx="414">
                  <c:v>177</c:v>
                </c:pt>
                <c:pt idx="415">
                  <c:v>113</c:v>
                </c:pt>
                <c:pt idx="416">
                  <c:v>98</c:v>
                </c:pt>
                <c:pt idx="417">
                  <c:v>156</c:v>
                </c:pt>
                <c:pt idx="418">
                  <c:v>136</c:v>
                </c:pt>
                <c:pt idx="419">
                  <c:v>162</c:v>
                </c:pt>
                <c:pt idx="420">
                  <c:v>133</c:v>
                </c:pt>
                <c:pt idx="421">
                  <c:v>148</c:v>
                </c:pt>
                <c:pt idx="422">
                  <c:v>147</c:v>
                </c:pt>
                <c:pt idx="423">
                  <c:v>109</c:v>
                </c:pt>
                <c:pt idx="424">
                  <c:v>158</c:v>
                </c:pt>
                <c:pt idx="425">
                  <c:v>150</c:v>
                </c:pt>
                <c:pt idx="426">
                  <c:v>152</c:v>
                </c:pt>
                <c:pt idx="427">
                  <c:v>142</c:v>
                </c:pt>
                <c:pt idx="428">
                  <c:v>170</c:v>
                </c:pt>
                <c:pt idx="429">
                  <c:v>1</c:v>
                </c:pt>
                <c:pt idx="430">
                  <c:v>97</c:v>
                </c:pt>
                <c:pt idx="431">
                  <c:v>1</c:v>
                </c:pt>
                <c:pt idx="432">
                  <c:v>9</c:v>
                </c:pt>
                <c:pt idx="433">
                  <c:v>77</c:v>
                </c:pt>
                <c:pt idx="434">
                  <c:v>149</c:v>
                </c:pt>
                <c:pt idx="435">
                  <c:v>68</c:v>
                </c:pt>
                <c:pt idx="436">
                  <c:v>5</c:v>
                </c:pt>
                <c:pt idx="437">
                  <c:v>80</c:v>
                </c:pt>
                <c:pt idx="438">
                  <c:v>170</c:v>
                </c:pt>
                <c:pt idx="439">
                  <c:v>55</c:v>
                </c:pt>
                <c:pt idx="440">
                  <c:v>145</c:v>
                </c:pt>
                <c:pt idx="441">
                  <c:v>23</c:v>
                </c:pt>
                <c:pt idx="442">
                  <c:v>51</c:v>
                </c:pt>
                <c:pt idx="443">
                  <c:v>15</c:v>
                </c:pt>
                <c:pt idx="444">
                  <c:v>77</c:v>
                </c:pt>
                <c:pt idx="445">
                  <c:v>84</c:v>
                </c:pt>
                <c:pt idx="446">
                  <c:v>171</c:v>
                </c:pt>
                <c:pt idx="447">
                  <c:v>81</c:v>
                </c:pt>
                <c:pt idx="448">
                  <c:v>169</c:v>
                </c:pt>
                <c:pt idx="449">
                  <c:v>86</c:v>
                </c:pt>
                <c:pt idx="450">
                  <c:v>70</c:v>
                </c:pt>
                <c:pt idx="451">
                  <c:v>87</c:v>
                </c:pt>
                <c:pt idx="452">
                  <c:v>12</c:v>
                </c:pt>
                <c:pt idx="453">
                  <c:v>84</c:v>
                </c:pt>
                <c:pt idx="454">
                  <c:v>6</c:v>
                </c:pt>
                <c:pt idx="455">
                  <c:v>87</c:v>
                </c:pt>
                <c:pt idx="456">
                  <c:v>90</c:v>
                </c:pt>
                <c:pt idx="457">
                  <c:v>8</c:v>
                </c:pt>
                <c:pt idx="458">
                  <c:v>153</c:v>
                </c:pt>
                <c:pt idx="459">
                  <c:v>146</c:v>
                </c:pt>
                <c:pt idx="460">
                  <c:v>82</c:v>
                </c:pt>
                <c:pt idx="461">
                  <c:v>160</c:v>
                </c:pt>
                <c:pt idx="462">
                  <c:v>84</c:v>
                </c:pt>
                <c:pt idx="463">
                  <c:v>81</c:v>
                </c:pt>
                <c:pt idx="464">
                  <c:v>73</c:v>
                </c:pt>
                <c:pt idx="465">
                  <c:v>64</c:v>
                </c:pt>
                <c:pt idx="466">
                  <c:v>38</c:v>
                </c:pt>
                <c:pt idx="467">
                  <c:v>65</c:v>
                </c:pt>
                <c:pt idx="468">
                  <c:v>79</c:v>
                </c:pt>
                <c:pt idx="469">
                  <c:v>172</c:v>
                </c:pt>
                <c:pt idx="470">
                  <c:v>140</c:v>
                </c:pt>
                <c:pt idx="471">
                  <c:v>79</c:v>
                </c:pt>
                <c:pt idx="472">
                  <c:v>165</c:v>
                </c:pt>
                <c:pt idx="473">
                  <c:v>140</c:v>
                </c:pt>
                <c:pt idx="474">
                  <c:v>64</c:v>
                </c:pt>
                <c:pt idx="475">
                  <c:v>142</c:v>
                </c:pt>
                <c:pt idx="476">
                  <c:v>160</c:v>
                </c:pt>
                <c:pt idx="477">
                  <c:v>177</c:v>
                </c:pt>
                <c:pt idx="478">
                  <c:v>156</c:v>
                </c:pt>
                <c:pt idx="479">
                  <c:v>109</c:v>
                </c:pt>
                <c:pt idx="480">
                  <c:v>71</c:v>
                </c:pt>
                <c:pt idx="481">
                  <c:v>51</c:v>
                </c:pt>
                <c:pt idx="482">
                  <c:v>168</c:v>
                </c:pt>
              </c:numCache>
            </c:numRef>
          </c:val>
          <c:smooth val="0"/>
          <c:extLst>
            <c:ext xmlns:c16="http://schemas.microsoft.com/office/drawing/2014/chart" uri="{C3380CC4-5D6E-409C-BE32-E72D297353CC}">
              <c16:uniqueId val="{00000000-3485-4723-8C8A-C232C9F26386}"/>
            </c:ext>
          </c:extLst>
        </c:ser>
        <c:ser>
          <c:idx val="1"/>
          <c:order val="1"/>
          <c:tx>
            <c:strRef>
              <c:f>'EL-Atteuf'!$C$1</c:f>
              <c:strCache>
                <c:ptCount val="1"/>
                <c:pt idx="0">
                  <c:v>Dimention</c:v>
                </c:pt>
              </c:strCache>
            </c:strRef>
          </c:tx>
          <c:spPr>
            <a:ln w="12700" cap="rnd">
              <a:solidFill>
                <a:schemeClr val="accent6"/>
              </a:solidFill>
              <a:round/>
            </a:ln>
            <a:effectLst/>
          </c:spPr>
          <c:marker>
            <c:symbol val="none"/>
          </c:marker>
          <c:cat>
            <c:strRef>
              <c:f>'EL-Atteuf'!$A$2:$A$484</c:f>
              <c:strCache>
                <c:ptCount val="483"/>
                <c:pt idx="0">
                  <c:v>A1</c:v>
                </c:pt>
                <c:pt idx="1">
                  <c:v>A2</c:v>
                </c:pt>
                <c:pt idx="2">
                  <c:v>A3</c:v>
                </c:pt>
                <c:pt idx="3">
                  <c:v>A4</c:v>
                </c:pt>
                <c:pt idx="4">
                  <c:v>A5</c:v>
                </c:pt>
                <c:pt idx="5">
                  <c:v>A6</c:v>
                </c:pt>
                <c:pt idx="6">
                  <c:v>A7</c:v>
                </c:pt>
                <c:pt idx="7">
                  <c:v>A8</c:v>
                </c:pt>
                <c:pt idx="8">
                  <c:v>A9</c:v>
                </c:pt>
                <c:pt idx="9">
                  <c:v>A10</c:v>
                </c:pt>
                <c:pt idx="10">
                  <c:v>A11</c:v>
                </c:pt>
                <c:pt idx="11">
                  <c:v>A12</c:v>
                </c:pt>
                <c:pt idx="12">
                  <c:v>A13</c:v>
                </c:pt>
                <c:pt idx="13">
                  <c:v>A14</c:v>
                </c:pt>
                <c:pt idx="14">
                  <c:v>A15</c:v>
                </c:pt>
                <c:pt idx="15">
                  <c:v>A16</c:v>
                </c:pt>
                <c:pt idx="16">
                  <c:v>A17</c:v>
                </c:pt>
                <c:pt idx="17">
                  <c:v>A18</c:v>
                </c:pt>
                <c:pt idx="18">
                  <c:v>A19</c:v>
                </c:pt>
                <c:pt idx="19">
                  <c:v>A20</c:v>
                </c:pt>
                <c:pt idx="20">
                  <c:v>A21</c:v>
                </c:pt>
                <c:pt idx="21">
                  <c:v>A22</c:v>
                </c:pt>
                <c:pt idx="22">
                  <c:v>A23</c:v>
                </c:pt>
                <c:pt idx="23">
                  <c:v>A24</c:v>
                </c:pt>
                <c:pt idx="24">
                  <c:v>A25</c:v>
                </c:pt>
                <c:pt idx="25">
                  <c:v>A26</c:v>
                </c:pt>
                <c:pt idx="26">
                  <c:v>A27</c:v>
                </c:pt>
                <c:pt idx="27">
                  <c:v>A28</c:v>
                </c:pt>
                <c:pt idx="28">
                  <c:v>A29</c:v>
                </c:pt>
                <c:pt idx="29">
                  <c:v>A30</c:v>
                </c:pt>
                <c:pt idx="30">
                  <c:v>A31</c:v>
                </c:pt>
                <c:pt idx="31">
                  <c:v>A32</c:v>
                </c:pt>
                <c:pt idx="32">
                  <c:v>A33</c:v>
                </c:pt>
                <c:pt idx="33">
                  <c:v>A34</c:v>
                </c:pt>
                <c:pt idx="34">
                  <c:v>A35</c:v>
                </c:pt>
                <c:pt idx="35">
                  <c:v>A36</c:v>
                </c:pt>
                <c:pt idx="36">
                  <c:v>A37</c:v>
                </c:pt>
                <c:pt idx="37">
                  <c:v>A38</c:v>
                </c:pt>
                <c:pt idx="38">
                  <c:v>A39</c:v>
                </c:pt>
                <c:pt idx="39">
                  <c:v>A40</c:v>
                </c:pt>
                <c:pt idx="40">
                  <c:v>A41</c:v>
                </c:pt>
                <c:pt idx="41">
                  <c:v>A42</c:v>
                </c:pt>
                <c:pt idx="42">
                  <c:v>A43</c:v>
                </c:pt>
                <c:pt idx="43">
                  <c:v>A44</c:v>
                </c:pt>
                <c:pt idx="44">
                  <c:v>A45</c:v>
                </c:pt>
                <c:pt idx="45">
                  <c:v>A46</c:v>
                </c:pt>
                <c:pt idx="46">
                  <c:v>A47</c:v>
                </c:pt>
                <c:pt idx="47">
                  <c:v>A48</c:v>
                </c:pt>
                <c:pt idx="48">
                  <c:v>A49</c:v>
                </c:pt>
                <c:pt idx="49">
                  <c:v>A50</c:v>
                </c:pt>
                <c:pt idx="50">
                  <c:v>A51</c:v>
                </c:pt>
                <c:pt idx="51">
                  <c:v>A52</c:v>
                </c:pt>
                <c:pt idx="52">
                  <c:v>A53</c:v>
                </c:pt>
                <c:pt idx="53">
                  <c:v>A54</c:v>
                </c:pt>
                <c:pt idx="54">
                  <c:v>A55</c:v>
                </c:pt>
                <c:pt idx="55">
                  <c:v>A56</c:v>
                </c:pt>
                <c:pt idx="56">
                  <c:v>A57</c:v>
                </c:pt>
                <c:pt idx="57">
                  <c:v>A58</c:v>
                </c:pt>
                <c:pt idx="58">
                  <c:v>A59</c:v>
                </c:pt>
                <c:pt idx="59">
                  <c:v>A60</c:v>
                </c:pt>
                <c:pt idx="60">
                  <c:v>A61</c:v>
                </c:pt>
                <c:pt idx="61">
                  <c:v>A62</c:v>
                </c:pt>
                <c:pt idx="62">
                  <c:v>A63</c:v>
                </c:pt>
                <c:pt idx="63">
                  <c:v>A64</c:v>
                </c:pt>
                <c:pt idx="64">
                  <c:v>A65</c:v>
                </c:pt>
                <c:pt idx="65">
                  <c:v>A66</c:v>
                </c:pt>
                <c:pt idx="66">
                  <c:v>A67</c:v>
                </c:pt>
                <c:pt idx="67">
                  <c:v>A68</c:v>
                </c:pt>
                <c:pt idx="68">
                  <c:v>A69</c:v>
                </c:pt>
                <c:pt idx="69">
                  <c:v>A70</c:v>
                </c:pt>
                <c:pt idx="70">
                  <c:v>A71</c:v>
                </c:pt>
                <c:pt idx="71">
                  <c:v>A72</c:v>
                </c:pt>
                <c:pt idx="72">
                  <c:v>A73</c:v>
                </c:pt>
                <c:pt idx="73">
                  <c:v>A74</c:v>
                </c:pt>
                <c:pt idx="74">
                  <c:v>A75</c:v>
                </c:pt>
                <c:pt idx="75">
                  <c:v>A76</c:v>
                </c:pt>
                <c:pt idx="76">
                  <c:v>A77</c:v>
                </c:pt>
                <c:pt idx="77">
                  <c:v>A78</c:v>
                </c:pt>
                <c:pt idx="78">
                  <c:v>A79</c:v>
                </c:pt>
                <c:pt idx="79">
                  <c:v>A80</c:v>
                </c:pt>
                <c:pt idx="80">
                  <c:v>A81</c:v>
                </c:pt>
                <c:pt idx="81">
                  <c:v>A82</c:v>
                </c:pt>
                <c:pt idx="82">
                  <c:v>A83</c:v>
                </c:pt>
                <c:pt idx="83">
                  <c:v>A84</c:v>
                </c:pt>
                <c:pt idx="84">
                  <c:v>A85</c:v>
                </c:pt>
                <c:pt idx="85">
                  <c:v>A86</c:v>
                </c:pt>
                <c:pt idx="86">
                  <c:v>A87</c:v>
                </c:pt>
                <c:pt idx="87">
                  <c:v>A88</c:v>
                </c:pt>
                <c:pt idx="88">
                  <c:v>A89</c:v>
                </c:pt>
                <c:pt idx="89">
                  <c:v>A90</c:v>
                </c:pt>
                <c:pt idx="90">
                  <c:v>A91</c:v>
                </c:pt>
                <c:pt idx="91">
                  <c:v>A92</c:v>
                </c:pt>
                <c:pt idx="92">
                  <c:v>A93</c:v>
                </c:pt>
                <c:pt idx="93">
                  <c:v>A94</c:v>
                </c:pt>
                <c:pt idx="94">
                  <c:v>A95</c:v>
                </c:pt>
                <c:pt idx="95">
                  <c:v>A96</c:v>
                </c:pt>
                <c:pt idx="96">
                  <c:v>A97</c:v>
                </c:pt>
                <c:pt idx="97">
                  <c:v>A98</c:v>
                </c:pt>
                <c:pt idx="98">
                  <c:v>A99</c:v>
                </c:pt>
                <c:pt idx="99">
                  <c:v>A100</c:v>
                </c:pt>
                <c:pt idx="100">
                  <c:v>A101</c:v>
                </c:pt>
                <c:pt idx="101">
                  <c:v>A102</c:v>
                </c:pt>
                <c:pt idx="102">
                  <c:v>A103</c:v>
                </c:pt>
                <c:pt idx="103">
                  <c:v>A104</c:v>
                </c:pt>
                <c:pt idx="104">
                  <c:v>A105</c:v>
                </c:pt>
                <c:pt idx="105">
                  <c:v>A106</c:v>
                </c:pt>
                <c:pt idx="106">
                  <c:v>A107</c:v>
                </c:pt>
                <c:pt idx="107">
                  <c:v>A108</c:v>
                </c:pt>
                <c:pt idx="108">
                  <c:v>A109</c:v>
                </c:pt>
                <c:pt idx="109">
                  <c:v>A110</c:v>
                </c:pt>
                <c:pt idx="110">
                  <c:v>A111</c:v>
                </c:pt>
                <c:pt idx="111">
                  <c:v>A112</c:v>
                </c:pt>
                <c:pt idx="112">
                  <c:v>A113</c:v>
                </c:pt>
                <c:pt idx="113">
                  <c:v>A114</c:v>
                </c:pt>
                <c:pt idx="114">
                  <c:v>A115</c:v>
                </c:pt>
                <c:pt idx="115">
                  <c:v>A116</c:v>
                </c:pt>
                <c:pt idx="116">
                  <c:v>A117</c:v>
                </c:pt>
                <c:pt idx="117">
                  <c:v>A118</c:v>
                </c:pt>
                <c:pt idx="118">
                  <c:v>A119</c:v>
                </c:pt>
                <c:pt idx="119">
                  <c:v>A120</c:v>
                </c:pt>
                <c:pt idx="120">
                  <c:v>A121</c:v>
                </c:pt>
                <c:pt idx="121">
                  <c:v>A122</c:v>
                </c:pt>
                <c:pt idx="122">
                  <c:v>A123</c:v>
                </c:pt>
                <c:pt idx="123">
                  <c:v>A124</c:v>
                </c:pt>
                <c:pt idx="124">
                  <c:v>A125</c:v>
                </c:pt>
                <c:pt idx="125">
                  <c:v>A126</c:v>
                </c:pt>
                <c:pt idx="126">
                  <c:v>A127</c:v>
                </c:pt>
                <c:pt idx="127">
                  <c:v>A128</c:v>
                </c:pt>
                <c:pt idx="128">
                  <c:v>A129</c:v>
                </c:pt>
                <c:pt idx="129">
                  <c:v>A130</c:v>
                </c:pt>
                <c:pt idx="130">
                  <c:v>A131</c:v>
                </c:pt>
                <c:pt idx="131">
                  <c:v>A132</c:v>
                </c:pt>
                <c:pt idx="132">
                  <c:v>A133</c:v>
                </c:pt>
                <c:pt idx="133">
                  <c:v>A134</c:v>
                </c:pt>
                <c:pt idx="134">
                  <c:v>A135</c:v>
                </c:pt>
                <c:pt idx="135">
                  <c:v>A136</c:v>
                </c:pt>
                <c:pt idx="136">
                  <c:v>A137</c:v>
                </c:pt>
                <c:pt idx="137">
                  <c:v>A138</c:v>
                </c:pt>
                <c:pt idx="138">
                  <c:v>A139</c:v>
                </c:pt>
                <c:pt idx="139">
                  <c:v>A140</c:v>
                </c:pt>
                <c:pt idx="140">
                  <c:v>A141</c:v>
                </c:pt>
                <c:pt idx="141">
                  <c:v>A142</c:v>
                </c:pt>
                <c:pt idx="142">
                  <c:v>A143</c:v>
                </c:pt>
                <c:pt idx="143">
                  <c:v>A144</c:v>
                </c:pt>
                <c:pt idx="144">
                  <c:v>A145</c:v>
                </c:pt>
                <c:pt idx="145">
                  <c:v>A146</c:v>
                </c:pt>
                <c:pt idx="146">
                  <c:v>A147</c:v>
                </c:pt>
                <c:pt idx="147">
                  <c:v>A148</c:v>
                </c:pt>
                <c:pt idx="148">
                  <c:v>A149</c:v>
                </c:pt>
                <c:pt idx="149">
                  <c:v>A150</c:v>
                </c:pt>
                <c:pt idx="150">
                  <c:v>A151</c:v>
                </c:pt>
                <c:pt idx="151">
                  <c:v>A152</c:v>
                </c:pt>
                <c:pt idx="152">
                  <c:v>A153</c:v>
                </c:pt>
                <c:pt idx="153">
                  <c:v>A154</c:v>
                </c:pt>
                <c:pt idx="154">
                  <c:v>A155</c:v>
                </c:pt>
                <c:pt idx="155">
                  <c:v>A156</c:v>
                </c:pt>
                <c:pt idx="156">
                  <c:v>A157</c:v>
                </c:pt>
                <c:pt idx="157">
                  <c:v>A158</c:v>
                </c:pt>
                <c:pt idx="158">
                  <c:v>A159</c:v>
                </c:pt>
                <c:pt idx="159">
                  <c:v>A160</c:v>
                </c:pt>
                <c:pt idx="160">
                  <c:v>A161</c:v>
                </c:pt>
                <c:pt idx="161">
                  <c:v>A162</c:v>
                </c:pt>
                <c:pt idx="162">
                  <c:v>A163</c:v>
                </c:pt>
                <c:pt idx="163">
                  <c:v>A164</c:v>
                </c:pt>
                <c:pt idx="164">
                  <c:v>A165</c:v>
                </c:pt>
                <c:pt idx="165">
                  <c:v>A166</c:v>
                </c:pt>
                <c:pt idx="166">
                  <c:v>A167</c:v>
                </c:pt>
                <c:pt idx="167">
                  <c:v>A168</c:v>
                </c:pt>
                <c:pt idx="168">
                  <c:v>A169</c:v>
                </c:pt>
                <c:pt idx="169">
                  <c:v>A170</c:v>
                </c:pt>
                <c:pt idx="170">
                  <c:v>A171</c:v>
                </c:pt>
                <c:pt idx="171">
                  <c:v>A172</c:v>
                </c:pt>
                <c:pt idx="172">
                  <c:v>A173</c:v>
                </c:pt>
                <c:pt idx="173">
                  <c:v>A174</c:v>
                </c:pt>
                <c:pt idx="174">
                  <c:v>A175</c:v>
                </c:pt>
                <c:pt idx="175">
                  <c:v>A176</c:v>
                </c:pt>
                <c:pt idx="176">
                  <c:v>A177</c:v>
                </c:pt>
                <c:pt idx="177">
                  <c:v>A178</c:v>
                </c:pt>
                <c:pt idx="178">
                  <c:v>A179</c:v>
                </c:pt>
                <c:pt idx="179">
                  <c:v>A180</c:v>
                </c:pt>
                <c:pt idx="180">
                  <c:v>A181</c:v>
                </c:pt>
                <c:pt idx="181">
                  <c:v>A182</c:v>
                </c:pt>
                <c:pt idx="182">
                  <c:v>A183</c:v>
                </c:pt>
                <c:pt idx="183">
                  <c:v>A184</c:v>
                </c:pt>
                <c:pt idx="184">
                  <c:v>A185</c:v>
                </c:pt>
                <c:pt idx="185">
                  <c:v>A186</c:v>
                </c:pt>
                <c:pt idx="186">
                  <c:v>A187</c:v>
                </c:pt>
                <c:pt idx="187">
                  <c:v>B1</c:v>
                </c:pt>
                <c:pt idx="188">
                  <c:v>B2</c:v>
                </c:pt>
                <c:pt idx="189">
                  <c:v>B3</c:v>
                </c:pt>
                <c:pt idx="190">
                  <c:v>B4</c:v>
                </c:pt>
                <c:pt idx="191">
                  <c:v>B5</c:v>
                </c:pt>
                <c:pt idx="192">
                  <c:v>B6</c:v>
                </c:pt>
                <c:pt idx="193">
                  <c:v>B7</c:v>
                </c:pt>
                <c:pt idx="194">
                  <c:v>B8</c:v>
                </c:pt>
                <c:pt idx="195">
                  <c:v>B9</c:v>
                </c:pt>
                <c:pt idx="196">
                  <c:v>B10</c:v>
                </c:pt>
                <c:pt idx="197">
                  <c:v>B11</c:v>
                </c:pt>
                <c:pt idx="198">
                  <c:v>B12</c:v>
                </c:pt>
                <c:pt idx="199">
                  <c:v>B13</c:v>
                </c:pt>
                <c:pt idx="200">
                  <c:v>B14</c:v>
                </c:pt>
                <c:pt idx="201">
                  <c:v>B15</c:v>
                </c:pt>
                <c:pt idx="202">
                  <c:v>B16</c:v>
                </c:pt>
                <c:pt idx="203">
                  <c:v>B17</c:v>
                </c:pt>
                <c:pt idx="204">
                  <c:v>B18</c:v>
                </c:pt>
                <c:pt idx="205">
                  <c:v>B19</c:v>
                </c:pt>
                <c:pt idx="206">
                  <c:v>B20</c:v>
                </c:pt>
                <c:pt idx="207">
                  <c:v>B21</c:v>
                </c:pt>
                <c:pt idx="208">
                  <c:v>B22</c:v>
                </c:pt>
                <c:pt idx="209">
                  <c:v>B23</c:v>
                </c:pt>
                <c:pt idx="210">
                  <c:v>B24</c:v>
                </c:pt>
                <c:pt idx="211">
                  <c:v>B25</c:v>
                </c:pt>
                <c:pt idx="212">
                  <c:v>B26</c:v>
                </c:pt>
                <c:pt idx="213">
                  <c:v>B27</c:v>
                </c:pt>
                <c:pt idx="214">
                  <c:v>B28</c:v>
                </c:pt>
                <c:pt idx="215">
                  <c:v>B29</c:v>
                </c:pt>
                <c:pt idx="216">
                  <c:v>B30</c:v>
                </c:pt>
                <c:pt idx="217">
                  <c:v>B31</c:v>
                </c:pt>
                <c:pt idx="218">
                  <c:v>B32</c:v>
                </c:pt>
                <c:pt idx="219">
                  <c:v>B33</c:v>
                </c:pt>
                <c:pt idx="220">
                  <c:v>B34</c:v>
                </c:pt>
                <c:pt idx="221">
                  <c:v>B35</c:v>
                </c:pt>
                <c:pt idx="222">
                  <c:v>B36</c:v>
                </c:pt>
                <c:pt idx="223">
                  <c:v>B37</c:v>
                </c:pt>
                <c:pt idx="224">
                  <c:v>B38</c:v>
                </c:pt>
                <c:pt idx="225">
                  <c:v>B39</c:v>
                </c:pt>
                <c:pt idx="226">
                  <c:v>B40</c:v>
                </c:pt>
                <c:pt idx="227">
                  <c:v>B41</c:v>
                </c:pt>
                <c:pt idx="228">
                  <c:v>B42</c:v>
                </c:pt>
                <c:pt idx="229">
                  <c:v>B43</c:v>
                </c:pt>
                <c:pt idx="230">
                  <c:v>B44</c:v>
                </c:pt>
                <c:pt idx="231">
                  <c:v>B45</c:v>
                </c:pt>
                <c:pt idx="232">
                  <c:v>B46</c:v>
                </c:pt>
                <c:pt idx="233">
                  <c:v>B47</c:v>
                </c:pt>
                <c:pt idx="234">
                  <c:v>B48</c:v>
                </c:pt>
                <c:pt idx="235">
                  <c:v>B49</c:v>
                </c:pt>
                <c:pt idx="236">
                  <c:v>B50</c:v>
                </c:pt>
                <c:pt idx="237">
                  <c:v>B51</c:v>
                </c:pt>
                <c:pt idx="238">
                  <c:v>B52</c:v>
                </c:pt>
                <c:pt idx="239">
                  <c:v>B53</c:v>
                </c:pt>
                <c:pt idx="240">
                  <c:v>B54</c:v>
                </c:pt>
                <c:pt idx="241">
                  <c:v>B55</c:v>
                </c:pt>
                <c:pt idx="242">
                  <c:v>B56</c:v>
                </c:pt>
                <c:pt idx="243">
                  <c:v>B57</c:v>
                </c:pt>
                <c:pt idx="244">
                  <c:v>B58</c:v>
                </c:pt>
                <c:pt idx="245">
                  <c:v>B59</c:v>
                </c:pt>
                <c:pt idx="246">
                  <c:v>B60</c:v>
                </c:pt>
                <c:pt idx="247">
                  <c:v>B61</c:v>
                </c:pt>
                <c:pt idx="248">
                  <c:v>B62</c:v>
                </c:pt>
                <c:pt idx="249">
                  <c:v>B63</c:v>
                </c:pt>
                <c:pt idx="250">
                  <c:v>B64</c:v>
                </c:pt>
                <c:pt idx="251">
                  <c:v>B65</c:v>
                </c:pt>
                <c:pt idx="252">
                  <c:v>B66</c:v>
                </c:pt>
                <c:pt idx="253">
                  <c:v>B67</c:v>
                </c:pt>
                <c:pt idx="254">
                  <c:v>B68</c:v>
                </c:pt>
                <c:pt idx="255">
                  <c:v>B69</c:v>
                </c:pt>
                <c:pt idx="256">
                  <c:v>B70</c:v>
                </c:pt>
                <c:pt idx="257">
                  <c:v>B71</c:v>
                </c:pt>
                <c:pt idx="258">
                  <c:v>B72</c:v>
                </c:pt>
                <c:pt idx="259">
                  <c:v>B73</c:v>
                </c:pt>
                <c:pt idx="260">
                  <c:v>B74</c:v>
                </c:pt>
                <c:pt idx="261">
                  <c:v>B75</c:v>
                </c:pt>
                <c:pt idx="262">
                  <c:v>B76</c:v>
                </c:pt>
                <c:pt idx="263">
                  <c:v>B77</c:v>
                </c:pt>
                <c:pt idx="264">
                  <c:v>B78</c:v>
                </c:pt>
                <c:pt idx="265">
                  <c:v>B79</c:v>
                </c:pt>
                <c:pt idx="266">
                  <c:v>B80</c:v>
                </c:pt>
                <c:pt idx="267">
                  <c:v>B81</c:v>
                </c:pt>
                <c:pt idx="268">
                  <c:v>B82</c:v>
                </c:pt>
                <c:pt idx="269">
                  <c:v>B83</c:v>
                </c:pt>
                <c:pt idx="270">
                  <c:v>B84</c:v>
                </c:pt>
                <c:pt idx="271">
                  <c:v>B85</c:v>
                </c:pt>
                <c:pt idx="272">
                  <c:v>B86</c:v>
                </c:pt>
                <c:pt idx="273">
                  <c:v>B87</c:v>
                </c:pt>
                <c:pt idx="274">
                  <c:v>B88</c:v>
                </c:pt>
                <c:pt idx="275">
                  <c:v>B89</c:v>
                </c:pt>
                <c:pt idx="276">
                  <c:v>B90</c:v>
                </c:pt>
                <c:pt idx="277">
                  <c:v>B91</c:v>
                </c:pt>
                <c:pt idx="278">
                  <c:v>B92</c:v>
                </c:pt>
                <c:pt idx="279">
                  <c:v>B93</c:v>
                </c:pt>
                <c:pt idx="280">
                  <c:v>B94</c:v>
                </c:pt>
                <c:pt idx="281">
                  <c:v>B95</c:v>
                </c:pt>
                <c:pt idx="282">
                  <c:v>B96</c:v>
                </c:pt>
                <c:pt idx="283">
                  <c:v>B97</c:v>
                </c:pt>
                <c:pt idx="284">
                  <c:v>B98</c:v>
                </c:pt>
                <c:pt idx="285">
                  <c:v>B99</c:v>
                </c:pt>
                <c:pt idx="286">
                  <c:v>B100</c:v>
                </c:pt>
                <c:pt idx="287">
                  <c:v>B101</c:v>
                </c:pt>
                <c:pt idx="288">
                  <c:v>B102</c:v>
                </c:pt>
                <c:pt idx="289">
                  <c:v>B103</c:v>
                </c:pt>
                <c:pt idx="290">
                  <c:v>B104</c:v>
                </c:pt>
                <c:pt idx="291">
                  <c:v>B105</c:v>
                </c:pt>
                <c:pt idx="292">
                  <c:v>B106</c:v>
                </c:pt>
                <c:pt idx="293">
                  <c:v>B107</c:v>
                </c:pt>
                <c:pt idx="294">
                  <c:v>B108</c:v>
                </c:pt>
                <c:pt idx="295">
                  <c:v>B109</c:v>
                </c:pt>
                <c:pt idx="296">
                  <c:v>B110</c:v>
                </c:pt>
                <c:pt idx="297">
                  <c:v>B111</c:v>
                </c:pt>
                <c:pt idx="298">
                  <c:v>B112</c:v>
                </c:pt>
                <c:pt idx="299">
                  <c:v>B113</c:v>
                </c:pt>
                <c:pt idx="300">
                  <c:v>B114</c:v>
                </c:pt>
                <c:pt idx="301">
                  <c:v>B115</c:v>
                </c:pt>
                <c:pt idx="302">
                  <c:v>B116</c:v>
                </c:pt>
                <c:pt idx="303">
                  <c:v>B117</c:v>
                </c:pt>
                <c:pt idx="304">
                  <c:v>B118</c:v>
                </c:pt>
                <c:pt idx="305">
                  <c:v>B119</c:v>
                </c:pt>
                <c:pt idx="306">
                  <c:v>B120</c:v>
                </c:pt>
                <c:pt idx="307">
                  <c:v>B121</c:v>
                </c:pt>
                <c:pt idx="308">
                  <c:v>B122</c:v>
                </c:pt>
                <c:pt idx="309">
                  <c:v>B123</c:v>
                </c:pt>
                <c:pt idx="310">
                  <c:v>B124</c:v>
                </c:pt>
                <c:pt idx="311">
                  <c:v>B125</c:v>
                </c:pt>
                <c:pt idx="312">
                  <c:v>B126</c:v>
                </c:pt>
                <c:pt idx="313">
                  <c:v>B127</c:v>
                </c:pt>
                <c:pt idx="314">
                  <c:v>B128</c:v>
                </c:pt>
                <c:pt idx="315">
                  <c:v>B129</c:v>
                </c:pt>
                <c:pt idx="316">
                  <c:v>B130</c:v>
                </c:pt>
                <c:pt idx="317">
                  <c:v>B131</c:v>
                </c:pt>
                <c:pt idx="318">
                  <c:v>B132</c:v>
                </c:pt>
                <c:pt idx="319">
                  <c:v>B133</c:v>
                </c:pt>
                <c:pt idx="320">
                  <c:v>B134</c:v>
                </c:pt>
                <c:pt idx="321">
                  <c:v>B135</c:v>
                </c:pt>
                <c:pt idx="322">
                  <c:v>B136</c:v>
                </c:pt>
                <c:pt idx="323">
                  <c:v>B137</c:v>
                </c:pt>
                <c:pt idx="324">
                  <c:v>B138</c:v>
                </c:pt>
                <c:pt idx="325">
                  <c:v>B139</c:v>
                </c:pt>
                <c:pt idx="326">
                  <c:v>B140</c:v>
                </c:pt>
                <c:pt idx="327">
                  <c:v>B141</c:v>
                </c:pt>
                <c:pt idx="328">
                  <c:v>B142</c:v>
                </c:pt>
                <c:pt idx="329">
                  <c:v>B143</c:v>
                </c:pt>
                <c:pt idx="330">
                  <c:v>B144</c:v>
                </c:pt>
                <c:pt idx="331">
                  <c:v>B145</c:v>
                </c:pt>
                <c:pt idx="332">
                  <c:v>B146</c:v>
                </c:pt>
                <c:pt idx="333">
                  <c:v>B147</c:v>
                </c:pt>
                <c:pt idx="334">
                  <c:v>B148</c:v>
                </c:pt>
                <c:pt idx="335">
                  <c:v>B149</c:v>
                </c:pt>
                <c:pt idx="336">
                  <c:v>B150</c:v>
                </c:pt>
                <c:pt idx="337">
                  <c:v>B151</c:v>
                </c:pt>
                <c:pt idx="338">
                  <c:v>B152</c:v>
                </c:pt>
                <c:pt idx="339">
                  <c:v>B153</c:v>
                </c:pt>
                <c:pt idx="340">
                  <c:v>B154</c:v>
                </c:pt>
                <c:pt idx="341">
                  <c:v>B155</c:v>
                </c:pt>
                <c:pt idx="342">
                  <c:v>B156</c:v>
                </c:pt>
                <c:pt idx="343">
                  <c:v>B157</c:v>
                </c:pt>
                <c:pt idx="344">
                  <c:v>B158</c:v>
                </c:pt>
                <c:pt idx="345">
                  <c:v>B159</c:v>
                </c:pt>
                <c:pt idx="346">
                  <c:v>B160</c:v>
                </c:pt>
                <c:pt idx="347">
                  <c:v>B161</c:v>
                </c:pt>
                <c:pt idx="348">
                  <c:v>B162</c:v>
                </c:pt>
                <c:pt idx="349">
                  <c:v>B163</c:v>
                </c:pt>
                <c:pt idx="350">
                  <c:v>B164</c:v>
                </c:pt>
                <c:pt idx="351">
                  <c:v>B165</c:v>
                </c:pt>
                <c:pt idx="352">
                  <c:v>B166</c:v>
                </c:pt>
                <c:pt idx="353">
                  <c:v>B167</c:v>
                </c:pt>
                <c:pt idx="354">
                  <c:v>B168</c:v>
                </c:pt>
                <c:pt idx="355">
                  <c:v>B169</c:v>
                </c:pt>
                <c:pt idx="356">
                  <c:v>B170</c:v>
                </c:pt>
                <c:pt idx="357">
                  <c:v>B171</c:v>
                </c:pt>
                <c:pt idx="358">
                  <c:v>B172</c:v>
                </c:pt>
                <c:pt idx="359">
                  <c:v>B173</c:v>
                </c:pt>
                <c:pt idx="360">
                  <c:v>B174</c:v>
                </c:pt>
                <c:pt idx="361">
                  <c:v>B175</c:v>
                </c:pt>
                <c:pt idx="362">
                  <c:v>B176</c:v>
                </c:pt>
                <c:pt idx="363">
                  <c:v>B177</c:v>
                </c:pt>
                <c:pt idx="364">
                  <c:v>B178</c:v>
                </c:pt>
                <c:pt idx="365">
                  <c:v>B179</c:v>
                </c:pt>
                <c:pt idx="366">
                  <c:v>B180</c:v>
                </c:pt>
                <c:pt idx="367">
                  <c:v>B181</c:v>
                </c:pt>
                <c:pt idx="368">
                  <c:v>B182</c:v>
                </c:pt>
                <c:pt idx="369">
                  <c:v>B183</c:v>
                </c:pt>
                <c:pt idx="370">
                  <c:v>B184</c:v>
                </c:pt>
                <c:pt idx="371">
                  <c:v>B185</c:v>
                </c:pt>
                <c:pt idx="372">
                  <c:v>B186</c:v>
                </c:pt>
                <c:pt idx="373">
                  <c:v>B187</c:v>
                </c:pt>
                <c:pt idx="374">
                  <c:v>B188</c:v>
                </c:pt>
                <c:pt idx="375">
                  <c:v>B189</c:v>
                </c:pt>
                <c:pt idx="376">
                  <c:v>B190</c:v>
                </c:pt>
                <c:pt idx="377">
                  <c:v>B191</c:v>
                </c:pt>
                <c:pt idx="378">
                  <c:v>B192</c:v>
                </c:pt>
                <c:pt idx="379">
                  <c:v>B193</c:v>
                </c:pt>
                <c:pt idx="380">
                  <c:v>B194</c:v>
                </c:pt>
                <c:pt idx="381">
                  <c:v>B195</c:v>
                </c:pt>
                <c:pt idx="382">
                  <c:v>B196</c:v>
                </c:pt>
                <c:pt idx="383">
                  <c:v>B197</c:v>
                </c:pt>
                <c:pt idx="384">
                  <c:v>B198</c:v>
                </c:pt>
                <c:pt idx="385">
                  <c:v>B199</c:v>
                </c:pt>
                <c:pt idx="386">
                  <c:v>B200</c:v>
                </c:pt>
                <c:pt idx="387">
                  <c:v>B201</c:v>
                </c:pt>
                <c:pt idx="388">
                  <c:v>B202</c:v>
                </c:pt>
                <c:pt idx="389">
                  <c:v>B203</c:v>
                </c:pt>
                <c:pt idx="390">
                  <c:v>B204</c:v>
                </c:pt>
                <c:pt idx="391">
                  <c:v>B205</c:v>
                </c:pt>
                <c:pt idx="392">
                  <c:v>B206</c:v>
                </c:pt>
                <c:pt idx="393">
                  <c:v>B207</c:v>
                </c:pt>
                <c:pt idx="394">
                  <c:v>B208</c:v>
                </c:pt>
                <c:pt idx="395">
                  <c:v>B209</c:v>
                </c:pt>
                <c:pt idx="396">
                  <c:v>B210</c:v>
                </c:pt>
                <c:pt idx="397">
                  <c:v>B211</c:v>
                </c:pt>
                <c:pt idx="398">
                  <c:v>B212</c:v>
                </c:pt>
                <c:pt idx="399">
                  <c:v>B213</c:v>
                </c:pt>
                <c:pt idx="400">
                  <c:v>B214</c:v>
                </c:pt>
                <c:pt idx="401">
                  <c:v>B215</c:v>
                </c:pt>
                <c:pt idx="402">
                  <c:v>B216</c:v>
                </c:pt>
                <c:pt idx="403">
                  <c:v>B217</c:v>
                </c:pt>
                <c:pt idx="404">
                  <c:v>B218</c:v>
                </c:pt>
                <c:pt idx="405">
                  <c:v>B219</c:v>
                </c:pt>
                <c:pt idx="406">
                  <c:v>B220</c:v>
                </c:pt>
                <c:pt idx="407">
                  <c:v>B221</c:v>
                </c:pt>
                <c:pt idx="408">
                  <c:v>B222</c:v>
                </c:pt>
                <c:pt idx="409">
                  <c:v>B223</c:v>
                </c:pt>
                <c:pt idx="410">
                  <c:v>B224</c:v>
                </c:pt>
                <c:pt idx="411">
                  <c:v>B225</c:v>
                </c:pt>
                <c:pt idx="412">
                  <c:v>B226</c:v>
                </c:pt>
                <c:pt idx="413">
                  <c:v>B227</c:v>
                </c:pt>
                <c:pt idx="414">
                  <c:v>B228</c:v>
                </c:pt>
                <c:pt idx="415">
                  <c:v>B229</c:v>
                </c:pt>
                <c:pt idx="416">
                  <c:v>B230</c:v>
                </c:pt>
                <c:pt idx="417">
                  <c:v>B231</c:v>
                </c:pt>
                <c:pt idx="418">
                  <c:v>B232</c:v>
                </c:pt>
                <c:pt idx="419">
                  <c:v>B233</c:v>
                </c:pt>
                <c:pt idx="420">
                  <c:v>B234</c:v>
                </c:pt>
                <c:pt idx="421">
                  <c:v>B235</c:v>
                </c:pt>
                <c:pt idx="422">
                  <c:v>B236</c:v>
                </c:pt>
                <c:pt idx="423">
                  <c:v>B237</c:v>
                </c:pt>
                <c:pt idx="424">
                  <c:v>B238</c:v>
                </c:pt>
                <c:pt idx="425">
                  <c:v>B239</c:v>
                </c:pt>
                <c:pt idx="426">
                  <c:v>B240</c:v>
                </c:pt>
                <c:pt idx="427">
                  <c:v>B241</c:v>
                </c:pt>
                <c:pt idx="428">
                  <c:v>B242</c:v>
                </c:pt>
                <c:pt idx="429">
                  <c:v>B243</c:v>
                </c:pt>
                <c:pt idx="430">
                  <c:v>B244</c:v>
                </c:pt>
                <c:pt idx="431">
                  <c:v>B245</c:v>
                </c:pt>
                <c:pt idx="432">
                  <c:v>B246</c:v>
                </c:pt>
                <c:pt idx="433">
                  <c:v>B247</c:v>
                </c:pt>
                <c:pt idx="434">
                  <c:v>B248</c:v>
                </c:pt>
                <c:pt idx="435">
                  <c:v>B249</c:v>
                </c:pt>
                <c:pt idx="436">
                  <c:v>B250</c:v>
                </c:pt>
                <c:pt idx="437">
                  <c:v>B251</c:v>
                </c:pt>
                <c:pt idx="438">
                  <c:v>B252</c:v>
                </c:pt>
                <c:pt idx="439">
                  <c:v>B253</c:v>
                </c:pt>
                <c:pt idx="440">
                  <c:v>B254</c:v>
                </c:pt>
                <c:pt idx="441">
                  <c:v>B255</c:v>
                </c:pt>
                <c:pt idx="442">
                  <c:v>B256</c:v>
                </c:pt>
                <c:pt idx="443">
                  <c:v>B257</c:v>
                </c:pt>
                <c:pt idx="444">
                  <c:v>B258</c:v>
                </c:pt>
                <c:pt idx="445">
                  <c:v>B259</c:v>
                </c:pt>
                <c:pt idx="446">
                  <c:v>B260</c:v>
                </c:pt>
                <c:pt idx="447">
                  <c:v>B261</c:v>
                </c:pt>
                <c:pt idx="448">
                  <c:v>B262</c:v>
                </c:pt>
                <c:pt idx="449">
                  <c:v>B263</c:v>
                </c:pt>
                <c:pt idx="450">
                  <c:v>B264</c:v>
                </c:pt>
                <c:pt idx="451">
                  <c:v>B265</c:v>
                </c:pt>
                <c:pt idx="452">
                  <c:v>B266</c:v>
                </c:pt>
                <c:pt idx="453">
                  <c:v>B267</c:v>
                </c:pt>
                <c:pt idx="454">
                  <c:v>B268</c:v>
                </c:pt>
                <c:pt idx="455">
                  <c:v>B269</c:v>
                </c:pt>
                <c:pt idx="456">
                  <c:v>B270</c:v>
                </c:pt>
                <c:pt idx="457">
                  <c:v>B271</c:v>
                </c:pt>
                <c:pt idx="458">
                  <c:v>B272</c:v>
                </c:pt>
                <c:pt idx="459">
                  <c:v>B273</c:v>
                </c:pt>
                <c:pt idx="460">
                  <c:v>B274</c:v>
                </c:pt>
                <c:pt idx="461">
                  <c:v>B275</c:v>
                </c:pt>
                <c:pt idx="462">
                  <c:v>B276</c:v>
                </c:pt>
                <c:pt idx="463">
                  <c:v>B277</c:v>
                </c:pt>
                <c:pt idx="464">
                  <c:v>B278</c:v>
                </c:pt>
                <c:pt idx="465">
                  <c:v>B279</c:v>
                </c:pt>
                <c:pt idx="466">
                  <c:v>B280</c:v>
                </c:pt>
                <c:pt idx="467">
                  <c:v>B281</c:v>
                </c:pt>
                <c:pt idx="468">
                  <c:v>B282</c:v>
                </c:pt>
                <c:pt idx="469">
                  <c:v>B283</c:v>
                </c:pt>
                <c:pt idx="470">
                  <c:v>B284</c:v>
                </c:pt>
                <c:pt idx="471">
                  <c:v>B285</c:v>
                </c:pt>
                <c:pt idx="472">
                  <c:v>B286</c:v>
                </c:pt>
                <c:pt idx="473">
                  <c:v>B287</c:v>
                </c:pt>
                <c:pt idx="474">
                  <c:v>B288</c:v>
                </c:pt>
                <c:pt idx="475">
                  <c:v>B289</c:v>
                </c:pt>
                <c:pt idx="476">
                  <c:v>B290</c:v>
                </c:pt>
                <c:pt idx="477">
                  <c:v>B291</c:v>
                </c:pt>
                <c:pt idx="478">
                  <c:v>B292</c:v>
                </c:pt>
                <c:pt idx="479">
                  <c:v>B293</c:v>
                </c:pt>
                <c:pt idx="480">
                  <c:v>B294</c:v>
                </c:pt>
                <c:pt idx="481">
                  <c:v>B295</c:v>
                </c:pt>
                <c:pt idx="482">
                  <c:v>B296</c:v>
                </c:pt>
              </c:strCache>
            </c:strRef>
          </c:cat>
          <c:val>
            <c:numRef>
              <c:f>'EL-Atteuf'!$C$2:$C$484</c:f>
              <c:numCache>
                <c:formatCode>General</c:formatCode>
                <c:ptCount val="483"/>
                <c:pt idx="0">
                  <c:v>1</c:v>
                </c:pt>
                <c:pt idx="1">
                  <c:v>25.2</c:v>
                </c:pt>
                <c:pt idx="2">
                  <c:v>14.9</c:v>
                </c:pt>
                <c:pt idx="3">
                  <c:v>10.26</c:v>
                </c:pt>
                <c:pt idx="4">
                  <c:v>42.7</c:v>
                </c:pt>
                <c:pt idx="5">
                  <c:v>28.4</c:v>
                </c:pt>
                <c:pt idx="6">
                  <c:v>18.7</c:v>
                </c:pt>
                <c:pt idx="7">
                  <c:v>44.6</c:v>
                </c:pt>
                <c:pt idx="8">
                  <c:v>11.7</c:v>
                </c:pt>
                <c:pt idx="9">
                  <c:v>11.9</c:v>
                </c:pt>
                <c:pt idx="10">
                  <c:v>3.67</c:v>
                </c:pt>
                <c:pt idx="11">
                  <c:v>18.7</c:v>
                </c:pt>
                <c:pt idx="12">
                  <c:v>15.4</c:v>
                </c:pt>
                <c:pt idx="13">
                  <c:v>13.8</c:v>
                </c:pt>
                <c:pt idx="14">
                  <c:v>13.2</c:v>
                </c:pt>
                <c:pt idx="15">
                  <c:v>12.3</c:v>
                </c:pt>
                <c:pt idx="16">
                  <c:v>6.18</c:v>
                </c:pt>
                <c:pt idx="17">
                  <c:v>11.2</c:v>
                </c:pt>
                <c:pt idx="18">
                  <c:v>13.2</c:v>
                </c:pt>
                <c:pt idx="19">
                  <c:v>7.5</c:v>
                </c:pt>
                <c:pt idx="20">
                  <c:v>7.5</c:v>
                </c:pt>
                <c:pt idx="21">
                  <c:v>9.02</c:v>
                </c:pt>
                <c:pt idx="22">
                  <c:v>7.07</c:v>
                </c:pt>
                <c:pt idx="23">
                  <c:v>2.9</c:v>
                </c:pt>
                <c:pt idx="24">
                  <c:v>18.399999999999999</c:v>
                </c:pt>
                <c:pt idx="25">
                  <c:v>2.5</c:v>
                </c:pt>
                <c:pt idx="26">
                  <c:v>7.9</c:v>
                </c:pt>
                <c:pt idx="27">
                  <c:v>5.2</c:v>
                </c:pt>
                <c:pt idx="28">
                  <c:v>16.2</c:v>
                </c:pt>
                <c:pt idx="29">
                  <c:v>15.9</c:v>
                </c:pt>
                <c:pt idx="30">
                  <c:v>8.3000000000000007</c:v>
                </c:pt>
                <c:pt idx="31">
                  <c:v>5.0999999999999996</c:v>
                </c:pt>
                <c:pt idx="32">
                  <c:v>4.01</c:v>
                </c:pt>
                <c:pt idx="33">
                  <c:v>8.1999999999999993</c:v>
                </c:pt>
                <c:pt idx="34">
                  <c:v>11.79</c:v>
                </c:pt>
                <c:pt idx="35">
                  <c:v>14.9</c:v>
                </c:pt>
                <c:pt idx="36">
                  <c:v>10.02</c:v>
                </c:pt>
                <c:pt idx="37">
                  <c:v>8.9060000000000006</c:v>
                </c:pt>
                <c:pt idx="38">
                  <c:v>9.3000000000000007</c:v>
                </c:pt>
                <c:pt idx="39">
                  <c:v>10.47</c:v>
                </c:pt>
                <c:pt idx="40">
                  <c:v>13.86</c:v>
                </c:pt>
                <c:pt idx="41">
                  <c:v>24.72</c:v>
                </c:pt>
                <c:pt idx="42">
                  <c:v>2.5</c:v>
                </c:pt>
                <c:pt idx="43">
                  <c:v>5.17</c:v>
                </c:pt>
                <c:pt idx="44">
                  <c:v>14.59</c:v>
                </c:pt>
                <c:pt idx="45">
                  <c:v>8.48</c:v>
                </c:pt>
                <c:pt idx="46">
                  <c:v>8.4</c:v>
                </c:pt>
                <c:pt idx="47">
                  <c:v>6.8</c:v>
                </c:pt>
                <c:pt idx="48">
                  <c:v>13.5</c:v>
                </c:pt>
                <c:pt idx="49">
                  <c:v>4.62</c:v>
                </c:pt>
                <c:pt idx="50">
                  <c:v>7.46</c:v>
                </c:pt>
                <c:pt idx="51">
                  <c:v>10.5</c:v>
                </c:pt>
                <c:pt idx="52">
                  <c:v>13.28</c:v>
                </c:pt>
                <c:pt idx="53">
                  <c:v>12.51</c:v>
                </c:pt>
                <c:pt idx="54">
                  <c:v>4.87</c:v>
                </c:pt>
                <c:pt idx="55">
                  <c:v>6.75</c:v>
                </c:pt>
                <c:pt idx="56">
                  <c:v>15.45</c:v>
                </c:pt>
                <c:pt idx="57">
                  <c:v>5.19</c:v>
                </c:pt>
                <c:pt idx="58">
                  <c:v>6.48</c:v>
                </c:pt>
                <c:pt idx="59">
                  <c:v>6.27</c:v>
                </c:pt>
                <c:pt idx="60">
                  <c:v>9.92</c:v>
                </c:pt>
                <c:pt idx="61">
                  <c:v>8.1999999999999993</c:v>
                </c:pt>
                <c:pt idx="62">
                  <c:v>23.72</c:v>
                </c:pt>
                <c:pt idx="63">
                  <c:v>22.7</c:v>
                </c:pt>
                <c:pt idx="64">
                  <c:v>15.27</c:v>
                </c:pt>
                <c:pt idx="65">
                  <c:v>8.06</c:v>
                </c:pt>
                <c:pt idx="66">
                  <c:v>5.18</c:v>
                </c:pt>
                <c:pt idx="67">
                  <c:v>40.54</c:v>
                </c:pt>
                <c:pt idx="68">
                  <c:v>25.2</c:v>
                </c:pt>
                <c:pt idx="69">
                  <c:v>22.95</c:v>
                </c:pt>
                <c:pt idx="70">
                  <c:v>13.83</c:v>
                </c:pt>
                <c:pt idx="71">
                  <c:v>4.6900000000000004</c:v>
                </c:pt>
                <c:pt idx="72">
                  <c:v>16</c:v>
                </c:pt>
                <c:pt idx="73">
                  <c:v>24.59</c:v>
                </c:pt>
                <c:pt idx="74">
                  <c:v>4.8</c:v>
                </c:pt>
                <c:pt idx="75">
                  <c:v>12.9</c:v>
                </c:pt>
                <c:pt idx="76">
                  <c:v>2.9</c:v>
                </c:pt>
                <c:pt idx="77">
                  <c:v>1.2</c:v>
                </c:pt>
                <c:pt idx="78">
                  <c:v>2.0270000000000001</c:v>
                </c:pt>
                <c:pt idx="79">
                  <c:v>18.21</c:v>
                </c:pt>
                <c:pt idx="80">
                  <c:v>19.02</c:v>
                </c:pt>
                <c:pt idx="81">
                  <c:v>37.1</c:v>
                </c:pt>
                <c:pt idx="82">
                  <c:v>23.27</c:v>
                </c:pt>
                <c:pt idx="83">
                  <c:v>22.26</c:v>
                </c:pt>
                <c:pt idx="84">
                  <c:v>21</c:v>
                </c:pt>
                <c:pt idx="85">
                  <c:v>8.6999999999999993</c:v>
                </c:pt>
                <c:pt idx="86">
                  <c:v>15.83</c:v>
                </c:pt>
                <c:pt idx="87">
                  <c:v>11.58</c:v>
                </c:pt>
                <c:pt idx="88">
                  <c:v>3.63</c:v>
                </c:pt>
                <c:pt idx="89">
                  <c:v>11.68</c:v>
                </c:pt>
                <c:pt idx="90">
                  <c:v>25.15</c:v>
                </c:pt>
                <c:pt idx="91">
                  <c:v>17</c:v>
                </c:pt>
                <c:pt idx="92">
                  <c:v>12.14</c:v>
                </c:pt>
                <c:pt idx="93">
                  <c:v>9.11</c:v>
                </c:pt>
                <c:pt idx="94">
                  <c:v>12.04</c:v>
                </c:pt>
                <c:pt idx="95">
                  <c:v>1.82</c:v>
                </c:pt>
                <c:pt idx="96">
                  <c:v>8.6</c:v>
                </c:pt>
                <c:pt idx="97">
                  <c:v>9.85</c:v>
                </c:pt>
                <c:pt idx="98">
                  <c:v>3.13</c:v>
                </c:pt>
                <c:pt idx="99">
                  <c:v>6.35</c:v>
                </c:pt>
                <c:pt idx="100">
                  <c:v>26.15</c:v>
                </c:pt>
                <c:pt idx="101">
                  <c:v>3.7</c:v>
                </c:pt>
                <c:pt idx="102">
                  <c:v>4.13</c:v>
                </c:pt>
                <c:pt idx="103">
                  <c:v>5.1378000000000004</c:v>
                </c:pt>
                <c:pt idx="104">
                  <c:v>0.91</c:v>
                </c:pt>
                <c:pt idx="105">
                  <c:v>11.49</c:v>
                </c:pt>
                <c:pt idx="106">
                  <c:v>1.1599999999999999</c:v>
                </c:pt>
                <c:pt idx="107">
                  <c:v>13.77</c:v>
                </c:pt>
                <c:pt idx="108">
                  <c:v>10.82</c:v>
                </c:pt>
                <c:pt idx="109">
                  <c:v>8.4700000000000006</c:v>
                </c:pt>
                <c:pt idx="110">
                  <c:v>35.19</c:v>
                </c:pt>
                <c:pt idx="111">
                  <c:v>5.6</c:v>
                </c:pt>
                <c:pt idx="112">
                  <c:v>16.8</c:v>
                </c:pt>
                <c:pt idx="113">
                  <c:v>10.11</c:v>
                </c:pt>
                <c:pt idx="114">
                  <c:v>7.78</c:v>
                </c:pt>
                <c:pt idx="115">
                  <c:v>18.001999999999999</c:v>
                </c:pt>
                <c:pt idx="116">
                  <c:v>17.75</c:v>
                </c:pt>
                <c:pt idx="117">
                  <c:v>4.8</c:v>
                </c:pt>
                <c:pt idx="118">
                  <c:v>9.9600000000000009</c:v>
                </c:pt>
                <c:pt idx="119">
                  <c:v>8.3000000000000007</c:v>
                </c:pt>
                <c:pt idx="120">
                  <c:v>7.16</c:v>
                </c:pt>
                <c:pt idx="121">
                  <c:v>9.5</c:v>
                </c:pt>
                <c:pt idx="122">
                  <c:v>13.6</c:v>
                </c:pt>
                <c:pt idx="123">
                  <c:v>2.39</c:v>
                </c:pt>
                <c:pt idx="124">
                  <c:v>4.9000000000000004</c:v>
                </c:pt>
                <c:pt idx="125">
                  <c:v>7.2</c:v>
                </c:pt>
                <c:pt idx="126">
                  <c:v>2.7</c:v>
                </c:pt>
                <c:pt idx="127">
                  <c:v>4.3099999999999996</c:v>
                </c:pt>
                <c:pt idx="128">
                  <c:v>1.5</c:v>
                </c:pt>
                <c:pt idx="129">
                  <c:v>21</c:v>
                </c:pt>
                <c:pt idx="130">
                  <c:v>44.56</c:v>
                </c:pt>
                <c:pt idx="131">
                  <c:v>7.8</c:v>
                </c:pt>
                <c:pt idx="132">
                  <c:v>23.19</c:v>
                </c:pt>
                <c:pt idx="133">
                  <c:v>16.7</c:v>
                </c:pt>
                <c:pt idx="134">
                  <c:v>9.83</c:v>
                </c:pt>
                <c:pt idx="135">
                  <c:v>9.8000000000000007</c:v>
                </c:pt>
                <c:pt idx="136">
                  <c:v>23.5</c:v>
                </c:pt>
                <c:pt idx="137">
                  <c:v>21.08</c:v>
                </c:pt>
                <c:pt idx="138">
                  <c:v>5.0599999999999996</c:v>
                </c:pt>
                <c:pt idx="139">
                  <c:v>3.72</c:v>
                </c:pt>
                <c:pt idx="140">
                  <c:v>14.83</c:v>
                </c:pt>
                <c:pt idx="141">
                  <c:v>9.99</c:v>
                </c:pt>
                <c:pt idx="142">
                  <c:v>2.13</c:v>
                </c:pt>
                <c:pt idx="143">
                  <c:v>3.8</c:v>
                </c:pt>
                <c:pt idx="144">
                  <c:v>34.700000000000003</c:v>
                </c:pt>
                <c:pt idx="145">
                  <c:v>29</c:v>
                </c:pt>
                <c:pt idx="146">
                  <c:v>15.5</c:v>
                </c:pt>
                <c:pt idx="147">
                  <c:v>21.44</c:v>
                </c:pt>
                <c:pt idx="148">
                  <c:v>15.57</c:v>
                </c:pt>
                <c:pt idx="149">
                  <c:v>18.350000000000001</c:v>
                </c:pt>
                <c:pt idx="150">
                  <c:v>19</c:v>
                </c:pt>
                <c:pt idx="151">
                  <c:v>27.06</c:v>
                </c:pt>
                <c:pt idx="152">
                  <c:v>22.5</c:v>
                </c:pt>
                <c:pt idx="153">
                  <c:v>15.11</c:v>
                </c:pt>
                <c:pt idx="154">
                  <c:v>4.18</c:v>
                </c:pt>
                <c:pt idx="155">
                  <c:v>15.96</c:v>
                </c:pt>
                <c:pt idx="156">
                  <c:v>16.12</c:v>
                </c:pt>
                <c:pt idx="157">
                  <c:v>15.5</c:v>
                </c:pt>
                <c:pt idx="158">
                  <c:v>10.7</c:v>
                </c:pt>
                <c:pt idx="159">
                  <c:v>12.8</c:v>
                </c:pt>
                <c:pt idx="160">
                  <c:v>34.1</c:v>
                </c:pt>
                <c:pt idx="161">
                  <c:v>52.5</c:v>
                </c:pt>
                <c:pt idx="162">
                  <c:v>13.6</c:v>
                </c:pt>
                <c:pt idx="163">
                  <c:v>11.12</c:v>
                </c:pt>
                <c:pt idx="164">
                  <c:v>15.4</c:v>
                </c:pt>
                <c:pt idx="165">
                  <c:v>8.9</c:v>
                </c:pt>
                <c:pt idx="166">
                  <c:v>8.1999999999999993</c:v>
                </c:pt>
                <c:pt idx="167">
                  <c:v>39.299999999999997</c:v>
                </c:pt>
                <c:pt idx="168">
                  <c:v>41.4</c:v>
                </c:pt>
                <c:pt idx="169">
                  <c:v>17.7</c:v>
                </c:pt>
                <c:pt idx="170">
                  <c:v>20.399999999999999</c:v>
                </c:pt>
                <c:pt idx="171">
                  <c:v>19.2</c:v>
                </c:pt>
                <c:pt idx="172">
                  <c:v>17.399999999999999</c:v>
                </c:pt>
                <c:pt idx="173">
                  <c:v>18.3</c:v>
                </c:pt>
                <c:pt idx="174">
                  <c:v>19.7</c:v>
                </c:pt>
                <c:pt idx="175">
                  <c:v>100.9</c:v>
                </c:pt>
                <c:pt idx="176">
                  <c:v>29.9</c:v>
                </c:pt>
                <c:pt idx="177">
                  <c:v>11.9</c:v>
                </c:pt>
                <c:pt idx="178">
                  <c:v>7.9</c:v>
                </c:pt>
                <c:pt idx="179">
                  <c:v>12.6</c:v>
                </c:pt>
                <c:pt idx="180">
                  <c:v>8.4</c:v>
                </c:pt>
                <c:pt idx="181">
                  <c:v>5.54</c:v>
                </c:pt>
                <c:pt idx="182">
                  <c:v>8.3000000000000007</c:v>
                </c:pt>
                <c:pt idx="183">
                  <c:v>23.13</c:v>
                </c:pt>
                <c:pt idx="184">
                  <c:v>26.17</c:v>
                </c:pt>
                <c:pt idx="185">
                  <c:v>15.3</c:v>
                </c:pt>
                <c:pt idx="186">
                  <c:v>7.65</c:v>
                </c:pt>
                <c:pt idx="187">
                  <c:v>35.29</c:v>
                </c:pt>
                <c:pt idx="188">
                  <c:v>38</c:v>
                </c:pt>
                <c:pt idx="189">
                  <c:v>13.64</c:v>
                </c:pt>
                <c:pt idx="190">
                  <c:v>17.59</c:v>
                </c:pt>
                <c:pt idx="191">
                  <c:v>15.36</c:v>
                </c:pt>
                <c:pt idx="192">
                  <c:v>10.64</c:v>
                </c:pt>
                <c:pt idx="193">
                  <c:v>22.75</c:v>
                </c:pt>
                <c:pt idx="194">
                  <c:v>1.3</c:v>
                </c:pt>
                <c:pt idx="195">
                  <c:v>23.88</c:v>
                </c:pt>
                <c:pt idx="196">
                  <c:v>13.71</c:v>
                </c:pt>
                <c:pt idx="197">
                  <c:v>19.690000000000001</c:v>
                </c:pt>
                <c:pt idx="198">
                  <c:v>22.35</c:v>
                </c:pt>
                <c:pt idx="199">
                  <c:v>46.1</c:v>
                </c:pt>
                <c:pt idx="200">
                  <c:v>31.39</c:v>
                </c:pt>
                <c:pt idx="201">
                  <c:v>6.59</c:v>
                </c:pt>
                <c:pt idx="202">
                  <c:v>6.54</c:v>
                </c:pt>
                <c:pt idx="203">
                  <c:v>32.479999999999997</c:v>
                </c:pt>
                <c:pt idx="204">
                  <c:v>19.010000000000002</c:v>
                </c:pt>
                <c:pt idx="205">
                  <c:v>37.299999999999997</c:v>
                </c:pt>
                <c:pt idx="206">
                  <c:v>39.82</c:v>
                </c:pt>
                <c:pt idx="207">
                  <c:v>18.420000000000002</c:v>
                </c:pt>
                <c:pt idx="208">
                  <c:v>16.93</c:v>
                </c:pt>
                <c:pt idx="209">
                  <c:v>14.42</c:v>
                </c:pt>
                <c:pt idx="210">
                  <c:v>32.69</c:v>
                </c:pt>
                <c:pt idx="211">
                  <c:v>18.98</c:v>
                </c:pt>
                <c:pt idx="212">
                  <c:v>38.94</c:v>
                </c:pt>
                <c:pt idx="213">
                  <c:v>11.05</c:v>
                </c:pt>
                <c:pt idx="214">
                  <c:v>22.03</c:v>
                </c:pt>
                <c:pt idx="215">
                  <c:v>9.06</c:v>
                </c:pt>
                <c:pt idx="216">
                  <c:v>13.55</c:v>
                </c:pt>
                <c:pt idx="217">
                  <c:v>10.27</c:v>
                </c:pt>
                <c:pt idx="218">
                  <c:v>18.79</c:v>
                </c:pt>
                <c:pt idx="219">
                  <c:v>13.13</c:v>
                </c:pt>
                <c:pt idx="220">
                  <c:v>22.7</c:v>
                </c:pt>
                <c:pt idx="221">
                  <c:v>14.72</c:v>
                </c:pt>
                <c:pt idx="222">
                  <c:v>6.72</c:v>
                </c:pt>
                <c:pt idx="223">
                  <c:v>1.71</c:v>
                </c:pt>
                <c:pt idx="224">
                  <c:v>8.5</c:v>
                </c:pt>
                <c:pt idx="225">
                  <c:v>24.26</c:v>
                </c:pt>
                <c:pt idx="226">
                  <c:v>12.07</c:v>
                </c:pt>
                <c:pt idx="227">
                  <c:v>15.18</c:v>
                </c:pt>
                <c:pt idx="228">
                  <c:v>3.04</c:v>
                </c:pt>
                <c:pt idx="229">
                  <c:v>4.3899999999999997</c:v>
                </c:pt>
                <c:pt idx="230">
                  <c:v>13.87</c:v>
                </c:pt>
                <c:pt idx="231">
                  <c:v>6.09</c:v>
                </c:pt>
                <c:pt idx="232">
                  <c:v>7.32</c:v>
                </c:pt>
                <c:pt idx="233">
                  <c:v>1.96</c:v>
                </c:pt>
                <c:pt idx="234">
                  <c:v>4.9000000000000004</c:v>
                </c:pt>
                <c:pt idx="235">
                  <c:v>3.91</c:v>
                </c:pt>
                <c:pt idx="236">
                  <c:v>0.89</c:v>
                </c:pt>
                <c:pt idx="237">
                  <c:v>37.36</c:v>
                </c:pt>
                <c:pt idx="238">
                  <c:v>30.36</c:v>
                </c:pt>
                <c:pt idx="239">
                  <c:v>11.69</c:v>
                </c:pt>
                <c:pt idx="240">
                  <c:v>13.39</c:v>
                </c:pt>
                <c:pt idx="241">
                  <c:v>17.14</c:v>
                </c:pt>
                <c:pt idx="242">
                  <c:v>17.760000000000002</c:v>
                </c:pt>
                <c:pt idx="243">
                  <c:v>7.41</c:v>
                </c:pt>
                <c:pt idx="244">
                  <c:v>16.27</c:v>
                </c:pt>
                <c:pt idx="245">
                  <c:v>28.94</c:v>
                </c:pt>
                <c:pt idx="246">
                  <c:v>12.48</c:v>
                </c:pt>
                <c:pt idx="247">
                  <c:v>6.98</c:v>
                </c:pt>
                <c:pt idx="248">
                  <c:v>13.25</c:v>
                </c:pt>
                <c:pt idx="249">
                  <c:v>11.67</c:v>
                </c:pt>
                <c:pt idx="250">
                  <c:v>4.87</c:v>
                </c:pt>
                <c:pt idx="251">
                  <c:v>7.11</c:v>
                </c:pt>
                <c:pt idx="252">
                  <c:v>26.89</c:v>
                </c:pt>
                <c:pt idx="253">
                  <c:v>9.83</c:v>
                </c:pt>
                <c:pt idx="254">
                  <c:v>9.84</c:v>
                </c:pt>
                <c:pt idx="255">
                  <c:v>10.49</c:v>
                </c:pt>
                <c:pt idx="256">
                  <c:v>17.27</c:v>
                </c:pt>
                <c:pt idx="257">
                  <c:v>11</c:v>
                </c:pt>
                <c:pt idx="258">
                  <c:v>9.48</c:v>
                </c:pt>
                <c:pt idx="259">
                  <c:v>12.4</c:v>
                </c:pt>
                <c:pt idx="260">
                  <c:v>1.39</c:v>
                </c:pt>
                <c:pt idx="261">
                  <c:v>1.84</c:v>
                </c:pt>
                <c:pt idx="262">
                  <c:v>3.03</c:v>
                </c:pt>
                <c:pt idx="263">
                  <c:v>25.36</c:v>
                </c:pt>
                <c:pt idx="264">
                  <c:v>22.18</c:v>
                </c:pt>
                <c:pt idx="265">
                  <c:v>13.09</c:v>
                </c:pt>
                <c:pt idx="266">
                  <c:v>11</c:v>
                </c:pt>
                <c:pt idx="267">
                  <c:v>101.35</c:v>
                </c:pt>
                <c:pt idx="268">
                  <c:v>8.52</c:v>
                </c:pt>
                <c:pt idx="269">
                  <c:v>12.86</c:v>
                </c:pt>
                <c:pt idx="270">
                  <c:v>13.78</c:v>
                </c:pt>
                <c:pt idx="271">
                  <c:v>13.7</c:v>
                </c:pt>
                <c:pt idx="272">
                  <c:v>28.82</c:v>
                </c:pt>
                <c:pt idx="273">
                  <c:v>12.42</c:v>
                </c:pt>
                <c:pt idx="274">
                  <c:v>18.7</c:v>
                </c:pt>
                <c:pt idx="275">
                  <c:v>9.76</c:v>
                </c:pt>
                <c:pt idx="276">
                  <c:v>15.15</c:v>
                </c:pt>
                <c:pt idx="277">
                  <c:v>13.38</c:v>
                </c:pt>
                <c:pt idx="278">
                  <c:v>11.7</c:v>
                </c:pt>
                <c:pt idx="279">
                  <c:v>9.58</c:v>
                </c:pt>
                <c:pt idx="280">
                  <c:v>8.75</c:v>
                </c:pt>
                <c:pt idx="281">
                  <c:v>1.35</c:v>
                </c:pt>
                <c:pt idx="282">
                  <c:v>15.23</c:v>
                </c:pt>
                <c:pt idx="283">
                  <c:v>6.91</c:v>
                </c:pt>
                <c:pt idx="284">
                  <c:v>20.260000000000002</c:v>
                </c:pt>
                <c:pt idx="285">
                  <c:v>1.91</c:v>
                </c:pt>
                <c:pt idx="286">
                  <c:v>3.28</c:v>
                </c:pt>
                <c:pt idx="287">
                  <c:v>21.9</c:v>
                </c:pt>
                <c:pt idx="288">
                  <c:v>10.67</c:v>
                </c:pt>
                <c:pt idx="289">
                  <c:v>4.55</c:v>
                </c:pt>
                <c:pt idx="290">
                  <c:v>6.43</c:v>
                </c:pt>
                <c:pt idx="291">
                  <c:v>9.07</c:v>
                </c:pt>
                <c:pt idx="292">
                  <c:v>12.95</c:v>
                </c:pt>
                <c:pt idx="293">
                  <c:v>1.1599999999999999</c:v>
                </c:pt>
                <c:pt idx="294">
                  <c:v>3.88</c:v>
                </c:pt>
                <c:pt idx="295">
                  <c:v>8.08</c:v>
                </c:pt>
                <c:pt idx="296">
                  <c:v>5.81</c:v>
                </c:pt>
                <c:pt idx="297">
                  <c:v>7.08</c:v>
                </c:pt>
                <c:pt idx="298">
                  <c:v>19.05</c:v>
                </c:pt>
                <c:pt idx="299">
                  <c:v>8.35</c:v>
                </c:pt>
                <c:pt idx="300">
                  <c:v>12.14</c:v>
                </c:pt>
                <c:pt idx="301">
                  <c:v>8.9</c:v>
                </c:pt>
                <c:pt idx="302">
                  <c:v>8.7100000000000009</c:v>
                </c:pt>
                <c:pt idx="303">
                  <c:v>13.73</c:v>
                </c:pt>
                <c:pt idx="304">
                  <c:v>9.5299999999999994</c:v>
                </c:pt>
                <c:pt idx="305">
                  <c:v>19.46</c:v>
                </c:pt>
                <c:pt idx="306">
                  <c:v>9.65</c:v>
                </c:pt>
                <c:pt idx="307">
                  <c:v>7.82</c:v>
                </c:pt>
                <c:pt idx="308">
                  <c:v>13.65</c:v>
                </c:pt>
                <c:pt idx="309">
                  <c:v>2.94</c:v>
                </c:pt>
                <c:pt idx="310">
                  <c:v>5.33</c:v>
                </c:pt>
                <c:pt idx="311">
                  <c:v>3.53</c:v>
                </c:pt>
                <c:pt idx="312">
                  <c:v>9.52</c:v>
                </c:pt>
                <c:pt idx="313">
                  <c:v>18.36</c:v>
                </c:pt>
                <c:pt idx="314">
                  <c:v>5.18</c:v>
                </c:pt>
                <c:pt idx="315">
                  <c:v>5.55</c:v>
                </c:pt>
                <c:pt idx="316">
                  <c:v>4.47</c:v>
                </c:pt>
                <c:pt idx="317">
                  <c:v>5.86</c:v>
                </c:pt>
                <c:pt idx="318">
                  <c:v>4.3499999999999996</c:v>
                </c:pt>
                <c:pt idx="319">
                  <c:v>4.25</c:v>
                </c:pt>
                <c:pt idx="320">
                  <c:v>19.13</c:v>
                </c:pt>
                <c:pt idx="321">
                  <c:v>17.989999999999998</c:v>
                </c:pt>
                <c:pt idx="322">
                  <c:v>6.71</c:v>
                </c:pt>
                <c:pt idx="323">
                  <c:v>8.84</c:v>
                </c:pt>
                <c:pt idx="324">
                  <c:v>6.61</c:v>
                </c:pt>
                <c:pt idx="325">
                  <c:v>5.13</c:v>
                </c:pt>
                <c:pt idx="326">
                  <c:v>5.47</c:v>
                </c:pt>
                <c:pt idx="327">
                  <c:v>16.13</c:v>
                </c:pt>
                <c:pt idx="328">
                  <c:v>2.41</c:v>
                </c:pt>
                <c:pt idx="329">
                  <c:v>8.82</c:v>
                </c:pt>
                <c:pt idx="330">
                  <c:v>10.79</c:v>
                </c:pt>
                <c:pt idx="331">
                  <c:v>2.63</c:v>
                </c:pt>
                <c:pt idx="332">
                  <c:v>1.65</c:v>
                </c:pt>
                <c:pt idx="333">
                  <c:v>4.76</c:v>
                </c:pt>
                <c:pt idx="334">
                  <c:v>2.33</c:v>
                </c:pt>
                <c:pt idx="335">
                  <c:v>4.26</c:v>
                </c:pt>
                <c:pt idx="336">
                  <c:v>5.54</c:v>
                </c:pt>
                <c:pt idx="337">
                  <c:v>14.12</c:v>
                </c:pt>
                <c:pt idx="338">
                  <c:v>8.7799999999999994</c:v>
                </c:pt>
                <c:pt idx="339">
                  <c:v>7.99</c:v>
                </c:pt>
                <c:pt idx="340">
                  <c:v>9.3699999999999992</c:v>
                </c:pt>
                <c:pt idx="341">
                  <c:v>3.91</c:v>
                </c:pt>
                <c:pt idx="342">
                  <c:v>10.130000000000001</c:v>
                </c:pt>
                <c:pt idx="343">
                  <c:v>7.27</c:v>
                </c:pt>
                <c:pt idx="344">
                  <c:v>15.62</c:v>
                </c:pt>
                <c:pt idx="345">
                  <c:v>8.67</c:v>
                </c:pt>
                <c:pt idx="346">
                  <c:v>11.52</c:v>
                </c:pt>
                <c:pt idx="347">
                  <c:v>14.53</c:v>
                </c:pt>
                <c:pt idx="348">
                  <c:v>15.71</c:v>
                </c:pt>
                <c:pt idx="349">
                  <c:v>6.7</c:v>
                </c:pt>
                <c:pt idx="350">
                  <c:v>11.12</c:v>
                </c:pt>
                <c:pt idx="351">
                  <c:v>3.89</c:v>
                </c:pt>
                <c:pt idx="352">
                  <c:v>7.35</c:v>
                </c:pt>
                <c:pt idx="353">
                  <c:v>5.49</c:v>
                </c:pt>
                <c:pt idx="354">
                  <c:v>8.9700000000000006</c:v>
                </c:pt>
                <c:pt idx="355">
                  <c:v>3.95</c:v>
                </c:pt>
                <c:pt idx="356">
                  <c:v>7.98</c:v>
                </c:pt>
                <c:pt idx="357">
                  <c:v>17.32</c:v>
                </c:pt>
                <c:pt idx="358">
                  <c:v>3.29</c:v>
                </c:pt>
                <c:pt idx="359">
                  <c:v>2.71</c:v>
                </c:pt>
                <c:pt idx="360">
                  <c:v>4.29</c:v>
                </c:pt>
                <c:pt idx="361">
                  <c:v>10.1</c:v>
                </c:pt>
                <c:pt idx="362">
                  <c:v>12.82</c:v>
                </c:pt>
                <c:pt idx="363">
                  <c:v>4.17</c:v>
                </c:pt>
                <c:pt idx="364">
                  <c:v>1.75</c:v>
                </c:pt>
                <c:pt idx="365">
                  <c:v>3.68</c:v>
                </c:pt>
                <c:pt idx="366">
                  <c:v>1.97</c:v>
                </c:pt>
                <c:pt idx="367">
                  <c:v>4.6900000000000004</c:v>
                </c:pt>
                <c:pt idx="368">
                  <c:v>4.58</c:v>
                </c:pt>
                <c:pt idx="369">
                  <c:v>5.17</c:v>
                </c:pt>
                <c:pt idx="370">
                  <c:v>5.76</c:v>
                </c:pt>
                <c:pt idx="371">
                  <c:v>4.82</c:v>
                </c:pt>
                <c:pt idx="372">
                  <c:v>10.18</c:v>
                </c:pt>
                <c:pt idx="373">
                  <c:v>11.3</c:v>
                </c:pt>
                <c:pt idx="374">
                  <c:v>13.52</c:v>
                </c:pt>
                <c:pt idx="375">
                  <c:v>15.28</c:v>
                </c:pt>
                <c:pt idx="376">
                  <c:v>1.2</c:v>
                </c:pt>
                <c:pt idx="377">
                  <c:v>7.05</c:v>
                </c:pt>
                <c:pt idx="378">
                  <c:v>3.64</c:v>
                </c:pt>
                <c:pt idx="379">
                  <c:v>2.08</c:v>
                </c:pt>
                <c:pt idx="380">
                  <c:v>14.01</c:v>
                </c:pt>
                <c:pt idx="381">
                  <c:v>3.62</c:v>
                </c:pt>
                <c:pt idx="382">
                  <c:v>29.23</c:v>
                </c:pt>
                <c:pt idx="383">
                  <c:v>8.43</c:v>
                </c:pt>
                <c:pt idx="384">
                  <c:v>3.2</c:v>
                </c:pt>
                <c:pt idx="385">
                  <c:v>14.74</c:v>
                </c:pt>
                <c:pt idx="386">
                  <c:v>6.14</c:v>
                </c:pt>
                <c:pt idx="387">
                  <c:v>82.49</c:v>
                </c:pt>
                <c:pt idx="388">
                  <c:v>8.82</c:v>
                </c:pt>
                <c:pt idx="389">
                  <c:v>16.75</c:v>
                </c:pt>
                <c:pt idx="390">
                  <c:v>10.73</c:v>
                </c:pt>
                <c:pt idx="391">
                  <c:v>7.11</c:v>
                </c:pt>
                <c:pt idx="392">
                  <c:v>3.66</c:v>
                </c:pt>
                <c:pt idx="393">
                  <c:v>5.73</c:v>
                </c:pt>
                <c:pt idx="394">
                  <c:v>20.88</c:v>
                </c:pt>
                <c:pt idx="395">
                  <c:v>8.7100000000000009</c:v>
                </c:pt>
                <c:pt idx="396">
                  <c:v>10.35</c:v>
                </c:pt>
                <c:pt idx="397">
                  <c:v>10.25</c:v>
                </c:pt>
                <c:pt idx="398">
                  <c:v>3.96</c:v>
                </c:pt>
                <c:pt idx="399">
                  <c:v>10.51</c:v>
                </c:pt>
                <c:pt idx="400">
                  <c:v>8.41</c:v>
                </c:pt>
                <c:pt idx="401">
                  <c:v>6.63</c:v>
                </c:pt>
                <c:pt idx="402">
                  <c:v>4.1100000000000003</c:v>
                </c:pt>
                <c:pt idx="403">
                  <c:v>15.98</c:v>
                </c:pt>
                <c:pt idx="404">
                  <c:v>17.920000000000002</c:v>
                </c:pt>
                <c:pt idx="405">
                  <c:v>10.48</c:v>
                </c:pt>
                <c:pt idx="406">
                  <c:v>4.7699999999999996</c:v>
                </c:pt>
                <c:pt idx="407">
                  <c:v>5.92</c:v>
                </c:pt>
                <c:pt idx="408">
                  <c:v>1.92</c:v>
                </c:pt>
                <c:pt idx="409">
                  <c:v>9.7100000000000009</c:v>
                </c:pt>
                <c:pt idx="410">
                  <c:v>4.1399999999999997</c:v>
                </c:pt>
                <c:pt idx="411">
                  <c:v>7.61</c:v>
                </c:pt>
                <c:pt idx="412">
                  <c:v>4.0999999999999996</c:v>
                </c:pt>
                <c:pt idx="413">
                  <c:v>9.35</c:v>
                </c:pt>
                <c:pt idx="414">
                  <c:v>8.39</c:v>
                </c:pt>
                <c:pt idx="415">
                  <c:v>2.0499999999999998</c:v>
                </c:pt>
                <c:pt idx="416">
                  <c:v>3.1</c:v>
                </c:pt>
                <c:pt idx="417">
                  <c:v>7.86</c:v>
                </c:pt>
                <c:pt idx="418">
                  <c:v>26.4</c:v>
                </c:pt>
                <c:pt idx="419">
                  <c:v>11.8</c:v>
                </c:pt>
                <c:pt idx="420">
                  <c:v>1.86</c:v>
                </c:pt>
                <c:pt idx="421">
                  <c:v>15.4</c:v>
                </c:pt>
                <c:pt idx="422">
                  <c:v>6.71</c:v>
                </c:pt>
                <c:pt idx="423">
                  <c:v>2.08</c:v>
                </c:pt>
                <c:pt idx="424">
                  <c:v>2.71</c:v>
                </c:pt>
                <c:pt idx="425">
                  <c:v>3.76</c:v>
                </c:pt>
                <c:pt idx="426">
                  <c:v>7.94</c:v>
                </c:pt>
                <c:pt idx="427">
                  <c:v>9.76</c:v>
                </c:pt>
                <c:pt idx="428">
                  <c:v>17.89</c:v>
                </c:pt>
                <c:pt idx="429">
                  <c:v>8.76</c:v>
                </c:pt>
                <c:pt idx="430">
                  <c:v>6.66</c:v>
                </c:pt>
                <c:pt idx="431">
                  <c:v>12.28</c:v>
                </c:pt>
                <c:pt idx="432">
                  <c:v>2.48</c:v>
                </c:pt>
                <c:pt idx="433">
                  <c:v>7.89</c:v>
                </c:pt>
                <c:pt idx="434">
                  <c:v>16.25</c:v>
                </c:pt>
                <c:pt idx="435">
                  <c:v>15.43</c:v>
                </c:pt>
                <c:pt idx="436">
                  <c:v>17.649999999999999</c:v>
                </c:pt>
                <c:pt idx="437">
                  <c:v>3.84</c:v>
                </c:pt>
                <c:pt idx="438">
                  <c:v>8.76</c:v>
                </c:pt>
                <c:pt idx="439">
                  <c:v>3.5</c:v>
                </c:pt>
                <c:pt idx="440">
                  <c:v>5.7</c:v>
                </c:pt>
                <c:pt idx="441">
                  <c:v>8.5399999999999991</c:v>
                </c:pt>
                <c:pt idx="442">
                  <c:v>5.65</c:v>
                </c:pt>
                <c:pt idx="443">
                  <c:v>4.17</c:v>
                </c:pt>
                <c:pt idx="444">
                  <c:v>23.82</c:v>
                </c:pt>
                <c:pt idx="445">
                  <c:v>4.68</c:v>
                </c:pt>
                <c:pt idx="446">
                  <c:v>10.029999999999999</c:v>
                </c:pt>
                <c:pt idx="447">
                  <c:v>47.58</c:v>
                </c:pt>
                <c:pt idx="448">
                  <c:v>24.34</c:v>
                </c:pt>
                <c:pt idx="449">
                  <c:v>11.26</c:v>
                </c:pt>
                <c:pt idx="450">
                  <c:v>13.83</c:v>
                </c:pt>
                <c:pt idx="451">
                  <c:v>17.399999999999999</c:v>
                </c:pt>
                <c:pt idx="452">
                  <c:v>23.27</c:v>
                </c:pt>
                <c:pt idx="453">
                  <c:v>48.83</c:v>
                </c:pt>
                <c:pt idx="454">
                  <c:v>27.38</c:v>
                </c:pt>
                <c:pt idx="455">
                  <c:v>9.59</c:v>
                </c:pt>
                <c:pt idx="456">
                  <c:v>38.21</c:v>
                </c:pt>
                <c:pt idx="457">
                  <c:v>32.96</c:v>
                </c:pt>
                <c:pt idx="458">
                  <c:v>11.9</c:v>
                </c:pt>
                <c:pt idx="459">
                  <c:v>33.1</c:v>
                </c:pt>
                <c:pt idx="460">
                  <c:v>15.42</c:v>
                </c:pt>
                <c:pt idx="461">
                  <c:v>46.68</c:v>
                </c:pt>
                <c:pt idx="462">
                  <c:v>41.81</c:v>
                </c:pt>
                <c:pt idx="463">
                  <c:v>17.03</c:v>
                </c:pt>
                <c:pt idx="464">
                  <c:v>41.88</c:v>
                </c:pt>
                <c:pt idx="465">
                  <c:v>24.67</c:v>
                </c:pt>
                <c:pt idx="466">
                  <c:v>45.13</c:v>
                </c:pt>
                <c:pt idx="467">
                  <c:v>31.45</c:v>
                </c:pt>
                <c:pt idx="468">
                  <c:v>72.849999999999994</c:v>
                </c:pt>
                <c:pt idx="469">
                  <c:v>4.05</c:v>
                </c:pt>
                <c:pt idx="470">
                  <c:v>55.9</c:v>
                </c:pt>
                <c:pt idx="471">
                  <c:v>15.66</c:v>
                </c:pt>
                <c:pt idx="472">
                  <c:v>39.880000000000003</c:v>
                </c:pt>
                <c:pt idx="473">
                  <c:v>9.7899999999999991</c:v>
                </c:pt>
                <c:pt idx="474">
                  <c:v>16.68</c:v>
                </c:pt>
                <c:pt idx="475">
                  <c:v>3.41</c:v>
                </c:pt>
                <c:pt idx="476">
                  <c:v>6</c:v>
                </c:pt>
                <c:pt idx="477">
                  <c:v>2.67</c:v>
                </c:pt>
                <c:pt idx="478">
                  <c:v>8.1300000000000008</c:v>
                </c:pt>
                <c:pt idx="479">
                  <c:v>6.61</c:v>
                </c:pt>
                <c:pt idx="480">
                  <c:v>2.5</c:v>
                </c:pt>
                <c:pt idx="481">
                  <c:v>2.5299999999999998</c:v>
                </c:pt>
                <c:pt idx="482">
                  <c:v>4.34</c:v>
                </c:pt>
              </c:numCache>
            </c:numRef>
          </c:val>
          <c:smooth val="0"/>
          <c:extLst>
            <c:ext xmlns:c16="http://schemas.microsoft.com/office/drawing/2014/chart" uri="{C3380CC4-5D6E-409C-BE32-E72D297353CC}">
              <c16:uniqueId val="{00000001-3485-4723-8C8A-C232C9F26386}"/>
            </c:ext>
          </c:extLst>
        </c:ser>
        <c:dLbls>
          <c:showLegendKey val="0"/>
          <c:showVal val="0"/>
          <c:showCatName val="0"/>
          <c:showSerName val="0"/>
          <c:showPercent val="0"/>
          <c:showBubbleSize val="0"/>
        </c:dLbls>
        <c:smooth val="0"/>
        <c:axId val="231979312"/>
        <c:axId val="231985840"/>
      </c:lineChart>
      <c:catAx>
        <c:axId val="231979312"/>
        <c:scaling>
          <c:orientation val="minMax"/>
        </c:scaling>
        <c:delete val="0"/>
        <c:axPos val="b"/>
        <c:majorGridlines>
          <c:spPr>
            <a:ln w="0" cap="flat" cmpd="sng" algn="ctr">
              <a:solidFill>
                <a:schemeClr val="bg1">
                  <a:lumMod val="9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numFmt formatCode="General" sourceLinked="0"/>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31985840"/>
        <c:crosses val="autoZero"/>
        <c:auto val="1"/>
        <c:lblAlgn val="ctr"/>
        <c:lblOffset val="100"/>
        <c:noMultiLvlLbl val="0"/>
      </c:catAx>
      <c:valAx>
        <c:axId val="231985840"/>
        <c:scaling>
          <c:orientation val="minMax"/>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31979312"/>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35100648877223684"/>
          <c:y val="0.89834266198652879"/>
          <c:w val="0.42714266074310669"/>
          <c:h val="0.1016573380134712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cap="none" spc="0" normalizeH="0" baseline="0">
                <a:solidFill>
                  <a:schemeClr val="dk1">
                    <a:lumMod val="50000"/>
                    <a:lumOff val="50000"/>
                  </a:schemeClr>
                </a:solidFill>
                <a:latin typeface="+mj-lt"/>
                <a:ea typeface="+mj-ea"/>
                <a:cs typeface="+mj-cs"/>
              </a:defRPr>
            </a:pPr>
            <a:r>
              <a:rPr lang="fr-FR" sz="1050"/>
              <a:t>Footprint of the lanes (Ksar Beni Yezeguen)</a:t>
            </a:r>
          </a:p>
        </c:rich>
      </c:tx>
      <c:overlay val="0"/>
      <c:spPr>
        <a:noFill/>
        <a:ln>
          <a:noFill/>
        </a:ln>
        <a:effectLst/>
      </c:spPr>
      <c:txPr>
        <a:bodyPr rot="0" spcFirstLastPara="1" vertOverflow="ellipsis" vert="horz" wrap="square" anchor="ctr" anchorCtr="1"/>
        <a:lstStyle/>
        <a:p>
          <a:pPr>
            <a:defRPr sz="105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6.6039661708953049E-2"/>
          <c:y val="0.19981447124304266"/>
          <c:w val="0.91775663458734347"/>
          <c:h val="0.54806217404642599"/>
        </c:manualLayout>
      </c:layout>
      <c:lineChart>
        <c:grouping val="standard"/>
        <c:varyColors val="0"/>
        <c:ser>
          <c:idx val="1"/>
          <c:order val="0"/>
          <c:tx>
            <c:strRef>
              <c:f>Feuil1!$B$1</c:f>
              <c:strCache>
                <c:ptCount val="1"/>
                <c:pt idx="0">
                  <c:v>Angle</c:v>
                </c:pt>
              </c:strCache>
            </c:strRef>
          </c:tx>
          <c:spPr>
            <a:ln w="9525" cap="rnd">
              <a:solidFill>
                <a:schemeClr val="accent1"/>
              </a:solidFill>
              <a:round/>
            </a:ln>
            <a:effectLst/>
          </c:spPr>
          <c:marker>
            <c:symbol val="none"/>
          </c:marker>
          <c:val>
            <c:numRef>
              <c:f>Feuil1!$B$2:$B$568</c:f>
              <c:numCache>
                <c:formatCode>General</c:formatCode>
                <c:ptCount val="567"/>
                <c:pt idx="0">
                  <c:v>145</c:v>
                </c:pt>
                <c:pt idx="1">
                  <c:v>153</c:v>
                </c:pt>
                <c:pt idx="2">
                  <c:v>59</c:v>
                </c:pt>
                <c:pt idx="3">
                  <c:v>147</c:v>
                </c:pt>
                <c:pt idx="4">
                  <c:v>57</c:v>
                </c:pt>
                <c:pt idx="5">
                  <c:v>163</c:v>
                </c:pt>
                <c:pt idx="6">
                  <c:v>169</c:v>
                </c:pt>
                <c:pt idx="7">
                  <c:v>55</c:v>
                </c:pt>
                <c:pt idx="8">
                  <c:v>142</c:v>
                </c:pt>
                <c:pt idx="9">
                  <c:v>50</c:v>
                </c:pt>
                <c:pt idx="10">
                  <c:v>147</c:v>
                </c:pt>
                <c:pt idx="11">
                  <c:v>121</c:v>
                </c:pt>
                <c:pt idx="12">
                  <c:v>147</c:v>
                </c:pt>
                <c:pt idx="13">
                  <c:v>35</c:v>
                </c:pt>
                <c:pt idx="14">
                  <c:v>136</c:v>
                </c:pt>
                <c:pt idx="15">
                  <c:v>50</c:v>
                </c:pt>
                <c:pt idx="16">
                  <c:v>145</c:v>
                </c:pt>
                <c:pt idx="17">
                  <c:v>147</c:v>
                </c:pt>
                <c:pt idx="18">
                  <c:v>160</c:v>
                </c:pt>
                <c:pt idx="19">
                  <c:v>142</c:v>
                </c:pt>
                <c:pt idx="20">
                  <c:v>131</c:v>
                </c:pt>
                <c:pt idx="21">
                  <c:v>108</c:v>
                </c:pt>
                <c:pt idx="22">
                  <c:v>57</c:v>
                </c:pt>
                <c:pt idx="23">
                  <c:v>142</c:v>
                </c:pt>
                <c:pt idx="24">
                  <c:v>171</c:v>
                </c:pt>
                <c:pt idx="25">
                  <c:v>15</c:v>
                </c:pt>
                <c:pt idx="26">
                  <c:v>54</c:v>
                </c:pt>
                <c:pt idx="27">
                  <c:v>38</c:v>
                </c:pt>
                <c:pt idx="28">
                  <c:v>105</c:v>
                </c:pt>
                <c:pt idx="29">
                  <c:v>127</c:v>
                </c:pt>
                <c:pt idx="30">
                  <c:v>33</c:v>
                </c:pt>
                <c:pt idx="31">
                  <c:v>25</c:v>
                </c:pt>
                <c:pt idx="32">
                  <c:v>69</c:v>
                </c:pt>
                <c:pt idx="33">
                  <c:v>106</c:v>
                </c:pt>
                <c:pt idx="34">
                  <c:v>41</c:v>
                </c:pt>
                <c:pt idx="35">
                  <c:v>124</c:v>
                </c:pt>
                <c:pt idx="36">
                  <c:v>106</c:v>
                </c:pt>
                <c:pt idx="37">
                  <c:v>70</c:v>
                </c:pt>
                <c:pt idx="38">
                  <c:v>57</c:v>
                </c:pt>
                <c:pt idx="39">
                  <c:v>17</c:v>
                </c:pt>
                <c:pt idx="40">
                  <c:v>108</c:v>
                </c:pt>
                <c:pt idx="41">
                  <c:v>24</c:v>
                </c:pt>
                <c:pt idx="42">
                  <c:v>112</c:v>
                </c:pt>
                <c:pt idx="43">
                  <c:v>72</c:v>
                </c:pt>
                <c:pt idx="44">
                  <c:v>147</c:v>
                </c:pt>
                <c:pt idx="45">
                  <c:v>120</c:v>
                </c:pt>
                <c:pt idx="46">
                  <c:v>2</c:v>
                </c:pt>
                <c:pt idx="47">
                  <c:v>149</c:v>
                </c:pt>
                <c:pt idx="48">
                  <c:v>83</c:v>
                </c:pt>
                <c:pt idx="49">
                  <c:v>38</c:v>
                </c:pt>
                <c:pt idx="50">
                  <c:v>122</c:v>
                </c:pt>
                <c:pt idx="51">
                  <c:v>22</c:v>
                </c:pt>
                <c:pt idx="52">
                  <c:v>40</c:v>
                </c:pt>
                <c:pt idx="53">
                  <c:v>130</c:v>
                </c:pt>
                <c:pt idx="54">
                  <c:v>120</c:v>
                </c:pt>
                <c:pt idx="55">
                  <c:v>129</c:v>
                </c:pt>
                <c:pt idx="56">
                  <c:v>50</c:v>
                </c:pt>
                <c:pt idx="57">
                  <c:v>126</c:v>
                </c:pt>
                <c:pt idx="58">
                  <c:v>32</c:v>
                </c:pt>
                <c:pt idx="59">
                  <c:v>43</c:v>
                </c:pt>
                <c:pt idx="60">
                  <c:v>37</c:v>
                </c:pt>
                <c:pt idx="61">
                  <c:v>24</c:v>
                </c:pt>
                <c:pt idx="62">
                  <c:v>135</c:v>
                </c:pt>
                <c:pt idx="63">
                  <c:v>45</c:v>
                </c:pt>
                <c:pt idx="64">
                  <c:v>48</c:v>
                </c:pt>
                <c:pt idx="65">
                  <c:v>86</c:v>
                </c:pt>
                <c:pt idx="66">
                  <c:v>172</c:v>
                </c:pt>
                <c:pt idx="67">
                  <c:v>87</c:v>
                </c:pt>
                <c:pt idx="68">
                  <c:v>98</c:v>
                </c:pt>
                <c:pt idx="69">
                  <c:v>164</c:v>
                </c:pt>
                <c:pt idx="70">
                  <c:v>33</c:v>
                </c:pt>
                <c:pt idx="71">
                  <c:v>132</c:v>
                </c:pt>
                <c:pt idx="72">
                  <c:v>43</c:v>
                </c:pt>
                <c:pt idx="73">
                  <c:v>129</c:v>
                </c:pt>
                <c:pt idx="74">
                  <c:v>37</c:v>
                </c:pt>
                <c:pt idx="75">
                  <c:v>121</c:v>
                </c:pt>
                <c:pt idx="76">
                  <c:v>32</c:v>
                </c:pt>
                <c:pt idx="77">
                  <c:v>25</c:v>
                </c:pt>
                <c:pt idx="78">
                  <c:v>25</c:v>
                </c:pt>
                <c:pt idx="79">
                  <c:v>105</c:v>
                </c:pt>
                <c:pt idx="80">
                  <c:v>21</c:v>
                </c:pt>
                <c:pt idx="81">
                  <c:v>32</c:v>
                </c:pt>
                <c:pt idx="82">
                  <c:v>22</c:v>
                </c:pt>
                <c:pt idx="83">
                  <c:v>108</c:v>
                </c:pt>
                <c:pt idx="84">
                  <c:v>98</c:v>
                </c:pt>
                <c:pt idx="85">
                  <c:v>28</c:v>
                </c:pt>
                <c:pt idx="86">
                  <c:v>100</c:v>
                </c:pt>
                <c:pt idx="87">
                  <c:v>99</c:v>
                </c:pt>
                <c:pt idx="88">
                  <c:v>100</c:v>
                </c:pt>
                <c:pt idx="89">
                  <c:v>4</c:v>
                </c:pt>
                <c:pt idx="90">
                  <c:v>97</c:v>
                </c:pt>
                <c:pt idx="91">
                  <c:v>119</c:v>
                </c:pt>
                <c:pt idx="92">
                  <c:v>99</c:v>
                </c:pt>
                <c:pt idx="93">
                  <c:v>91</c:v>
                </c:pt>
                <c:pt idx="94">
                  <c:v>99</c:v>
                </c:pt>
                <c:pt idx="95">
                  <c:v>94</c:v>
                </c:pt>
                <c:pt idx="96">
                  <c:v>5</c:v>
                </c:pt>
                <c:pt idx="97">
                  <c:v>87</c:v>
                </c:pt>
                <c:pt idx="98">
                  <c:v>170</c:v>
                </c:pt>
                <c:pt idx="99">
                  <c:v>80</c:v>
                </c:pt>
                <c:pt idx="100">
                  <c:v>170</c:v>
                </c:pt>
                <c:pt idx="101">
                  <c:v>8</c:v>
                </c:pt>
                <c:pt idx="102">
                  <c:v>93</c:v>
                </c:pt>
                <c:pt idx="103">
                  <c:v>16</c:v>
                </c:pt>
                <c:pt idx="104">
                  <c:v>168</c:v>
                </c:pt>
                <c:pt idx="105">
                  <c:v>106</c:v>
                </c:pt>
                <c:pt idx="106">
                  <c:v>131</c:v>
                </c:pt>
                <c:pt idx="107">
                  <c:v>34</c:v>
                </c:pt>
                <c:pt idx="108">
                  <c:v>31</c:v>
                </c:pt>
                <c:pt idx="109">
                  <c:v>104</c:v>
                </c:pt>
                <c:pt idx="110">
                  <c:v>123</c:v>
                </c:pt>
                <c:pt idx="111">
                  <c:v>134</c:v>
                </c:pt>
                <c:pt idx="112">
                  <c:v>147</c:v>
                </c:pt>
                <c:pt idx="113">
                  <c:v>57</c:v>
                </c:pt>
                <c:pt idx="114">
                  <c:v>147</c:v>
                </c:pt>
                <c:pt idx="115">
                  <c:v>53</c:v>
                </c:pt>
                <c:pt idx="116">
                  <c:v>148</c:v>
                </c:pt>
                <c:pt idx="117">
                  <c:v>155</c:v>
                </c:pt>
                <c:pt idx="118">
                  <c:v>163</c:v>
                </c:pt>
                <c:pt idx="119">
                  <c:v>171</c:v>
                </c:pt>
                <c:pt idx="120">
                  <c:v>111</c:v>
                </c:pt>
                <c:pt idx="121">
                  <c:v>35</c:v>
                </c:pt>
                <c:pt idx="122">
                  <c:v>67</c:v>
                </c:pt>
                <c:pt idx="123">
                  <c:v>62</c:v>
                </c:pt>
                <c:pt idx="124">
                  <c:v>38</c:v>
                </c:pt>
                <c:pt idx="125">
                  <c:v>122</c:v>
                </c:pt>
                <c:pt idx="126">
                  <c:v>30</c:v>
                </c:pt>
                <c:pt idx="127">
                  <c:v>147</c:v>
                </c:pt>
                <c:pt idx="128">
                  <c:v>129</c:v>
                </c:pt>
                <c:pt idx="129">
                  <c:v>140</c:v>
                </c:pt>
                <c:pt idx="130">
                  <c:v>51</c:v>
                </c:pt>
                <c:pt idx="131">
                  <c:v>137</c:v>
                </c:pt>
                <c:pt idx="132">
                  <c:v>49</c:v>
                </c:pt>
                <c:pt idx="133">
                  <c:v>126</c:v>
                </c:pt>
                <c:pt idx="134">
                  <c:v>43</c:v>
                </c:pt>
                <c:pt idx="135">
                  <c:v>121</c:v>
                </c:pt>
                <c:pt idx="136">
                  <c:v>131</c:v>
                </c:pt>
                <c:pt idx="137">
                  <c:v>139</c:v>
                </c:pt>
                <c:pt idx="138">
                  <c:v>56</c:v>
                </c:pt>
                <c:pt idx="139">
                  <c:v>149</c:v>
                </c:pt>
                <c:pt idx="140">
                  <c:v>57</c:v>
                </c:pt>
                <c:pt idx="141">
                  <c:v>52</c:v>
                </c:pt>
                <c:pt idx="142">
                  <c:v>145</c:v>
                </c:pt>
                <c:pt idx="143">
                  <c:v>142</c:v>
                </c:pt>
                <c:pt idx="144">
                  <c:v>62</c:v>
                </c:pt>
                <c:pt idx="145">
                  <c:v>152</c:v>
                </c:pt>
                <c:pt idx="146">
                  <c:v>143</c:v>
                </c:pt>
                <c:pt idx="147">
                  <c:v>53</c:v>
                </c:pt>
                <c:pt idx="148">
                  <c:v>134</c:v>
                </c:pt>
                <c:pt idx="149">
                  <c:v>105</c:v>
                </c:pt>
                <c:pt idx="150">
                  <c:v>14</c:v>
                </c:pt>
                <c:pt idx="151">
                  <c:v>49</c:v>
                </c:pt>
                <c:pt idx="152">
                  <c:v>44</c:v>
                </c:pt>
                <c:pt idx="153">
                  <c:v>141</c:v>
                </c:pt>
                <c:pt idx="154">
                  <c:v>48</c:v>
                </c:pt>
                <c:pt idx="155">
                  <c:v>45</c:v>
                </c:pt>
                <c:pt idx="156">
                  <c:v>47</c:v>
                </c:pt>
                <c:pt idx="157">
                  <c:v>139</c:v>
                </c:pt>
                <c:pt idx="158">
                  <c:v>124</c:v>
                </c:pt>
                <c:pt idx="159">
                  <c:v>53</c:v>
                </c:pt>
                <c:pt idx="160">
                  <c:v>15</c:v>
                </c:pt>
                <c:pt idx="161">
                  <c:v>2</c:v>
                </c:pt>
                <c:pt idx="162">
                  <c:v>37</c:v>
                </c:pt>
                <c:pt idx="163">
                  <c:v>147</c:v>
                </c:pt>
                <c:pt idx="164">
                  <c:v>52</c:v>
                </c:pt>
                <c:pt idx="165">
                  <c:v>56</c:v>
                </c:pt>
                <c:pt idx="166">
                  <c:v>50</c:v>
                </c:pt>
                <c:pt idx="167">
                  <c:v>53</c:v>
                </c:pt>
                <c:pt idx="168">
                  <c:v>61</c:v>
                </c:pt>
                <c:pt idx="169">
                  <c:v>77</c:v>
                </c:pt>
                <c:pt idx="170">
                  <c:v>60</c:v>
                </c:pt>
                <c:pt idx="171">
                  <c:v>119</c:v>
                </c:pt>
                <c:pt idx="172">
                  <c:v>52</c:v>
                </c:pt>
                <c:pt idx="173">
                  <c:v>7</c:v>
                </c:pt>
                <c:pt idx="174">
                  <c:v>78</c:v>
                </c:pt>
                <c:pt idx="175">
                  <c:v>83</c:v>
                </c:pt>
                <c:pt idx="176">
                  <c:v>78</c:v>
                </c:pt>
                <c:pt idx="177">
                  <c:v>171</c:v>
                </c:pt>
                <c:pt idx="178">
                  <c:v>159</c:v>
                </c:pt>
                <c:pt idx="179">
                  <c:v>177</c:v>
                </c:pt>
                <c:pt idx="180">
                  <c:v>53</c:v>
                </c:pt>
                <c:pt idx="181">
                  <c:v>169</c:v>
                </c:pt>
                <c:pt idx="182">
                  <c:v>160</c:v>
                </c:pt>
                <c:pt idx="183">
                  <c:v>73</c:v>
                </c:pt>
                <c:pt idx="184">
                  <c:v>163</c:v>
                </c:pt>
                <c:pt idx="185">
                  <c:v>81</c:v>
                </c:pt>
                <c:pt idx="186">
                  <c:v>62</c:v>
                </c:pt>
                <c:pt idx="187">
                  <c:v>47</c:v>
                </c:pt>
                <c:pt idx="188">
                  <c:v>164</c:v>
                </c:pt>
                <c:pt idx="189">
                  <c:v>80</c:v>
                </c:pt>
                <c:pt idx="190">
                  <c:v>168</c:v>
                </c:pt>
                <c:pt idx="191">
                  <c:v>75</c:v>
                </c:pt>
                <c:pt idx="192">
                  <c:v>169</c:v>
                </c:pt>
                <c:pt idx="193">
                  <c:v>172</c:v>
                </c:pt>
                <c:pt idx="194">
                  <c:v>180</c:v>
                </c:pt>
                <c:pt idx="195">
                  <c:v>174</c:v>
                </c:pt>
                <c:pt idx="196">
                  <c:v>172</c:v>
                </c:pt>
                <c:pt idx="197">
                  <c:v>83</c:v>
                </c:pt>
                <c:pt idx="198">
                  <c:v>170</c:v>
                </c:pt>
                <c:pt idx="199">
                  <c:v>0</c:v>
                </c:pt>
                <c:pt idx="200">
                  <c:v>168</c:v>
                </c:pt>
                <c:pt idx="201">
                  <c:v>172</c:v>
                </c:pt>
                <c:pt idx="202">
                  <c:v>167</c:v>
                </c:pt>
                <c:pt idx="203">
                  <c:v>157</c:v>
                </c:pt>
                <c:pt idx="204">
                  <c:v>165</c:v>
                </c:pt>
                <c:pt idx="205">
                  <c:v>153</c:v>
                </c:pt>
                <c:pt idx="206">
                  <c:v>163</c:v>
                </c:pt>
                <c:pt idx="207">
                  <c:v>80</c:v>
                </c:pt>
                <c:pt idx="208">
                  <c:v>92</c:v>
                </c:pt>
                <c:pt idx="209">
                  <c:v>85</c:v>
                </c:pt>
                <c:pt idx="210">
                  <c:v>84</c:v>
                </c:pt>
                <c:pt idx="211">
                  <c:v>177</c:v>
                </c:pt>
                <c:pt idx="212">
                  <c:v>0</c:v>
                </c:pt>
                <c:pt idx="213">
                  <c:v>93</c:v>
                </c:pt>
                <c:pt idx="214">
                  <c:v>9</c:v>
                </c:pt>
                <c:pt idx="215">
                  <c:v>3</c:v>
                </c:pt>
                <c:pt idx="216">
                  <c:v>88</c:v>
                </c:pt>
                <c:pt idx="217">
                  <c:v>169</c:v>
                </c:pt>
                <c:pt idx="218">
                  <c:v>94</c:v>
                </c:pt>
                <c:pt idx="219">
                  <c:v>174</c:v>
                </c:pt>
                <c:pt idx="220">
                  <c:v>87</c:v>
                </c:pt>
                <c:pt idx="221">
                  <c:v>94</c:v>
                </c:pt>
                <c:pt idx="222">
                  <c:v>171</c:v>
                </c:pt>
                <c:pt idx="223">
                  <c:v>174</c:v>
                </c:pt>
                <c:pt idx="224">
                  <c:v>147</c:v>
                </c:pt>
                <c:pt idx="225">
                  <c:v>173</c:v>
                </c:pt>
                <c:pt idx="226">
                  <c:v>115</c:v>
                </c:pt>
                <c:pt idx="227">
                  <c:v>174</c:v>
                </c:pt>
                <c:pt idx="228">
                  <c:v>84</c:v>
                </c:pt>
                <c:pt idx="229">
                  <c:v>89</c:v>
                </c:pt>
                <c:pt idx="230">
                  <c:v>80</c:v>
                </c:pt>
                <c:pt idx="231">
                  <c:v>168</c:v>
                </c:pt>
                <c:pt idx="232">
                  <c:v>168</c:v>
                </c:pt>
                <c:pt idx="233">
                  <c:v>73</c:v>
                </c:pt>
                <c:pt idx="234">
                  <c:v>76</c:v>
                </c:pt>
                <c:pt idx="235">
                  <c:v>76</c:v>
                </c:pt>
                <c:pt idx="236">
                  <c:v>80</c:v>
                </c:pt>
                <c:pt idx="237">
                  <c:v>92</c:v>
                </c:pt>
                <c:pt idx="238">
                  <c:v>81</c:v>
                </c:pt>
                <c:pt idx="239">
                  <c:v>150</c:v>
                </c:pt>
                <c:pt idx="240">
                  <c:v>68</c:v>
                </c:pt>
                <c:pt idx="241">
                  <c:v>159</c:v>
                </c:pt>
                <c:pt idx="242">
                  <c:v>66</c:v>
                </c:pt>
                <c:pt idx="243">
                  <c:v>73</c:v>
                </c:pt>
                <c:pt idx="244">
                  <c:v>75</c:v>
                </c:pt>
                <c:pt idx="245">
                  <c:v>53</c:v>
                </c:pt>
                <c:pt idx="246">
                  <c:v>167</c:v>
                </c:pt>
                <c:pt idx="247">
                  <c:v>63</c:v>
                </c:pt>
                <c:pt idx="248">
                  <c:v>160</c:v>
                </c:pt>
                <c:pt idx="249">
                  <c:v>154</c:v>
                </c:pt>
                <c:pt idx="250">
                  <c:v>137</c:v>
                </c:pt>
                <c:pt idx="251">
                  <c:v>64</c:v>
                </c:pt>
                <c:pt idx="252">
                  <c:v>62</c:v>
                </c:pt>
                <c:pt idx="253">
                  <c:v>157</c:v>
                </c:pt>
                <c:pt idx="254">
                  <c:v>58</c:v>
                </c:pt>
                <c:pt idx="255">
                  <c:v>156</c:v>
                </c:pt>
                <c:pt idx="256">
                  <c:v>156</c:v>
                </c:pt>
                <c:pt idx="257">
                  <c:v>159</c:v>
                </c:pt>
                <c:pt idx="258">
                  <c:v>158</c:v>
                </c:pt>
                <c:pt idx="259">
                  <c:v>157</c:v>
                </c:pt>
                <c:pt idx="260">
                  <c:v>67</c:v>
                </c:pt>
                <c:pt idx="261">
                  <c:v>150</c:v>
                </c:pt>
                <c:pt idx="262">
                  <c:v>68</c:v>
                </c:pt>
                <c:pt idx="263">
                  <c:v>63</c:v>
                </c:pt>
                <c:pt idx="264">
                  <c:v>57</c:v>
                </c:pt>
                <c:pt idx="265">
                  <c:v>151</c:v>
                </c:pt>
                <c:pt idx="266">
                  <c:v>56</c:v>
                </c:pt>
                <c:pt idx="267">
                  <c:v>139</c:v>
                </c:pt>
                <c:pt idx="268">
                  <c:v>61</c:v>
                </c:pt>
                <c:pt idx="269">
                  <c:v>57</c:v>
                </c:pt>
                <c:pt idx="270">
                  <c:v>62</c:v>
                </c:pt>
                <c:pt idx="271">
                  <c:v>145</c:v>
                </c:pt>
                <c:pt idx="272">
                  <c:v>55</c:v>
                </c:pt>
                <c:pt idx="273">
                  <c:v>60</c:v>
                </c:pt>
                <c:pt idx="274">
                  <c:v>64</c:v>
                </c:pt>
                <c:pt idx="275">
                  <c:v>154</c:v>
                </c:pt>
                <c:pt idx="276">
                  <c:v>59</c:v>
                </c:pt>
                <c:pt idx="277">
                  <c:v>161</c:v>
                </c:pt>
                <c:pt idx="278">
                  <c:v>70</c:v>
                </c:pt>
                <c:pt idx="279">
                  <c:v>158</c:v>
                </c:pt>
                <c:pt idx="280">
                  <c:v>155</c:v>
                </c:pt>
                <c:pt idx="281">
                  <c:v>65</c:v>
                </c:pt>
                <c:pt idx="282">
                  <c:v>155</c:v>
                </c:pt>
                <c:pt idx="283">
                  <c:v>67</c:v>
                </c:pt>
                <c:pt idx="284">
                  <c:v>70</c:v>
                </c:pt>
                <c:pt idx="285">
                  <c:v>154</c:v>
                </c:pt>
                <c:pt idx="286">
                  <c:v>162</c:v>
                </c:pt>
                <c:pt idx="287">
                  <c:v>71</c:v>
                </c:pt>
                <c:pt idx="288">
                  <c:v>169</c:v>
                </c:pt>
                <c:pt idx="289">
                  <c:v>154</c:v>
                </c:pt>
                <c:pt idx="290">
                  <c:v>157</c:v>
                </c:pt>
                <c:pt idx="291">
                  <c:v>163</c:v>
                </c:pt>
                <c:pt idx="292">
                  <c:v>73</c:v>
                </c:pt>
                <c:pt idx="293">
                  <c:v>161</c:v>
                </c:pt>
                <c:pt idx="294">
                  <c:v>154</c:v>
                </c:pt>
                <c:pt idx="295">
                  <c:v>161</c:v>
                </c:pt>
                <c:pt idx="296">
                  <c:v>69</c:v>
                </c:pt>
                <c:pt idx="297">
                  <c:v>151</c:v>
                </c:pt>
                <c:pt idx="298">
                  <c:v>168</c:v>
                </c:pt>
                <c:pt idx="299">
                  <c:v>157</c:v>
                </c:pt>
                <c:pt idx="300">
                  <c:v>83</c:v>
                </c:pt>
                <c:pt idx="301">
                  <c:v>67</c:v>
                </c:pt>
                <c:pt idx="302">
                  <c:v>73</c:v>
                </c:pt>
                <c:pt idx="303">
                  <c:v>164</c:v>
                </c:pt>
                <c:pt idx="304">
                  <c:v>170</c:v>
                </c:pt>
                <c:pt idx="305">
                  <c:v>161</c:v>
                </c:pt>
                <c:pt idx="306">
                  <c:v>143</c:v>
                </c:pt>
                <c:pt idx="307">
                  <c:v>75</c:v>
                </c:pt>
                <c:pt idx="308">
                  <c:v>79</c:v>
                </c:pt>
                <c:pt idx="309">
                  <c:v>166</c:v>
                </c:pt>
                <c:pt idx="310">
                  <c:v>155</c:v>
                </c:pt>
                <c:pt idx="311">
                  <c:v>58</c:v>
                </c:pt>
                <c:pt idx="312">
                  <c:v>151</c:v>
                </c:pt>
                <c:pt idx="313">
                  <c:v>73</c:v>
                </c:pt>
                <c:pt idx="314">
                  <c:v>52</c:v>
                </c:pt>
                <c:pt idx="315">
                  <c:v>150</c:v>
                </c:pt>
                <c:pt idx="316">
                  <c:v>143</c:v>
                </c:pt>
                <c:pt idx="317">
                  <c:v>156</c:v>
                </c:pt>
                <c:pt idx="318">
                  <c:v>142</c:v>
                </c:pt>
                <c:pt idx="319">
                  <c:v>50</c:v>
                </c:pt>
                <c:pt idx="320">
                  <c:v>64</c:v>
                </c:pt>
                <c:pt idx="321">
                  <c:v>168</c:v>
                </c:pt>
                <c:pt idx="322">
                  <c:v>147</c:v>
                </c:pt>
                <c:pt idx="323">
                  <c:v>56</c:v>
                </c:pt>
                <c:pt idx="324">
                  <c:v>71</c:v>
                </c:pt>
                <c:pt idx="325">
                  <c:v>125</c:v>
                </c:pt>
                <c:pt idx="326">
                  <c:v>51</c:v>
                </c:pt>
                <c:pt idx="327">
                  <c:v>63</c:v>
                </c:pt>
                <c:pt idx="328">
                  <c:v>110</c:v>
                </c:pt>
                <c:pt idx="329">
                  <c:v>129</c:v>
                </c:pt>
                <c:pt idx="330">
                  <c:v>58</c:v>
                </c:pt>
                <c:pt idx="331">
                  <c:v>102</c:v>
                </c:pt>
                <c:pt idx="332">
                  <c:v>152</c:v>
                </c:pt>
                <c:pt idx="333">
                  <c:v>71</c:v>
                </c:pt>
                <c:pt idx="334">
                  <c:v>146</c:v>
                </c:pt>
                <c:pt idx="335">
                  <c:v>176</c:v>
                </c:pt>
                <c:pt idx="336">
                  <c:v>79</c:v>
                </c:pt>
                <c:pt idx="337">
                  <c:v>50</c:v>
                </c:pt>
                <c:pt idx="338">
                  <c:v>93</c:v>
                </c:pt>
                <c:pt idx="339">
                  <c:v>22</c:v>
                </c:pt>
                <c:pt idx="340">
                  <c:v>3</c:v>
                </c:pt>
                <c:pt idx="341">
                  <c:v>84</c:v>
                </c:pt>
                <c:pt idx="342">
                  <c:v>178</c:v>
                </c:pt>
                <c:pt idx="343">
                  <c:v>94</c:v>
                </c:pt>
                <c:pt idx="344">
                  <c:v>96</c:v>
                </c:pt>
                <c:pt idx="345">
                  <c:v>7</c:v>
                </c:pt>
                <c:pt idx="346">
                  <c:v>16</c:v>
                </c:pt>
                <c:pt idx="347">
                  <c:v>111</c:v>
                </c:pt>
                <c:pt idx="348">
                  <c:v>32</c:v>
                </c:pt>
                <c:pt idx="349">
                  <c:v>11</c:v>
                </c:pt>
                <c:pt idx="350">
                  <c:v>111</c:v>
                </c:pt>
                <c:pt idx="351">
                  <c:v>175</c:v>
                </c:pt>
                <c:pt idx="352">
                  <c:v>144</c:v>
                </c:pt>
                <c:pt idx="353">
                  <c:v>3</c:v>
                </c:pt>
                <c:pt idx="354">
                  <c:v>75</c:v>
                </c:pt>
                <c:pt idx="355">
                  <c:v>98</c:v>
                </c:pt>
                <c:pt idx="356">
                  <c:v>69</c:v>
                </c:pt>
                <c:pt idx="357">
                  <c:v>165</c:v>
                </c:pt>
                <c:pt idx="358">
                  <c:v>85</c:v>
                </c:pt>
                <c:pt idx="359">
                  <c:v>67</c:v>
                </c:pt>
                <c:pt idx="360">
                  <c:v>91</c:v>
                </c:pt>
                <c:pt idx="361">
                  <c:v>72</c:v>
                </c:pt>
                <c:pt idx="362">
                  <c:v>175</c:v>
                </c:pt>
                <c:pt idx="363">
                  <c:v>156</c:v>
                </c:pt>
                <c:pt idx="364">
                  <c:v>66</c:v>
                </c:pt>
                <c:pt idx="365">
                  <c:v>74</c:v>
                </c:pt>
                <c:pt idx="366">
                  <c:v>85</c:v>
                </c:pt>
                <c:pt idx="367">
                  <c:v>174</c:v>
                </c:pt>
                <c:pt idx="368">
                  <c:v>169</c:v>
                </c:pt>
                <c:pt idx="369">
                  <c:v>176</c:v>
                </c:pt>
                <c:pt idx="370">
                  <c:v>52</c:v>
                </c:pt>
                <c:pt idx="371">
                  <c:v>74</c:v>
                </c:pt>
                <c:pt idx="372">
                  <c:v>164</c:v>
                </c:pt>
                <c:pt idx="373">
                  <c:v>168</c:v>
                </c:pt>
                <c:pt idx="374">
                  <c:v>168</c:v>
                </c:pt>
                <c:pt idx="375">
                  <c:v>78</c:v>
                </c:pt>
                <c:pt idx="376">
                  <c:v>78</c:v>
                </c:pt>
                <c:pt idx="377">
                  <c:v>171</c:v>
                </c:pt>
                <c:pt idx="378">
                  <c:v>77</c:v>
                </c:pt>
                <c:pt idx="379">
                  <c:v>75</c:v>
                </c:pt>
                <c:pt idx="380">
                  <c:v>162</c:v>
                </c:pt>
                <c:pt idx="381">
                  <c:v>92</c:v>
                </c:pt>
                <c:pt idx="382">
                  <c:v>177</c:v>
                </c:pt>
                <c:pt idx="383">
                  <c:v>176</c:v>
                </c:pt>
                <c:pt idx="384">
                  <c:v>86</c:v>
                </c:pt>
                <c:pt idx="385">
                  <c:v>7</c:v>
                </c:pt>
                <c:pt idx="386">
                  <c:v>85</c:v>
                </c:pt>
                <c:pt idx="387">
                  <c:v>66</c:v>
                </c:pt>
                <c:pt idx="388">
                  <c:v>155</c:v>
                </c:pt>
                <c:pt idx="389">
                  <c:v>156</c:v>
                </c:pt>
                <c:pt idx="390">
                  <c:v>78</c:v>
                </c:pt>
                <c:pt idx="391">
                  <c:v>170</c:v>
                </c:pt>
                <c:pt idx="392">
                  <c:v>168</c:v>
                </c:pt>
                <c:pt idx="393">
                  <c:v>83</c:v>
                </c:pt>
                <c:pt idx="394">
                  <c:v>82</c:v>
                </c:pt>
                <c:pt idx="395">
                  <c:v>80</c:v>
                </c:pt>
                <c:pt idx="396">
                  <c:v>165</c:v>
                </c:pt>
                <c:pt idx="397">
                  <c:v>85</c:v>
                </c:pt>
                <c:pt idx="398">
                  <c:v>79</c:v>
                </c:pt>
                <c:pt idx="399">
                  <c:v>170</c:v>
                </c:pt>
                <c:pt idx="400">
                  <c:v>158</c:v>
                </c:pt>
                <c:pt idx="401">
                  <c:v>150</c:v>
                </c:pt>
                <c:pt idx="402">
                  <c:v>160</c:v>
                </c:pt>
                <c:pt idx="403">
                  <c:v>98</c:v>
                </c:pt>
                <c:pt idx="404">
                  <c:v>154</c:v>
                </c:pt>
                <c:pt idx="405">
                  <c:v>160</c:v>
                </c:pt>
                <c:pt idx="406">
                  <c:v>173</c:v>
                </c:pt>
                <c:pt idx="407">
                  <c:v>157</c:v>
                </c:pt>
                <c:pt idx="408">
                  <c:v>6</c:v>
                </c:pt>
                <c:pt idx="409">
                  <c:v>74</c:v>
                </c:pt>
                <c:pt idx="410">
                  <c:v>83</c:v>
                </c:pt>
                <c:pt idx="411">
                  <c:v>166</c:v>
                </c:pt>
                <c:pt idx="412">
                  <c:v>164</c:v>
                </c:pt>
                <c:pt idx="413">
                  <c:v>75</c:v>
                </c:pt>
                <c:pt idx="414">
                  <c:v>3</c:v>
                </c:pt>
                <c:pt idx="415">
                  <c:v>86</c:v>
                </c:pt>
                <c:pt idx="416">
                  <c:v>97</c:v>
                </c:pt>
                <c:pt idx="417">
                  <c:v>106</c:v>
                </c:pt>
                <c:pt idx="418">
                  <c:v>27</c:v>
                </c:pt>
                <c:pt idx="419">
                  <c:v>114</c:v>
                </c:pt>
                <c:pt idx="420">
                  <c:v>103</c:v>
                </c:pt>
                <c:pt idx="421">
                  <c:v>29</c:v>
                </c:pt>
                <c:pt idx="422">
                  <c:v>67</c:v>
                </c:pt>
                <c:pt idx="423">
                  <c:v>99</c:v>
                </c:pt>
                <c:pt idx="424">
                  <c:v>73</c:v>
                </c:pt>
                <c:pt idx="425">
                  <c:v>176</c:v>
                </c:pt>
                <c:pt idx="426">
                  <c:v>48</c:v>
                </c:pt>
                <c:pt idx="427">
                  <c:v>91</c:v>
                </c:pt>
                <c:pt idx="428">
                  <c:v>27</c:v>
                </c:pt>
                <c:pt idx="429">
                  <c:v>2</c:v>
                </c:pt>
                <c:pt idx="430">
                  <c:v>104</c:v>
                </c:pt>
                <c:pt idx="431">
                  <c:v>76</c:v>
                </c:pt>
                <c:pt idx="432">
                  <c:v>85</c:v>
                </c:pt>
                <c:pt idx="433">
                  <c:v>167</c:v>
                </c:pt>
                <c:pt idx="434">
                  <c:v>149</c:v>
                </c:pt>
                <c:pt idx="435">
                  <c:v>165</c:v>
                </c:pt>
                <c:pt idx="436">
                  <c:v>178</c:v>
                </c:pt>
                <c:pt idx="437">
                  <c:v>74</c:v>
                </c:pt>
                <c:pt idx="438">
                  <c:v>87</c:v>
                </c:pt>
                <c:pt idx="439">
                  <c:v>12</c:v>
                </c:pt>
                <c:pt idx="440">
                  <c:v>10</c:v>
                </c:pt>
                <c:pt idx="441">
                  <c:v>16</c:v>
                </c:pt>
                <c:pt idx="442">
                  <c:v>104</c:v>
                </c:pt>
                <c:pt idx="443">
                  <c:v>118</c:v>
                </c:pt>
                <c:pt idx="444">
                  <c:v>10</c:v>
                </c:pt>
                <c:pt idx="445">
                  <c:v>142</c:v>
                </c:pt>
                <c:pt idx="446">
                  <c:v>34</c:v>
                </c:pt>
                <c:pt idx="447">
                  <c:v>121</c:v>
                </c:pt>
                <c:pt idx="448">
                  <c:v>98</c:v>
                </c:pt>
                <c:pt idx="449">
                  <c:v>175</c:v>
                </c:pt>
                <c:pt idx="450">
                  <c:v>179</c:v>
                </c:pt>
                <c:pt idx="451">
                  <c:v>26</c:v>
                </c:pt>
                <c:pt idx="452">
                  <c:v>177</c:v>
                </c:pt>
                <c:pt idx="453">
                  <c:v>107</c:v>
                </c:pt>
                <c:pt idx="454">
                  <c:v>44</c:v>
                </c:pt>
                <c:pt idx="455">
                  <c:v>134</c:v>
                </c:pt>
                <c:pt idx="456">
                  <c:v>37</c:v>
                </c:pt>
                <c:pt idx="457">
                  <c:v>127</c:v>
                </c:pt>
                <c:pt idx="458">
                  <c:v>60</c:v>
                </c:pt>
                <c:pt idx="459">
                  <c:v>126</c:v>
                </c:pt>
                <c:pt idx="460">
                  <c:v>54</c:v>
                </c:pt>
                <c:pt idx="461">
                  <c:v>61</c:v>
                </c:pt>
                <c:pt idx="462">
                  <c:v>126</c:v>
                </c:pt>
                <c:pt idx="463">
                  <c:v>36</c:v>
                </c:pt>
                <c:pt idx="464">
                  <c:v>110</c:v>
                </c:pt>
                <c:pt idx="465">
                  <c:v>109</c:v>
                </c:pt>
                <c:pt idx="466">
                  <c:v>21</c:v>
                </c:pt>
                <c:pt idx="467">
                  <c:v>35</c:v>
                </c:pt>
                <c:pt idx="468">
                  <c:v>47</c:v>
                </c:pt>
                <c:pt idx="469">
                  <c:v>83</c:v>
                </c:pt>
                <c:pt idx="470">
                  <c:v>103</c:v>
                </c:pt>
                <c:pt idx="471">
                  <c:v>21</c:v>
                </c:pt>
                <c:pt idx="472">
                  <c:v>44</c:v>
                </c:pt>
                <c:pt idx="473">
                  <c:v>30</c:v>
                </c:pt>
                <c:pt idx="474">
                  <c:v>111</c:v>
                </c:pt>
                <c:pt idx="475">
                  <c:v>13</c:v>
                </c:pt>
                <c:pt idx="476">
                  <c:v>41</c:v>
                </c:pt>
                <c:pt idx="477">
                  <c:v>171</c:v>
                </c:pt>
                <c:pt idx="478">
                  <c:v>137</c:v>
                </c:pt>
                <c:pt idx="479">
                  <c:v>137</c:v>
                </c:pt>
                <c:pt idx="480">
                  <c:v>72</c:v>
                </c:pt>
                <c:pt idx="481">
                  <c:v>70</c:v>
                </c:pt>
                <c:pt idx="482">
                  <c:v>8</c:v>
                </c:pt>
                <c:pt idx="483">
                  <c:v>55</c:v>
                </c:pt>
                <c:pt idx="484">
                  <c:v>179</c:v>
                </c:pt>
                <c:pt idx="485">
                  <c:v>9</c:v>
                </c:pt>
                <c:pt idx="486">
                  <c:v>97</c:v>
                </c:pt>
                <c:pt idx="487">
                  <c:v>19</c:v>
                </c:pt>
                <c:pt idx="488">
                  <c:v>97</c:v>
                </c:pt>
                <c:pt idx="489">
                  <c:v>7</c:v>
                </c:pt>
                <c:pt idx="490">
                  <c:v>9</c:v>
                </c:pt>
                <c:pt idx="491">
                  <c:v>101</c:v>
                </c:pt>
                <c:pt idx="492">
                  <c:v>25</c:v>
                </c:pt>
                <c:pt idx="493">
                  <c:v>122</c:v>
                </c:pt>
                <c:pt idx="494">
                  <c:v>166</c:v>
                </c:pt>
                <c:pt idx="495">
                  <c:v>173</c:v>
                </c:pt>
                <c:pt idx="496">
                  <c:v>77</c:v>
                </c:pt>
                <c:pt idx="497">
                  <c:v>166</c:v>
                </c:pt>
                <c:pt idx="498">
                  <c:v>102</c:v>
                </c:pt>
                <c:pt idx="499">
                  <c:v>71</c:v>
                </c:pt>
                <c:pt idx="500">
                  <c:v>40</c:v>
                </c:pt>
                <c:pt idx="501">
                  <c:v>113</c:v>
                </c:pt>
                <c:pt idx="502">
                  <c:v>118</c:v>
                </c:pt>
                <c:pt idx="503">
                  <c:v>29</c:v>
                </c:pt>
                <c:pt idx="504">
                  <c:v>101</c:v>
                </c:pt>
                <c:pt idx="505">
                  <c:v>12</c:v>
                </c:pt>
                <c:pt idx="506">
                  <c:v>8</c:v>
                </c:pt>
                <c:pt idx="507">
                  <c:v>10</c:v>
                </c:pt>
                <c:pt idx="508">
                  <c:v>99</c:v>
                </c:pt>
                <c:pt idx="509">
                  <c:v>97</c:v>
                </c:pt>
                <c:pt idx="510">
                  <c:v>8</c:v>
                </c:pt>
                <c:pt idx="511">
                  <c:v>101</c:v>
                </c:pt>
                <c:pt idx="512">
                  <c:v>10</c:v>
                </c:pt>
                <c:pt idx="513">
                  <c:v>11</c:v>
                </c:pt>
                <c:pt idx="514">
                  <c:v>7</c:v>
                </c:pt>
                <c:pt idx="515">
                  <c:v>95</c:v>
                </c:pt>
                <c:pt idx="516">
                  <c:v>100</c:v>
                </c:pt>
                <c:pt idx="517">
                  <c:v>7</c:v>
                </c:pt>
                <c:pt idx="518">
                  <c:v>94</c:v>
                </c:pt>
                <c:pt idx="519">
                  <c:v>102</c:v>
                </c:pt>
                <c:pt idx="520">
                  <c:v>8</c:v>
                </c:pt>
                <c:pt idx="521">
                  <c:v>117</c:v>
                </c:pt>
                <c:pt idx="522">
                  <c:v>160</c:v>
                </c:pt>
                <c:pt idx="523">
                  <c:v>100</c:v>
                </c:pt>
                <c:pt idx="524">
                  <c:v>11</c:v>
                </c:pt>
                <c:pt idx="525">
                  <c:v>7</c:v>
                </c:pt>
                <c:pt idx="526">
                  <c:v>0</c:v>
                </c:pt>
                <c:pt idx="527">
                  <c:v>5</c:v>
                </c:pt>
                <c:pt idx="528">
                  <c:v>86</c:v>
                </c:pt>
                <c:pt idx="529">
                  <c:v>88</c:v>
                </c:pt>
                <c:pt idx="530">
                  <c:v>92</c:v>
                </c:pt>
                <c:pt idx="531">
                  <c:v>0</c:v>
                </c:pt>
                <c:pt idx="532">
                  <c:v>180</c:v>
                </c:pt>
                <c:pt idx="533">
                  <c:v>86</c:v>
                </c:pt>
                <c:pt idx="534">
                  <c:v>179</c:v>
                </c:pt>
                <c:pt idx="535">
                  <c:v>2</c:v>
                </c:pt>
                <c:pt idx="536">
                  <c:v>6</c:v>
                </c:pt>
                <c:pt idx="537">
                  <c:v>6</c:v>
                </c:pt>
                <c:pt idx="538">
                  <c:v>92</c:v>
                </c:pt>
                <c:pt idx="539">
                  <c:v>4</c:v>
                </c:pt>
                <c:pt idx="540">
                  <c:v>0</c:v>
                </c:pt>
                <c:pt idx="541">
                  <c:v>89</c:v>
                </c:pt>
                <c:pt idx="542">
                  <c:v>5</c:v>
                </c:pt>
                <c:pt idx="543">
                  <c:v>95</c:v>
                </c:pt>
                <c:pt idx="544">
                  <c:v>6</c:v>
                </c:pt>
                <c:pt idx="545">
                  <c:v>89</c:v>
                </c:pt>
                <c:pt idx="546">
                  <c:v>2</c:v>
                </c:pt>
                <c:pt idx="547">
                  <c:v>93</c:v>
                </c:pt>
                <c:pt idx="548">
                  <c:v>170</c:v>
                </c:pt>
                <c:pt idx="549">
                  <c:v>62</c:v>
                </c:pt>
                <c:pt idx="550">
                  <c:v>59</c:v>
                </c:pt>
                <c:pt idx="551">
                  <c:v>167</c:v>
                </c:pt>
                <c:pt idx="552">
                  <c:v>2</c:v>
                </c:pt>
                <c:pt idx="553">
                  <c:v>18</c:v>
                </c:pt>
                <c:pt idx="554">
                  <c:v>68</c:v>
                </c:pt>
                <c:pt idx="555">
                  <c:v>175</c:v>
                </c:pt>
                <c:pt idx="556">
                  <c:v>149</c:v>
                </c:pt>
                <c:pt idx="557">
                  <c:v>177</c:v>
                </c:pt>
                <c:pt idx="558">
                  <c:v>31</c:v>
                </c:pt>
                <c:pt idx="559">
                  <c:v>86</c:v>
                </c:pt>
                <c:pt idx="560">
                  <c:v>134</c:v>
                </c:pt>
                <c:pt idx="561">
                  <c:v>67</c:v>
                </c:pt>
                <c:pt idx="562">
                  <c:v>34</c:v>
                </c:pt>
                <c:pt idx="563">
                  <c:v>41</c:v>
                </c:pt>
                <c:pt idx="564">
                  <c:v>88</c:v>
                </c:pt>
                <c:pt idx="565">
                  <c:v>154</c:v>
                </c:pt>
                <c:pt idx="566">
                  <c:v>26</c:v>
                </c:pt>
              </c:numCache>
            </c:numRef>
          </c:val>
          <c:smooth val="0"/>
          <c:extLst>
            <c:ext xmlns:c16="http://schemas.microsoft.com/office/drawing/2014/chart" uri="{C3380CC4-5D6E-409C-BE32-E72D297353CC}">
              <c16:uniqueId val="{00000000-8881-4119-87B6-4770CAE095E0}"/>
            </c:ext>
          </c:extLst>
        </c:ser>
        <c:ser>
          <c:idx val="2"/>
          <c:order val="1"/>
          <c:tx>
            <c:strRef>
              <c:f>Feuil1!$C$1</c:f>
              <c:strCache>
                <c:ptCount val="1"/>
                <c:pt idx="0">
                  <c:v>Dimension</c:v>
                </c:pt>
              </c:strCache>
            </c:strRef>
          </c:tx>
          <c:spPr>
            <a:ln w="12700" cap="rnd">
              <a:solidFill>
                <a:schemeClr val="accent6"/>
              </a:solidFill>
              <a:round/>
            </a:ln>
            <a:effectLst/>
          </c:spPr>
          <c:marker>
            <c:symbol val="none"/>
          </c:marker>
          <c:val>
            <c:numRef>
              <c:f>Feuil1!$C$2:$C$568</c:f>
              <c:numCache>
                <c:formatCode>General</c:formatCode>
                <c:ptCount val="567"/>
                <c:pt idx="0">
                  <c:v>10.81</c:v>
                </c:pt>
                <c:pt idx="1">
                  <c:v>6.94</c:v>
                </c:pt>
                <c:pt idx="2">
                  <c:v>8.2899999999999991</c:v>
                </c:pt>
                <c:pt idx="3">
                  <c:v>7</c:v>
                </c:pt>
                <c:pt idx="4">
                  <c:v>2.42</c:v>
                </c:pt>
                <c:pt idx="5">
                  <c:v>40</c:v>
                </c:pt>
                <c:pt idx="6">
                  <c:v>21.95</c:v>
                </c:pt>
                <c:pt idx="7">
                  <c:v>31.32</c:v>
                </c:pt>
                <c:pt idx="8">
                  <c:v>7.88</c:v>
                </c:pt>
                <c:pt idx="9">
                  <c:v>4.68</c:v>
                </c:pt>
                <c:pt idx="10">
                  <c:v>9.17</c:v>
                </c:pt>
                <c:pt idx="11">
                  <c:v>6.17</c:v>
                </c:pt>
                <c:pt idx="12">
                  <c:v>5.05</c:v>
                </c:pt>
                <c:pt idx="13">
                  <c:v>8.2200000000000006</c:v>
                </c:pt>
                <c:pt idx="14">
                  <c:v>16.53</c:v>
                </c:pt>
                <c:pt idx="15">
                  <c:v>18.02</c:v>
                </c:pt>
                <c:pt idx="16">
                  <c:v>10.77</c:v>
                </c:pt>
                <c:pt idx="17">
                  <c:v>7.23</c:v>
                </c:pt>
                <c:pt idx="18">
                  <c:v>2.29</c:v>
                </c:pt>
                <c:pt idx="19">
                  <c:v>7</c:v>
                </c:pt>
                <c:pt idx="20">
                  <c:v>16.71</c:v>
                </c:pt>
                <c:pt idx="21">
                  <c:v>8.18</c:v>
                </c:pt>
                <c:pt idx="22">
                  <c:v>5.26</c:v>
                </c:pt>
                <c:pt idx="23">
                  <c:v>5.13</c:v>
                </c:pt>
                <c:pt idx="24">
                  <c:v>5.05</c:v>
                </c:pt>
                <c:pt idx="25">
                  <c:v>9.44</c:v>
                </c:pt>
                <c:pt idx="26">
                  <c:v>18.97</c:v>
                </c:pt>
                <c:pt idx="27">
                  <c:v>19.87</c:v>
                </c:pt>
                <c:pt idx="28">
                  <c:v>8.4700000000000006</c:v>
                </c:pt>
                <c:pt idx="29">
                  <c:v>10.51</c:v>
                </c:pt>
                <c:pt idx="30">
                  <c:v>7.83</c:v>
                </c:pt>
                <c:pt idx="31">
                  <c:v>4.5</c:v>
                </c:pt>
                <c:pt idx="32">
                  <c:v>3.5</c:v>
                </c:pt>
                <c:pt idx="33">
                  <c:v>11.89</c:v>
                </c:pt>
                <c:pt idx="34">
                  <c:v>7.16</c:v>
                </c:pt>
                <c:pt idx="35">
                  <c:v>3.48</c:v>
                </c:pt>
                <c:pt idx="36">
                  <c:v>5.69</c:v>
                </c:pt>
                <c:pt idx="37">
                  <c:v>7.5</c:v>
                </c:pt>
                <c:pt idx="38">
                  <c:v>3.04</c:v>
                </c:pt>
                <c:pt idx="39">
                  <c:v>36.08</c:v>
                </c:pt>
                <c:pt idx="40">
                  <c:v>10.54</c:v>
                </c:pt>
                <c:pt idx="41">
                  <c:v>10.26</c:v>
                </c:pt>
                <c:pt idx="42">
                  <c:v>15.36</c:v>
                </c:pt>
                <c:pt idx="43">
                  <c:v>5.33</c:v>
                </c:pt>
                <c:pt idx="44">
                  <c:v>5.46</c:v>
                </c:pt>
                <c:pt idx="45">
                  <c:v>34.04</c:v>
                </c:pt>
                <c:pt idx="46">
                  <c:v>3.2</c:v>
                </c:pt>
                <c:pt idx="47">
                  <c:v>5.08</c:v>
                </c:pt>
                <c:pt idx="48">
                  <c:v>5.42</c:v>
                </c:pt>
                <c:pt idx="49">
                  <c:v>28.1</c:v>
                </c:pt>
                <c:pt idx="50">
                  <c:v>33.51</c:v>
                </c:pt>
                <c:pt idx="51">
                  <c:v>7.9</c:v>
                </c:pt>
                <c:pt idx="52">
                  <c:v>13.55</c:v>
                </c:pt>
                <c:pt idx="53">
                  <c:v>2.4700000000000002</c:v>
                </c:pt>
                <c:pt idx="54">
                  <c:v>9.1</c:v>
                </c:pt>
                <c:pt idx="55">
                  <c:v>10.96</c:v>
                </c:pt>
                <c:pt idx="56">
                  <c:v>13.06</c:v>
                </c:pt>
                <c:pt idx="57">
                  <c:v>5.13</c:v>
                </c:pt>
                <c:pt idx="58">
                  <c:v>9.5299999999999994</c:v>
                </c:pt>
                <c:pt idx="59">
                  <c:v>17.18</c:v>
                </c:pt>
                <c:pt idx="60">
                  <c:v>9.44</c:v>
                </c:pt>
                <c:pt idx="61">
                  <c:v>3.25</c:v>
                </c:pt>
                <c:pt idx="62">
                  <c:v>12.89</c:v>
                </c:pt>
                <c:pt idx="63">
                  <c:v>3.6</c:v>
                </c:pt>
                <c:pt idx="64">
                  <c:v>18.489999999999998</c:v>
                </c:pt>
                <c:pt idx="65">
                  <c:v>5.48</c:v>
                </c:pt>
                <c:pt idx="66">
                  <c:v>5.99</c:v>
                </c:pt>
                <c:pt idx="67">
                  <c:v>5.66</c:v>
                </c:pt>
                <c:pt idx="68">
                  <c:v>53.94</c:v>
                </c:pt>
                <c:pt idx="69">
                  <c:v>14.32</c:v>
                </c:pt>
                <c:pt idx="70">
                  <c:v>28.86</c:v>
                </c:pt>
                <c:pt idx="71">
                  <c:v>13.1</c:v>
                </c:pt>
                <c:pt idx="72">
                  <c:v>24.02</c:v>
                </c:pt>
                <c:pt idx="73">
                  <c:v>8.4600000000000009</c:v>
                </c:pt>
                <c:pt idx="74">
                  <c:v>35.36</c:v>
                </c:pt>
                <c:pt idx="75">
                  <c:v>14.6</c:v>
                </c:pt>
                <c:pt idx="76">
                  <c:v>24.21</c:v>
                </c:pt>
                <c:pt idx="77">
                  <c:v>21.49</c:v>
                </c:pt>
                <c:pt idx="78">
                  <c:v>16.309999999999999</c:v>
                </c:pt>
                <c:pt idx="79">
                  <c:v>38.950000000000003</c:v>
                </c:pt>
                <c:pt idx="80">
                  <c:v>10.039999999999999</c:v>
                </c:pt>
                <c:pt idx="81">
                  <c:v>12.22</c:v>
                </c:pt>
                <c:pt idx="82">
                  <c:v>8.39</c:v>
                </c:pt>
                <c:pt idx="83">
                  <c:v>8.52</c:v>
                </c:pt>
                <c:pt idx="84">
                  <c:v>4.08</c:v>
                </c:pt>
                <c:pt idx="85">
                  <c:v>11.8</c:v>
                </c:pt>
                <c:pt idx="86">
                  <c:v>50.69</c:v>
                </c:pt>
                <c:pt idx="87">
                  <c:v>13.52</c:v>
                </c:pt>
                <c:pt idx="88">
                  <c:v>9</c:v>
                </c:pt>
                <c:pt idx="89">
                  <c:v>17.850000000000001</c:v>
                </c:pt>
                <c:pt idx="90">
                  <c:v>12.06</c:v>
                </c:pt>
                <c:pt idx="91">
                  <c:v>8.36</c:v>
                </c:pt>
                <c:pt idx="92">
                  <c:v>9.0500000000000007</c:v>
                </c:pt>
                <c:pt idx="93">
                  <c:v>9.42</c:v>
                </c:pt>
                <c:pt idx="94">
                  <c:v>10.37</c:v>
                </c:pt>
                <c:pt idx="95">
                  <c:v>59.26</c:v>
                </c:pt>
                <c:pt idx="96">
                  <c:v>18.940000000000001</c:v>
                </c:pt>
                <c:pt idx="97">
                  <c:v>27.52</c:v>
                </c:pt>
                <c:pt idx="98">
                  <c:v>12.85</c:v>
                </c:pt>
                <c:pt idx="99">
                  <c:v>1.61</c:v>
                </c:pt>
                <c:pt idx="100">
                  <c:v>4.93</c:v>
                </c:pt>
                <c:pt idx="101">
                  <c:v>5.37</c:v>
                </c:pt>
                <c:pt idx="102">
                  <c:v>11.67</c:v>
                </c:pt>
                <c:pt idx="103">
                  <c:v>45.98</c:v>
                </c:pt>
                <c:pt idx="104">
                  <c:v>21.57</c:v>
                </c:pt>
                <c:pt idx="105">
                  <c:v>7.46</c:v>
                </c:pt>
                <c:pt idx="106">
                  <c:v>18.53</c:v>
                </c:pt>
                <c:pt idx="107">
                  <c:v>8.3800000000000008</c:v>
                </c:pt>
                <c:pt idx="108">
                  <c:v>15.58</c:v>
                </c:pt>
                <c:pt idx="109">
                  <c:v>7.91</c:v>
                </c:pt>
                <c:pt idx="110">
                  <c:v>12.36</c:v>
                </c:pt>
                <c:pt idx="111">
                  <c:v>28.46</c:v>
                </c:pt>
                <c:pt idx="112">
                  <c:v>10.54</c:v>
                </c:pt>
                <c:pt idx="113">
                  <c:v>5.85</c:v>
                </c:pt>
                <c:pt idx="114">
                  <c:v>33.380000000000003</c:v>
                </c:pt>
                <c:pt idx="115">
                  <c:v>12.44</c:v>
                </c:pt>
                <c:pt idx="116">
                  <c:v>1.5</c:v>
                </c:pt>
                <c:pt idx="117">
                  <c:v>5.64</c:v>
                </c:pt>
                <c:pt idx="118">
                  <c:v>4.5</c:v>
                </c:pt>
                <c:pt idx="119">
                  <c:v>5.7</c:v>
                </c:pt>
                <c:pt idx="120">
                  <c:v>13.86</c:v>
                </c:pt>
                <c:pt idx="121">
                  <c:v>14.32</c:v>
                </c:pt>
                <c:pt idx="122">
                  <c:v>12.15</c:v>
                </c:pt>
                <c:pt idx="123">
                  <c:v>7.67</c:v>
                </c:pt>
                <c:pt idx="124">
                  <c:v>14.34</c:v>
                </c:pt>
                <c:pt idx="125">
                  <c:v>12.21</c:v>
                </c:pt>
                <c:pt idx="126">
                  <c:v>16.32</c:v>
                </c:pt>
                <c:pt idx="127">
                  <c:v>7</c:v>
                </c:pt>
                <c:pt idx="128">
                  <c:v>15.06</c:v>
                </c:pt>
                <c:pt idx="129">
                  <c:v>37.26</c:v>
                </c:pt>
                <c:pt idx="130">
                  <c:v>9.64</c:v>
                </c:pt>
                <c:pt idx="131">
                  <c:v>13.27</c:v>
                </c:pt>
                <c:pt idx="132">
                  <c:v>34.81</c:v>
                </c:pt>
                <c:pt idx="133">
                  <c:v>23.98</c:v>
                </c:pt>
                <c:pt idx="134">
                  <c:v>28.26</c:v>
                </c:pt>
                <c:pt idx="135">
                  <c:v>15.11</c:v>
                </c:pt>
                <c:pt idx="136">
                  <c:v>7.49</c:v>
                </c:pt>
                <c:pt idx="137">
                  <c:v>17.77</c:v>
                </c:pt>
                <c:pt idx="138">
                  <c:v>11.44</c:v>
                </c:pt>
                <c:pt idx="139">
                  <c:v>19.13</c:v>
                </c:pt>
                <c:pt idx="140">
                  <c:v>9.94</c:v>
                </c:pt>
                <c:pt idx="141">
                  <c:v>45.18</c:v>
                </c:pt>
                <c:pt idx="142">
                  <c:v>10.95</c:v>
                </c:pt>
                <c:pt idx="143">
                  <c:v>8.8800000000000008</c:v>
                </c:pt>
                <c:pt idx="144">
                  <c:v>10.98</c:v>
                </c:pt>
                <c:pt idx="145">
                  <c:v>10.56</c:v>
                </c:pt>
                <c:pt idx="146">
                  <c:v>6.86</c:v>
                </c:pt>
                <c:pt idx="147">
                  <c:v>43.65</c:v>
                </c:pt>
                <c:pt idx="148">
                  <c:v>8.1300000000000008</c:v>
                </c:pt>
                <c:pt idx="149">
                  <c:v>3.1</c:v>
                </c:pt>
                <c:pt idx="150">
                  <c:v>14.41</c:v>
                </c:pt>
                <c:pt idx="151">
                  <c:v>12.06</c:v>
                </c:pt>
                <c:pt idx="152">
                  <c:v>9.08</c:v>
                </c:pt>
                <c:pt idx="153">
                  <c:v>12.9</c:v>
                </c:pt>
                <c:pt idx="154">
                  <c:v>11.14</c:v>
                </c:pt>
                <c:pt idx="155">
                  <c:v>11.65</c:v>
                </c:pt>
                <c:pt idx="156">
                  <c:v>15.37</c:v>
                </c:pt>
                <c:pt idx="157">
                  <c:v>18.48</c:v>
                </c:pt>
                <c:pt idx="158">
                  <c:v>6.7</c:v>
                </c:pt>
                <c:pt idx="159">
                  <c:v>6.3</c:v>
                </c:pt>
                <c:pt idx="160">
                  <c:v>3.21</c:v>
                </c:pt>
                <c:pt idx="161">
                  <c:v>8.0299999999999994</c:v>
                </c:pt>
                <c:pt idx="162">
                  <c:v>4.04</c:v>
                </c:pt>
                <c:pt idx="163">
                  <c:v>1.6</c:v>
                </c:pt>
                <c:pt idx="164">
                  <c:v>31.43</c:v>
                </c:pt>
                <c:pt idx="165">
                  <c:v>19.96</c:v>
                </c:pt>
                <c:pt idx="166">
                  <c:v>11.66</c:v>
                </c:pt>
                <c:pt idx="167">
                  <c:v>9.6</c:v>
                </c:pt>
                <c:pt idx="168">
                  <c:v>9.6</c:v>
                </c:pt>
                <c:pt idx="169">
                  <c:v>15.17</c:v>
                </c:pt>
                <c:pt idx="170">
                  <c:v>7.7</c:v>
                </c:pt>
                <c:pt idx="171">
                  <c:v>21.08</c:v>
                </c:pt>
                <c:pt idx="172">
                  <c:v>22.03</c:v>
                </c:pt>
                <c:pt idx="173">
                  <c:v>19.72</c:v>
                </c:pt>
                <c:pt idx="174">
                  <c:v>10.58</c:v>
                </c:pt>
                <c:pt idx="175">
                  <c:v>17.440000000000001</c:v>
                </c:pt>
                <c:pt idx="176">
                  <c:v>13.33</c:v>
                </c:pt>
                <c:pt idx="177">
                  <c:v>9.34</c:v>
                </c:pt>
                <c:pt idx="178">
                  <c:v>9.61</c:v>
                </c:pt>
                <c:pt idx="179">
                  <c:v>3.35</c:v>
                </c:pt>
                <c:pt idx="180">
                  <c:v>3.5</c:v>
                </c:pt>
                <c:pt idx="181">
                  <c:v>17.87</c:v>
                </c:pt>
                <c:pt idx="182">
                  <c:v>9.3800000000000008</c:v>
                </c:pt>
                <c:pt idx="183">
                  <c:v>3.13</c:v>
                </c:pt>
                <c:pt idx="184">
                  <c:v>10.5</c:v>
                </c:pt>
                <c:pt idx="185">
                  <c:v>9.7100000000000009</c:v>
                </c:pt>
                <c:pt idx="186">
                  <c:v>10.42</c:v>
                </c:pt>
                <c:pt idx="187">
                  <c:v>8.17</c:v>
                </c:pt>
                <c:pt idx="188">
                  <c:v>9.49</c:v>
                </c:pt>
                <c:pt idx="189">
                  <c:v>9.14</c:v>
                </c:pt>
                <c:pt idx="190">
                  <c:v>11.28</c:v>
                </c:pt>
                <c:pt idx="191">
                  <c:v>22.76</c:v>
                </c:pt>
                <c:pt idx="192">
                  <c:v>38.42</c:v>
                </c:pt>
                <c:pt idx="193">
                  <c:v>6.9</c:v>
                </c:pt>
                <c:pt idx="194">
                  <c:v>25.22</c:v>
                </c:pt>
                <c:pt idx="195">
                  <c:v>13.05</c:v>
                </c:pt>
                <c:pt idx="196">
                  <c:v>12.65</c:v>
                </c:pt>
                <c:pt idx="197">
                  <c:v>11.76</c:v>
                </c:pt>
                <c:pt idx="198">
                  <c:v>13.55</c:v>
                </c:pt>
                <c:pt idx="199">
                  <c:v>28.52</c:v>
                </c:pt>
                <c:pt idx="200">
                  <c:v>18.760000000000002</c:v>
                </c:pt>
                <c:pt idx="201">
                  <c:v>36.96</c:v>
                </c:pt>
                <c:pt idx="202">
                  <c:v>47.62</c:v>
                </c:pt>
                <c:pt idx="203">
                  <c:v>6.78</c:v>
                </c:pt>
                <c:pt idx="204">
                  <c:v>24.41</c:v>
                </c:pt>
                <c:pt idx="205">
                  <c:v>9.26</c:v>
                </c:pt>
                <c:pt idx="206">
                  <c:v>15.63</c:v>
                </c:pt>
                <c:pt idx="207">
                  <c:v>43.92</c:v>
                </c:pt>
                <c:pt idx="208">
                  <c:v>11.99</c:v>
                </c:pt>
                <c:pt idx="209">
                  <c:v>13</c:v>
                </c:pt>
                <c:pt idx="210">
                  <c:v>20.09</c:v>
                </c:pt>
                <c:pt idx="211">
                  <c:v>11.94</c:v>
                </c:pt>
                <c:pt idx="212">
                  <c:v>11.89</c:v>
                </c:pt>
                <c:pt idx="213">
                  <c:v>69.13</c:v>
                </c:pt>
                <c:pt idx="214">
                  <c:v>14.84</c:v>
                </c:pt>
                <c:pt idx="215">
                  <c:v>22.03</c:v>
                </c:pt>
                <c:pt idx="216">
                  <c:v>9.7100000000000009</c:v>
                </c:pt>
                <c:pt idx="217">
                  <c:v>31.43</c:v>
                </c:pt>
                <c:pt idx="218">
                  <c:v>73.459999999999994</c:v>
                </c:pt>
                <c:pt idx="219">
                  <c:v>23.36</c:v>
                </c:pt>
                <c:pt idx="220">
                  <c:v>8.43</c:v>
                </c:pt>
                <c:pt idx="221">
                  <c:v>60.33</c:v>
                </c:pt>
                <c:pt idx="222">
                  <c:v>26.73</c:v>
                </c:pt>
                <c:pt idx="223">
                  <c:v>30.33</c:v>
                </c:pt>
                <c:pt idx="224">
                  <c:v>5.45</c:v>
                </c:pt>
                <c:pt idx="225">
                  <c:v>39.58</c:v>
                </c:pt>
                <c:pt idx="226">
                  <c:v>4.88</c:v>
                </c:pt>
                <c:pt idx="227">
                  <c:v>31.94</c:v>
                </c:pt>
                <c:pt idx="228">
                  <c:v>12.76</c:v>
                </c:pt>
                <c:pt idx="229">
                  <c:v>8.68</c:v>
                </c:pt>
                <c:pt idx="230">
                  <c:v>16.39</c:v>
                </c:pt>
                <c:pt idx="231">
                  <c:v>3.15</c:v>
                </c:pt>
                <c:pt idx="232">
                  <c:v>14.93</c:v>
                </c:pt>
                <c:pt idx="233">
                  <c:v>3.27</c:v>
                </c:pt>
                <c:pt idx="234">
                  <c:v>30.95</c:v>
                </c:pt>
                <c:pt idx="235">
                  <c:v>30.92</c:v>
                </c:pt>
                <c:pt idx="236">
                  <c:v>10.18</c:v>
                </c:pt>
                <c:pt idx="237">
                  <c:v>6.34</c:v>
                </c:pt>
                <c:pt idx="238">
                  <c:v>13.82</c:v>
                </c:pt>
                <c:pt idx="239">
                  <c:v>8.1300000000000008</c:v>
                </c:pt>
                <c:pt idx="240">
                  <c:v>22.43</c:v>
                </c:pt>
                <c:pt idx="241">
                  <c:v>10.72</c:v>
                </c:pt>
                <c:pt idx="242">
                  <c:v>10.17</c:v>
                </c:pt>
                <c:pt idx="243">
                  <c:v>22.7</c:v>
                </c:pt>
                <c:pt idx="244">
                  <c:v>26</c:v>
                </c:pt>
                <c:pt idx="245">
                  <c:v>6.49</c:v>
                </c:pt>
                <c:pt idx="246">
                  <c:v>14.42</c:v>
                </c:pt>
                <c:pt idx="247">
                  <c:v>11.89</c:v>
                </c:pt>
                <c:pt idx="248">
                  <c:v>2.64</c:v>
                </c:pt>
                <c:pt idx="249">
                  <c:v>16.47</c:v>
                </c:pt>
                <c:pt idx="250">
                  <c:v>5.56</c:v>
                </c:pt>
                <c:pt idx="251">
                  <c:v>11.78</c:v>
                </c:pt>
                <c:pt idx="252">
                  <c:v>24.23</c:v>
                </c:pt>
                <c:pt idx="253">
                  <c:v>10.08</c:v>
                </c:pt>
                <c:pt idx="254">
                  <c:v>28.69</c:v>
                </c:pt>
                <c:pt idx="255">
                  <c:v>8.4700000000000006</c:v>
                </c:pt>
                <c:pt idx="256">
                  <c:v>9.67</c:v>
                </c:pt>
                <c:pt idx="257">
                  <c:v>9.48</c:v>
                </c:pt>
                <c:pt idx="258">
                  <c:v>8.82</c:v>
                </c:pt>
                <c:pt idx="259">
                  <c:v>16.25</c:v>
                </c:pt>
                <c:pt idx="260">
                  <c:v>5.0599999999999996</c:v>
                </c:pt>
                <c:pt idx="261">
                  <c:v>12.82</c:v>
                </c:pt>
                <c:pt idx="262">
                  <c:v>12.9</c:v>
                </c:pt>
                <c:pt idx="263">
                  <c:v>12.37</c:v>
                </c:pt>
                <c:pt idx="264">
                  <c:v>39.58</c:v>
                </c:pt>
                <c:pt idx="265">
                  <c:v>11.04</c:v>
                </c:pt>
                <c:pt idx="266">
                  <c:v>3.43</c:v>
                </c:pt>
                <c:pt idx="267">
                  <c:v>23.07</c:v>
                </c:pt>
                <c:pt idx="268">
                  <c:v>45.73</c:v>
                </c:pt>
                <c:pt idx="269">
                  <c:v>29.89</c:v>
                </c:pt>
                <c:pt idx="270">
                  <c:v>69.819999999999993</c:v>
                </c:pt>
                <c:pt idx="271">
                  <c:v>22.54</c:v>
                </c:pt>
                <c:pt idx="272">
                  <c:v>9.5500000000000007</c:v>
                </c:pt>
                <c:pt idx="273">
                  <c:v>39.6</c:v>
                </c:pt>
                <c:pt idx="274">
                  <c:v>14.83</c:v>
                </c:pt>
                <c:pt idx="275">
                  <c:v>5.96</c:v>
                </c:pt>
                <c:pt idx="276">
                  <c:v>8.3699999999999992</c:v>
                </c:pt>
                <c:pt idx="277">
                  <c:v>11.22</c:v>
                </c:pt>
                <c:pt idx="278">
                  <c:v>62.08</c:v>
                </c:pt>
                <c:pt idx="279">
                  <c:v>15.99</c:v>
                </c:pt>
                <c:pt idx="280">
                  <c:v>11.35</c:v>
                </c:pt>
                <c:pt idx="281">
                  <c:v>19.84</c:v>
                </c:pt>
                <c:pt idx="282">
                  <c:v>9.64</c:v>
                </c:pt>
                <c:pt idx="283">
                  <c:v>45.37</c:v>
                </c:pt>
                <c:pt idx="284">
                  <c:v>51.56</c:v>
                </c:pt>
                <c:pt idx="285">
                  <c:v>72.69</c:v>
                </c:pt>
                <c:pt idx="286">
                  <c:v>19.82</c:v>
                </c:pt>
                <c:pt idx="287">
                  <c:v>112.42</c:v>
                </c:pt>
                <c:pt idx="288">
                  <c:v>16.75</c:v>
                </c:pt>
                <c:pt idx="289">
                  <c:v>20.86</c:v>
                </c:pt>
                <c:pt idx="290">
                  <c:v>17.63</c:v>
                </c:pt>
                <c:pt idx="291">
                  <c:v>13.46</c:v>
                </c:pt>
                <c:pt idx="292">
                  <c:v>4.78</c:v>
                </c:pt>
                <c:pt idx="293">
                  <c:v>13.69</c:v>
                </c:pt>
                <c:pt idx="294">
                  <c:v>19.2</c:v>
                </c:pt>
                <c:pt idx="295">
                  <c:v>31.88</c:v>
                </c:pt>
                <c:pt idx="296">
                  <c:v>28.62</c:v>
                </c:pt>
                <c:pt idx="297">
                  <c:v>10.72</c:v>
                </c:pt>
                <c:pt idx="298">
                  <c:v>17.23</c:v>
                </c:pt>
                <c:pt idx="299">
                  <c:v>14.18</c:v>
                </c:pt>
                <c:pt idx="300">
                  <c:v>22.13</c:v>
                </c:pt>
                <c:pt idx="301">
                  <c:v>21.27</c:v>
                </c:pt>
                <c:pt idx="302">
                  <c:v>22.25</c:v>
                </c:pt>
                <c:pt idx="303">
                  <c:v>13.05</c:v>
                </c:pt>
                <c:pt idx="304">
                  <c:v>10.039999999999999</c:v>
                </c:pt>
                <c:pt idx="305">
                  <c:v>10.050000000000001</c:v>
                </c:pt>
                <c:pt idx="306">
                  <c:v>11.2</c:v>
                </c:pt>
                <c:pt idx="307">
                  <c:v>9.15</c:v>
                </c:pt>
                <c:pt idx="308">
                  <c:v>9.4499999999999993</c:v>
                </c:pt>
                <c:pt idx="309">
                  <c:v>25.27</c:v>
                </c:pt>
                <c:pt idx="310">
                  <c:v>18.8</c:v>
                </c:pt>
                <c:pt idx="311">
                  <c:v>24.9</c:v>
                </c:pt>
                <c:pt idx="312">
                  <c:v>8.8000000000000007</c:v>
                </c:pt>
                <c:pt idx="313">
                  <c:v>15.5</c:v>
                </c:pt>
                <c:pt idx="314">
                  <c:v>11.5</c:v>
                </c:pt>
                <c:pt idx="315">
                  <c:v>2.0499999999999998</c:v>
                </c:pt>
                <c:pt idx="316">
                  <c:v>4.9000000000000004</c:v>
                </c:pt>
                <c:pt idx="317">
                  <c:v>6.05</c:v>
                </c:pt>
                <c:pt idx="318">
                  <c:v>9.98</c:v>
                </c:pt>
                <c:pt idx="319">
                  <c:v>11.9</c:v>
                </c:pt>
                <c:pt idx="320">
                  <c:v>16.5</c:v>
                </c:pt>
                <c:pt idx="321">
                  <c:v>4.45</c:v>
                </c:pt>
                <c:pt idx="322">
                  <c:v>5.83</c:v>
                </c:pt>
                <c:pt idx="323">
                  <c:v>7.27</c:v>
                </c:pt>
                <c:pt idx="324">
                  <c:v>3.8</c:v>
                </c:pt>
                <c:pt idx="325">
                  <c:v>11.9</c:v>
                </c:pt>
                <c:pt idx="326">
                  <c:v>12.3</c:v>
                </c:pt>
                <c:pt idx="327">
                  <c:v>19.5</c:v>
                </c:pt>
                <c:pt idx="328">
                  <c:v>10.9</c:v>
                </c:pt>
                <c:pt idx="329">
                  <c:v>8.4</c:v>
                </c:pt>
                <c:pt idx="330">
                  <c:v>6.9</c:v>
                </c:pt>
                <c:pt idx="331">
                  <c:v>2.4</c:v>
                </c:pt>
                <c:pt idx="332">
                  <c:v>9.1</c:v>
                </c:pt>
                <c:pt idx="333">
                  <c:v>5.6</c:v>
                </c:pt>
                <c:pt idx="334">
                  <c:v>4</c:v>
                </c:pt>
                <c:pt idx="335">
                  <c:v>11.7</c:v>
                </c:pt>
                <c:pt idx="336">
                  <c:v>20.8</c:v>
                </c:pt>
                <c:pt idx="337">
                  <c:v>2.2000000000000002</c:v>
                </c:pt>
                <c:pt idx="338">
                  <c:v>6.45</c:v>
                </c:pt>
                <c:pt idx="339">
                  <c:v>13.6</c:v>
                </c:pt>
                <c:pt idx="340">
                  <c:v>34.700000000000003</c:v>
                </c:pt>
                <c:pt idx="341">
                  <c:v>13.7</c:v>
                </c:pt>
                <c:pt idx="342">
                  <c:v>8.5</c:v>
                </c:pt>
                <c:pt idx="343">
                  <c:v>13.5</c:v>
                </c:pt>
                <c:pt idx="344">
                  <c:v>5.6</c:v>
                </c:pt>
                <c:pt idx="345">
                  <c:v>2.04</c:v>
                </c:pt>
                <c:pt idx="346">
                  <c:v>9.1</c:v>
                </c:pt>
                <c:pt idx="347">
                  <c:v>2.13</c:v>
                </c:pt>
                <c:pt idx="348">
                  <c:v>8.8000000000000007</c:v>
                </c:pt>
                <c:pt idx="349">
                  <c:v>13.7</c:v>
                </c:pt>
                <c:pt idx="350">
                  <c:v>25.5</c:v>
                </c:pt>
                <c:pt idx="351">
                  <c:v>13.5</c:v>
                </c:pt>
                <c:pt idx="352">
                  <c:v>12.2</c:v>
                </c:pt>
                <c:pt idx="353">
                  <c:v>12.7</c:v>
                </c:pt>
                <c:pt idx="354">
                  <c:v>41.4</c:v>
                </c:pt>
                <c:pt idx="355">
                  <c:v>8</c:v>
                </c:pt>
                <c:pt idx="356">
                  <c:v>24.2</c:v>
                </c:pt>
                <c:pt idx="357">
                  <c:v>15.2</c:v>
                </c:pt>
                <c:pt idx="358">
                  <c:v>9.1199999999999992</c:v>
                </c:pt>
                <c:pt idx="359">
                  <c:v>8.1999999999999993</c:v>
                </c:pt>
                <c:pt idx="360">
                  <c:v>3.3</c:v>
                </c:pt>
                <c:pt idx="361">
                  <c:v>9.4</c:v>
                </c:pt>
                <c:pt idx="362">
                  <c:v>21.01</c:v>
                </c:pt>
                <c:pt idx="363">
                  <c:v>12.8</c:v>
                </c:pt>
                <c:pt idx="364">
                  <c:v>5.9</c:v>
                </c:pt>
                <c:pt idx="365">
                  <c:v>6.6</c:v>
                </c:pt>
                <c:pt idx="366">
                  <c:v>23.5</c:v>
                </c:pt>
                <c:pt idx="367">
                  <c:v>9.6</c:v>
                </c:pt>
                <c:pt idx="368">
                  <c:v>11.4</c:v>
                </c:pt>
                <c:pt idx="369">
                  <c:v>7.5</c:v>
                </c:pt>
                <c:pt idx="370">
                  <c:v>5.6</c:v>
                </c:pt>
                <c:pt idx="371">
                  <c:v>37.700000000000003</c:v>
                </c:pt>
                <c:pt idx="372">
                  <c:v>9.1999999999999993</c:v>
                </c:pt>
                <c:pt idx="373">
                  <c:v>11.1</c:v>
                </c:pt>
                <c:pt idx="374">
                  <c:v>10.6</c:v>
                </c:pt>
                <c:pt idx="375">
                  <c:v>14.1</c:v>
                </c:pt>
                <c:pt idx="376">
                  <c:v>3.06</c:v>
                </c:pt>
                <c:pt idx="377">
                  <c:v>9.07</c:v>
                </c:pt>
                <c:pt idx="378">
                  <c:v>36.700000000000003</c:v>
                </c:pt>
                <c:pt idx="379">
                  <c:v>22.7</c:v>
                </c:pt>
                <c:pt idx="380">
                  <c:v>27.8</c:v>
                </c:pt>
                <c:pt idx="381">
                  <c:v>3.6</c:v>
                </c:pt>
                <c:pt idx="382">
                  <c:v>26.5</c:v>
                </c:pt>
                <c:pt idx="383">
                  <c:v>21.5</c:v>
                </c:pt>
                <c:pt idx="384">
                  <c:v>21.4</c:v>
                </c:pt>
                <c:pt idx="385">
                  <c:v>6.2</c:v>
                </c:pt>
                <c:pt idx="386">
                  <c:v>14.05</c:v>
                </c:pt>
                <c:pt idx="387">
                  <c:v>22.4</c:v>
                </c:pt>
                <c:pt idx="388">
                  <c:v>20.5</c:v>
                </c:pt>
                <c:pt idx="389">
                  <c:v>11.4</c:v>
                </c:pt>
                <c:pt idx="390">
                  <c:v>28.4</c:v>
                </c:pt>
                <c:pt idx="391">
                  <c:v>12.04</c:v>
                </c:pt>
                <c:pt idx="392">
                  <c:v>10.53</c:v>
                </c:pt>
                <c:pt idx="393">
                  <c:v>48.91</c:v>
                </c:pt>
                <c:pt idx="394">
                  <c:v>7.3</c:v>
                </c:pt>
                <c:pt idx="395">
                  <c:v>20.5</c:v>
                </c:pt>
                <c:pt idx="396">
                  <c:v>30.7</c:v>
                </c:pt>
                <c:pt idx="397">
                  <c:v>103.07</c:v>
                </c:pt>
                <c:pt idx="398">
                  <c:v>19.8</c:v>
                </c:pt>
                <c:pt idx="399">
                  <c:v>22.3</c:v>
                </c:pt>
                <c:pt idx="400">
                  <c:v>16.899999999999999</c:v>
                </c:pt>
                <c:pt idx="401">
                  <c:v>8.9</c:v>
                </c:pt>
                <c:pt idx="402">
                  <c:v>17.04</c:v>
                </c:pt>
                <c:pt idx="403">
                  <c:v>2.6</c:v>
                </c:pt>
                <c:pt idx="404">
                  <c:v>7.7</c:v>
                </c:pt>
                <c:pt idx="405">
                  <c:v>8.02</c:v>
                </c:pt>
                <c:pt idx="406">
                  <c:v>6.5</c:v>
                </c:pt>
                <c:pt idx="407">
                  <c:v>17.2</c:v>
                </c:pt>
                <c:pt idx="408">
                  <c:v>6</c:v>
                </c:pt>
                <c:pt idx="409">
                  <c:v>16.3</c:v>
                </c:pt>
                <c:pt idx="410">
                  <c:v>5.6</c:v>
                </c:pt>
                <c:pt idx="411">
                  <c:v>16.5</c:v>
                </c:pt>
                <c:pt idx="412">
                  <c:v>20.3</c:v>
                </c:pt>
                <c:pt idx="413">
                  <c:v>12.7</c:v>
                </c:pt>
                <c:pt idx="414">
                  <c:v>36.200000000000003</c:v>
                </c:pt>
                <c:pt idx="415">
                  <c:v>13.5</c:v>
                </c:pt>
                <c:pt idx="416">
                  <c:v>5.2</c:v>
                </c:pt>
                <c:pt idx="417">
                  <c:v>14.8</c:v>
                </c:pt>
                <c:pt idx="418">
                  <c:v>13.2</c:v>
                </c:pt>
                <c:pt idx="419">
                  <c:v>7.6</c:v>
                </c:pt>
                <c:pt idx="420">
                  <c:v>5.3</c:v>
                </c:pt>
                <c:pt idx="421">
                  <c:v>8.6999999999999993</c:v>
                </c:pt>
                <c:pt idx="422">
                  <c:v>6.4</c:v>
                </c:pt>
                <c:pt idx="423">
                  <c:v>10.01</c:v>
                </c:pt>
                <c:pt idx="424">
                  <c:v>17.899999999999999</c:v>
                </c:pt>
                <c:pt idx="425">
                  <c:v>7.5</c:v>
                </c:pt>
                <c:pt idx="426">
                  <c:v>9.4</c:v>
                </c:pt>
                <c:pt idx="427">
                  <c:v>7.7</c:v>
                </c:pt>
                <c:pt idx="428">
                  <c:v>5.9</c:v>
                </c:pt>
                <c:pt idx="429">
                  <c:v>6.9</c:v>
                </c:pt>
                <c:pt idx="430">
                  <c:v>6.3</c:v>
                </c:pt>
                <c:pt idx="431">
                  <c:v>23.2</c:v>
                </c:pt>
                <c:pt idx="432">
                  <c:v>4.8</c:v>
                </c:pt>
                <c:pt idx="433">
                  <c:v>21.5</c:v>
                </c:pt>
                <c:pt idx="434">
                  <c:v>7.8</c:v>
                </c:pt>
                <c:pt idx="435">
                  <c:v>10.8</c:v>
                </c:pt>
                <c:pt idx="436">
                  <c:v>15.9</c:v>
                </c:pt>
                <c:pt idx="437">
                  <c:v>10.6</c:v>
                </c:pt>
                <c:pt idx="438">
                  <c:v>15.06</c:v>
                </c:pt>
                <c:pt idx="439">
                  <c:v>77.3</c:v>
                </c:pt>
                <c:pt idx="440">
                  <c:v>6.5</c:v>
                </c:pt>
                <c:pt idx="441">
                  <c:v>42.6</c:v>
                </c:pt>
                <c:pt idx="442">
                  <c:v>12.8</c:v>
                </c:pt>
                <c:pt idx="443">
                  <c:v>37.299999999999997</c:v>
                </c:pt>
                <c:pt idx="444">
                  <c:v>15.4</c:v>
                </c:pt>
                <c:pt idx="445">
                  <c:v>10.9</c:v>
                </c:pt>
                <c:pt idx="446">
                  <c:v>18.04</c:v>
                </c:pt>
                <c:pt idx="447">
                  <c:v>7.5</c:v>
                </c:pt>
                <c:pt idx="448">
                  <c:v>6.5</c:v>
                </c:pt>
                <c:pt idx="449">
                  <c:v>8.0299999999999994</c:v>
                </c:pt>
                <c:pt idx="450">
                  <c:v>10.8</c:v>
                </c:pt>
                <c:pt idx="451">
                  <c:v>10.4</c:v>
                </c:pt>
                <c:pt idx="452">
                  <c:v>33.01</c:v>
                </c:pt>
                <c:pt idx="453">
                  <c:v>7.6</c:v>
                </c:pt>
                <c:pt idx="454">
                  <c:v>4.0199999999999996</c:v>
                </c:pt>
                <c:pt idx="455">
                  <c:v>3.1</c:v>
                </c:pt>
                <c:pt idx="456">
                  <c:v>4.3</c:v>
                </c:pt>
                <c:pt idx="457">
                  <c:v>5.0999999999999996</c:v>
                </c:pt>
                <c:pt idx="458">
                  <c:v>2.1</c:v>
                </c:pt>
                <c:pt idx="459">
                  <c:v>12.2</c:v>
                </c:pt>
                <c:pt idx="460">
                  <c:v>5.2</c:v>
                </c:pt>
                <c:pt idx="461">
                  <c:v>14.8</c:v>
                </c:pt>
                <c:pt idx="462">
                  <c:v>46.9</c:v>
                </c:pt>
                <c:pt idx="463">
                  <c:v>15.7</c:v>
                </c:pt>
                <c:pt idx="464">
                  <c:v>47.4</c:v>
                </c:pt>
                <c:pt idx="465">
                  <c:v>11.05</c:v>
                </c:pt>
                <c:pt idx="466">
                  <c:v>12.5</c:v>
                </c:pt>
                <c:pt idx="467">
                  <c:v>9.1</c:v>
                </c:pt>
                <c:pt idx="468">
                  <c:v>13.9</c:v>
                </c:pt>
                <c:pt idx="469">
                  <c:v>10.7</c:v>
                </c:pt>
                <c:pt idx="470">
                  <c:v>3.8</c:v>
                </c:pt>
                <c:pt idx="471">
                  <c:v>6.2</c:v>
                </c:pt>
                <c:pt idx="472">
                  <c:v>3.4</c:v>
                </c:pt>
                <c:pt idx="473">
                  <c:v>8.3000000000000007</c:v>
                </c:pt>
                <c:pt idx="474">
                  <c:v>11.09</c:v>
                </c:pt>
                <c:pt idx="475">
                  <c:v>5.09</c:v>
                </c:pt>
                <c:pt idx="476">
                  <c:v>6.3</c:v>
                </c:pt>
                <c:pt idx="477">
                  <c:v>8.6999999999999993</c:v>
                </c:pt>
                <c:pt idx="478">
                  <c:v>3.7</c:v>
                </c:pt>
                <c:pt idx="479">
                  <c:v>6.07</c:v>
                </c:pt>
                <c:pt idx="480">
                  <c:v>9.02</c:v>
                </c:pt>
                <c:pt idx="481">
                  <c:v>11.7</c:v>
                </c:pt>
                <c:pt idx="482">
                  <c:v>3.1</c:v>
                </c:pt>
                <c:pt idx="483">
                  <c:v>18.7</c:v>
                </c:pt>
                <c:pt idx="484">
                  <c:v>11.6</c:v>
                </c:pt>
                <c:pt idx="485">
                  <c:v>46.6</c:v>
                </c:pt>
                <c:pt idx="486">
                  <c:v>11.7</c:v>
                </c:pt>
                <c:pt idx="487">
                  <c:v>48.7</c:v>
                </c:pt>
                <c:pt idx="488">
                  <c:v>9.9</c:v>
                </c:pt>
                <c:pt idx="489">
                  <c:v>11.8</c:v>
                </c:pt>
                <c:pt idx="490">
                  <c:v>3.9</c:v>
                </c:pt>
                <c:pt idx="491">
                  <c:v>40.299999999999997</c:v>
                </c:pt>
                <c:pt idx="492">
                  <c:v>6.7</c:v>
                </c:pt>
                <c:pt idx="493">
                  <c:v>4.5999999999999996</c:v>
                </c:pt>
                <c:pt idx="494">
                  <c:v>10.8</c:v>
                </c:pt>
                <c:pt idx="495">
                  <c:v>19.7</c:v>
                </c:pt>
                <c:pt idx="496">
                  <c:v>18.3</c:v>
                </c:pt>
                <c:pt idx="497">
                  <c:v>19.2</c:v>
                </c:pt>
                <c:pt idx="498">
                  <c:v>41.5</c:v>
                </c:pt>
                <c:pt idx="499">
                  <c:v>1.6</c:v>
                </c:pt>
                <c:pt idx="500">
                  <c:v>23.04</c:v>
                </c:pt>
                <c:pt idx="501">
                  <c:v>22.7</c:v>
                </c:pt>
                <c:pt idx="502">
                  <c:v>14.12</c:v>
                </c:pt>
                <c:pt idx="503">
                  <c:v>12.15</c:v>
                </c:pt>
                <c:pt idx="504">
                  <c:v>52.6</c:v>
                </c:pt>
                <c:pt idx="505">
                  <c:v>26.8</c:v>
                </c:pt>
                <c:pt idx="506">
                  <c:v>30.3</c:v>
                </c:pt>
                <c:pt idx="507">
                  <c:v>5.0999999999999996</c:v>
                </c:pt>
                <c:pt idx="508">
                  <c:v>14</c:v>
                </c:pt>
                <c:pt idx="509">
                  <c:v>20.6</c:v>
                </c:pt>
                <c:pt idx="510">
                  <c:v>18.899999999999999</c:v>
                </c:pt>
                <c:pt idx="511">
                  <c:v>31.3</c:v>
                </c:pt>
                <c:pt idx="512">
                  <c:v>9.1999999999999993</c:v>
                </c:pt>
                <c:pt idx="513">
                  <c:v>30.3</c:v>
                </c:pt>
                <c:pt idx="514">
                  <c:v>9.6999999999999993</c:v>
                </c:pt>
                <c:pt idx="515">
                  <c:v>17.8</c:v>
                </c:pt>
                <c:pt idx="516">
                  <c:v>20.5</c:v>
                </c:pt>
                <c:pt idx="517">
                  <c:v>20.399999999999999</c:v>
                </c:pt>
                <c:pt idx="518">
                  <c:v>12.8</c:v>
                </c:pt>
                <c:pt idx="519">
                  <c:v>18.399999999999999</c:v>
                </c:pt>
                <c:pt idx="520">
                  <c:v>9.6999999999999993</c:v>
                </c:pt>
                <c:pt idx="521">
                  <c:v>8.5</c:v>
                </c:pt>
                <c:pt idx="522">
                  <c:v>2.7</c:v>
                </c:pt>
                <c:pt idx="523">
                  <c:v>33.6</c:v>
                </c:pt>
                <c:pt idx="524">
                  <c:v>24.1</c:v>
                </c:pt>
                <c:pt idx="525">
                  <c:v>49.3</c:v>
                </c:pt>
                <c:pt idx="526">
                  <c:v>46.9</c:v>
                </c:pt>
                <c:pt idx="527">
                  <c:v>9.4</c:v>
                </c:pt>
                <c:pt idx="528">
                  <c:v>7</c:v>
                </c:pt>
                <c:pt idx="529">
                  <c:v>17.7</c:v>
                </c:pt>
                <c:pt idx="530">
                  <c:v>15.17</c:v>
                </c:pt>
                <c:pt idx="531">
                  <c:v>24.8</c:v>
                </c:pt>
                <c:pt idx="532">
                  <c:v>16.5</c:v>
                </c:pt>
                <c:pt idx="533">
                  <c:v>11.9</c:v>
                </c:pt>
                <c:pt idx="534">
                  <c:v>5.4</c:v>
                </c:pt>
                <c:pt idx="535">
                  <c:v>22.8</c:v>
                </c:pt>
                <c:pt idx="536">
                  <c:v>29.3</c:v>
                </c:pt>
                <c:pt idx="537">
                  <c:v>35.5</c:v>
                </c:pt>
                <c:pt idx="538">
                  <c:v>29.9</c:v>
                </c:pt>
                <c:pt idx="539">
                  <c:v>10.8</c:v>
                </c:pt>
                <c:pt idx="540">
                  <c:v>9.5</c:v>
                </c:pt>
                <c:pt idx="541">
                  <c:v>2.0299999999999998</c:v>
                </c:pt>
                <c:pt idx="542">
                  <c:v>10.3</c:v>
                </c:pt>
                <c:pt idx="543">
                  <c:v>10.06</c:v>
                </c:pt>
                <c:pt idx="544">
                  <c:v>10.5</c:v>
                </c:pt>
                <c:pt idx="545">
                  <c:v>21.6</c:v>
                </c:pt>
                <c:pt idx="546">
                  <c:v>19.899999999999999</c:v>
                </c:pt>
                <c:pt idx="547">
                  <c:v>17.7</c:v>
                </c:pt>
                <c:pt idx="548">
                  <c:v>12.2</c:v>
                </c:pt>
                <c:pt idx="549">
                  <c:v>18.690000000000001</c:v>
                </c:pt>
                <c:pt idx="550">
                  <c:v>11.6</c:v>
                </c:pt>
                <c:pt idx="551">
                  <c:v>21.3</c:v>
                </c:pt>
                <c:pt idx="552">
                  <c:v>17.079999999999998</c:v>
                </c:pt>
                <c:pt idx="553">
                  <c:v>9.4</c:v>
                </c:pt>
                <c:pt idx="554">
                  <c:v>7.6</c:v>
                </c:pt>
                <c:pt idx="555">
                  <c:v>11.08</c:v>
                </c:pt>
                <c:pt idx="556">
                  <c:v>5.6</c:v>
                </c:pt>
                <c:pt idx="557">
                  <c:v>10.4</c:v>
                </c:pt>
                <c:pt idx="558">
                  <c:v>8.1</c:v>
                </c:pt>
                <c:pt idx="559">
                  <c:v>3.3</c:v>
                </c:pt>
                <c:pt idx="560">
                  <c:v>1.6</c:v>
                </c:pt>
                <c:pt idx="561">
                  <c:v>6.68</c:v>
                </c:pt>
                <c:pt idx="562">
                  <c:v>8.9</c:v>
                </c:pt>
                <c:pt idx="563">
                  <c:v>2.2999999999999998</c:v>
                </c:pt>
                <c:pt idx="564">
                  <c:v>6.14</c:v>
                </c:pt>
                <c:pt idx="565">
                  <c:v>72.290000000000006</c:v>
                </c:pt>
                <c:pt idx="566">
                  <c:v>16.600000000000001</c:v>
                </c:pt>
              </c:numCache>
            </c:numRef>
          </c:val>
          <c:smooth val="0"/>
          <c:extLst>
            <c:ext xmlns:c16="http://schemas.microsoft.com/office/drawing/2014/chart" uri="{C3380CC4-5D6E-409C-BE32-E72D297353CC}">
              <c16:uniqueId val="{00000001-8881-4119-87B6-4770CAE095E0}"/>
            </c:ext>
          </c:extLst>
        </c:ser>
        <c:dLbls>
          <c:showLegendKey val="0"/>
          <c:showVal val="0"/>
          <c:showCatName val="0"/>
          <c:showSerName val="0"/>
          <c:showPercent val="0"/>
          <c:showBubbleSize val="0"/>
        </c:dLbls>
        <c:smooth val="0"/>
        <c:axId val="231981488"/>
        <c:axId val="231982032"/>
      </c:lineChart>
      <c:catAx>
        <c:axId val="231981488"/>
        <c:scaling>
          <c:orientation val="minMax"/>
        </c:scaling>
        <c:delete val="0"/>
        <c:axPos val="b"/>
        <c:majorGridlines>
          <c:spPr>
            <a:ln w="0" cap="flat" cmpd="sng" algn="ctr">
              <a:solidFill>
                <a:schemeClr val="bg1">
                  <a:lumMod val="9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231982032"/>
        <c:crosses val="autoZero"/>
        <c:auto val="1"/>
        <c:lblAlgn val="ctr"/>
        <c:lblOffset val="100"/>
        <c:noMultiLvlLbl val="0"/>
      </c:catAx>
      <c:valAx>
        <c:axId val="231982032"/>
        <c:scaling>
          <c:orientation val="minMax"/>
          <c:max val="250"/>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31981488"/>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9.6777510560522209E-2"/>
          <c:y val="0.8643892169728784"/>
          <c:w val="0.72512472056754684"/>
          <c:h val="0.10436065621667423"/>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cap="none" spc="0" normalizeH="0" baseline="0">
                <a:solidFill>
                  <a:schemeClr val="dk1">
                    <a:lumMod val="50000"/>
                    <a:lumOff val="50000"/>
                  </a:schemeClr>
                </a:solidFill>
                <a:latin typeface="+mj-lt"/>
                <a:ea typeface="+mj-ea"/>
                <a:cs typeface="+mj-cs"/>
              </a:defRPr>
            </a:pPr>
            <a:r>
              <a:rPr lang="fr-FR" sz="1050"/>
              <a:t>Footprint of the lanes (Ksar Tafilalt)</a:t>
            </a:r>
          </a:p>
        </c:rich>
      </c:tx>
      <c:overlay val="0"/>
      <c:spPr>
        <a:noFill/>
        <a:ln>
          <a:noFill/>
        </a:ln>
        <a:effectLst/>
      </c:spPr>
      <c:txPr>
        <a:bodyPr rot="0" spcFirstLastPara="1" vertOverflow="ellipsis" vert="horz" wrap="square" anchor="ctr" anchorCtr="1"/>
        <a:lstStyle/>
        <a:p>
          <a:pPr>
            <a:defRPr sz="105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manualLayout>
          <c:layoutTarget val="inner"/>
          <c:xMode val="edge"/>
          <c:yMode val="edge"/>
          <c:x val="6.6039661708953049E-2"/>
          <c:y val="0.21090078328981723"/>
          <c:w val="0.92210830417031209"/>
          <c:h val="0.53604212495631265"/>
        </c:manualLayout>
      </c:layout>
      <c:lineChart>
        <c:grouping val="standard"/>
        <c:varyColors val="0"/>
        <c:ser>
          <c:idx val="1"/>
          <c:order val="0"/>
          <c:tx>
            <c:strRef>
              <c:f>Feuil1!$B$1</c:f>
              <c:strCache>
                <c:ptCount val="1"/>
                <c:pt idx="0">
                  <c:v>Dimension</c:v>
                </c:pt>
              </c:strCache>
            </c:strRef>
          </c:tx>
          <c:spPr>
            <a:ln w="12700" cap="rnd">
              <a:solidFill>
                <a:schemeClr val="accent6"/>
              </a:solidFill>
              <a:round/>
            </a:ln>
            <a:effectLst/>
          </c:spPr>
          <c:marker>
            <c:symbol val="none"/>
          </c:marker>
          <c:val>
            <c:numRef>
              <c:f>Feuil1!$B$2:$B$224</c:f>
              <c:numCache>
                <c:formatCode>General</c:formatCode>
                <c:ptCount val="223"/>
                <c:pt idx="0">
                  <c:v>31.5</c:v>
                </c:pt>
                <c:pt idx="1">
                  <c:v>41.7</c:v>
                </c:pt>
                <c:pt idx="2">
                  <c:v>31.5</c:v>
                </c:pt>
                <c:pt idx="3">
                  <c:v>73.5</c:v>
                </c:pt>
                <c:pt idx="4">
                  <c:v>46.4</c:v>
                </c:pt>
                <c:pt idx="5">
                  <c:v>95.2</c:v>
                </c:pt>
                <c:pt idx="6">
                  <c:v>37.799999999999997</c:v>
                </c:pt>
                <c:pt idx="7">
                  <c:v>61.6</c:v>
                </c:pt>
                <c:pt idx="8">
                  <c:v>146.80000000000001</c:v>
                </c:pt>
                <c:pt idx="9">
                  <c:v>48</c:v>
                </c:pt>
                <c:pt idx="10">
                  <c:v>62.3</c:v>
                </c:pt>
                <c:pt idx="11">
                  <c:v>25.1</c:v>
                </c:pt>
                <c:pt idx="12">
                  <c:v>22</c:v>
                </c:pt>
                <c:pt idx="13">
                  <c:v>28.1</c:v>
                </c:pt>
                <c:pt idx="14">
                  <c:v>31.5</c:v>
                </c:pt>
                <c:pt idx="15">
                  <c:v>53.6</c:v>
                </c:pt>
                <c:pt idx="16">
                  <c:v>59.3</c:v>
                </c:pt>
                <c:pt idx="17">
                  <c:v>23.9</c:v>
                </c:pt>
                <c:pt idx="18">
                  <c:v>59</c:v>
                </c:pt>
                <c:pt idx="19">
                  <c:v>53</c:v>
                </c:pt>
                <c:pt idx="20">
                  <c:v>27.7</c:v>
                </c:pt>
                <c:pt idx="21">
                  <c:v>15</c:v>
                </c:pt>
                <c:pt idx="22">
                  <c:v>20</c:v>
                </c:pt>
                <c:pt idx="23">
                  <c:v>18.5</c:v>
                </c:pt>
                <c:pt idx="24">
                  <c:v>130.30000000000001</c:v>
                </c:pt>
                <c:pt idx="25">
                  <c:v>27.8</c:v>
                </c:pt>
                <c:pt idx="26">
                  <c:v>69.3</c:v>
                </c:pt>
                <c:pt idx="27">
                  <c:v>79</c:v>
                </c:pt>
                <c:pt idx="28">
                  <c:v>8.5</c:v>
                </c:pt>
                <c:pt idx="29">
                  <c:v>18.100000000000001</c:v>
                </c:pt>
                <c:pt idx="30">
                  <c:v>46.1</c:v>
                </c:pt>
                <c:pt idx="31">
                  <c:v>34.9</c:v>
                </c:pt>
                <c:pt idx="32">
                  <c:v>39.700000000000003</c:v>
                </c:pt>
                <c:pt idx="33">
                  <c:v>33.799999999999997</c:v>
                </c:pt>
                <c:pt idx="34">
                  <c:v>48.8</c:v>
                </c:pt>
                <c:pt idx="35">
                  <c:v>35.200000000000003</c:v>
                </c:pt>
                <c:pt idx="36">
                  <c:v>18.5</c:v>
                </c:pt>
                <c:pt idx="37">
                  <c:v>22.8</c:v>
                </c:pt>
                <c:pt idx="38">
                  <c:v>136</c:v>
                </c:pt>
                <c:pt idx="39">
                  <c:v>141.5</c:v>
                </c:pt>
                <c:pt idx="40">
                  <c:v>105.2</c:v>
                </c:pt>
                <c:pt idx="41">
                  <c:v>137.6</c:v>
                </c:pt>
                <c:pt idx="42">
                  <c:v>32.700000000000003</c:v>
                </c:pt>
                <c:pt idx="43">
                  <c:v>14.8</c:v>
                </c:pt>
                <c:pt idx="44">
                  <c:v>75.599999999999994</c:v>
                </c:pt>
                <c:pt idx="45">
                  <c:v>37.9</c:v>
                </c:pt>
                <c:pt idx="46">
                  <c:v>26.8</c:v>
                </c:pt>
                <c:pt idx="47">
                  <c:v>50.2</c:v>
                </c:pt>
                <c:pt idx="48">
                  <c:v>29.8</c:v>
                </c:pt>
                <c:pt idx="49">
                  <c:v>117</c:v>
                </c:pt>
                <c:pt idx="50">
                  <c:v>41.7</c:v>
                </c:pt>
                <c:pt idx="51">
                  <c:v>20.8</c:v>
                </c:pt>
                <c:pt idx="52">
                  <c:v>31.7</c:v>
                </c:pt>
                <c:pt idx="53">
                  <c:v>74.3</c:v>
                </c:pt>
                <c:pt idx="54">
                  <c:v>82.2</c:v>
                </c:pt>
                <c:pt idx="55">
                  <c:v>131.80000000000001</c:v>
                </c:pt>
                <c:pt idx="56">
                  <c:v>68.5</c:v>
                </c:pt>
                <c:pt idx="57">
                  <c:v>39.4</c:v>
                </c:pt>
                <c:pt idx="58">
                  <c:v>40.1</c:v>
                </c:pt>
                <c:pt idx="59">
                  <c:v>39.5</c:v>
                </c:pt>
                <c:pt idx="60">
                  <c:v>79.3</c:v>
                </c:pt>
                <c:pt idx="61">
                  <c:v>40.4</c:v>
                </c:pt>
                <c:pt idx="62">
                  <c:v>26.3</c:v>
                </c:pt>
                <c:pt idx="63">
                  <c:v>78.2</c:v>
                </c:pt>
                <c:pt idx="64">
                  <c:v>32.5</c:v>
                </c:pt>
                <c:pt idx="65">
                  <c:v>36.200000000000003</c:v>
                </c:pt>
                <c:pt idx="66">
                  <c:v>32.6</c:v>
                </c:pt>
                <c:pt idx="67">
                  <c:v>48.7</c:v>
                </c:pt>
                <c:pt idx="68">
                  <c:v>60</c:v>
                </c:pt>
                <c:pt idx="69">
                  <c:v>15.3</c:v>
                </c:pt>
                <c:pt idx="70">
                  <c:v>14.7</c:v>
                </c:pt>
                <c:pt idx="71">
                  <c:v>22</c:v>
                </c:pt>
                <c:pt idx="72">
                  <c:v>4.4000000000000004</c:v>
                </c:pt>
                <c:pt idx="73">
                  <c:v>16.899999999999999</c:v>
                </c:pt>
                <c:pt idx="74">
                  <c:v>52.8</c:v>
                </c:pt>
                <c:pt idx="75">
                  <c:v>134.30000000000001</c:v>
                </c:pt>
                <c:pt idx="76">
                  <c:v>22.7</c:v>
                </c:pt>
                <c:pt idx="77">
                  <c:v>5.09</c:v>
                </c:pt>
                <c:pt idx="78">
                  <c:v>47.2</c:v>
                </c:pt>
                <c:pt idx="79">
                  <c:v>17.899999999999999</c:v>
                </c:pt>
                <c:pt idx="80">
                  <c:v>51.8</c:v>
                </c:pt>
                <c:pt idx="81">
                  <c:v>63.4</c:v>
                </c:pt>
                <c:pt idx="82">
                  <c:v>15</c:v>
                </c:pt>
                <c:pt idx="83">
                  <c:v>13.6</c:v>
                </c:pt>
                <c:pt idx="84">
                  <c:v>9.0299999999999994</c:v>
                </c:pt>
                <c:pt idx="85">
                  <c:v>43.8</c:v>
                </c:pt>
                <c:pt idx="86">
                  <c:v>47.5</c:v>
                </c:pt>
                <c:pt idx="87">
                  <c:v>111.08</c:v>
                </c:pt>
                <c:pt idx="88">
                  <c:v>5.0999999999999996</c:v>
                </c:pt>
                <c:pt idx="89">
                  <c:v>69.8</c:v>
                </c:pt>
                <c:pt idx="90">
                  <c:v>91.8</c:v>
                </c:pt>
                <c:pt idx="91">
                  <c:v>29.8</c:v>
                </c:pt>
                <c:pt idx="92">
                  <c:v>10</c:v>
                </c:pt>
                <c:pt idx="93">
                  <c:v>36.200000000000003</c:v>
                </c:pt>
                <c:pt idx="94">
                  <c:v>97.5</c:v>
                </c:pt>
                <c:pt idx="95">
                  <c:v>35.4</c:v>
                </c:pt>
                <c:pt idx="96">
                  <c:v>14.6</c:v>
                </c:pt>
                <c:pt idx="97">
                  <c:v>36.700000000000003</c:v>
                </c:pt>
                <c:pt idx="98">
                  <c:v>115.9</c:v>
                </c:pt>
                <c:pt idx="99">
                  <c:v>138.1</c:v>
                </c:pt>
                <c:pt idx="100">
                  <c:v>39.4</c:v>
                </c:pt>
                <c:pt idx="101">
                  <c:v>175.2</c:v>
                </c:pt>
                <c:pt idx="102">
                  <c:v>71.599999999999994</c:v>
                </c:pt>
                <c:pt idx="103">
                  <c:v>143.6</c:v>
                </c:pt>
                <c:pt idx="104">
                  <c:v>177.2</c:v>
                </c:pt>
                <c:pt idx="105">
                  <c:v>69.900000000000006</c:v>
                </c:pt>
                <c:pt idx="106">
                  <c:v>24.5</c:v>
                </c:pt>
                <c:pt idx="107">
                  <c:v>35.4</c:v>
                </c:pt>
                <c:pt idx="108">
                  <c:v>75.3</c:v>
                </c:pt>
                <c:pt idx="109">
                  <c:v>163.5</c:v>
                </c:pt>
                <c:pt idx="110">
                  <c:v>42.7</c:v>
                </c:pt>
                <c:pt idx="111">
                  <c:v>25.9</c:v>
                </c:pt>
                <c:pt idx="112">
                  <c:v>29.2</c:v>
                </c:pt>
                <c:pt idx="113">
                  <c:v>26.2</c:v>
                </c:pt>
                <c:pt idx="114">
                  <c:v>121.3</c:v>
                </c:pt>
                <c:pt idx="115">
                  <c:v>47.5</c:v>
                </c:pt>
                <c:pt idx="116">
                  <c:v>37.4</c:v>
                </c:pt>
                <c:pt idx="117">
                  <c:v>55.8</c:v>
                </c:pt>
                <c:pt idx="118">
                  <c:v>49.4</c:v>
                </c:pt>
                <c:pt idx="119">
                  <c:v>26.8</c:v>
                </c:pt>
                <c:pt idx="120">
                  <c:v>46.9</c:v>
                </c:pt>
                <c:pt idx="121">
                  <c:v>27.3</c:v>
                </c:pt>
                <c:pt idx="122">
                  <c:v>64.5</c:v>
                </c:pt>
                <c:pt idx="123">
                  <c:v>15.04</c:v>
                </c:pt>
                <c:pt idx="124">
                  <c:v>45.8</c:v>
                </c:pt>
                <c:pt idx="125">
                  <c:v>37.4</c:v>
                </c:pt>
                <c:pt idx="126">
                  <c:v>21.7</c:v>
                </c:pt>
                <c:pt idx="127">
                  <c:v>20.399999999999999</c:v>
                </c:pt>
                <c:pt idx="128">
                  <c:v>187.2</c:v>
                </c:pt>
                <c:pt idx="129">
                  <c:v>8.6</c:v>
                </c:pt>
                <c:pt idx="130">
                  <c:v>23.9</c:v>
                </c:pt>
                <c:pt idx="131">
                  <c:v>59.4</c:v>
                </c:pt>
                <c:pt idx="132">
                  <c:v>6.7</c:v>
                </c:pt>
                <c:pt idx="133">
                  <c:v>37.299999999999997</c:v>
                </c:pt>
                <c:pt idx="134">
                  <c:v>27.7</c:v>
                </c:pt>
                <c:pt idx="135">
                  <c:v>12.2</c:v>
                </c:pt>
                <c:pt idx="136">
                  <c:v>27.9</c:v>
                </c:pt>
                <c:pt idx="137">
                  <c:v>35.700000000000003</c:v>
                </c:pt>
                <c:pt idx="138">
                  <c:v>25.1</c:v>
                </c:pt>
                <c:pt idx="139">
                  <c:v>40.299999999999997</c:v>
                </c:pt>
                <c:pt idx="140">
                  <c:v>64.400000000000006</c:v>
                </c:pt>
                <c:pt idx="141">
                  <c:v>58.1</c:v>
                </c:pt>
                <c:pt idx="142">
                  <c:v>27.2</c:v>
                </c:pt>
                <c:pt idx="143">
                  <c:v>19.100000000000001</c:v>
                </c:pt>
                <c:pt idx="144">
                  <c:v>160.19999999999999</c:v>
                </c:pt>
                <c:pt idx="145">
                  <c:v>53.7</c:v>
                </c:pt>
                <c:pt idx="146">
                  <c:v>29.4</c:v>
                </c:pt>
                <c:pt idx="147">
                  <c:v>60.1</c:v>
                </c:pt>
                <c:pt idx="148">
                  <c:v>30.1</c:v>
                </c:pt>
                <c:pt idx="149">
                  <c:v>80</c:v>
                </c:pt>
                <c:pt idx="150">
                  <c:v>144.19999999999999</c:v>
                </c:pt>
                <c:pt idx="151">
                  <c:v>62.2</c:v>
                </c:pt>
                <c:pt idx="152">
                  <c:v>90.8</c:v>
                </c:pt>
                <c:pt idx="153">
                  <c:v>25.5</c:v>
                </c:pt>
                <c:pt idx="154">
                  <c:v>22.9</c:v>
                </c:pt>
                <c:pt idx="155">
                  <c:v>42.6</c:v>
                </c:pt>
                <c:pt idx="156">
                  <c:v>69.3</c:v>
                </c:pt>
                <c:pt idx="157">
                  <c:v>41.5</c:v>
                </c:pt>
                <c:pt idx="158">
                  <c:v>12.6</c:v>
                </c:pt>
                <c:pt idx="159">
                  <c:v>41.8</c:v>
                </c:pt>
                <c:pt idx="160">
                  <c:v>55.5</c:v>
                </c:pt>
                <c:pt idx="161">
                  <c:v>43.3</c:v>
                </c:pt>
                <c:pt idx="162">
                  <c:v>41.7</c:v>
                </c:pt>
                <c:pt idx="163">
                  <c:v>43.3</c:v>
                </c:pt>
                <c:pt idx="164">
                  <c:v>44.2</c:v>
                </c:pt>
                <c:pt idx="165">
                  <c:v>33.799999999999997</c:v>
                </c:pt>
                <c:pt idx="166">
                  <c:v>74.7</c:v>
                </c:pt>
                <c:pt idx="167">
                  <c:v>54.4</c:v>
                </c:pt>
                <c:pt idx="168">
                  <c:v>68.8</c:v>
                </c:pt>
                <c:pt idx="169">
                  <c:v>118.1</c:v>
                </c:pt>
                <c:pt idx="170">
                  <c:v>56.4</c:v>
                </c:pt>
                <c:pt idx="171">
                  <c:v>48.4</c:v>
                </c:pt>
                <c:pt idx="172">
                  <c:v>16</c:v>
                </c:pt>
                <c:pt idx="173">
                  <c:v>30.5</c:v>
                </c:pt>
                <c:pt idx="174">
                  <c:v>20.3</c:v>
                </c:pt>
                <c:pt idx="175">
                  <c:v>98</c:v>
                </c:pt>
                <c:pt idx="176">
                  <c:v>37.4</c:v>
                </c:pt>
                <c:pt idx="177">
                  <c:v>72.8</c:v>
                </c:pt>
                <c:pt idx="178">
                  <c:v>23.6</c:v>
                </c:pt>
                <c:pt idx="179">
                  <c:v>69.3</c:v>
                </c:pt>
                <c:pt idx="180">
                  <c:v>46.1</c:v>
                </c:pt>
                <c:pt idx="181">
                  <c:v>32.5</c:v>
                </c:pt>
                <c:pt idx="182">
                  <c:v>47.6</c:v>
                </c:pt>
                <c:pt idx="183">
                  <c:v>35.200000000000003</c:v>
                </c:pt>
                <c:pt idx="184">
                  <c:v>80.7</c:v>
                </c:pt>
                <c:pt idx="185">
                  <c:v>73</c:v>
                </c:pt>
                <c:pt idx="186">
                  <c:v>42.5</c:v>
                </c:pt>
                <c:pt idx="187">
                  <c:v>34.700000000000003</c:v>
                </c:pt>
                <c:pt idx="188">
                  <c:v>59.9</c:v>
                </c:pt>
                <c:pt idx="189">
                  <c:v>29.7</c:v>
                </c:pt>
                <c:pt idx="190">
                  <c:v>142.01</c:v>
                </c:pt>
                <c:pt idx="191">
                  <c:v>191.03</c:v>
                </c:pt>
                <c:pt idx="192">
                  <c:v>178.4</c:v>
                </c:pt>
                <c:pt idx="193">
                  <c:v>49.5</c:v>
                </c:pt>
                <c:pt idx="194">
                  <c:v>59.5</c:v>
                </c:pt>
                <c:pt idx="195">
                  <c:v>102.6</c:v>
                </c:pt>
                <c:pt idx="196">
                  <c:v>66.3</c:v>
                </c:pt>
                <c:pt idx="197">
                  <c:v>69.400000000000006</c:v>
                </c:pt>
                <c:pt idx="198">
                  <c:v>41.3</c:v>
                </c:pt>
                <c:pt idx="199">
                  <c:v>27.6</c:v>
                </c:pt>
                <c:pt idx="200">
                  <c:v>64.900000000000006</c:v>
                </c:pt>
                <c:pt idx="201">
                  <c:v>123.06</c:v>
                </c:pt>
                <c:pt idx="202">
                  <c:v>38.5</c:v>
                </c:pt>
                <c:pt idx="203">
                  <c:v>79.2</c:v>
                </c:pt>
                <c:pt idx="204">
                  <c:v>33.4</c:v>
                </c:pt>
                <c:pt idx="205">
                  <c:v>99.7</c:v>
                </c:pt>
                <c:pt idx="206">
                  <c:v>118.4</c:v>
                </c:pt>
                <c:pt idx="207">
                  <c:v>31.3</c:v>
                </c:pt>
                <c:pt idx="208">
                  <c:v>29</c:v>
                </c:pt>
                <c:pt idx="209">
                  <c:v>29.9</c:v>
                </c:pt>
                <c:pt idx="210">
                  <c:v>20.100000000000001</c:v>
                </c:pt>
                <c:pt idx="211">
                  <c:v>21.8</c:v>
                </c:pt>
                <c:pt idx="212">
                  <c:v>17.600000000000001</c:v>
                </c:pt>
                <c:pt idx="213">
                  <c:v>23.1</c:v>
                </c:pt>
                <c:pt idx="214">
                  <c:v>24</c:v>
                </c:pt>
                <c:pt idx="215">
                  <c:v>44.9</c:v>
                </c:pt>
                <c:pt idx="216">
                  <c:v>48.08</c:v>
                </c:pt>
                <c:pt idx="217">
                  <c:v>50.7</c:v>
                </c:pt>
                <c:pt idx="218">
                  <c:v>57.3</c:v>
                </c:pt>
                <c:pt idx="219">
                  <c:v>47.7</c:v>
                </c:pt>
                <c:pt idx="220">
                  <c:v>100.8</c:v>
                </c:pt>
                <c:pt idx="221">
                  <c:v>30.1</c:v>
                </c:pt>
                <c:pt idx="222">
                  <c:v>115.3</c:v>
                </c:pt>
              </c:numCache>
            </c:numRef>
          </c:val>
          <c:smooth val="0"/>
          <c:extLst>
            <c:ext xmlns:c16="http://schemas.microsoft.com/office/drawing/2014/chart" uri="{C3380CC4-5D6E-409C-BE32-E72D297353CC}">
              <c16:uniqueId val="{00000000-309E-4F41-88C9-4159E22CAD0B}"/>
            </c:ext>
          </c:extLst>
        </c:ser>
        <c:ser>
          <c:idx val="2"/>
          <c:order val="1"/>
          <c:tx>
            <c:strRef>
              <c:f>Feuil1!$C$1</c:f>
              <c:strCache>
                <c:ptCount val="1"/>
                <c:pt idx="0">
                  <c:v>Angle</c:v>
                </c:pt>
              </c:strCache>
            </c:strRef>
          </c:tx>
          <c:spPr>
            <a:ln w="9525" cap="rnd">
              <a:solidFill>
                <a:schemeClr val="accent1"/>
              </a:solidFill>
              <a:round/>
            </a:ln>
            <a:effectLst/>
          </c:spPr>
          <c:marker>
            <c:symbol val="none"/>
          </c:marker>
          <c:val>
            <c:numRef>
              <c:f>Feuil1!$C$2:$C$224</c:f>
              <c:numCache>
                <c:formatCode>General</c:formatCode>
                <c:ptCount val="223"/>
                <c:pt idx="0">
                  <c:v>178</c:v>
                </c:pt>
                <c:pt idx="1">
                  <c:v>130</c:v>
                </c:pt>
                <c:pt idx="2">
                  <c:v>74</c:v>
                </c:pt>
                <c:pt idx="3">
                  <c:v>128</c:v>
                </c:pt>
                <c:pt idx="4">
                  <c:v>57</c:v>
                </c:pt>
                <c:pt idx="5">
                  <c:v>46</c:v>
                </c:pt>
                <c:pt idx="6">
                  <c:v>12</c:v>
                </c:pt>
                <c:pt idx="7">
                  <c:v>127</c:v>
                </c:pt>
                <c:pt idx="8">
                  <c:v>37</c:v>
                </c:pt>
                <c:pt idx="9">
                  <c:v>136</c:v>
                </c:pt>
                <c:pt idx="10">
                  <c:v>37</c:v>
                </c:pt>
                <c:pt idx="11">
                  <c:v>22</c:v>
                </c:pt>
                <c:pt idx="12">
                  <c:v>42</c:v>
                </c:pt>
                <c:pt idx="13">
                  <c:v>55</c:v>
                </c:pt>
                <c:pt idx="14">
                  <c:v>114</c:v>
                </c:pt>
                <c:pt idx="15">
                  <c:v>70</c:v>
                </c:pt>
                <c:pt idx="16">
                  <c:v>135</c:v>
                </c:pt>
                <c:pt idx="17">
                  <c:v>38</c:v>
                </c:pt>
                <c:pt idx="18">
                  <c:v>114</c:v>
                </c:pt>
                <c:pt idx="19">
                  <c:v>23</c:v>
                </c:pt>
                <c:pt idx="20">
                  <c:v>114</c:v>
                </c:pt>
                <c:pt idx="21">
                  <c:v>24</c:v>
                </c:pt>
                <c:pt idx="22">
                  <c:v>67</c:v>
                </c:pt>
                <c:pt idx="23">
                  <c:v>111</c:v>
                </c:pt>
                <c:pt idx="24">
                  <c:v>24</c:v>
                </c:pt>
                <c:pt idx="25">
                  <c:v>116</c:v>
                </c:pt>
                <c:pt idx="26">
                  <c:v>24</c:v>
                </c:pt>
                <c:pt idx="27">
                  <c:v>32</c:v>
                </c:pt>
                <c:pt idx="28">
                  <c:v>60</c:v>
                </c:pt>
                <c:pt idx="29">
                  <c:v>122</c:v>
                </c:pt>
                <c:pt idx="30">
                  <c:v>36</c:v>
                </c:pt>
                <c:pt idx="31">
                  <c:v>42</c:v>
                </c:pt>
                <c:pt idx="32">
                  <c:v>114</c:v>
                </c:pt>
                <c:pt idx="33">
                  <c:v>87</c:v>
                </c:pt>
                <c:pt idx="34">
                  <c:v>90</c:v>
                </c:pt>
                <c:pt idx="35">
                  <c:v>58</c:v>
                </c:pt>
                <c:pt idx="36">
                  <c:v>69</c:v>
                </c:pt>
                <c:pt idx="37">
                  <c:v>109</c:v>
                </c:pt>
                <c:pt idx="38">
                  <c:v>87</c:v>
                </c:pt>
                <c:pt idx="39">
                  <c:v>72</c:v>
                </c:pt>
                <c:pt idx="40">
                  <c:v>178</c:v>
                </c:pt>
                <c:pt idx="41">
                  <c:v>83</c:v>
                </c:pt>
                <c:pt idx="42">
                  <c:v>88</c:v>
                </c:pt>
                <c:pt idx="43">
                  <c:v>36</c:v>
                </c:pt>
                <c:pt idx="44">
                  <c:v>178</c:v>
                </c:pt>
                <c:pt idx="45">
                  <c:v>88</c:v>
                </c:pt>
                <c:pt idx="46">
                  <c:v>110</c:v>
                </c:pt>
                <c:pt idx="47">
                  <c:v>94</c:v>
                </c:pt>
                <c:pt idx="48">
                  <c:v>178</c:v>
                </c:pt>
                <c:pt idx="49">
                  <c:v>178</c:v>
                </c:pt>
                <c:pt idx="50">
                  <c:v>81</c:v>
                </c:pt>
                <c:pt idx="51">
                  <c:v>58</c:v>
                </c:pt>
                <c:pt idx="52">
                  <c:v>49</c:v>
                </c:pt>
                <c:pt idx="53">
                  <c:v>178</c:v>
                </c:pt>
                <c:pt idx="54">
                  <c:v>139</c:v>
                </c:pt>
                <c:pt idx="55">
                  <c:v>141</c:v>
                </c:pt>
                <c:pt idx="56">
                  <c:v>40</c:v>
                </c:pt>
                <c:pt idx="57">
                  <c:v>51</c:v>
                </c:pt>
                <c:pt idx="58">
                  <c:v>140</c:v>
                </c:pt>
                <c:pt idx="59">
                  <c:v>50</c:v>
                </c:pt>
                <c:pt idx="60">
                  <c:v>50</c:v>
                </c:pt>
                <c:pt idx="61">
                  <c:v>50</c:v>
                </c:pt>
                <c:pt idx="62">
                  <c:v>140</c:v>
                </c:pt>
                <c:pt idx="63">
                  <c:v>50</c:v>
                </c:pt>
                <c:pt idx="64">
                  <c:v>50</c:v>
                </c:pt>
                <c:pt idx="65">
                  <c:v>60</c:v>
                </c:pt>
                <c:pt idx="66">
                  <c:v>140</c:v>
                </c:pt>
                <c:pt idx="67">
                  <c:v>129</c:v>
                </c:pt>
                <c:pt idx="68">
                  <c:v>140</c:v>
                </c:pt>
                <c:pt idx="69">
                  <c:v>58</c:v>
                </c:pt>
                <c:pt idx="70">
                  <c:v>72</c:v>
                </c:pt>
                <c:pt idx="71">
                  <c:v>150</c:v>
                </c:pt>
                <c:pt idx="72">
                  <c:v>58</c:v>
                </c:pt>
                <c:pt idx="73">
                  <c:v>148</c:v>
                </c:pt>
                <c:pt idx="74">
                  <c:v>150</c:v>
                </c:pt>
                <c:pt idx="75">
                  <c:v>148</c:v>
                </c:pt>
                <c:pt idx="76">
                  <c:v>59</c:v>
                </c:pt>
                <c:pt idx="77">
                  <c:v>148</c:v>
                </c:pt>
                <c:pt idx="78">
                  <c:v>59</c:v>
                </c:pt>
                <c:pt idx="79">
                  <c:v>149</c:v>
                </c:pt>
                <c:pt idx="80">
                  <c:v>59</c:v>
                </c:pt>
                <c:pt idx="81">
                  <c:v>149</c:v>
                </c:pt>
                <c:pt idx="82">
                  <c:v>149</c:v>
                </c:pt>
                <c:pt idx="83">
                  <c:v>59</c:v>
                </c:pt>
                <c:pt idx="84">
                  <c:v>126</c:v>
                </c:pt>
                <c:pt idx="85">
                  <c:v>58</c:v>
                </c:pt>
                <c:pt idx="86">
                  <c:v>154</c:v>
                </c:pt>
                <c:pt idx="87">
                  <c:v>154</c:v>
                </c:pt>
                <c:pt idx="88">
                  <c:v>58</c:v>
                </c:pt>
                <c:pt idx="89">
                  <c:v>64</c:v>
                </c:pt>
                <c:pt idx="90">
                  <c:v>164</c:v>
                </c:pt>
                <c:pt idx="91">
                  <c:v>74</c:v>
                </c:pt>
                <c:pt idx="92">
                  <c:v>163</c:v>
                </c:pt>
                <c:pt idx="93">
                  <c:v>73</c:v>
                </c:pt>
                <c:pt idx="94">
                  <c:v>162</c:v>
                </c:pt>
                <c:pt idx="95">
                  <c:v>73</c:v>
                </c:pt>
                <c:pt idx="96">
                  <c:v>163</c:v>
                </c:pt>
                <c:pt idx="97">
                  <c:v>73</c:v>
                </c:pt>
                <c:pt idx="98">
                  <c:v>163</c:v>
                </c:pt>
                <c:pt idx="99">
                  <c:v>77</c:v>
                </c:pt>
                <c:pt idx="100">
                  <c:v>73</c:v>
                </c:pt>
                <c:pt idx="101">
                  <c:v>149</c:v>
                </c:pt>
                <c:pt idx="102">
                  <c:v>59</c:v>
                </c:pt>
                <c:pt idx="103">
                  <c:v>149</c:v>
                </c:pt>
                <c:pt idx="104">
                  <c:v>59</c:v>
                </c:pt>
                <c:pt idx="105">
                  <c:v>141</c:v>
                </c:pt>
                <c:pt idx="106">
                  <c:v>148</c:v>
                </c:pt>
                <c:pt idx="107">
                  <c:v>171</c:v>
                </c:pt>
                <c:pt idx="108">
                  <c:v>47</c:v>
                </c:pt>
                <c:pt idx="109">
                  <c:v>47</c:v>
                </c:pt>
                <c:pt idx="110">
                  <c:v>5</c:v>
                </c:pt>
                <c:pt idx="111">
                  <c:v>137</c:v>
                </c:pt>
                <c:pt idx="112">
                  <c:v>47</c:v>
                </c:pt>
                <c:pt idx="113">
                  <c:v>137</c:v>
                </c:pt>
                <c:pt idx="114">
                  <c:v>55</c:v>
                </c:pt>
                <c:pt idx="115">
                  <c:v>149</c:v>
                </c:pt>
                <c:pt idx="116">
                  <c:v>46</c:v>
                </c:pt>
                <c:pt idx="117">
                  <c:v>136</c:v>
                </c:pt>
                <c:pt idx="118">
                  <c:v>49</c:v>
                </c:pt>
                <c:pt idx="119">
                  <c:v>53</c:v>
                </c:pt>
                <c:pt idx="120">
                  <c:v>59</c:v>
                </c:pt>
                <c:pt idx="121">
                  <c:v>65</c:v>
                </c:pt>
                <c:pt idx="122">
                  <c:v>72</c:v>
                </c:pt>
                <c:pt idx="123">
                  <c:v>116</c:v>
                </c:pt>
                <c:pt idx="124">
                  <c:v>92</c:v>
                </c:pt>
                <c:pt idx="125">
                  <c:v>152</c:v>
                </c:pt>
                <c:pt idx="126">
                  <c:v>64</c:v>
                </c:pt>
                <c:pt idx="127">
                  <c:v>64</c:v>
                </c:pt>
                <c:pt idx="128">
                  <c:v>154</c:v>
                </c:pt>
                <c:pt idx="129">
                  <c:v>64</c:v>
                </c:pt>
                <c:pt idx="130">
                  <c:v>134</c:v>
                </c:pt>
                <c:pt idx="131">
                  <c:v>154</c:v>
                </c:pt>
                <c:pt idx="132">
                  <c:v>58</c:v>
                </c:pt>
                <c:pt idx="133">
                  <c:v>2</c:v>
                </c:pt>
                <c:pt idx="134">
                  <c:v>159</c:v>
                </c:pt>
                <c:pt idx="135">
                  <c:v>58</c:v>
                </c:pt>
                <c:pt idx="136">
                  <c:v>76</c:v>
                </c:pt>
                <c:pt idx="137">
                  <c:v>173</c:v>
                </c:pt>
                <c:pt idx="138">
                  <c:v>18</c:v>
                </c:pt>
                <c:pt idx="139">
                  <c:v>147</c:v>
                </c:pt>
                <c:pt idx="140">
                  <c:v>142</c:v>
                </c:pt>
                <c:pt idx="141">
                  <c:v>141</c:v>
                </c:pt>
                <c:pt idx="142">
                  <c:v>21</c:v>
                </c:pt>
                <c:pt idx="143">
                  <c:v>113</c:v>
                </c:pt>
                <c:pt idx="144">
                  <c:v>23</c:v>
                </c:pt>
                <c:pt idx="145">
                  <c:v>23</c:v>
                </c:pt>
                <c:pt idx="146">
                  <c:v>114</c:v>
                </c:pt>
                <c:pt idx="147">
                  <c:v>23</c:v>
                </c:pt>
                <c:pt idx="148">
                  <c:v>133</c:v>
                </c:pt>
                <c:pt idx="149">
                  <c:v>23</c:v>
                </c:pt>
                <c:pt idx="150">
                  <c:v>130</c:v>
                </c:pt>
                <c:pt idx="151">
                  <c:v>113</c:v>
                </c:pt>
                <c:pt idx="152">
                  <c:v>113</c:v>
                </c:pt>
                <c:pt idx="153">
                  <c:v>23</c:v>
                </c:pt>
                <c:pt idx="154">
                  <c:v>114</c:v>
                </c:pt>
                <c:pt idx="155">
                  <c:v>23</c:v>
                </c:pt>
                <c:pt idx="156">
                  <c:v>157</c:v>
                </c:pt>
                <c:pt idx="157">
                  <c:v>113</c:v>
                </c:pt>
                <c:pt idx="158">
                  <c:v>23</c:v>
                </c:pt>
                <c:pt idx="159">
                  <c:v>113</c:v>
                </c:pt>
                <c:pt idx="160">
                  <c:v>23</c:v>
                </c:pt>
                <c:pt idx="161">
                  <c:v>113</c:v>
                </c:pt>
                <c:pt idx="162">
                  <c:v>23</c:v>
                </c:pt>
                <c:pt idx="163">
                  <c:v>113</c:v>
                </c:pt>
                <c:pt idx="164">
                  <c:v>23</c:v>
                </c:pt>
                <c:pt idx="165">
                  <c:v>113</c:v>
                </c:pt>
                <c:pt idx="166">
                  <c:v>23</c:v>
                </c:pt>
                <c:pt idx="167">
                  <c:v>23</c:v>
                </c:pt>
                <c:pt idx="168">
                  <c:v>113</c:v>
                </c:pt>
                <c:pt idx="169">
                  <c:v>113</c:v>
                </c:pt>
                <c:pt idx="170">
                  <c:v>113</c:v>
                </c:pt>
                <c:pt idx="171">
                  <c:v>32</c:v>
                </c:pt>
                <c:pt idx="172">
                  <c:v>89</c:v>
                </c:pt>
                <c:pt idx="173">
                  <c:v>58</c:v>
                </c:pt>
                <c:pt idx="174">
                  <c:v>39</c:v>
                </c:pt>
                <c:pt idx="175">
                  <c:v>113</c:v>
                </c:pt>
                <c:pt idx="176">
                  <c:v>23</c:v>
                </c:pt>
                <c:pt idx="177">
                  <c:v>113</c:v>
                </c:pt>
                <c:pt idx="178">
                  <c:v>23</c:v>
                </c:pt>
                <c:pt idx="179">
                  <c:v>24</c:v>
                </c:pt>
                <c:pt idx="180">
                  <c:v>113</c:v>
                </c:pt>
                <c:pt idx="181">
                  <c:v>24</c:v>
                </c:pt>
                <c:pt idx="182">
                  <c:v>114</c:v>
                </c:pt>
                <c:pt idx="183">
                  <c:v>24</c:v>
                </c:pt>
                <c:pt idx="184">
                  <c:v>29</c:v>
                </c:pt>
                <c:pt idx="185">
                  <c:v>113</c:v>
                </c:pt>
                <c:pt idx="186">
                  <c:v>115</c:v>
                </c:pt>
                <c:pt idx="187">
                  <c:v>26</c:v>
                </c:pt>
                <c:pt idx="188">
                  <c:v>70</c:v>
                </c:pt>
                <c:pt idx="189">
                  <c:v>159</c:v>
                </c:pt>
                <c:pt idx="190">
                  <c:v>70</c:v>
                </c:pt>
                <c:pt idx="191">
                  <c:v>160</c:v>
                </c:pt>
                <c:pt idx="192">
                  <c:v>70</c:v>
                </c:pt>
                <c:pt idx="193">
                  <c:v>160</c:v>
                </c:pt>
                <c:pt idx="194">
                  <c:v>70</c:v>
                </c:pt>
                <c:pt idx="195">
                  <c:v>159</c:v>
                </c:pt>
                <c:pt idx="196">
                  <c:v>69</c:v>
                </c:pt>
                <c:pt idx="197">
                  <c:v>61</c:v>
                </c:pt>
                <c:pt idx="198">
                  <c:v>72</c:v>
                </c:pt>
                <c:pt idx="199">
                  <c:v>161</c:v>
                </c:pt>
                <c:pt idx="200">
                  <c:v>71</c:v>
                </c:pt>
                <c:pt idx="201">
                  <c:v>160</c:v>
                </c:pt>
                <c:pt idx="202">
                  <c:v>56</c:v>
                </c:pt>
                <c:pt idx="203">
                  <c:v>40</c:v>
                </c:pt>
                <c:pt idx="204">
                  <c:v>43</c:v>
                </c:pt>
                <c:pt idx="205">
                  <c:v>133</c:v>
                </c:pt>
                <c:pt idx="206">
                  <c:v>44</c:v>
                </c:pt>
                <c:pt idx="207">
                  <c:v>134</c:v>
                </c:pt>
                <c:pt idx="208">
                  <c:v>29</c:v>
                </c:pt>
                <c:pt idx="209">
                  <c:v>13</c:v>
                </c:pt>
                <c:pt idx="210">
                  <c:v>166</c:v>
                </c:pt>
                <c:pt idx="211">
                  <c:v>133</c:v>
                </c:pt>
                <c:pt idx="212">
                  <c:v>134</c:v>
                </c:pt>
                <c:pt idx="213">
                  <c:v>12</c:v>
                </c:pt>
                <c:pt idx="214">
                  <c:v>134</c:v>
                </c:pt>
                <c:pt idx="215">
                  <c:v>175</c:v>
                </c:pt>
                <c:pt idx="216">
                  <c:v>108</c:v>
                </c:pt>
                <c:pt idx="217">
                  <c:v>89</c:v>
                </c:pt>
                <c:pt idx="218">
                  <c:v>176</c:v>
                </c:pt>
                <c:pt idx="219">
                  <c:v>70</c:v>
                </c:pt>
                <c:pt idx="220">
                  <c:v>85</c:v>
                </c:pt>
                <c:pt idx="221">
                  <c:v>160</c:v>
                </c:pt>
                <c:pt idx="222">
                  <c:v>141</c:v>
                </c:pt>
              </c:numCache>
            </c:numRef>
          </c:val>
          <c:smooth val="0"/>
          <c:extLst>
            <c:ext xmlns:c16="http://schemas.microsoft.com/office/drawing/2014/chart" uri="{C3380CC4-5D6E-409C-BE32-E72D297353CC}">
              <c16:uniqueId val="{00000001-309E-4F41-88C9-4159E22CAD0B}"/>
            </c:ext>
          </c:extLst>
        </c:ser>
        <c:dLbls>
          <c:showLegendKey val="0"/>
          <c:showVal val="0"/>
          <c:showCatName val="0"/>
          <c:showSerName val="0"/>
          <c:showPercent val="0"/>
          <c:showBubbleSize val="0"/>
        </c:dLbls>
        <c:smooth val="0"/>
        <c:axId val="142166320"/>
        <c:axId val="142167952"/>
      </c:lineChart>
      <c:catAx>
        <c:axId val="142166320"/>
        <c:scaling>
          <c:orientation val="minMax"/>
        </c:scaling>
        <c:delete val="0"/>
        <c:axPos val="b"/>
        <c:majorGridlines>
          <c:spPr>
            <a:ln w="0" cap="flat" cmpd="sng" algn="ctr">
              <a:solidFill>
                <a:schemeClr val="bg1">
                  <a:lumMod val="95000"/>
                  <a:alpha val="54000"/>
                </a:schemeClr>
              </a:solidFill>
              <a:round/>
            </a:ln>
            <a:effectLst/>
          </c:spPr>
        </c:majorGridlines>
        <c:minorGridlines>
          <c:spPr>
            <a:ln w="9525" cap="flat" cmpd="sng" algn="ctr">
              <a:solidFill>
                <a:schemeClr val="dk1">
                  <a:lumMod val="15000"/>
                  <a:lumOff val="85000"/>
                  <a:alpha val="51000"/>
                </a:schemeClr>
              </a:solidFill>
              <a:round/>
            </a:ln>
            <a:effectLst/>
          </c:spPr>
        </c:minorGridlines>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42167952"/>
        <c:crosses val="autoZero"/>
        <c:auto val="1"/>
        <c:lblAlgn val="ctr"/>
        <c:lblOffset val="100"/>
        <c:noMultiLvlLbl val="0"/>
      </c:catAx>
      <c:valAx>
        <c:axId val="142167952"/>
        <c:scaling>
          <c:orientation val="minMax"/>
          <c:max val="250"/>
        </c:scaling>
        <c:delete val="0"/>
        <c:axPos val="l"/>
        <c:majorGridlines>
          <c:spPr>
            <a:ln w="9525" cap="flat" cmpd="sng" algn="ctr">
              <a:solidFill>
                <a:schemeClr val="dk1">
                  <a:lumMod val="15000"/>
                  <a:lumOff val="85000"/>
                  <a:alpha val="54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142166320"/>
        <c:crosses val="autoZero"/>
        <c:crossBetween val="between"/>
      </c:valAx>
      <c:spPr>
        <a:pattFill prst="ltDnDiag">
          <a:fgClr>
            <a:schemeClr val="dk1">
              <a:lumMod val="15000"/>
              <a:lumOff val="85000"/>
            </a:schemeClr>
          </a:fgClr>
          <a:bgClr>
            <a:schemeClr val="lt1"/>
          </a:bgClr>
        </a:pattFill>
        <a:ln>
          <a:noFill/>
        </a:ln>
        <a:effectLst/>
      </c:spPr>
    </c:plotArea>
    <c:legend>
      <c:legendPos val="b"/>
      <c:layout>
        <c:manualLayout>
          <c:xMode val="edge"/>
          <c:yMode val="edge"/>
          <c:x val="0.18288131347848444"/>
          <c:y val="0.84102266089978195"/>
          <c:w val="0.65337155146924497"/>
          <c:h val="0.110150901502847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6.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32">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alpha val="54000"/>
          </a:schemeClr>
        </a:solidFill>
        <a:round/>
      </a:ln>
    </cs:spPr>
  </cs:gridlineMajor>
  <cs:gridlineMinor>
    <cs:lnRef idx="0"/>
    <cs:fillRef idx="0"/>
    <cs:effectRef idx="0"/>
    <cs:fontRef idx="minor">
      <a:schemeClr val="dk1"/>
    </cs:fontRef>
    <cs:spPr>
      <a:ln w="9525" cap="flat" cmpd="sng" algn="ctr">
        <a:solidFill>
          <a:schemeClr val="dk1">
            <a:lumMod val="15000"/>
            <a:lumOff val="85000"/>
            <a:alpha val="51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15</Pages>
  <Words>5540</Words>
  <Characters>31433</Characters>
  <Application>Microsoft Office Word</Application>
  <DocSecurity>0</DocSecurity>
  <Lines>619</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9</cp:revision>
  <dcterms:created xsi:type="dcterms:W3CDTF">2024-12-24T02:56:00Z</dcterms:created>
  <dcterms:modified xsi:type="dcterms:W3CDTF">2024-12-24T04:28:00Z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