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7686F855" w:rsidR="00C26026" w:rsidRPr="004C7CB9" w:rsidRDefault="0028610D" w:rsidP="00C26026">
            <w:pPr>
              <w:jc w:val="both"/>
              <w:rPr>
                <w:rFonts w:asciiTheme="minorHAnsi" w:hAnsiTheme="minorHAnsi" w:cstheme="minorHAnsi"/>
                <w:b/>
                <w:sz w:val="26"/>
                <w:szCs w:val="26"/>
              </w:rPr>
            </w:pPr>
            <w:r w:rsidRPr="0028610D">
              <w:rPr>
                <w:rFonts w:asciiTheme="minorHAnsi" w:hAnsiTheme="minorHAnsi" w:cstheme="minorHAnsi"/>
                <w:b/>
                <w:sz w:val="28"/>
                <w:szCs w:val="28"/>
              </w:rPr>
              <w:t>CROSS-CULTURAL INFLUENCES ON JATTI MIRIEK GRAVE MARKERS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9662C8E" w:rsidR="00D869DB" w:rsidRPr="004C7CB9" w:rsidRDefault="0028610D">
            <w:pPr>
              <w:rPr>
                <w:rFonts w:asciiTheme="minorHAnsi" w:hAnsiTheme="minorHAnsi" w:cstheme="minorHAnsi"/>
              </w:rPr>
            </w:pPr>
            <w:r w:rsidRPr="0028610D">
              <w:rPr>
                <w:rFonts w:asciiTheme="minorHAnsi" w:hAnsiTheme="minorHAnsi" w:cstheme="minorHAnsi"/>
              </w:rPr>
              <w:t>Yakup Mohd Rafee</w:t>
            </w:r>
            <w:r w:rsidRPr="0028610D">
              <w:rPr>
                <w:rFonts w:asciiTheme="minorHAnsi" w:hAnsiTheme="minorHAnsi" w:cstheme="minorHAnsi"/>
                <w:vertAlign w:val="superscript"/>
              </w:rPr>
              <w:t>a</w:t>
            </w:r>
            <w:r>
              <w:rPr>
                <w:rFonts w:asciiTheme="minorHAnsi" w:hAnsiTheme="minorHAnsi" w:cstheme="minorHAnsi"/>
                <w:vertAlign w:val="superscript"/>
              </w:rPr>
              <w:t>*</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2E3ECF52" w14:textId="1D3BD502" w:rsidR="00D869DB" w:rsidRPr="004C7CB9" w:rsidRDefault="009A5DA9" w:rsidP="00D869DB">
            <w:pPr>
              <w:rPr>
                <w:sz w:val="18"/>
                <w:szCs w:val="18"/>
              </w:rPr>
            </w:pPr>
            <w:proofErr w:type="spellStart"/>
            <w:r w:rsidRPr="009A5DA9">
              <w:rPr>
                <w:sz w:val="18"/>
                <w:szCs w:val="18"/>
                <w:vertAlign w:val="superscript"/>
              </w:rPr>
              <w:t>a</w:t>
            </w:r>
            <w:r w:rsidRPr="009A5DA9">
              <w:rPr>
                <w:sz w:val="18"/>
                <w:szCs w:val="18"/>
              </w:rPr>
              <w:t>Faculty</w:t>
            </w:r>
            <w:proofErr w:type="spellEnd"/>
            <w:r w:rsidRPr="009A5DA9">
              <w:rPr>
                <w:sz w:val="18"/>
                <w:szCs w:val="18"/>
              </w:rPr>
              <w:t xml:space="preserve"> of Art, Sustainability and Creative Industry, Sultan Idris Education University, 35900 Tanjung Malim, Perak, Malaysia</w:t>
            </w:r>
            <w:r w:rsidRPr="009A5DA9">
              <w:rPr>
                <w:sz w:val="18"/>
                <w:szCs w:val="18"/>
              </w:rPr>
              <w:t xml:space="preserve">  </w:t>
            </w:r>
          </w:p>
          <w:p w14:paraId="4B54932F" w14:textId="23568AF7" w:rsidR="00D869DB" w:rsidRPr="004C7CB9" w:rsidRDefault="00D869DB" w:rsidP="00D869DB">
            <w:r w:rsidRPr="004C7CB9">
              <w:rPr>
                <w:sz w:val="18"/>
                <w:szCs w:val="18"/>
              </w:rPr>
              <w:t xml:space="preserve">*Corresponding Author: </w:t>
            </w:r>
            <w:r w:rsidR="009A5DA9" w:rsidRPr="009A5DA9">
              <w:rPr>
                <w:sz w:val="18"/>
                <w:szCs w:val="18"/>
              </w:rPr>
              <w:t>yakup@fskik.upsi.edu.my</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6CF102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9A5DA9">
              <w:rPr>
                <w:rFonts w:asciiTheme="majorHAnsi" w:hAnsiTheme="majorHAnsi" w:cstheme="majorHAnsi"/>
                <w:sz w:val="18"/>
                <w:szCs w:val="18"/>
              </w:rPr>
              <w:t xml:space="preserve"> 8</w:t>
            </w:r>
          </w:p>
          <w:p w14:paraId="5F8B2097" w14:textId="6305ADE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9A5DA9">
              <w:rPr>
                <w:rFonts w:asciiTheme="majorHAnsi" w:hAnsiTheme="majorHAnsi" w:cstheme="majorHAnsi"/>
                <w:sz w:val="18"/>
                <w:szCs w:val="18"/>
              </w:rPr>
              <w:t xml:space="preserve"> 2</w:t>
            </w:r>
          </w:p>
          <w:p w14:paraId="1727970E" w14:textId="7A6C1B7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9A5DA9">
              <w:rPr>
                <w:rFonts w:asciiTheme="majorHAnsi" w:hAnsiTheme="majorHAnsi" w:cstheme="majorHAnsi"/>
                <w:sz w:val="18"/>
                <w:szCs w:val="18"/>
              </w:rPr>
              <w:t xml:space="preserve"> 569</w:t>
            </w:r>
            <w:r w:rsidR="005C28E2">
              <w:rPr>
                <w:rFonts w:asciiTheme="majorHAnsi" w:hAnsiTheme="majorHAnsi" w:cstheme="majorHAnsi"/>
                <w:sz w:val="18"/>
                <w:szCs w:val="18"/>
              </w:rPr>
              <w:t xml:space="preserve">-585 </w:t>
            </w:r>
          </w:p>
          <w:p w14:paraId="42AC331B" w14:textId="190951C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9A5DA9" w:rsidRPr="009A5DA9">
              <w:rPr>
                <w:rFonts w:asciiTheme="majorHAnsi" w:hAnsiTheme="majorHAnsi" w:cstheme="majorHAnsi"/>
                <w:sz w:val="18"/>
                <w:szCs w:val="18"/>
              </w:rPr>
              <w:t>January 12</w:t>
            </w:r>
            <w:r w:rsidR="009A5DA9" w:rsidRPr="009A5DA9">
              <w:rPr>
                <w:rFonts w:asciiTheme="majorHAnsi" w:hAnsiTheme="majorHAnsi" w:cstheme="majorHAnsi"/>
                <w:sz w:val="18"/>
                <w:szCs w:val="18"/>
                <w:vertAlign w:val="superscript"/>
              </w:rPr>
              <w:t>th</w:t>
            </w:r>
            <w:r w:rsidR="009A5DA9" w:rsidRPr="009A5DA9">
              <w:rPr>
                <w:rFonts w:asciiTheme="majorHAnsi" w:hAnsiTheme="majorHAnsi" w:cstheme="majorHAnsi"/>
                <w:sz w:val="18"/>
                <w:szCs w:val="18"/>
              </w:rPr>
              <w:t>, 2024</w:t>
            </w:r>
          </w:p>
          <w:p w14:paraId="63316A40" w14:textId="6CA25B5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9A5DA9" w:rsidRPr="009A5DA9">
              <w:rPr>
                <w:rFonts w:asciiTheme="majorHAnsi" w:hAnsiTheme="majorHAnsi" w:cstheme="majorHAnsi"/>
                <w:sz w:val="18"/>
                <w:szCs w:val="18"/>
              </w:rPr>
              <w:t>June 04</w:t>
            </w:r>
            <w:r w:rsidR="009A5DA9" w:rsidRPr="009A5DA9">
              <w:rPr>
                <w:rFonts w:asciiTheme="majorHAnsi" w:hAnsiTheme="majorHAnsi" w:cstheme="majorHAnsi"/>
                <w:sz w:val="18"/>
                <w:szCs w:val="18"/>
                <w:vertAlign w:val="superscript"/>
              </w:rPr>
              <w:t>th</w:t>
            </w:r>
            <w:r w:rsidR="009A5DA9" w:rsidRPr="009A5DA9">
              <w:rPr>
                <w:rFonts w:asciiTheme="majorHAnsi" w:hAnsiTheme="majorHAnsi" w:cstheme="majorHAnsi"/>
                <w:sz w:val="18"/>
                <w:szCs w:val="18"/>
              </w:rPr>
              <w:t>, 2024</w:t>
            </w:r>
          </w:p>
          <w:p w14:paraId="6068623C" w14:textId="1A9F30B8"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9A5DA9" w:rsidRPr="009A5DA9">
              <w:rPr>
                <w:rFonts w:asciiTheme="majorHAnsi" w:hAnsiTheme="majorHAnsi" w:cstheme="majorHAnsi"/>
                <w:sz w:val="18"/>
                <w:szCs w:val="18"/>
              </w:rPr>
              <w:t>December 15</w:t>
            </w:r>
            <w:r w:rsidR="009A5DA9" w:rsidRPr="009A5DA9">
              <w:rPr>
                <w:rFonts w:asciiTheme="majorHAnsi" w:hAnsiTheme="majorHAnsi" w:cstheme="majorHAnsi"/>
                <w:sz w:val="18"/>
                <w:szCs w:val="18"/>
                <w:vertAlign w:val="superscript"/>
              </w:rPr>
              <w:t>th</w:t>
            </w:r>
            <w:r w:rsidR="009A5DA9" w:rsidRPr="009A5DA9">
              <w:rPr>
                <w:rFonts w:asciiTheme="majorHAnsi" w:hAnsiTheme="majorHAnsi" w:cstheme="majorHAnsi"/>
                <w:sz w:val="18"/>
                <w:szCs w:val="18"/>
              </w:rPr>
              <w:t>, 2024</w:t>
            </w:r>
          </w:p>
          <w:p w14:paraId="78EB1E49" w14:textId="2C82968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9A5DA9" w:rsidRPr="009A5DA9">
              <w:rPr>
                <w:rFonts w:asciiTheme="majorHAnsi" w:hAnsiTheme="majorHAnsi" w:cstheme="majorHAnsi"/>
                <w:sz w:val="18"/>
                <w:szCs w:val="18"/>
              </w:rPr>
              <w:t>10.18860/</w:t>
            </w:r>
            <w:proofErr w:type="gramStart"/>
            <w:r w:rsidR="009A5DA9" w:rsidRPr="009A5DA9">
              <w:rPr>
                <w:rFonts w:asciiTheme="majorHAnsi" w:hAnsiTheme="majorHAnsi" w:cstheme="majorHAnsi"/>
                <w:sz w:val="18"/>
                <w:szCs w:val="18"/>
              </w:rPr>
              <w:t>jia.v</w:t>
            </w:r>
            <w:proofErr w:type="gramEnd"/>
            <w:r w:rsidR="009A5DA9" w:rsidRPr="009A5DA9">
              <w:rPr>
                <w:rFonts w:asciiTheme="majorHAnsi" w:hAnsiTheme="majorHAnsi" w:cstheme="majorHAnsi"/>
                <w:sz w:val="18"/>
                <w:szCs w:val="18"/>
              </w:rPr>
              <w:t>8i2.25660</w:t>
            </w:r>
          </w:p>
        </w:tc>
        <w:tc>
          <w:tcPr>
            <w:tcW w:w="5671" w:type="dxa"/>
          </w:tcPr>
          <w:p w14:paraId="68C518DA" w14:textId="2124B89C" w:rsidR="001D517C" w:rsidRPr="004C7CB9" w:rsidRDefault="009A5DA9" w:rsidP="001D517C">
            <w:pPr>
              <w:jc w:val="both"/>
              <w:rPr>
                <w:rFonts w:asciiTheme="majorHAnsi" w:hAnsiTheme="majorHAnsi" w:cstheme="majorHAnsi"/>
                <w:sz w:val="18"/>
                <w:szCs w:val="18"/>
                <w:lang w:val="id-ID"/>
              </w:rPr>
            </w:pPr>
            <w:r w:rsidRPr="009A5DA9">
              <w:rPr>
                <w:rFonts w:asciiTheme="majorHAnsi" w:hAnsiTheme="majorHAnsi" w:cstheme="majorHAnsi"/>
                <w:color w:val="000000" w:themeColor="text1"/>
                <w:sz w:val="18"/>
                <w:szCs w:val="18"/>
              </w:rPr>
              <w:t xml:space="preserve">The evolution and cultural significance of the Jatti </w:t>
            </w:r>
            <w:proofErr w:type="spellStart"/>
            <w:r w:rsidRPr="009A5DA9">
              <w:rPr>
                <w:rFonts w:asciiTheme="majorHAnsi" w:hAnsiTheme="majorHAnsi" w:cstheme="majorHAnsi"/>
                <w:color w:val="000000" w:themeColor="text1"/>
                <w:sz w:val="18"/>
                <w:szCs w:val="18"/>
              </w:rPr>
              <w:t>Miriek</w:t>
            </w:r>
            <w:proofErr w:type="spellEnd"/>
            <w:r w:rsidRPr="009A5DA9">
              <w:rPr>
                <w:rFonts w:asciiTheme="majorHAnsi" w:hAnsiTheme="majorHAnsi" w:cstheme="majorHAnsi"/>
                <w:color w:val="000000" w:themeColor="text1"/>
                <w:sz w:val="18"/>
                <w:szCs w:val="18"/>
              </w:rPr>
              <w:t xml:space="preserve"> grave markers in Sarawak, Malaysia, are examined in this paper, along with their relationships to the Bajau </w:t>
            </w:r>
            <w:proofErr w:type="spellStart"/>
            <w:r w:rsidRPr="009A5DA9">
              <w:rPr>
                <w:rFonts w:asciiTheme="majorHAnsi" w:hAnsiTheme="majorHAnsi" w:cstheme="majorHAnsi"/>
                <w:i/>
                <w:iCs/>
                <w:color w:val="000000" w:themeColor="text1"/>
                <w:sz w:val="18"/>
                <w:szCs w:val="18"/>
              </w:rPr>
              <w:t>Sunduk</w:t>
            </w:r>
            <w:proofErr w:type="spellEnd"/>
            <w:r w:rsidRPr="009A5DA9">
              <w:rPr>
                <w:rFonts w:asciiTheme="majorHAnsi" w:hAnsiTheme="majorHAnsi" w:cstheme="majorHAnsi"/>
                <w:color w:val="000000" w:themeColor="text1"/>
                <w:sz w:val="18"/>
                <w:szCs w:val="18"/>
              </w:rPr>
              <w:t xml:space="preserve"> from the Sulu Archipelago and the </w:t>
            </w:r>
            <w:r w:rsidRPr="009A5DA9">
              <w:rPr>
                <w:rFonts w:asciiTheme="majorHAnsi" w:hAnsiTheme="majorHAnsi" w:cstheme="majorHAnsi"/>
                <w:i/>
                <w:iCs/>
                <w:color w:val="000000" w:themeColor="text1"/>
                <w:sz w:val="18"/>
                <w:szCs w:val="18"/>
              </w:rPr>
              <w:t>Batu Aceh</w:t>
            </w:r>
            <w:r w:rsidRPr="009A5DA9">
              <w:rPr>
                <w:rFonts w:asciiTheme="majorHAnsi" w:hAnsiTheme="majorHAnsi" w:cstheme="majorHAnsi"/>
                <w:color w:val="000000" w:themeColor="text1"/>
                <w:sz w:val="18"/>
                <w:szCs w:val="18"/>
              </w:rPr>
              <w:t xml:space="preserve"> markings in Indonesia. With historical research and a visual comparison analysis, it seeks to understand the complex interplay of Islamic, cultural, and architectural influences on the Jatti </w:t>
            </w:r>
            <w:proofErr w:type="spellStart"/>
            <w:r w:rsidRPr="009A5DA9">
              <w:rPr>
                <w:rFonts w:asciiTheme="majorHAnsi" w:hAnsiTheme="majorHAnsi" w:cstheme="majorHAnsi"/>
                <w:color w:val="000000" w:themeColor="text1"/>
                <w:sz w:val="18"/>
                <w:szCs w:val="18"/>
              </w:rPr>
              <w:t>Miriek</w:t>
            </w:r>
            <w:proofErr w:type="spellEnd"/>
            <w:r w:rsidRPr="009A5DA9">
              <w:rPr>
                <w:rFonts w:asciiTheme="majorHAnsi" w:hAnsiTheme="majorHAnsi" w:cstheme="majorHAnsi"/>
                <w:color w:val="000000" w:themeColor="text1"/>
                <w:sz w:val="18"/>
                <w:szCs w:val="18"/>
              </w:rPr>
              <w:t xml:space="preserve"> grave marker designs. Examining 167 markers and interviewing local experts were made possible by doing fieldwork at 13 sites in Miri, Sarawak. The detailed information on Jatti </w:t>
            </w:r>
            <w:proofErr w:type="spellStart"/>
            <w:r w:rsidRPr="009A5DA9">
              <w:rPr>
                <w:rFonts w:asciiTheme="majorHAnsi" w:hAnsiTheme="majorHAnsi" w:cstheme="majorHAnsi"/>
                <w:color w:val="000000" w:themeColor="text1"/>
                <w:sz w:val="18"/>
                <w:szCs w:val="18"/>
              </w:rPr>
              <w:t>Miriek</w:t>
            </w:r>
            <w:proofErr w:type="spellEnd"/>
            <w:r w:rsidRPr="009A5DA9">
              <w:rPr>
                <w:rFonts w:asciiTheme="majorHAnsi" w:hAnsiTheme="majorHAnsi" w:cstheme="majorHAnsi"/>
                <w:color w:val="000000" w:themeColor="text1"/>
                <w:sz w:val="18"/>
                <w:szCs w:val="18"/>
              </w:rPr>
              <w:t xml:space="preserve"> grave markers is then examined with that of </w:t>
            </w:r>
            <w:r w:rsidRPr="009A5DA9">
              <w:rPr>
                <w:rFonts w:asciiTheme="majorHAnsi" w:hAnsiTheme="majorHAnsi" w:cstheme="majorHAnsi"/>
                <w:i/>
                <w:iCs/>
                <w:color w:val="000000" w:themeColor="text1"/>
                <w:sz w:val="18"/>
                <w:szCs w:val="18"/>
              </w:rPr>
              <w:t>Batu Aceh</w:t>
            </w:r>
            <w:r w:rsidRPr="009A5DA9">
              <w:rPr>
                <w:rFonts w:asciiTheme="majorHAnsi" w:hAnsiTheme="majorHAnsi" w:cstheme="majorHAnsi"/>
                <w:color w:val="000000" w:themeColor="text1"/>
                <w:sz w:val="18"/>
                <w:szCs w:val="18"/>
              </w:rPr>
              <w:t xml:space="preserve"> and Bajau </w:t>
            </w:r>
            <w:proofErr w:type="spellStart"/>
            <w:r w:rsidRPr="009A5DA9">
              <w:rPr>
                <w:rFonts w:asciiTheme="majorHAnsi" w:hAnsiTheme="majorHAnsi" w:cstheme="majorHAnsi"/>
                <w:i/>
                <w:iCs/>
                <w:color w:val="000000" w:themeColor="text1"/>
                <w:sz w:val="18"/>
                <w:szCs w:val="18"/>
              </w:rPr>
              <w:t>Sunduk</w:t>
            </w:r>
            <w:proofErr w:type="spellEnd"/>
            <w:r w:rsidRPr="009A5DA9">
              <w:rPr>
                <w:rFonts w:asciiTheme="majorHAnsi" w:hAnsiTheme="majorHAnsi" w:cstheme="majorHAnsi"/>
                <w:color w:val="000000" w:themeColor="text1"/>
                <w:sz w:val="18"/>
                <w:szCs w:val="18"/>
              </w:rPr>
              <w:t xml:space="preserve"> using a visual analytical comparative study. The results show that Bajau </w:t>
            </w:r>
            <w:proofErr w:type="spellStart"/>
            <w:r w:rsidRPr="009A5DA9">
              <w:rPr>
                <w:rFonts w:asciiTheme="majorHAnsi" w:hAnsiTheme="majorHAnsi" w:cstheme="majorHAnsi"/>
                <w:i/>
                <w:iCs/>
                <w:color w:val="000000" w:themeColor="text1"/>
                <w:sz w:val="18"/>
                <w:szCs w:val="18"/>
              </w:rPr>
              <w:t>Sunduk</w:t>
            </w:r>
            <w:proofErr w:type="spellEnd"/>
            <w:r w:rsidRPr="009A5DA9">
              <w:rPr>
                <w:rFonts w:asciiTheme="majorHAnsi" w:hAnsiTheme="majorHAnsi" w:cstheme="majorHAnsi"/>
                <w:color w:val="000000" w:themeColor="text1"/>
                <w:sz w:val="18"/>
                <w:szCs w:val="18"/>
              </w:rPr>
              <w:t xml:space="preserve"> later influenced Jatti </w:t>
            </w:r>
            <w:proofErr w:type="spellStart"/>
            <w:r w:rsidRPr="009A5DA9">
              <w:rPr>
                <w:rFonts w:asciiTheme="majorHAnsi" w:hAnsiTheme="majorHAnsi" w:cstheme="majorHAnsi"/>
                <w:color w:val="000000" w:themeColor="text1"/>
                <w:sz w:val="18"/>
                <w:szCs w:val="18"/>
              </w:rPr>
              <w:t>Miriek's</w:t>
            </w:r>
            <w:proofErr w:type="spellEnd"/>
            <w:r w:rsidRPr="009A5DA9">
              <w:rPr>
                <w:rFonts w:asciiTheme="majorHAnsi" w:hAnsiTheme="majorHAnsi" w:cstheme="majorHAnsi"/>
                <w:color w:val="000000" w:themeColor="text1"/>
                <w:sz w:val="18"/>
                <w:szCs w:val="18"/>
              </w:rPr>
              <w:t xml:space="preserve"> designs, especially concerning materials and motifs, which originated in </w:t>
            </w:r>
            <w:r w:rsidRPr="009A5DA9">
              <w:rPr>
                <w:rFonts w:asciiTheme="majorHAnsi" w:hAnsiTheme="majorHAnsi" w:cstheme="majorHAnsi"/>
                <w:i/>
                <w:iCs/>
                <w:color w:val="000000" w:themeColor="text1"/>
                <w:sz w:val="18"/>
                <w:szCs w:val="18"/>
              </w:rPr>
              <w:t>Batu Aceh</w:t>
            </w:r>
            <w:r w:rsidRPr="009A5DA9">
              <w:rPr>
                <w:rFonts w:asciiTheme="majorHAnsi" w:hAnsiTheme="majorHAnsi" w:cstheme="majorHAnsi"/>
                <w:color w:val="000000" w:themeColor="text1"/>
                <w:sz w:val="18"/>
                <w:szCs w:val="18"/>
              </w:rPr>
              <w:t>. Studies of Southeast Asian cultural heritage and art history can benefit greatly from this research's improved comprehension of the socio-cultural influences forming these artifacts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52DA504" w:rsidR="001D517C" w:rsidRPr="009A5DA9" w:rsidRDefault="009A5DA9" w:rsidP="001D517C">
            <w:pPr>
              <w:jc w:val="both"/>
              <w:rPr>
                <w:rFonts w:asciiTheme="majorHAnsi" w:hAnsiTheme="majorHAnsi" w:cstheme="majorHAnsi"/>
                <w:sz w:val="18"/>
                <w:szCs w:val="18"/>
                <w:lang w:val="en-US"/>
              </w:rPr>
            </w:pPr>
            <w:r w:rsidRPr="009A5DA9">
              <w:rPr>
                <w:rFonts w:asciiTheme="majorHAnsi" w:hAnsiTheme="majorHAnsi" w:cstheme="majorHAnsi"/>
                <w:i/>
                <w:iCs/>
                <w:color w:val="000000" w:themeColor="text1"/>
                <w:sz w:val="18"/>
                <w:szCs w:val="18"/>
              </w:rPr>
              <w:t>Batu Aceh</w:t>
            </w:r>
            <w:r w:rsidRPr="009A5DA9">
              <w:rPr>
                <w:rFonts w:asciiTheme="majorHAnsi" w:hAnsiTheme="majorHAnsi" w:cstheme="majorHAnsi"/>
                <w:color w:val="000000" w:themeColor="text1"/>
                <w:sz w:val="18"/>
                <w:szCs w:val="18"/>
              </w:rPr>
              <w:t xml:space="preserve">; Bajau </w:t>
            </w:r>
            <w:proofErr w:type="spellStart"/>
            <w:r w:rsidRPr="009A5DA9">
              <w:rPr>
                <w:rFonts w:asciiTheme="majorHAnsi" w:hAnsiTheme="majorHAnsi" w:cstheme="majorHAnsi"/>
                <w:i/>
                <w:iCs/>
                <w:color w:val="000000" w:themeColor="text1"/>
                <w:sz w:val="18"/>
                <w:szCs w:val="18"/>
              </w:rPr>
              <w:t>Sunduk</w:t>
            </w:r>
            <w:proofErr w:type="spellEnd"/>
            <w:r w:rsidRPr="009A5DA9">
              <w:rPr>
                <w:rFonts w:asciiTheme="majorHAnsi" w:hAnsiTheme="majorHAnsi" w:cstheme="majorHAnsi"/>
                <w:i/>
                <w:iCs/>
                <w:color w:val="000000" w:themeColor="text1"/>
                <w:sz w:val="18"/>
                <w:szCs w:val="18"/>
              </w:rPr>
              <w:t>;</w:t>
            </w:r>
            <w:r w:rsidRPr="009A5DA9">
              <w:rPr>
                <w:rFonts w:asciiTheme="majorHAnsi" w:hAnsiTheme="majorHAnsi" w:cstheme="majorHAnsi"/>
                <w:b/>
                <w:sz w:val="18"/>
                <w:szCs w:val="18"/>
                <w:lang w:val="id-ID"/>
              </w:rPr>
              <w:t xml:space="preserve"> </w:t>
            </w:r>
            <w:r w:rsidRPr="009A5DA9">
              <w:rPr>
                <w:rFonts w:asciiTheme="majorHAnsi" w:hAnsiTheme="majorHAnsi" w:cstheme="majorHAnsi"/>
                <w:color w:val="000000" w:themeColor="text1"/>
                <w:sz w:val="18"/>
                <w:szCs w:val="18"/>
              </w:rPr>
              <w:t xml:space="preserve">Cross-Cultural Influences; Grave Marker Designs; Jatti </w:t>
            </w:r>
            <w:proofErr w:type="spellStart"/>
            <w:r w:rsidRPr="009A5DA9">
              <w:rPr>
                <w:rFonts w:asciiTheme="majorHAnsi" w:hAnsiTheme="majorHAnsi" w:cstheme="majorHAnsi"/>
                <w:color w:val="000000" w:themeColor="text1"/>
                <w:sz w:val="18"/>
                <w:szCs w:val="18"/>
              </w:rPr>
              <w:t>Miriek</w:t>
            </w:r>
            <w:proofErr w:type="spellEnd"/>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8FDACDD"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77603AA2" w14:textId="77777777" w:rsidR="009A5DA9" w:rsidRPr="009A5DA9" w:rsidRDefault="0079305C" w:rsidP="009A5DA9">
      <w:pPr>
        <w:ind w:firstLine="425"/>
        <w:jc w:val="both"/>
        <w:rPr>
          <w:rFonts w:asciiTheme="majorHAnsi" w:hAnsiTheme="majorHAnsi" w:cstheme="majorHAnsi"/>
          <w:sz w:val="20"/>
          <w:szCs w:val="20"/>
        </w:rPr>
      </w:pPr>
      <w:r w:rsidRPr="009A5DA9">
        <w:rPr>
          <w:rFonts w:asciiTheme="majorHAnsi" w:hAnsiTheme="majorHAnsi" w:cstheme="majorHAnsi"/>
          <w:sz w:val="20"/>
          <w:szCs w:val="20"/>
        </w:rPr>
        <w:t xml:space="preserve">The introduction should clearly state the purpose of the paper. It should include key references to appropriate </w:t>
      </w:r>
      <w:r w:rsidR="009A5DA9" w:rsidRPr="009A5DA9">
        <w:rPr>
          <w:rFonts w:asciiTheme="majorHAnsi" w:hAnsiTheme="majorHAnsi" w:cstheme="majorHAnsi"/>
          <w:sz w:val="20"/>
          <w:szCs w:val="20"/>
        </w:rPr>
        <w:t xml:space="preserve">Investigating grave markers around Southeast Asia, especially the Jatti </w:t>
      </w:r>
      <w:proofErr w:type="spellStart"/>
      <w:r w:rsidR="009A5DA9" w:rsidRPr="009A5DA9">
        <w:rPr>
          <w:rFonts w:asciiTheme="majorHAnsi" w:hAnsiTheme="majorHAnsi" w:cstheme="majorHAnsi"/>
          <w:sz w:val="20"/>
          <w:szCs w:val="20"/>
        </w:rPr>
        <w:t>Miriek</w:t>
      </w:r>
      <w:proofErr w:type="spellEnd"/>
      <w:r w:rsidR="009A5DA9" w:rsidRPr="009A5DA9">
        <w:rPr>
          <w:rFonts w:asciiTheme="majorHAnsi" w:hAnsiTheme="majorHAnsi" w:cstheme="majorHAnsi"/>
          <w:sz w:val="20"/>
          <w:szCs w:val="20"/>
        </w:rPr>
        <w:t xml:space="preserve"> grave markers, provides a wealth of information on the historical and cultural context of the area. These grave markers are exclusive to the Jatti </w:t>
      </w:r>
      <w:proofErr w:type="spellStart"/>
      <w:r w:rsidR="009A5DA9" w:rsidRPr="009A5DA9">
        <w:rPr>
          <w:rFonts w:asciiTheme="majorHAnsi" w:hAnsiTheme="majorHAnsi" w:cstheme="majorHAnsi"/>
          <w:sz w:val="20"/>
          <w:szCs w:val="20"/>
        </w:rPr>
        <w:t>Miriek</w:t>
      </w:r>
      <w:proofErr w:type="spellEnd"/>
      <w:r w:rsidR="009A5DA9" w:rsidRPr="009A5DA9">
        <w:rPr>
          <w:rFonts w:asciiTheme="majorHAnsi" w:hAnsiTheme="majorHAnsi" w:cstheme="majorHAnsi"/>
          <w:sz w:val="20"/>
          <w:szCs w:val="20"/>
        </w:rPr>
        <w:t xml:space="preserve"> community in Sarawak, Malaysia, and are more than just mementos; they are intricately designed and adorned with motifs that reflect the region's unique blend of architectural, religious, and cultural influences [1]. The grave marker of the Bajau people in the Sulu Archipelago, known as </w:t>
      </w:r>
      <w:proofErr w:type="spellStart"/>
      <w:r w:rsidR="009A5DA9" w:rsidRPr="009A5DA9">
        <w:rPr>
          <w:rFonts w:asciiTheme="majorHAnsi" w:hAnsiTheme="majorHAnsi" w:cstheme="majorHAnsi"/>
          <w:i/>
          <w:iCs/>
          <w:sz w:val="20"/>
          <w:szCs w:val="20"/>
        </w:rPr>
        <w:t>Sunduk</w:t>
      </w:r>
      <w:proofErr w:type="spellEnd"/>
      <w:r w:rsidR="009A5DA9" w:rsidRPr="009A5DA9">
        <w:rPr>
          <w:rFonts w:asciiTheme="majorHAnsi" w:hAnsiTheme="majorHAnsi" w:cstheme="majorHAnsi"/>
          <w:i/>
          <w:iCs/>
          <w:sz w:val="20"/>
          <w:szCs w:val="20"/>
        </w:rPr>
        <w:t>,</w:t>
      </w:r>
      <w:r w:rsidR="009A5DA9" w:rsidRPr="009A5DA9">
        <w:rPr>
          <w:rFonts w:asciiTheme="majorHAnsi" w:hAnsiTheme="majorHAnsi" w:cstheme="majorHAnsi"/>
          <w:sz w:val="20"/>
          <w:szCs w:val="20"/>
        </w:rPr>
        <w:t xml:space="preserve"> and the </w:t>
      </w:r>
      <w:r w:rsidR="009A5DA9" w:rsidRPr="009A5DA9">
        <w:rPr>
          <w:rFonts w:asciiTheme="majorHAnsi" w:hAnsiTheme="majorHAnsi" w:cstheme="majorHAnsi"/>
          <w:i/>
          <w:iCs/>
          <w:sz w:val="20"/>
          <w:szCs w:val="20"/>
        </w:rPr>
        <w:t>Batu Aceh</w:t>
      </w:r>
      <w:r w:rsidR="009A5DA9" w:rsidRPr="009A5DA9">
        <w:rPr>
          <w:rFonts w:asciiTheme="majorHAnsi" w:hAnsiTheme="majorHAnsi" w:cstheme="majorHAnsi"/>
          <w:sz w:val="20"/>
          <w:szCs w:val="20"/>
        </w:rPr>
        <w:t xml:space="preserve"> burial markers from Indonesia have had a profound cultural influence on the development of the Jatti </w:t>
      </w:r>
      <w:proofErr w:type="spellStart"/>
      <w:r w:rsidR="009A5DA9" w:rsidRPr="009A5DA9">
        <w:rPr>
          <w:rFonts w:asciiTheme="majorHAnsi" w:hAnsiTheme="majorHAnsi" w:cstheme="majorHAnsi"/>
          <w:sz w:val="20"/>
          <w:szCs w:val="20"/>
        </w:rPr>
        <w:t>Miriek</w:t>
      </w:r>
      <w:proofErr w:type="spellEnd"/>
      <w:r w:rsidR="009A5DA9" w:rsidRPr="009A5DA9">
        <w:rPr>
          <w:rFonts w:asciiTheme="majorHAnsi" w:hAnsiTheme="majorHAnsi" w:cstheme="majorHAnsi"/>
          <w:sz w:val="20"/>
          <w:szCs w:val="20"/>
        </w:rPr>
        <w:t xml:space="preserve"> memorial marker. The dynamic relationships, trade, migration, and religious exchanges traditionally defined by Southeast Asian communities are attested to by this fusion of design elements from several cultures [2]. </w:t>
      </w:r>
    </w:p>
    <w:p w14:paraId="41B64533" w14:textId="77777777" w:rsidR="009A5DA9" w:rsidRPr="009A5DA9" w:rsidRDefault="009A5DA9" w:rsidP="009A5DA9">
      <w:pPr>
        <w:ind w:firstLine="425"/>
        <w:jc w:val="both"/>
        <w:rPr>
          <w:rFonts w:asciiTheme="majorHAnsi" w:hAnsiTheme="majorHAnsi" w:cstheme="majorHAnsi"/>
          <w:sz w:val="20"/>
          <w:szCs w:val="20"/>
        </w:rPr>
      </w:pPr>
      <w:r w:rsidRPr="009A5DA9">
        <w:rPr>
          <w:rFonts w:asciiTheme="majorHAnsi" w:hAnsiTheme="majorHAnsi" w:cstheme="majorHAnsi"/>
          <w:sz w:val="20"/>
          <w:szCs w:val="20"/>
        </w:rPr>
        <w:t xml:space="preserve">This paper aims to perform a thorough comparative analysis of these three types of grave markers. The goal is to understand how the complex motifs and design aspects of the Bajau </w:t>
      </w:r>
      <w:proofErr w:type="spellStart"/>
      <w:r w:rsidRPr="009A5DA9">
        <w:rPr>
          <w:rFonts w:asciiTheme="majorHAnsi" w:hAnsiTheme="majorHAnsi" w:cstheme="majorHAnsi"/>
          <w:i/>
          <w:iCs/>
          <w:sz w:val="20"/>
          <w:szCs w:val="20"/>
        </w:rPr>
        <w:t>Sunduk</w:t>
      </w:r>
      <w:proofErr w:type="spellEnd"/>
      <w:r w:rsidRPr="009A5DA9">
        <w:rPr>
          <w:rFonts w:asciiTheme="majorHAnsi" w:hAnsiTheme="majorHAnsi" w:cstheme="majorHAnsi"/>
          <w:sz w:val="20"/>
          <w:szCs w:val="20"/>
        </w:rPr>
        <w:t xml:space="preserve">,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and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represent their communities' cultural and religious narratives. To lighten Southeast Asia's larger socio-cultural and historical context, it also investigates the architectural influences that have shaped these marks.</w:t>
      </w:r>
    </w:p>
    <w:p w14:paraId="36EDB5FE" w14:textId="0889822F" w:rsidR="0079305C" w:rsidRPr="0079305C" w:rsidRDefault="009A5DA9" w:rsidP="009A5DA9">
      <w:pPr>
        <w:ind w:firstLine="284"/>
        <w:jc w:val="both"/>
        <w:rPr>
          <w:rFonts w:asciiTheme="majorHAnsi" w:hAnsiTheme="majorHAnsi" w:cstheme="majorHAnsi"/>
          <w:sz w:val="20"/>
          <w:szCs w:val="20"/>
          <w:lang w:val="id-ID"/>
        </w:rPr>
      </w:pPr>
      <w:r w:rsidRPr="009A5DA9">
        <w:rPr>
          <w:rFonts w:asciiTheme="majorHAnsi" w:hAnsiTheme="majorHAnsi" w:cstheme="majorHAnsi"/>
          <w:sz w:val="20"/>
          <w:szCs w:val="20"/>
        </w:rPr>
        <w:t xml:space="preserve"> Prior studies in this field emphasize how crucial these cultural items are to comprehending the more comprehensive historical narratives of Malaysia's ethnic groupings. Research demonstrates how vital historical markers like grave markers are for understanding how society and religion have changed [3]. The value of these markers goes beyond their immediate practical application, and this research positions them as crucial to understanding the socio-cultural evolution of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people</w:t>
      </w:r>
      <w:r w:rsidR="0079305C" w:rsidRPr="0079305C">
        <w:rPr>
          <w:rFonts w:asciiTheme="majorHAnsi" w:hAnsiTheme="majorHAnsi" w:cstheme="majorHAnsi"/>
          <w:sz w:val="20"/>
          <w:szCs w:val="20"/>
        </w:rPr>
        <w:t>.</w:t>
      </w:r>
    </w:p>
    <w:p w14:paraId="784011A6" w14:textId="2E73EFB2" w:rsidR="0079305C" w:rsidRDefault="0079305C" w:rsidP="0079305C">
      <w:pPr>
        <w:jc w:val="both"/>
        <w:rPr>
          <w:rFonts w:asciiTheme="minorHAnsi" w:hAnsiTheme="minorHAnsi" w:cstheme="minorHAnsi"/>
          <w:b/>
          <w:bCs/>
        </w:rPr>
      </w:pPr>
    </w:p>
    <w:p w14:paraId="373B62A6" w14:textId="77777777" w:rsidR="009A5DA9" w:rsidRDefault="009A5DA9" w:rsidP="0079305C">
      <w:pPr>
        <w:jc w:val="both"/>
        <w:rPr>
          <w:rFonts w:asciiTheme="minorHAnsi" w:hAnsiTheme="minorHAnsi" w:cstheme="minorHAnsi"/>
          <w:b/>
          <w:bCs/>
        </w:rPr>
      </w:pPr>
    </w:p>
    <w:p w14:paraId="63C487F7" w14:textId="77777777" w:rsidR="009A5DA9" w:rsidRDefault="009A5DA9" w:rsidP="0079305C">
      <w:pPr>
        <w:jc w:val="both"/>
        <w:rPr>
          <w:rFonts w:asciiTheme="minorHAnsi" w:hAnsiTheme="minorHAnsi" w:cstheme="minorHAnsi"/>
          <w:b/>
          <w:bCs/>
        </w:rPr>
      </w:pPr>
    </w:p>
    <w:p w14:paraId="0CF50D73" w14:textId="77777777" w:rsidR="009A5DA9" w:rsidRDefault="009A5DA9" w:rsidP="0079305C">
      <w:pPr>
        <w:jc w:val="both"/>
        <w:rPr>
          <w:rFonts w:asciiTheme="minorHAnsi" w:hAnsiTheme="minorHAnsi" w:cstheme="minorHAnsi"/>
          <w:b/>
          <w:bCs/>
        </w:rPr>
      </w:pPr>
    </w:p>
    <w:p w14:paraId="32AF7D6C" w14:textId="77777777" w:rsidR="009A5DA9" w:rsidRDefault="009A5DA9" w:rsidP="0079305C">
      <w:pPr>
        <w:jc w:val="both"/>
        <w:rPr>
          <w:rFonts w:asciiTheme="minorHAnsi" w:hAnsiTheme="minorHAnsi" w:cstheme="minorHAnsi"/>
          <w:b/>
          <w:bCs/>
        </w:rPr>
      </w:pPr>
    </w:p>
    <w:p w14:paraId="2B18E266" w14:textId="6B03C8C2" w:rsidR="009A5DA9" w:rsidRDefault="009A5DA9" w:rsidP="009A5DA9">
      <w:pPr>
        <w:pStyle w:val="ListParagraph"/>
        <w:numPr>
          <w:ilvl w:val="1"/>
          <w:numId w:val="2"/>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RESEARCH BACKGROUND</w:t>
      </w:r>
    </w:p>
    <w:p w14:paraId="603818DB" w14:textId="77777777" w:rsidR="009A5DA9" w:rsidRDefault="009A5DA9" w:rsidP="009A5DA9">
      <w:pPr>
        <w:pStyle w:val="ListParagraph"/>
        <w:ind w:left="567"/>
        <w:jc w:val="both"/>
        <w:rPr>
          <w:rFonts w:asciiTheme="minorHAnsi" w:hAnsiTheme="minorHAnsi" w:cstheme="minorHAnsi"/>
          <w:b/>
          <w:bCs/>
          <w:sz w:val="18"/>
          <w:szCs w:val="18"/>
        </w:rPr>
      </w:pPr>
    </w:p>
    <w:p w14:paraId="408A993B" w14:textId="49039CC6" w:rsidR="009A5DA9" w:rsidRDefault="005C28E2" w:rsidP="009A5DA9">
      <w:pPr>
        <w:pStyle w:val="ListParagraph"/>
        <w:numPr>
          <w:ilvl w:val="0"/>
          <w:numId w:val="3"/>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9A5DA9">
        <w:rPr>
          <w:rFonts w:asciiTheme="minorHAnsi" w:hAnsiTheme="minorHAnsi" w:cstheme="minorHAnsi"/>
          <w:b/>
          <w:bCs/>
          <w:sz w:val="18"/>
          <w:szCs w:val="18"/>
        </w:rPr>
        <w:t xml:space="preserve">Historical Context </w:t>
      </w:r>
      <w:r>
        <w:rPr>
          <w:rFonts w:asciiTheme="minorHAnsi" w:hAnsiTheme="minorHAnsi" w:cstheme="minorHAnsi"/>
          <w:b/>
          <w:bCs/>
          <w:sz w:val="18"/>
          <w:szCs w:val="18"/>
        </w:rPr>
        <w:t>o</w:t>
      </w:r>
      <w:r w:rsidRPr="009A5DA9">
        <w:rPr>
          <w:rFonts w:asciiTheme="minorHAnsi" w:hAnsiTheme="minorHAnsi" w:cstheme="minorHAnsi"/>
          <w:b/>
          <w:bCs/>
          <w:sz w:val="18"/>
          <w:szCs w:val="18"/>
        </w:rPr>
        <w:t xml:space="preserve">f Jatti </w:t>
      </w:r>
      <w:proofErr w:type="spellStart"/>
      <w:r w:rsidRPr="009A5DA9">
        <w:rPr>
          <w:rFonts w:asciiTheme="minorHAnsi" w:hAnsiTheme="minorHAnsi" w:cstheme="minorHAnsi"/>
          <w:b/>
          <w:bCs/>
          <w:sz w:val="18"/>
          <w:szCs w:val="18"/>
        </w:rPr>
        <w:t>Miriek</w:t>
      </w:r>
      <w:proofErr w:type="spellEnd"/>
    </w:p>
    <w:p w14:paraId="74B22E81" w14:textId="2AA242DB" w:rsidR="009A5DA9" w:rsidRPr="00D132AE" w:rsidRDefault="009A5DA9" w:rsidP="009A5DA9">
      <w:pPr>
        <w:ind w:left="283" w:firstLine="284"/>
        <w:jc w:val="both"/>
        <w:rPr>
          <w:rFonts w:asciiTheme="majorHAnsi" w:hAnsiTheme="majorHAnsi" w:cstheme="majorHAnsi"/>
          <w:sz w:val="20"/>
          <w:szCs w:val="20"/>
          <w:lang w:val="id-ID"/>
        </w:rPr>
      </w:pPr>
      <w:r w:rsidRPr="009A5DA9">
        <w:rPr>
          <w:rFonts w:asciiTheme="majorHAnsi" w:eastAsia="Times New Roman" w:hAnsiTheme="majorHAnsi" w:cstheme="majorHAnsi"/>
          <w:sz w:val="20"/>
          <w:szCs w:val="20"/>
          <w:lang w:val="id-ID" w:eastAsia="ko-KR"/>
        </w:rPr>
        <w:t>The Jatti Miriek community, considered one of the indigenous Bumiputera ethnic groups in Miri, Sarawak, Malaysia, has a rich historical context deeply intertwined with the region's cultural tapestry. According to Ghofur [4], their roots trace back to the migration from Apo Kayan. Legends and oral traditions, as documented by Rahman [5], suggest the role of traders from West Asia, including Arabs and Persians, in facilitating the spread of Islam in Sarawak. Moreover, Chang [6] proposes a theory of Islamic traders' migration from China, which underscores the potential connection between China and Borneo in terms of Islamic influence. Thus, the historical backdrop of the Jatti Miriek community is multifaceted, involving migration, trade, and interactions with diverse cultures and religions.</w:t>
      </w:r>
    </w:p>
    <w:p w14:paraId="572DD9ED" w14:textId="208DCF31" w:rsidR="005E66A5" w:rsidRDefault="005E66A5" w:rsidP="0079305C">
      <w:pPr>
        <w:jc w:val="both"/>
        <w:rPr>
          <w:rFonts w:asciiTheme="minorHAnsi" w:hAnsiTheme="minorHAnsi" w:cstheme="minorHAnsi"/>
          <w:b/>
          <w:bCs/>
        </w:rPr>
      </w:pPr>
    </w:p>
    <w:p w14:paraId="0444C27A" w14:textId="74BED304" w:rsidR="009A5DA9" w:rsidRDefault="005C28E2" w:rsidP="009A5DA9">
      <w:pPr>
        <w:pStyle w:val="ListParagraph"/>
        <w:numPr>
          <w:ilvl w:val="0"/>
          <w:numId w:val="4"/>
        </w:numPr>
        <w:ind w:left="567" w:hanging="283"/>
        <w:jc w:val="both"/>
        <w:rPr>
          <w:rFonts w:asciiTheme="minorHAnsi" w:hAnsiTheme="minorHAnsi" w:cstheme="minorHAnsi"/>
          <w:b/>
          <w:bCs/>
          <w:sz w:val="18"/>
          <w:szCs w:val="18"/>
        </w:rPr>
      </w:pPr>
      <w:r w:rsidRPr="009A5DA9">
        <w:rPr>
          <w:rFonts w:asciiTheme="minorHAnsi" w:hAnsiTheme="minorHAnsi" w:cstheme="minorHAnsi"/>
          <w:b/>
          <w:bCs/>
          <w:sz w:val="18"/>
          <w:szCs w:val="18"/>
        </w:rPr>
        <w:t xml:space="preserve">2. Evolution </w:t>
      </w:r>
      <w:r>
        <w:rPr>
          <w:rFonts w:asciiTheme="minorHAnsi" w:hAnsiTheme="minorHAnsi" w:cstheme="minorHAnsi"/>
          <w:b/>
          <w:bCs/>
          <w:sz w:val="18"/>
          <w:szCs w:val="18"/>
        </w:rPr>
        <w:t>o</w:t>
      </w:r>
      <w:r w:rsidRPr="009A5DA9">
        <w:rPr>
          <w:rFonts w:asciiTheme="minorHAnsi" w:hAnsiTheme="minorHAnsi" w:cstheme="minorHAnsi"/>
          <w:b/>
          <w:bCs/>
          <w:sz w:val="18"/>
          <w:szCs w:val="18"/>
        </w:rPr>
        <w:t xml:space="preserve">f Grave Markers </w:t>
      </w:r>
      <w:r>
        <w:rPr>
          <w:rFonts w:asciiTheme="minorHAnsi" w:hAnsiTheme="minorHAnsi" w:cstheme="minorHAnsi"/>
          <w:b/>
          <w:bCs/>
          <w:sz w:val="18"/>
          <w:szCs w:val="18"/>
        </w:rPr>
        <w:t>i</w:t>
      </w:r>
      <w:r w:rsidRPr="009A5DA9">
        <w:rPr>
          <w:rFonts w:asciiTheme="minorHAnsi" w:hAnsiTheme="minorHAnsi" w:cstheme="minorHAnsi"/>
          <w:b/>
          <w:bCs/>
          <w:sz w:val="18"/>
          <w:szCs w:val="18"/>
        </w:rPr>
        <w:t>n Southeast Asia</w:t>
      </w:r>
    </w:p>
    <w:p w14:paraId="328FC8C0"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eastAsia="Times New Roman" w:hAnsiTheme="majorHAnsi" w:cstheme="majorHAnsi"/>
          <w:sz w:val="20"/>
          <w:szCs w:val="20"/>
          <w:lang w:val="id-ID" w:eastAsia="ko-KR"/>
        </w:rPr>
        <w:t xml:space="preserve">The Jatti Miriek community, considered one of the indigenous Bumiputera ethnic groups in Miri, Sarawak, </w:t>
      </w:r>
      <w:r w:rsidRPr="009A5DA9">
        <w:rPr>
          <w:rFonts w:asciiTheme="majorHAnsi" w:hAnsiTheme="majorHAnsi" w:cstheme="majorHAnsi"/>
          <w:sz w:val="20"/>
          <w:szCs w:val="20"/>
        </w:rPr>
        <w:t xml:space="preserve">The evolution of grave markers in Southeast Asia is closely tied to the region's shifting religious and cultural landscape. Before the advent of Islam, Southeast Asia was influenced by Animism, Hinduism, and Buddhism [7]. Notably, Farish and Khoo [8] highlight the pre-Islamic era when woodcarving motifs featured prominently in the Malay Archipelago, including motifs like Kala Makara, </w:t>
      </w:r>
      <w:proofErr w:type="spellStart"/>
      <w:r w:rsidRPr="009A5DA9">
        <w:rPr>
          <w:rFonts w:asciiTheme="majorHAnsi" w:hAnsiTheme="majorHAnsi" w:cstheme="majorHAnsi"/>
          <w:sz w:val="20"/>
          <w:szCs w:val="20"/>
        </w:rPr>
        <w:t>Gunungan</w:t>
      </w:r>
      <w:proofErr w:type="spellEnd"/>
      <w:r w:rsidRPr="009A5DA9">
        <w:rPr>
          <w:rFonts w:asciiTheme="majorHAnsi" w:hAnsiTheme="majorHAnsi" w:cstheme="majorHAnsi"/>
          <w:sz w:val="20"/>
          <w:szCs w:val="20"/>
        </w:rPr>
        <w:t>, Stupa, Garuda, and Naga. With the arrival of Islam, as discussed by Othman [9], these motifs transformed to align with Islamic principles. This evolution reflects the region's dynamic cultural and religious shifts, with grave markers serving as tangible artifacts of these changes.</w:t>
      </w:r>
    </w:p>
    <w:p w14:paraId="1D73306A" w14:textId="77777777" w:rsidR="009A5DA9" w:rsidRDefault="009A5DA9" w:rsidP="009A5DA9">
      <w:pPr>
        <w:ind w:left="284" w:firstLine="283"/>
        <w:jc w:val="both"/>
        <w:rPr>
          <w:rFonts w:ascii="Candara" w:hAnsi="Candara"/>
          <w:sz w:val="18"/>
          <w:szCs w:val="18"/>
        </w:rPr>
      </w:pPr>
      <w:r w:rsidRPr="009A5DA9">
        <w:rPr>
          <w:rFonts w:asciiTheme="majorHAnsi" w:hAnsiTheme="majorHAnsi" w:cstheme="majorHAnsi"/>
          <w:sz w:val="20"/>
          <w:szCs w:val="20"/>
        </w:rPr>
        <w:t xml:space="preserve">Dick van der </w:t>
      </w:r>
      <w:proofErr w:type="spellStart"/>
      <w:r w:rsidRPr="009A5DA9">
        <w:rPr>
          <w:rFonts w:asciiTheme="majorHAnsi" w:hAnsiTheme="majorHAnsi" w:cstheme="majorHAnsi"/>
          <w:sz w:val="20"/>
          <w:szCs w:val="20"/>
        </w:rPr>
        <w:t>Meij</w:t>
      </w:r>
      <w:proofErr w:type="spellEnd"/>
      <w:r w:rsidRPr="009A5DA9">
        <w:rPr>
          <w:rFonts w:asciiTheme="majorHAnsi" w:hAnsiTheme="majorHAnsi" w:cstheme="majorHAnsi"/>
          <w:sz w:val="20"/>
          <w:szCs w:val="20"/>
        </w:rPr>
        <w:t xml:space="preserve"> [10] offers a comprehensive examination of grave markers within the context of the Pasai Sultanate in Sumatra. Through clear photographs, the discussion meticulously categorizes various forms of gravestones, identifying six main types. These types are ogival, accolade, accolade with wings, decorated with spirals, pyramidal, and others, each with further subdivisions. The ogival style, imported from Cambay, Gujarat, India, is highlighted as an external influence. Additionally, Yatim [11] delves into the languages used in inscriptions on the stones, revealing Arabic predominance despite Malay serving as the lingua franca in the region. The inscriptions typically contain epitaphs featuring the name of the deceased accompanied by elaborate epithets, with women often described using a wider range of labels like 'the chaste' and 'the virtuous'</w:t>
      </w:r>
      <w:r w:rsidRPr="002A1CFA">
        <w:rPr>
          <w:rFonts w:ascii="Candara" w:hAnsi="Candara"/>
          <w:sz w:val="18"/>
          <w:szCs w:val="18"/>
        </w:rPr>
        <w:t>.</w:t>
      </w:r>
    </w:p>
    <w:p w14:paraId="2E6BA3AE" w14:textId="77777777" w:rsidR="009A5DA9" w:rsidRDefault="009A5DA9" w:rsidP="009A5DA9">
      <w:pPr>
        <w:ind w:left="284" w:firstLine="283"/>
        <w:jc w:val="both"/>
        <w:rPr>
          <w:rFonts w:ascii="Candara" w:hAnsi="Candara"/>
          <w:sz w:val="18"/>
          <w:szCs w:val="18"/>
        </w:rPr>
      </w:pPr>
    </w:p>
    <w:p w14:paraId="174DB473" w14:textId="71389437" w:rsidR="009A5DA9" w:rsidRDefault="005C28E2" w:rsidP="009A5DA9">
      <w:pPr>
        <w:pStyle w:val="ListParagraph"/>
        <w:numPr>
          <w:ilvl w:val="0"/>
          <w:numId w:val="5"/>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3. </w:t>
      </w:r>
      <w:r w:rsidRPr="009A5DA9">
        <w:rPr>
          <w:rFonts w:asciiTheme="minorHAnsi" w:hAnsiTheme="minorHAnsi" w:cstheme="minorHAnsi"/>
          <w:b/>
          <w:bCs/>
          <w:sz w:val="18"/>
          <w:szCs w:val="18"/>
        </w:rPr>
        <w:t xml:space="preserve">Influence </w:t>
      </w:r>
      <w:r>
        <w:rPr>
          <w:rFonts w:asciiTheme="minorHAnsi" w:hAnsiTheme="minorHAnsi" w:cstheme="minorHAnsi"/>
          <w:b/>
          <w:bCs/>
          <w:sz w:val="18"/>
          <w:szCs w:val="18"/>
        </w:rPr>
        <w:t>o</w:t>
      </w:r>
      <w:r w:rsidRPr="009A5DA9">
        <w:rPr>
          <w:rFonts w:asciiTheme="minorHAnsi" w:hAnsiTheme="minorHAnsi" w:cstheme="minorHAnsi"/>
          <w:b/>
          <w:bCs/>
          <w:sz w:val="18"/>
          <w:szCs w:val="18"/>
        </w:rPr>
        <w:t xml:space="preserve">f Islam </w:t>
      </w:r>
      <w:r>
        <w:rPr>
          <w:rFonts w:asciiTheme="minorHAnsi" w:hAnsiTheme="minorHAnsi" w:cstheme="minorHAnsi"/>
          <w:b/>
          <w:bCs/>
          <w:sz w:val="18"/>
          <w:szCs w:val="18"/>
        </w:rPr>
        <w:t>o</w:t>
      </w:r>
      <w:r w:rsidRPr="009A5DA9">
        <w:rPr>
          <w:rFonts w:asciiTheme="minorHAnsi" w:hAnsiTheme="minorHAnsi" w:cstheme="minorHAnsi"/>
          <w:b/>
          <w:bCs/>
          <w:sz w:val="18"/>
          <w:szCs w:val="18"/>
        </w:rPr>
        <w:t xml:space="preserve">n Art </w:t>
      </w:r>
      <w:r>
        <w:rPr>
          <w:rFonts w:asciiTheme="minorHAnsi" w:hAnsiTheme="minorHAnsi" w:cstheme="minorHAnsi"/>
          <w:b/>
          <w:bCs/>
          <w:sz w:val="18"/>
          <w:szCs w:val="18"/>
        </w:rPr>
        <w:t>a</w:t>
      </w:r>
      <w:r w:rsidRPr="009A5DA9">
        <w:rPr>
          <w:rFonts w:asciiTheme="minorHAnsi" w:hAnsiTheme="minorHAnsi" w:cstheme="minorHAnsi"/>
          <w:b/>
          <w:bCs/>
          <w:sz w:val="18"/>
          <w:szCs w:val="18"/>
        </w:rPr>
        <w:t xml:space="preserve">nd </w:t>
      </w:r>
      <w:r>
        <w:rPr>
          <w:rFonts w:asciiTheme="minorHAnsi" w:hAnsiTheme="minorHAnsi" w:cstheme="minorHAnsi"/>
          <w:b/>
          <w:bCs/>
          <w:sz w:val="18"/>
          <w:szCs w:val="18"/>
        </w:rPr>
        <w:t>C</w:t>
      </w:r>
      <w:r w:rsidRPr="009A5DA9">
        <w:rPr>
          <w:rFonts w:asciiTheme="minorHAnsi" w:hAnsiTheme="minorHAnsi" w:cstheme="minorHAnsi"/>
          <w:b/>
          <w:bCs/>
          <w:sz w:val="18"/>
          <w:szCs w:val="18"/>
        </w:rPr>
        <w:t xml:space="preserve">ulture </w:t>
      </w:r>
      <w:r>
        <w:rPr>
          <w:rFonts w:asciiTheme="minorHAnsi" w:hAnsiTheme="minorHAnsi" w:cstheme="minorHAnsi"/>
          <w:b/>
          <w:bCs/>
          <w:sz w:val="18"/>
          <w:szCs w:val="18"/>
        </w:rPr>
        <w:t>i</w:t>
      </w:r>
      <w:r w:rsidRPr="009A5DA9">
        <w:rPr>
          <w:rFonts w:asciiTheme="minorHAnsi" w:hAnsiTheme="minorHAnsi" w:cstheme="minorHAnsi"/>
          <w:b/>
          <w:bCs/>
          <w:sz w:val="18"/>
          <w:szCs w:val="18"/>
        </w:rPr>
        <w:t>n Southeast Asia</w:t>
      </w:r>
    </w:p>
    <w:p w14:paraId="4507463B" w14:textId="5B8ED09A" w:rsidR="009A5DA9" w:rsidRDefault="009A5DA9" w:rsidP="009A5DA9">
      <w:pPr>
        <w:ind w:left="284" w:firstLine="283"/>
        <w:jc w:val="both"/>
        <w:rPr>
          <w:rFonts w:asciiTheme="majorHAnsi" w:eastAsia="Times New Roman" w:hAnsiTheme="majorHAnsi" w:cstheme="majorHAnsi"/>
          <w:sz w:val="20"/>
          <w:szCs w:val="20"/>
          <w:lang w:val="id-ID" w:eastAsia="ko-KR"/>
        </w:rPr>
      </w:pPr>
      <w:r w:rsidRPr="009A5DA9">
        <w:rPr>
          <w:rFonts w:asciiTheme="majorHAnsi" w:eastAsia="Times New Roman" w:hAnsiTheme="majorHAnsi" w:cstheme="majorHAnsi"/>
          <w:sz w:val="20"/>
          <w:szCs w:val="20"/>
          <w:lang w:val="id-ID" w:eastAsia="ko-KR"/>
        </w:rPr>
        <w:t>The influence of Islam on art and culture in Southeast Asia has been profound. Islam spread and established communities in port cities across the region [12] [1], bringing a unique artistic expression. Notably, Aceh stone grave markers from 18th century Indonesia, as mentioned by Damais [13], served as sources of inspiration for woodcarving styles. Additionally, the Bajau people of the Sulu Islands in the late 19th and early 20th centuries [12] contributed to the development of distinctive woodcarving techniques. These influences shaped the artistry of Jatti Miriek grave markers, representing a convergence of Islamic aesthetics within the local context, which this research seeks to unravel.</w:t>
      </w:r>
    </w:p>
    <w:p w14:paraId="4EAA1E9B" w14:textId="77777777" w:rsidR="009A5DA9" w:rsidRDefault="009A5DA9" w:rsidP="009A5DA9">
      <w:pPr>
        <w:ind w:left="284" w:firstLine="283"/>
        <w:jc w:val="both"/>
        <w:rPr>
          <w:rFonts w:asciiTheme="majorHAnsi" w:eastAsia="Times New Roman" w:hAnsiTheme="majorHAnsi" w:cstheme="majorHAnsi"/>
          <w:sz w:val="20"/>
          <w:szCs w:val="20"/>
          <w:lang w:val="id-ID" w:eastAsia="ko-KR"/>
        </w:rPr>
      </w:pPr>
    </w:p>
    <w:p w14:paraId="1044D0D3" w14:textId="5FF17171" w:rsidR="009A5DA9" w:rsidRDefault="009A5DA9" w:rsidP="009A5DA9">
      <w:pPr>
        <w:ind w:left="284" w:firstLine="283"/>
        <w:jc w:val="center"/>
        <w:rPr>
          <w:rFonts w:ascii="Candara" w:hAnsi="Candara"/>
          <w:sz w:val="18"/>
          <w:szCs w:val="18"/>
        </w:rPr>
      </w:pPr>
      <w:r>
        <w:rPr>
          <w:rFonts w:ascii="Candara" w:hAnsi="Candara"/>
          <w:noProof/>
          <w:sz w:val="18"/>
          <w:szCs w:val="18"/>
        </w:rPr>
        <w:drawing>
          <wp:inline distT="0" distB="0" distL="0" distR="0" wp14:anchorId="4C99F50F" wp14:editId="670AA473">
            <wp:extent cx="3999506" cy="2182940"/>
            <wp:effectExtent l="0" t="0" r="1270" b="8255"/>
            <wp:docPr id="2139288400"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88400" name="Picture 1" descr="A map of the worl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1770" cy="2195091"/>
                    </a:xfrm>
                    <a:prstGeom prst="rect">
                      <a:avLst/>
                    </a:prstGeom>
                  </pic:spPr>
                </pic:pic>
              </a:graphicData>
            </a:graphic>
          </wp:inline>
        </w:drawing>
      </w:r>
    </w:p>
    <w:p w14:paraId="2F4AFB46" w14:textId="77777777" w:rsidR="005C28E2" w:rsidRDefault="005C28E2" w:rsidP="009A5DA9">
      <w:pPr>
        <w:ind w:left="284" w:firstLine="283"/>
        <w:jc w:val="center"/>
        <w:rPr>
          <w:rFonts w:ascii="Candara" w:hAnsi="Candara"/>
          <w:sz w:val="18"/>
          <w:szCs w:val="18"/>
        </w:rPr>
      </w:pPr>
    </w:p>
    <w:p w14:paraId="0AE1A1A1" w14:textId="0F4AAE46" w:rsidR="009A5DA9" w:rsidRDefault="009A5DA9" w:rsidP="005C28E2">
      <w:pPr>
        <w:ind w:left="284"/>
        <w:jc w:val="center"/>
        <w:rPr>
          <w:rFonts w:ascii="Candara" w:hAnsi="Candara"/>
          <w:sz w:val="18"/>
          <w:szCs w:val="18"/>
        </w:rPr>
      </w:pPr>
      <w:r w:rsidRPr="005E66A5">
        <w:rPr>
          <w:rFonts w:asciiTheme="majorHAnsi" w:hAnsiTheme="majorHAnsi" w:cstheme="majorHAnsi"/>
          <w:bCs/>
          <w:sz w:val="16"/>
          <w:szCs w:val="16"/>
        </w:rPr>
        <w:t xml:space="preserve">Figure 1. </w:t>
      </w:r>
      <w:r w:rsidRPr="009A5DA9">
        <w:rPr>
          <w:rFonts w:asciiTheme="majorHAnsi" w:hAnsiTheme="majorHAnsi" w:cstheme="majorHAnsi"/>
          <w:sz w:val="16"/>
          <w:szCs w:val="16"/>
        </w:rPr>
        <w:t xml:space="preserve">Muslim sultanates in Indonesia and Malaysia. The influence of Jatti </w:t>
      </w:r>
      <w:proofErr w:type="spellStart"/>
      <w:r w:rsidRPr="009A5DA9">
        <w:rPr>
          <w:rFonts w:asciiTheme="majorHAnsi" w:hAnsiTheme="majorHAnsi" w:cstheme="majorHAnsi"/>
          <w:sz w:val="16"/>
          <w:szCs w:val="16"/>
        </w:rPr>
        <w:t>Miriek</w:t>
      </w:r>
      <w:proofErr w:type="spellEnd"/>
      <w:r w:rsidRPr="009A5DA9">
        <w:rPr>
          <w:rFonts w:asciiTheme="majorHAnsi" w:hAnsiTheme="majorHAnsi" w:cstheme="majorHAnsi"/>
          <w:sz w:val="16"/>
          <w:szCs w:val="16"/>
        </w:rPr>
        <w:t xml:space="preserve"> grave markers in Miri is believed to have started</w:t>
      </w:r>
      <w:r w:rsidR="005C28E2">
        <w:rPr>
          <w:rFonts w:asciiTheme="majorHAnsi" w:hAnsiTheme="majorHAnsi" w:cstheme="majorHAnsi"/>
          <w:sz w:val="16"/>
          <w:szCs w:val="16"/>
        </w:rPr>
        <w:t xml:space="preserve"> </w:t>
      </w:r>
      <w:r w:rsidRPr="009A5DA9">
        <w:rPr>
          <w:rFonts w:asciiTheme="majorHAnsi" w:hAnsiTheme="majorHAnsi" w:cstheme="majorHAnsi"/>
          <w:sz w:val="16"/>
          <w:szCs w:val="16"/>
        </w:rPr>
        <w:t xml:space="preserve">from the basic design of </w:t>
      </w:r>
      <w:r w:rsidRPr="009A5DA9">
        <w:rPr>
          <w:rFonts w:asciiTheme="majorHAnsi" w:hAnsiTheme="majorHAnsi" w:cstheme="majorHAnsi"/>
          <w:i/>
          <w:iCs/>
          <w:sz w:val="16"/>
          <w:szCs w:val="16"/>
        </w:rPr>
        <w:t>Batu Aceh</w:t>
      </w:r>
      <w:r w:rsidRPr="009A5DA9">
        <w:rPr>
          <w:rFonts w:asciiTheme="majorHAnsi" w:hAnsiTheme="majorHAnsi" w:cstheme="majorHAnsi"/>
          <w:sz w:val="16"/>
          <w:szCs w:val="16"/>
        </w:rPr>
        <w:t xml:space="preserve"> in the 18</w:t>
      </w:r>
      <w:r w:rsidRPr="009A5DA9">
        <w:rPr>
          <w:rFonts w:asciiTheme="majorHAnsi" w:hAnsiTheme="majorHAnsi" w:cstheme="majorHAnsi"/>
          <w:sz w:val="16"/>
          <w:szCs w:val="16"/>
          <w:vertAlign w:val="superscript"/>
        </w:rPr>
        <w:t>th</w:t>
      </w:r>
      <w:r w:rsidRPr="009A5DA9">
        <w:rPr>
          <w:rFonts w:asciiTheme="majorHAnsi" w:hAnsiTheme="majorHAnsi" w:cstheme="majorHAnsi"/>
          <w:sz w:val="16"/>
          <w:szCs w:val="16"/>
        </w:rPr>
        <w:t xml:space="preserve"> century before it was being influenced by grave markers from the Sulu archipelago</w:t>
      </w:r>
    </w:p>
    <w:p w14:paraId="53AB8AE0" w14:textId="77777777" w:rsid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lastRenderedPageBreak/>
        <w:t xml:space="preserve">The evolution of Islam in the Nusantara region is reflected in Jatti </w:t>
      </w:r>
      <w:proofErr w:type="spellStart"/>
      <w:r w:rsidRPr="009A5DA9">
        <w:rPr>
          <w:rFonts w:asciiTheme="majorHAnsi" w:hAnsiTheme="majorHAnsi" w:cstheme="majorHAnsi"/>
          <w:sz w:val="20"/>
          <w:szCs w:val="20"/>
        </w:rPr>
        <w:t>Miriek's</w:t>
      </w:r>
      <w:proofErr w:type="spellEnd"/>
      <w:r w:rsidRPr="009A5DA9">
        <w:rPr>
          <w:rFonts w:asciiTheme="majorHAnsi" w:hAnsiTheme="majorHAnsi" w:cstheme="majorHAnsi"/>
          <w:sz w:val="20"/>
          <w:szCs w:val="20"/>
        </w:rPr>
        <w:t xml:space="preserve"> grave marker carvings; this is especially true when considering the style of pre-18</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century Acehnese stone grave markers in Indonesia. This suggests that several prehistoric elements impacted the design of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during this time. Then, the materials and methods employed by the Bajau community from the Sulu Archipelago, Philippines, in constructing graves in the late 19</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and early 20</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centuries impacted the continuous evolution of these tombstones. In the end, this produced a distinct design character, as evidenced by the historic graveyards in Miri. It is possible that trade and the growth of Islam spread the variables affecting this evolution.</w:t>
      </w:r>
    </w:p>
    <w:p w14:paraId="1A500E6F" w14:textId="77777777" w:rsidR="009A5DA9" w:rsidRPr="009A5DA9" w:rsidRDefault="009A5DA9" w:rsidP="009A5DA9">
      <w:pPr>
        <w:ind w:left="284" w:firstLine="283"/>
        <w:jc w:val="both"/>
        <w:rPr>
          <w:rFonts w:asciiTheme="majorHAnsi" w:hAnsiTheme="majorHAnsi" w:cstheme="majorHAnsi"/>
          <w:sz w:val="20"/>
          <w:szCs w:val="20"/>
        </w:rPr>
      </w:pPr>
    </w:p>
    <w:p w14:paraId="2A4E7533" w14:textId="49503B9D" w:rsidR="009A5DA9" w:rsidRPr="009A5DA9" w:rsidRDefault="005C28E2" w:rsidP="009A5DA9">
      <w:pPr>
        <w:pStyle w:val="ListParagraph"/>
        <w:numPr>
          <w:ilvl w:val="0"/>
          <w:numId w:val="8"/>
        </w:numPr>
        <w:ind w:left="567" w:hanging="283"/>
        <w:jc w:val="both"/>
        <w:rPr>
          <w:rFonts w:asciiTheme="minorHAnsi" w:hAnsiTheme="minorHAnsi" w:cstheme="minorHAnsi"/>
          <w:b/>
          <w:bCs/>
          <w:sz w:val="18"/>
          <w:szCs w:val="18"/>
        </w:rPr>
      </w:pPr>
      <w:r w:rsidRPr="009A5DA9">
        <w:rPr>
          <w:rFonts w:asciiTheme="minorHAnsi" w:hAnsiTheme="minorHAnsi" w:cstheme="minorHAnsi"/>
          <w:b/>
          <w:bCs/>
          <w:sz w:val="18"/>
          <w:szCs w:val="18"/>
        </w:rPr>
        <w:t xml:space="preserve">4. Jatti </w:t>
      </w:r>
      <w:proofErr w:type="spellStart"/>
      <w:r w:rsidRPr="009A5DA9">
        <w:rPr>
          <w:rFonts w:asciiTheme="minorHAnsi" w:hAnsiTheme="minorHAnsi" w:cstheme="minorHAnsi"/>
          <w:b/>
          <w:bCs/>
          <w:sz w:val="18"/>
          <w:szCs w:val="18"/>
        </w:rPr>
        <w:t>Miriek</w:t>
      </w:r>
      <w:proofErr w:type="spellEnd"/>
      <w:r w:rsidRPr="009A5DA9">
        <w:rPr>
          <w:rFonts w:asciiTheme="minorHAnsi" w:hAnsiTheme="minorHAnsi" w:cstheme="minorHAnsi"/>
          <w:b/>
          <w:bCs/>
          <w:sz w:val="18"/>
          <w:szCs w:val="18"/>
        </w:rPr>
        <w:t xml:space="preserve"> Grave Markers</w:t>
      </w:r>
    </w:p>
    <w:p w14:paraId="786B7207" w14:textId="498C221A" w:rsid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indigenous to Miri, Sarawak, are spread across various regions, including </w:t>
      </w:r>
      <w:proofErr w:type="spellStart"/>
      <w:r w:rsidRPr="009A5DA9">
        <w:rPr>
          <w:rFonts w:asciiTheme="majorHAnsi" w:hAnsiTheme="majorHAnsi" w:cstheme="majorHAnsi"/>
          <w:sz w:val="20"/>
          <w:szCs w:val="20"/>
        </w:rPr>
        <w:t>Pujut</w:t>
      </w:r>
      <w:proofErr w:type="spellEnd"/>
      <w:r w:rsidRPr="009A5DA9">
        <w:rPr>
          <w:rFonts w:asciiTheme="majorHAnsi" w:hAnsiTheme="majorHAnsi" w:cstheme="majorHAnsi"/>
          <w:sz w:val="20"/>
          <w:szCs w:val="20"/>
        </w:rPr>
        <w:t xml:space="preserve"> (</w:t>
      </w:r>
      <w:proofErr w:type="spellStart"/>
      <w:r w:rsidRPr="009A5DA9">
        <w:rPr>
          <w:rFonts w:asciiTheme="majorHAnsi" w:hAnsiTheme="majorHAnsi" w:cstheme="majorHAnsi"/>
          <w:sz w:val="20"/>
          <w:szCs w:val="20"/>
        </w:rPr>
        <w:t>Unan</w:t>
      </w:r>
      <w:proofErr w:type="spellEnd"/>
      <w:r w:rsidRPr="009A5DA9">
        <w:rPr>
          <w:rFonts w:asciiTheme="majorHAnsi" w:hAnsiTheme="majorHAnsi" w:cstheme="majorHAnsi"/>
          <w:sz w:val="20"/>
          <w:szCs w:val="20"/>
        </w:rPr>
        <w:t xml:space="preserve">), Bakam, </w:t>
      </w:r>
      <w:proofErr w:type="spellStart"/>
      <w:r w:rsidRPr="009A5DA9">
        <w:rPr>
          <w:rFonts w:asciiTheme="majorHAnsi" w:hAnsiTheme="majorHAnsi" w:cstheme="majorHAnsi"/>
          <w:sz w:val="20"/>
          <w:szCs w:val="20"/>
        </w:rPr>
        <w:t>Lopeng</w:t>
      </w:r>
      <w:proofErr w:type="spellEnd"/>
      <w:r w:rsidRPr="009A5DA9">
        <w:rPr>
          <w:rFonts w:asciiTheme="majorHAnsi" w:hAnsiTheme="majorHAnsi" w:cstheme="majorHAnsi"/>
          <w:sz w:val="20"/>
          <w:szCs w:val="20"/>
        </w:rPr>
        <w:t xml:space="preserve"> (</w:t>
      </w:r>
      <w:proofErr w:type="spellStart"/>
      <w:r w:rsidRPr="009A5DA9">
        <w:rPr>
          <w:rFonts w:asciiTheme="majorHAnsi" w:hAnsiTheme="majorHAnsi" w:cstheme="majorHAnsi"/>
          <w:sz w:val="20"/>
          <w:szCs w:val="20"/>
        </w:rPr>
        <w:t>Lufieng</w:t>
      </w:r>
      <w:proofErr w:type="spellEnd"/>
      <w:r w:rsidRPr="009A5DA9">
        <w:rPr>
          <w:rFonts w:asciiTheme="majorHAnsi" w:hAnsiTheme="majorHAnsi" w:cstheme="majorHAnsi"/>
          <w:sz w:val="20"/>
          <w:szCs w:val="20"/>
        </w:rPr>
        <w:t>), and areas in Brunei. Their distinct language and culture are less known today due to younger generations' disinterest and lack of records [14]</w:t>
      </w:r>
      <w:r w:rsidRPr="009A5DA9">
        <w:rPr>
          <w:rFonts w:asciiTheme="majorHAnsi" w:hAnsiTheme="majorHAnsi" w:cstheme="majorHAnsi"/>
          <w:color w:val="000000" w:themeColor="text1"/>
          <w:sz w:val="20"/>
          <w:szCs w:val="20"/>
        </w:rPr>
        <w:t>.</w:t>
      </w:r>
      <w:r w:rsidRPr="009A5DA9">
        <w:rPr>
          <w:rFonts w:asciiTheme="majorHAnsi" w:hAnsiTheme="majorHAnsi" w:cstheme="majorHAnsi"/>
          <w:sz w:val="20"/>
          <w:szCs w:val="20"/>
        </w:rPr>
        <w:t xml:space="preserve"> Many have assimilated with Malay culture, but efforts to revive and preserve Jatti </w:t>
      </w:r>
      <w:proofErr w:type="spellStart"/>
      <w:r w:rsidRPr="009A5DA9">
        <w:rPr>
          <w:rFonts w:asciiTheme="majorHAnsi" w:hAnsiTheme="majorHAnsi" w:cstheme="majorHAnsi"/>
          <w:sz w:val="20"/>
          <w:szCs w:val="20"/>
        </w:rPr>
        <w:t>Miriek's</w:t>
      </w:r>
      <w:proofErr w:type="spellEnd"/>
      <w:r w:rsidRPr="009A5DA9">
        <w:rPr>
          <w:rFonts w:asciiTheme="majorHAnsi" w:hAnsiTheme="majorHAnsi" w:cstheme="majorHAnsi"/>
          <w:sz w:val="20"/>
          <w:szCs w:val="20"/>
        </w:rPr>
        <w:t xml:space="preserve"> heritage are underway. Grave markers, known as </w:t>
      </w:r>
      <w:r w:rsidRPr="009A5DA9">
        <w:rPr>
          <w:rFonts w:asciiTheme="majorHAnsi" w:hAnsiTheme="majorHAnsi" w:cstheme="majorHAnsi"/>
          <w:i/>
          <w:iCs/>
          <w:sz w:val="20"/>
          <w:szCs w:val="20"/>
        </w:rPr>
        <w:t>'</w:t>
      </w:r>
      <w:proofErr w:type="spellStart"/>
      <w:r w:rsidRPr="009A5DA9">
        <w:rPr>
          <w:rFonts w:asciiTheme="majorHAnsi" w:hAnsiTheme="majorHAnsi" w:cstheme="majorHAnsi"/>
          <w:i/>
          <w:iCs/>
          <w:sz w:val="20"/>
          <w:szCs w:val="20"/>
        </w:rPr>
        <w:t>Misan</w:t>
      </w:r>
      <w:proofErr w:type="spellEnd"/>
      <w:r w:rsidRPr="009A5DA9">
        <w:rPr>
          <w:rFonts w:asciiTheme="majorHAnsi" w:hAnsiTheme="majorHAnsi" w:cstheme="majorHAnsi"/>
          <w:i/>
          <w:iCs/>
          <w:sz w:val="20"/>
          <w:szCs w:val="20"/>
        </w:rPr>
        <w:t>'</w:t>
      </w:r>
      <w:r w:rsidRPr="009A5DA9">
        <w:rPr>
          <w:rFonts w:asciiTheme="majorHAnsi" w:hAnsiTheme="majorHAnsi" w:cstheme="majorHAnsi"/>
          <w:sz w:val="20"/>
          <w:szCs w:val="20"/>
        </w:rPr>
        <w:t xml:space="preserve"> or </w:t>
      </w:r>
      <w:r w:rsidRPr="009A5DA9">
        <w:rPr>
          <w:rFonts w:asciiTheme="majorHAnsi" w:hAnsiTheme="majorHAnsi" w:cstheme="majorHAnsi"/>
          <w:i/>
          <w:iCs/>
          <w:sz w:val="20"/>
          <w:szCs w:val="20"/>
        </w:rPr>
        <w:t>'Bisan'</w:t>
      </w:r>
      <w:r w:rsidRPr="009A5DA9">
        <w:rPr>
          <w:rFonts w:asciiTheme="majorHAnsi" w:hAnsiTheme="majorHAnsi" w:cstheme="majorHAnsi"/>
          <w:sz w:val="20"/>
          <w:szCs w:val="20"/>
        </w:rPr>
        <w:t xml:space="preserve"> in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language, bear the deceased's name and dates, aiding family identification [15]. In Sarawak, each ethnic group has unique grave marker traditions influenced by customs, beliefs, and religion. Historically, graves lacked specific markers, using simple stones or wood, and varied burial practices like tree burials or elevated sites. These markers also symbolized the deceased's social status. Today, they help researchers understand historical and familial lineages, with most old Sarawak graves using wooden instead of modern marble or granite markers</w:t>
      </w:r>
      <w:r>
        <w:rPr>
          <w:rFonts w:asciiTheme="majorHAnsi" w:hAnsiTheme="majorHAnsi" w:cstheme="majorHAnsi"/>
          <w:sz w:val="20"/>
          <w:szCs w:val="20"/>
        </w:rPr>
        <w:t>.</w:t>
      </w:r>
    </w:p>
    <w:p w14:paraId="7C888FA1" w14:textId="77777777" w:rsidR="009A5DA9" w:rsidRDefault="009A5DA9" w:rsidP="009A5DA9">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2925"/>
        <w:gridCol w:w="2925"/>
      </w:tblGrid>
      <w:tr w:rsidR="009A5DA9" w14:paraId="52C283A5" w14:textId="77777777" w:rsidTr="005C28E2">
        <w:tc>
          <w:tcPr>
            <w:tcW w:w="2926" w:type="dxa"/>
          </w:tcPr>
          <w:p w14:paraId="6179BF67" w14:textId="6636B782" w:rsidR="009A5DA9" w:rsidRDefault="009A5DA9" w:rsidP="00DF62B1">
            <w:pPr>
              <w:jc w:val="center"/>
              <w:rPr>
                <w:rFonts w:asciiTheme="majorHAnsi" w:hAnsiTheme="majorHAnsi" w:cstheme="majorHAnsi"/>
                <w:sz w:val="20"/>
                <w:szCs w:val="20"/>
              </w:rPr>
            </w:pPr>
            <w:r>
              <w:rPr>
                <w:noProof/>
              </w:rPr>
              <w:drawing>
                <wp:inline distT="0" distB="0" distL="0" distR="0" wp14:anchorId="5C2AF215" wp14:editId="7695F321">
                  <wp:extent cx="857469" cy="1507067"/>
                  <wp:effectExtent l="19050" t="19050" r="19050" b="17145"/>
                  <wp:docPr id="103200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04410" name=""/>
                          <pic:cNvPicPr/>
                        </pic:nvPicPr>
                        <pic:blipFill>
                          <a:blip r:embed="rId9"/>
                          <a:stretch>
                            <a:fillRect/>
                          </a:stretch>
                        </pic:blipFill>
                        <pic:spPr>
                          <a:xfrm>
                            <a:off x="0" y="0"/>
                            <a:ext cx="863183" cy="1517111"/>
                          </a:xfrm>
                          <a:prstGeom prst="rect">
                            <a:avLst/>
                          </a:prstGeom>
                          <a:ln>
                            <a:solidFill>
                              <a:schemeClr val="accent1"/>
                            </a:solidFill>
                          </a:ln>
                        </pic:spPr>
                      </pic:pic>
                    </a:graphicData>
                  </a:graphic>
                </wp:inline>
              </w:drawing>
            </w:r>
          </w:p>
        </w:tc>
        <w:tc>
          <w:tcPr>
            <w:tcW w:w="2925" w:type="dxa"/>
          </w:tcPr>
          <w:p w14:paraId="16B0ABD0" w14:textId="52AF97A6" w:rsidR="009A5DA9" w:rsidRDefault="009A5DA9" w:rsidP="009A5DA9">
            <w:pPr>
              <w:jc w:val="both"/>
              <w:rPr>
                <w:rFonts w:asciiTheme="majorHAnsi" w:hAnsiTheme="majorHAnsi" w:cstheme="majorHAnsi"/>
                <w:sz w:val="20"/>
                <w:szCs w:val="20"/>
              </w:rPr>
            </w:pPr>
            <w:r>
              <w:rPr>
                <w:noProof/>
              </w:rPr>
              <w:drawing>
                <wp:anchor distT="0" distB="0" distL="114300" distR="114300" simplePos="0" relativeHeight="251658240" behindDoc="0" locked="0" layoutInCell="1" allowOverlap="1" wp14:anchorId="355995F8" wp14:editId="15402C7C">
                  <wp:simplePos x="0" y="0"/>
                  <wp:positionH relativeFrom="column">
                    <wp:posOffset>259715</wp:posOffset>
                  </wp:positionH>
                  <wp:positionV relativeFrom="paragraph">
                    <wp:posOffset>19050</wp:posOffset>
                  </wp:positionV>
                  <wp:extent cx="767255" cy="1524000"/>
                  <wp:effectExtent l="19050" t="19050" r="13970" b="19050"/>
                  <wp:wrapTopAndBottom/>
                  <wp:docPr id="605692351" name="Picture 1" descr="A close up of a sculp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692351" name="Picture 1" descr="A close up of a sculptur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67255" cy="1524000"/>
                          </a:xfrm>
                          <a:prstGeom prst="rect">
                            <a:avLst/>
                          </a:prstGeom>
                          <a:ln>
                            <a:solidFill>
                              <a:schemeClr val="accent1"/>
                            </a:solidFill>
                          </a:ln>
                        </pic:spPr>
                      </pic:pic>
                    </a:graphicData>
                  </a:graphic>
                </wp:anchor>
              </w:drawing>
            </w:r>
          </w:p>
        </w:tc>
        <w:tc>
          <w:tcPr>
            <w:tcW w:w="2925" w:type="dxa"/>
          </w:tcPr>
          <w:p w14:paraId="26ADA4BE" w14:textId="77777777" w:rsidR="009A5DA9" w:rsidRDefault="009A5DA9" w:rsidP="009A5DA9">
            <w:pPr>
              <w:jc w:val="both"/>
              <w:rPr>
                <w:rFonts w:asciiTheme="majorHAnsi" w:hAnsiTheme="majorHAnsi" w:cstheme="majorHAnsi"/>
                <w:sz w:val="20"/>
                <w:szCs w:val="20"/>
              </w:rPr>
            </w:pPr>
            <w:r>
              <w:rPr>
                <w:noProof/>
              </w:rPr>
              <w:drawing>
                <wp:inline distT="0" distB="0" distL="0" distR="0" wp14:anchorId="5CABEA2E" wp14:editId="4A43CEA3">
                  <wp:extent cx="695580" cy="1506220"/>
                  <wp:effectExtent l="19050" t="19050" r="28575" b="17780"/>
                  <wp:docPr id="581683977" name="Picture 1" descr="A close up of a sculp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83977" name="Picture 1" descr="A close up of a sculpture&#10;&#10;Description automatically generated"/>
                          <pic:cNvPicPr/>
                        </pic:nvPicPr>
                        <pic:blipFill>
                          <a:blip r:embed="rId11"/>
                          <a:stretch>
                            <a:fillRect/>
                          </a:stretch>
                        </pic:blipFill>
                        <pic:spPr>
                          <a:xfrm>
                            <a:off x="0" y="0"/>
                            <a:ext cx="700203" cy="1516230"/>
                          </a:xfrm>
                          <a:prstGeom prst="rect">
                            <a:avLst/>
                          </a:prstGeom>
                          <a:ln>
                            <a:solidFill>
                              <a:schemeClr val="accent1"/>
                            </a:solidFill>
                          </a:ln>
                        </pic:spPr>
                      </pic:pic>
                    </a:graphicData>
                  </a:graphic>
                </wp:inline>
              </w:drawing>
            </w:r>
          </w:p>
          <w:p w14:paraId="12BC096E" w14:textId="7B754383" w:rsidR="005C28E2" w:rsidRDefault="005C28E2" w:rsidP="009A5DA9">
            <w:pPr>
              <w:jc w:val="both"/>
              <w:rPr>
                <w:rFonts w:asciiTheme="majorHAnsi" w:hAnsiTheme="majorHAnsi" w:cstheme="majorHAnsi"/>
                <w:sz w:val="20"/>
                <w:szCs w:val="20"/>
              </w:rPr>
            </w:pPr>
          </w:p>
        </w:tc>
      </w:tr>
      <w:tr w:rsidR="009A5DA9" w14:paraId="7579360A" w14:textId="77777777" w:rsidTr="005C28E2">
        <w:tc>
          <w:tcPr>
            <w:tcW w:w="8776" w:type="dxa"/>
            <w:gridSpan w:val="3"/>
          </w:tcPr>
          <w:p w14:paraId="34C49AF3" w14:textId="0812EE93" w:rsidR="009A5DA9" w:rsidRDefault="009A5DA9" w:rsidP="009A5DA9">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9A5DA9">
              <w:rPr>
                <w:rFonts w:asciiTheme="majorHAnsi" w:hAnsiTheme="majorHAnsi" w:cstheme="majorHAnsi"/>
                <w:bCs/>
                <w:sz w:val="16"/>
                <w:szCs w:val="16"/>
              </w:rPr>
              <w:t xml:space="preserve">2. A few examples of Jatti </w:t>
            </w:r>
            <w:proofErr w:type="spellStart"/>
            <w:r w:rsidRPr="009A5DA9">
              <w:rPr>
                <w:rFonts w:asciiTheme="majorHAnsi" w:hAnsiTheme="majorHAnsi" w:cstheme="majorHAnsi"/>
                <w:bCs/>
                <w:sz w:val="16"/>
                <w:szCs w:val="16"/>
              </w:rPr>
              <w:t>Miriek</w:t>
            </w:r>
            <w:proofErr w:type="spellEnd"/>
            <w:r w:rsidRPr="009A5DA9">
              <w:rPr>
                <w:rFonts w:asciiTheme="majorHAnsi" w:hAnsiTheme="majorHAnsi" w:cstheme="majorHAnsi"/>
                <w:bCs/>
                <w:sz w:val="16"/>
                <w:szCs w:val="16"/>
              </w:rPr>
              <w:t xml:space="preserve"> Grave Markers in Miri, Sarawak</w:t>
            </w:r>
          </w:p>
        </w:tc>
      </w:tr>
    </w:tbl>
    <w:p w14:paraId="45DB8BB4" w14:textId="77777777" w:rsidR="009A5DA9" w:rsidRPr="005C28E2" w:rsidRDefault="009A5DA9" w:rsidP="009A5DA9">
      <w:pPr>
        <w:ind w:left="284" w:firstLine="283"/>
        <w:jc w:val="both"/>
        <w:rPr>
          <w:rFonts w:asciiTheme="majorHAnsi" w:hAnsiTheme="majorHAnsi" w:cstheme="majorHAnsi"/>
        </w:rPr>
      </w:pPr>
    </w:p>
    <w:p w14:paraId="5938C2AB" w14:textId="77777777" w:rsidR="009A5DA9" w:rsidRPr="005C28E2" w:rsidRDefault="009A5DA9" w:rsidP="009A5DA9">
      <w:pPr>
        <w:ind w:left="284" w:firstLine="283"/>
        <w:jc w:val="both"/>
        <w:rPr>
          <w:rFonts w:asciiTheme="majorHAnsi" w:hAnsiTheme="majorHAnsi" w:cstheme="majorHAnsi"/>
          <w:sz w:val="20"/>
          <w:szCs w:val="20"/>
        </w:rPr>
      </w:pPr>
      <w:r w:rsidRPr="005C28E2">
        <w:rPr>
          <w:rFonts w:asciiTheme="majorHAnsi" w:hAnsiTheme="majorHAnsi" w:cstheme="majorHAnsi"/>
          <w:sz w:val="20"/>
          <w:szCs w:val="20"/>
        </w:rPr>
        <w:t xml:space="preserve">Jatti </w:t>
      </w:r>
      <w:proofErr w:type="spellStart"/>
      <w:r w:rsidRPr="005C28E2">
        <w:rPr>
          <w:rFonts w:asciiTheme="majorHAnsi" w:hAnsiTheme="majorHAnsi" w:cstheme="majorHAnsi"/>
          <w:sz w:val="20"/>
          <w:szCs w:val="20"/>
        </w:rPr>
        <w:t>Miriek's</w:t>
      </w:r>
      <w:proofErr w:type="spellEnd"/>
      <w:r w:rsidRPr="005C28E2">
        <w:rPr>
          <w:rFonts w:asciiTheme="majorHAnsi" w:hAnsiTheme="majorHAnsi" w:cstheme="majorHAnsi"/>
          <w:sz w:val="20"/>
          <w:szCs w:val="20"/>
        </w:rPr>
        <w:t xml:space="preserve"> old graveyards are unique for using durable '</w:t>
      </w:r>
      <w:proofErr w:type="spellStart"/>
      <w:r w:rsidRPr="005C28E2">
        <w:rPr>
          <w:rFonts w:asciiTheme="majorHAnsi" w:hAnsiTheme="majorHAnsi" w:cstheme="majorHAnsi"/>
          <w:i/>
          <w:iCs/>
          <w:sz w:val="20"/>
          <w:szCs w:val="20"/>
        </w:rPr>
        <w:t>belian</w:t>
      </w:r>
      <w:proofErr w:type="spellEnd"/>
      <w:r w:rsidRPr="005C28E2">
        <w:rPr>
          <w:rFonts w:asciiTheme="majorHAnsi" w:hAnsiTheme="majorHAnsi" w:cstheme="majorHAnsi"/>
          <w:sz w:val="20"/>
          <w:szCs w:val="20"/>
        </w:rPr>
        <w:t xml:space="preserve">' wood markers, intricately carved, distinguishing their burial culture from other Sarawak ethnic groups. While some groups like Melanau in </w:t>
      </w:r>
      <w:proofErr w:type="spellStart"/>
      <w:r w:rsidRPr="005C28E2">
        <w:rPr>
          <w:rFonts w:asciiTheme="majorHAnsi" w:hAnsiTheme="majorHAnsi" w:cstheme="majorHAnsi"/>
          <w:sz w:val="20"/>
          <w:szCs w:val="20"/>
        </w:rPr>
        <w:t>Belawai</w:t>
      </w:r>
      <w:proofErr w:type="spellEnd"/>
      <w:r w:rsidRPr="005C28E2">
        <w:rPr>
          <w:rFonts w:asciiTheme="majorHAnsi" w:hAnsiTheme="majorHAnsi" w:cstheme="majorHAnsi"/>
          <w:sz w:val="20"/>
          <w:szCs w:val="20"/>
        </w:rPr>
        <w:t xml:space="preserve"> and Rajang, </w:t>
      </w:r>
      <w:proofErr w:type="spellStart"/>
      <w:r w:rsidRPr="005C28E2">
        <w:rPr>
          <w:rFonts w:asciiTheme="majorHAnsi" w:hAnsiTheme="majorHAnsi" w:cstheme="majorHAnsi"/>
          <w:sz w:val="20"/>
          <w:szCs w:val="20"/>
        </w:rPr>
        <w:t>Vaie</w:t>
      </w:r>
      <w:proofErr w:type="spellEnd"/>
      <w:r w:rsidRPr="005C28E2">
        <w:rPr>
          <w:rFonts w:asciiTheme="majorHAnsi" w:hAnsiTheme="majorHAnsi" w:cstheme="majorHAnsi"/>
          <w:sz w:val="20"/>
          <w:szCs w:val="20"/>
        </w:rPr>
        <w:t xml:space="preserve"> in Bintulu, Bajau in Sabah, and Sulu Archipelago, Philippines, also use wooden markers, Jatti </w:t>
      </w:r>
      <w:proofErr w:type="spellStart"/>
      <w:r w:rsidRPr="005C28E2">
        <w:rPr>
          <w:rFonts w:asciiTheme="majorHAnsi" w:hAnsiTheme="majorHAnsi" w:cstheme="majorHAnsi"/>
          <w:sz w:val="20"/>
          <w:szCs w:val="20"/>
        </w:rPr>
        <w:t>Miriek's</w:t>
      </w:r>
      <w:proofErr w:type="spellEnd"/>
      <w:r w:rsidRPr="005C28E2">
        <w:rPr>
          <w:rFonts w:asciiTheme="majorHAnsi" w:hAnsiTheme="majorHAnsi" w:cstheme="majorHAnsi"/>
          <w:sz w:val="20"/>
          <w:szCs w:val="20"/>
        </w:rPr>
        <w:t xml:space="preserve"> have specific features setting them apart, which is further discussed here.</w:t>
      </w:r>
    </w:p>
    <w:p w14:paraId="7190F036" w14:textId="77777777" w:rsidR="009A5DA9" w:rsidRPr="005C28E2" w:rsidRDefault="009A5DA9" w:rsidP="009A5DA9">
      <w:pPr>
        <w:ind w:left="284" w:firstLine="283"/>
        <w:jc w:val="both"/>
        <w:rPr>
          <w:rFonts w:asciiTheme="majorHAnsi" w:hAnsiTheme="majorHAnsi" w:cstheme="majorHAnsi"/>
          <w:bCs/>
          <w:sz w:val="20"/>
          <w:szCs w:val="20"/>
        </w:rPr>
      </w:pPr>
      <w:r w:rsidRPr="005C28E2">
        <w:rPr>
          <w:rFonts w:asciiTheme="majorHAnsi" w:hAnsiTheme="majorHAnsi" w:cstheme="majorHAnsi"/>
          <w:bCs/>
          <w:sz w:val="20"/>
          <w:szCs w:val="20"/>
        </w:rPr>
        <w:t xml:space="preserve">According to elders like Penghulu or Headman, Kipli bin Ali, from Kampung </w:t>
      </w:r>
      <w:proofErr w:type="spellStart"/>
      <w:r w:rsidRPr="005C28E2">
        <w:rPr>
          <w:rFonts w:asciiTheme="majorHAnsi" w:hAnsiTheme="majorHAnsi" w:cstheme="majorHAnsi"/>
          <w:bCs/>
          <w:sz w:val="20"/>
          <w:szCs w:val="20"/>
        </w:rPr>
        <w:t>Ranchah-Ranchah</w:t>
      </w:r>
      <w:proofErr w:type="spellEnd"/>
      <w:r w:rsidRPr="005C28E2">
        <w:rPr>
          <w:rFonts w:asciiTheme="majorHAnsi" w:hAnsiTheme="majorHAnsi" w:cstheme="majorHAnsi"/>
          <w:bCs/>
          <w:sz w:val="20"/>
          <w:szCs w:val="20"/>
        </w:rPr>
        <w:t xml:space="preserve">, among the Jatti </w:t>
      </w:r>
      <w:proofErr w:type="spellStart"/>
      <w:r w:rsidRPr="005C28E2">
        <w:rPr>
          <w:rFonts w:asciiTheme="majorHAnsi" w:hAnsiTheme="majorHAnsi" w:cstheme="majorHAnsi"/>
          <w:bCs/>
          <w:sz w:val="20"/>
          <w:szCs w:val="20"/>
        </w:rPr>
        <w:t>Miriek</w:t>
      </w:r>
      <w:proofErr w:type="spellEnd"/>
      <w:r w:rsidRPr="005C28E2">
        <w:rPr>
          <w:rFonts w:asciiTheme="majorHAnsi" w:hAnsiTheme="majorHAnsi" w:cstheme="majorHAnsi"/>
          <w:bCs/>
          <w:sz w:val="20"/>
          <w:szCs w:val="20"/>
        </w:rPr>
        <w:t xml:space="preserve"> community, there is a belief that some of the old grave carvings were done by the deceased themselves before they passed away. This belief is supported by others like Penghulu Haji </w:t>
      </w:r>
      <w:proofErr w:type="spellStart"/>
      <w:r w:rsidRPr="005C28E2">
        <w:rPr>
          <w:rFonts w:asciiTheme="majorHAnsi" w:hAnsiTheme="majorHAnsi" w:cstheme="majorHAnsi"/>
          <w:bCs/>
          <w:sz w:val="20"/>
          <w:szCs w:val="20"/>
        </w:rPr>
        <w:t>Rapa’ee</w:t>
      </w:r>
      <w:proofErr w:type="spellEnd"/>
      <w:r w:rsidRPr="005C28E2">
        <w:rPr>
          <w:rFonts w:asciiTheme="majorHAnsi" w:hAnsiTheme="majorHAnsi" w:cstheme="majorHAnsi"/>
          <w:bCs/>
          <w:sz w:val="20"/>
          <w:szCs w:val="20"/>
        </w:rPr>
        <w:t xml:space="preserve"> bin Haji Saat from Kampung </w:t>
      </w:r>
      <w:proofErr w:type="spellStart"/>
      <w:r w:rsidRPr="005C28E2">
        <w:rPr>
          <w:rFonts w:asciiTheme="majorHAnsi" w:hAnsiTheme="majorHAnsi" w:cstheme="majorHAnsi"/>
          <w:bCs/>
          <w:sz w:val="20"/>
          <w:szCs w:val="20"/>
        </w:rPr>
        <w:t>Dagang</w:t>
      </w:r>
      <w:proofErr w:type="spellEnd"/>
      <w:r w:rsidRPr="005C28E2">
        <w:rPr>
          <w:rFonts w:asciiTheme="majorHAnsi" w:hAnsiTheme="majorHAnsi" w:cstheme="majorHAnsi"/>
          <w:bCs/>
          <w:sz w:val="20"/>
          <w:szCs w:val="20"/>
        </w:rPr>
        <w:t xml:space="preserve">, </w:t>
      </w:r>
      <w:proofErr w:type="spellStart"/>
      <w:r w:rsidRPr="005C28E2">
        <w:rPr>
          <w:rFonts w:asciiTheme="majorHAnsi" w:hAnsiTheme="majorHAnsi" w:cstheme="majorHAnsi"/>
          <w:bCs/>
          <w:sz w:val="20"/>
          <w:szCs w:val="20"/>
        </w:rPr>
        <w:t>Bekenu</w:t>
      </w:r>
      <w:proofErr w:type="spellEnd"/>
      <w:r w:rsidRPr="005C28E2">
        <w:rPr>
          <w:rFonts w:asciiTheme="majorHAnsi" w:hAnsiTheme="majorHAnsi" w:cstheme="majorHAnsi"/>
          <w:bCs/>
          <w:sz w:val="20"/>
          <w:szCs w:val="20"/>
        </w:rPr>
        <w:t xml:space="preserve">, and a Village Chief, Aman bin Taha, from Kampung </w:t>
      </w:r>
      <w:proofErr w:type="spellStart"/>
      <w:r w:rsidRPr="005C28E2">
        <w:rPr>
          <w:rFonts w:asciiTheme="majorHAnsi" w:hAnsiTheme="majorHAnsi" w:cstheme="majorHAnsi"/>
          <w:bCs/>
          <w:sz w:val="20"/>
          <w:szCs w:val="20"/>
        </w:rPr>
        <w:t>Menjelin</w:t>
      </w:r>
      <w:proofErr w:type="spellEnd"/>
      <w:r w:rsidRPr="005C28E2">
        <w:rPr>
          <w:rFonts w:asciiTheme="majorHAnsi" w:hAnsiTheme="majorHAnsi" w:cstheme="majorHAnsi"/>
          <w:bCs/>
          <w:sz w:val="20"/>
          <w:szCs w:val="20"/>
        </w:rPr>
        <w:t xml:space="preserve">. They suggest that in the past, many Jatti </w:t>
      </w:r>
      <w:proofErr w:type="spellStart"/>
      <w:r w:rsidRPr="005C28E2">
        <w:rPr>
          <w:rFonts w:asciiTheme="majorHAnsi" w:hAnsiTheme="majorHAnsi" w:cstheme="majorHAnsi"/>
          <w:bCs/>
          <w:sz w:val="20"/>
          <w:szCs w:val="20"/>
        </w:rPr>
        <w:t>Miriek</w:t>
      </w:r>
      <w:proofErr w:type="spellEnd"/>
      <w:r w:rsidRPr="005C28E2">
        <w:rPr>
          <w:rFonts w:asciiTheme="majorHAnsi" w:hAnsiTheme="majorHAnsi" w:cstheme="majorHAnsi"/>
          <w:bCs/>
          <w:sz w:val="20"/>
          <w:szCs w:val="20"/>
        </w:rPr>
        <w:t xml:space="preserve"> people had the skill to carve. </w:t>
      </w:r>
    </w:p>
    <w:p w14:paraId="605C3C81" w14:textId="77777777" w:rsidR="009A5DA9" w:rsidRPr="005C28E2" w:rsidRDefault="009A5DA9" w:rsidP="009A5DA9">
      <w:pPr>
        <w:ind w:left="284" w:firstLine="283"/>
        <w:jc w:val="both"/>
        <w:rPr>
          <w:rFonts w:asciiTheme="majorHAnsi" w:hAnsiTheme="majorHAnsi" w:cstheme="majorHAnsi"/>
          <w:bCs/>
          <w:sz w:val="20"/>
          <w:szCs w:val="20"/>
        </w:rPr>
      </w:pPr>
      <w:r w:rsidRPr="005C28E2">
        <w:rPr>
          <w:rFonts w:asciiTheme="majorHAnsi" w:hAnsiTheme="majorHAnsi" w:cstheme="majorHAnsi"/>
          <w:bCs/>
          <w:sz w:val="20"/>
          <w:szCs w:val="20"/>
        </w:rPr>
        <w:t xml:space="preserve">However, others like Penghulu Haji Adam bin Bujang from Bakam and the Village Chief, Haji Usman bin Suleiman, from </w:t>
      </w:r>
      <w:proofErr w:type="spellStart"/>
      <w:r w:rsidRPr="005C28E2">
        <w:rPr>
          <w:rFonts w:asciiTheme="majorHAnsi" w:hAnsiTheme="majorHAnsi" w:cstheme="majorHAnsi"/>
          <w:bCs/>
          <w:sz w:val="20"/>
          <w:szCs w:val="20"/>
        </w:rPr>
        <w:t>Pujut</w:t>
      </w:r>
      <w:proofErr w:type="spellEnd"/>
      <w:r w:rsidRPr="005C28E2">
        <w:rPr>
          <w:rFonts w:asciiTheme="majorHAnsi" w:hAnsiTheme="majorHAnsi" w:cstheme="majorHAnsi"/>
          <w:bCs/>
          <w:sz w:val="20"/>
          <w:szCs w:val="20"/>
        </w:rPr>
        <w:t xml:space="preserve"> Tanjung Batu, think differently. They believe not all graves were carved by the deceased but were commissioned instead, with similar carving styles suggesting the same carver or group made them. Today, there are no longer any carvers or practitioners of this art, as it hasn't been passed down to the next generation, as shared by descendants and elders of the Jatti </w:t>
      </w:r>
      <w:proofErr w:type="spellStart"/>
      <w:r w:rsidRPr="005C28E2">
        <w:rPr>
          <w:rFonts w:asciiTheme="majorHAnsi" w:hAnsiTheme="majorHAnsi" w:cstheme="majorHAnsi"/>
          <w:bCs/>
          <w:sz w:val="20"/>
          <w:szCs w:val="20"/>
        </w:rPr>
        <w:t>Miriek</w:t>
      </w:r>
      <w:proofErr w:type="spellEnd"/>
      <w:r w:rsidRPr="005C28E2">
        <w:rPr>
          <w:rFonts w:asciiTheme="majorHAnsi" w:hAnsiTheme="majorHAnsi" w:cstheme="majorHAnsi"/>
          <w:bCs/>
          <w:sz w:val="20"/>
          <w:szCs w:val="20"/>
        </w:rPr>
        <w:t xml:space="preserve"> community.</w:t>
      </w:r>
    </w:p>
    <w:p w14:paraId="4D8A087D" w14:textId="77777777" w:rsidR="009A5DA9" w:rsidRPr="005C28E2" w:rsidRDefault="009A5DA9" w:rsidP="009A5DA9">
      <w:pPr>
        <w:ind w:left="284" w:firstLine="283"/>
        <w:jc w:val="both"/>
        <w:rPr>
          <w:rFonts w:asciiTheme="majorHAnsi" w:hAnsiTheme="majorHAnsi" w:cstheme="majorHAnsi"/>
          <w:sz w:val="20"/>
          <w:szCs w:val="20"/>
        </w:rPr>
      </w:pPr>
      <w:r w:rsidRPr="005C28E2">
        <w:rPr>
          <w:rFonts w:asciiTheme="majorHAnsi" w:hAnsiTheme="majorHAnsi" w:cstheme="majorHAnsi"/>
          <w:sz w:val="20"/>
          <w:szCs w:val="20"/>
        </w:rPr>
        <w:t xml:space="preserve">The Jatti </w:t>
      </w:r>
      <w:proofErr w:type="spellStart"/>
      <w:r w:rsidRPr="005C28E2">
        <w:rPr>
          <w:rFonts w:asciiTheme="majorHAnsi" w:hAnsiTheme="majorHAnsi" w:cstheme="majorHAnsi"/>
          <w:sz w:val="20"/>
          <w:szCs w:val="20"/>
        </w:rPr>
        <w:t>Miriek</w:t>
      </w:r>
      <w:proofErr w:type="spellEnd"/>
      <w:r w:rsidRPr="005C28E2">
        <w:rPr>
          <w:rFonts w:asciiTheme="majorHAnsi" w:hAnsiTheme="majorHAnsi" w:cstheme="majorHAnsi"/>
          <w:sz w:val="20"/>
          <w:szCs w:val="20"/>
        </w:rPr>
        <w:t xml:space="preserve"> grave markers are identified as a unique cultural symbol representing the cultural identity and historical trajectory of the Jatti </w:t>
      </w:r>
      <w:proofErr w:type="spellStart"/>
      <w:r w:rsidRPr="005C28E2">
        <w:rPr>
          <w:rFonts w:asciiTheme="majorHAnsi" w:hAnsiTheme="majorHAnsi" w:cstheme="majorHAnsi"/>
          <w:sz w:val="20"/>
          <w:szCs w:val="20"/>
        </w:rPr>
        <w:t>Miriek</w:t>
      </w:r>
      <w:proofErr w:type="spellEnd"/>
      <w:r w:rsidRPr="005C28E2">
        <w:rPr>
          <w:rFonts w:asciiTheme="majorHAnsi" w:hAnsiTheme="majorHAnsi" w:cstheme="majorHAnsi"/>
          <w:sz w:val="20"/>
          <w:szCs w:val="20"/>
        </w:rPr>
        <w:t xml:space="preserve"> community in Sarawak. The elaborately carved grave markers showcase the fusion of indigenous beliefs from the area with Islamic patterns over time. It shows how the community's religious and cultural customs have changed. The community's historical shifts from animistic foundations to adopting Islamic influences are physically represented in this amalgamation; these shifts are reflected in the art and social structures of the community.</w:t>
      </w:r>
    </w:p>
    <w:p w14:paraId="43748544" w14:textId="77777777" w:rsidR="009A5DA9" w:rsidRDefault="009A5DA9" w:rsidP="009A5DA9">
      <w:pPr>
        <w:ind w:left="284" w:firstLine="283"/>
        <w:jc w:val="both"/>
        <w:rPr>
          <w:rFonts w:ascii="Candara" w:hAnsi="Candara"/>
          <w:sz w:val="18"/>
          <w:szCs w:val="18"/>
        </w:rPr>
      </w:pPr>
    </w:p>
    <w:p w14:paraId="09D851E0" w14:textId="77777777" w:rsidR="005C28E2" w:rsidRDefault="005C28E2" w:rsidP="009A5DA9">
      <w:pPr>
        <w:ind w:left="284" w:firstLine="283"/>
        <w:jc w:val="both"/>
        <w:rPr>
          <w:rFonts w:ascii="Candara" w:hAnsi="Candara"/>
          <w:sz w:val="18"/>
          <w:szCs w:val="18"/>
        </w:rPr>
      </w:pPr>
    </w:p>
    <w:p w14:paraId="344BE5CD" w14:textId="77777777" w:rsidR="005C28E2" w:rsidRDefault="005C28E2" w:rsidP="009A5DA9">
      <w:pPr>
        <w:ind w:left="284" w:firstLine="283"/>
        <w:jc w:val="both"/>
        <w:rPr>
          <w:rFonts w:ascii="Candara" w:hAnsi="Candara"/>
          <w:sz w:val="18"/>
          <w:szCs w:val="18"/>
        </w:rPr>
      </w:pPr>
    </w:p>
    <w:p w14:paraId="655A590F" w14:textId="77777777" w:rsidR="005C28E2" w:rsidRDefault="005C28E2" w:rsidP="009A5DA9">
      <w:pPr>
        <w:ind w:left="284" w:firstLine="283"/>
        <w:jc w:val="both"/>
        <w:rPr>
          <w:rFonts w:ascii="Candara" w:hAnsi="Candara"/>
          <w:sz w:val="18"/>
          <w:szCs w:val="18"/>
        </w:rPr>
      </w:pPr>
    </w:p>
    <w:p w14:paraId="5E954008" w14:textId="77777777" w:rsidR="005C28E2" w:rsidRDefault="005C28E2" w:rsidP="009A5DA9">
      <w:pPr>
        <w:ind w:left="284" w:firstLine="283"/>
        <w:jc w:val="both"/>
        <w:rPr>
          <w:rFonts w:ascii="Candara" w:hAnsi="Candara"/>
          <w:sz w:val="18"/>
          <w:szCs w:val="18"/>
        </w:rPr>
      </w:pPr>
    </w:p>
    <w:p w14:paraId="50940F64" w14:textId="10678C35" w:rsidR="009A5DA9" w:rsidRPr="009A5DA9" w:rsidRDefault="005C28E2" w:rsidP="009A5DA9">
      <w:pPr>
        <w:pStyle w:val="ListParagraph"/>
        <w:numPr>
          <w:ilvl w:val="0"/>
          <w:numId w:val="9"/>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5.</w:t>
      </w:r>
      <w:r w:rsidRPr="009A5DA9">
        <w:rPr>
          <w:rFonts w:asciiTheme="minorHAnsi" w:hAnsiTheme="minorHAnsi" w:cstheme="minorHAnsi"/>
          <w:b/>
          <w:bCs/>
          <w:i/>
          <w:iCs/>
          <w:sz w:val="18"/>
          <w:szCs w:val="18"/>
        </w:rPr>
        <w:t xml:space="preserve"> Batu Aceh </w:t>
      </w:r>
    </w:p>
    <w:p w14:paraId="3DDFB472" w14:textId="16F1666D"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a renowned Islamic artifact in maritime Southeast Asia, has spread from North Sumatra to Brunei. This artifact has been a focal point of research and publications since the 19</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century. The intricate calligraphy on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indicative of an individual's social status, was typically reserved for high-ranking individuals like Sultans, nobility, and top government officials [16]. Made from sandstone,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represents a transition from older local traditions. It shares similarities with Central Javanese art from the 9</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century and Siamese grave monuments. After a decline in the late 18</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to mid-19</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century,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saw a resurgence in regions like North Sumatra, Kedah, Pahang, and Penang. Recent discoveries include findings in Langkawi in 2016 [17].</w:t>
      </w:r>
    </w:p>
    <w:p w14:paraId="70ECDFC8" w14:textId="77777777" w:rsidR="009A5DA9" w:rsidRPr="009A5DA9" w:rsidRDefault="009A5DA9" w:rsidP="009A5DA9">
      <w:pPr>
        <w:ind w:left="284" w:firstLine="283"/>
        <w:jc w:val="both"/>
        <w:rPr>
          <w:rFonts w:asciiTheme="majorHAnsi" w:hAnsiTheme="majorHAnsi" w:cstheme="majorHAnsi"/>
          <w:sz w:val="20"/>
          <w:szCs w:val="20"/>
        </w:rPr>
      </w:pPr>
    </w:p>
    <w:p w14:paraId="422D273A" w14:textId="18BC4E79" w:rsidR="009A5DA9" w:rsidRPr="009A5DA9" w:rsidRDefault="009A5DA9" w:rsidP="009A5DA9">
      <w:pPr>
        <w:ind w:left="284" w:firstLine="283"/>
        <w:jc w:val="center"/>
        <w:rPr>
          <w:rFonts w:asciiTheme="majorHAnsi" w:hAnsiTheme="majorHAnsi" w:cstheme="majorHAnsi"/>
          <w:sz w:val="20"/>
          <w:szCs w:val="20"/>
        </w:rPr>
      </w:pPr>
      <w:r w:rsidRPr="009A5DA9">
        <w:rPr>
          <w:rFonts w:asciiTheme="majorHAnsi" w:hAnsiTheme="majorHAnsi" w:cstheme="majorHAnsi"/>
          <w:noProof/>
          <w:sz w:val="20"/>
          <w:szCs w:val="20"/>
        </w:rPr>
        <w:drawing>
          <wp:inline distT="0" distB="0" distL="0" distR="0" wp14:anchorId="0B1B2CC9" wp14:editId="3C9D6A2E">
            <wp:extent cx="1391478" cy="1748581"/>
            <wp:effectExtent l="0" t="0" r="0" b="4445"/>
            <wp:docPr id="1554266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1995" cy="1799496"/>
                    </a:xfrm>
                    <a:prstGeom prst="rect">
                      <a:avLst/>
                    </a:prstGeom>
                    <a:noFill/>
                    <a:ln>
                      <a:noFill/>
                    </a:ln>
                  </pic:spPr>
                </pic:pic>
              </a:graphicData>
            </a:graphic>
          </wp:inline>
        </w:drawing>
      </w:r>
    </w:p>
    <w:p w14:paraId="07D4A7CC" w14:textId="77777777" w:rsidR="009A5DA9" w:rsidRPr="009A5DA9" w:rsidRDefault="009A5DA9" w:rsidP="009A5DA9">
      <w:pPr>
        <w:ind w:left="284" w:firstLine="283"/>
        <w:jc w:val="both"/>
        <w:rPr>
          <w:rFonts w:asciiTheme="majorHAnsi" w:hAnsiTheme="majorHAnsi" w:cstheme="majorHAnsi"/>
          <w:sz w:val="20"/>
          <w:szCs w:val="20"/>
        </w:rPr>
      </w:pPr>
    </w:p>
    <w:p w14:paraId="566C4E4A" w14:textId="66BC3182" w:rsidR="009A5DA9" w:rsidRPr="005C28E2" w:rsidRDefault="009A5DA9" w:rsidP="009A5DA9">
      <w:pPr>
        <w:ind w:left="284" w:firstLine="283"/>
        <w:jc w:val="center"/>
        <w:rPr>
          <w:rFonts w:asciiTheme="majorHAnsi" w:hAnsiTheme="majorHAnsi" w:cstheme="majorHAnsi"/>
          <w:sz w:val="16"/>
          <w:szCs w:val="16"/>
        </w:rPr>
      </w:pPr>
      <w:r w:rsidRPr="005C28E2">
        <w:rPr>
          <w:rFonts w:asciiTheme="majorHAnsi" w:hAnsiTheme="majorHAnsi" w:cstheme="majorHAnsi"/>
          <w:bCs/>
          <w:sz w:val="16"/>
          <w:szCs w:val="16"/>
        </w:rPr>
        <w:t xml:space="preserve">Figure 3. Headstone of Sultan Malik As-Shaleh's grave 696 H. or 1297 AD </w:t>
      </w:r>
      <w:r w:rsidR="005C28E2">
        <w:rPr>
          <w:rFonts w:asciiTheme="majorHAnsi" w:hAnsiTheme="majorHAnsi" w:cstheme="majorHAnsi"/>
          <w:bCs/>
          <w:sz w:val="16"/>
          <w:szCs w:val="16"/>
        </w:rPr>
        <w:t>[</w:t>
      </w:r>
      <w:r w:rsidRPr="005C28E2">
        <w:rPr>
          <w:rFonts w:asciiTheme="majorHAnsi" w:hAnsiTheme="majorHAnsi" w:cstheme="majorHAnsi"/>
          <w:bCs/>
          <w:sz w:val="16"/>
          <w:szCs w:val="16"/>
        </w:rPr>
        <w:t>Source: Pusat National Archaeological Research, 2007</w:t>
      </w:r>
      <w:r w:rsidR="005C28E2">
        <w:rPr>
          <w:rFonts w:asciiTheme="majorHAnsi" w:hAnsiTheme="majorHAnsi" w:cstheme="majorHAnsi"/>
          <w:bCs/>
          <w:sz w:val="16"/>
          <w:szCs w:val="16"/>
        </w:rPr>
        <w:t>]</w:t>
      </w:r>
    </w:p>
    <w:p w14:paraId="046A49C0" w14:textId="77777777" w:rsidR="009A5DA9" w:rsidRPr="009A5DA9" w:rsidRDefault="009A5DA9" w:rsidP="009A5DA9">
      <w:pPr>
        <w:ind w:left="284" w:firstLine="283"/>
        <w:jc w:val="both"/>
        <w:rPr>
          <w:rFonts w:asciiTheme="majorHAnsi" w:hAnsiTheme="majorHAnsi" w:cstheme="majorHAnsi"/>
          <w:sz w:val="20"/>
          <w:szCs w:val="20"/>
        </w:rPr>
      </w:pPr>
    </w:p>
    <w:p w14:paraId="6147E208" w14:textId="77777777" w:rsidR="009A5DA9" w:rsidRPr="009A5DA9" w:rsidRDefault="009A5DA9" w:rsidP="009A5DA9">
      <w:pPr>
        <w:ind w:left="284" w:firstLine="283"/>
        <w:jc w:val="both"/>
        <w:rPr>
          <w:rFonts w:asciiTheme="majorHAnsi" w:hAnsiTheme="majorHAnsi" w:cstheme="majorHAnsi"/>
          <w:color w:val="FF0000"/>
          <w:sz w:val="20"/>
          <w:szCs w:val="20"/>
        </w:rPr>
      </w:pPr>
      <w:r w:rsidRPr="009A5DA9">
        <w:rPr>
          <w:rFonts w:asciiTheme="majorHAnsi" w:hAnsiTheme="majorHAnsi" w:cstheme="majorHAnsi"/>
          <w:sz w:val="20"/>
          <w:szCs w:val="20"/>
        </w:rPr>
        <w:t xml:space="preserve">In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calligraphy is frequently employed, including Naskhi, Thuluth, Kufi, Figural, and Samar. The calligraphy script found on Sultan al-Malik al-Saleh's gravestone, as an example (figure 3), blends </w:t>
      </w:r>
      <w:proofErr w:type="spellStart"/>
      <w:r w:rsidRPr="009A5DA9">
        <w:rPr>
          <w:rFonts w:asciiTheme="majorHAnsi" w:hAnsiTheme="majorHAnsi" w:cstheme="majorHAnsi"/>
          <w:sz w:val="20"/>
          <w:szCs w:val="20"/>
        </w:rPr>
        <w:t>Muḥaqqaq</w:t>
      </w:r>
      <w:proofErr w:type="spellEnd"/>
      <w:r w:rsidRPr="009A5DA9">
        <w:rPr>
          <w:rFonts w:asciiTheme="majorHAnsi" w:hAnsiTheme="majorHAnsi" w:cstheme="majorHAnsi"/>
          <w:sz w:val="20"/>
          <w:szCs w:val="20"/>
        </w:rPr>
        <w:t xml:space="preserve"> and Thuluth styles. It reflects the calligraphic developments seen in Iran, Iraq, Anatolia, and Egypt during Ibn </w:t>
      </w:r>
      <w:proofErr w:type="spellStart"/>
      <w:r w:rsidRPr="009A5DA9">
        <w:rPr>
          <w:rFonts w:asciiTheme="majorHAnsi" w:hAnsiTheme="majorHAnsi" w:cstheme="majorHAnsi"/>
          <w:sz w:val="20"/>
          <w:szCs w:val="20"/>
        </w:rPr>
        <w:t>Muqla's</w:t>
      </w:r>
      <w:proofErr w:type="spellEnd"/>
      <w:r w:rsidRPr="009A5DA9">
        <w:rPr>
          <w:rFonts w:asciiTheme="majorHAnsi" w:hAnsiTheme="majorHAnsi" w:cstheme="majorHAnsi"/>
          <w:sz w:val="20"/>
          <w:szCs w:val="20"/>
        </w:rPr>
        <w:t xml:space="preserve"> era in the 10</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century. This suggests that the gravestone dates to Sultan al-Malik al-Saleh's death in 1297 CE, evident from the script and decorative elements like the "mihrab image" and the "knot motif," which are also linked to Islamic Eastern Iranian regions [18]. </w:t>
      </w:r>
    </w:p>
    <w:p w14:paraId="1DB73C41"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The marble grave markers of Malikah Al-</w:t>
      </w:r>
      <w:proofErr w:type="spellStart"/>
      <w:r w:rsidRPr="009A5DA9">
        <w:rPr>
          <w:rFonts w:asciiTheme="majorHAnsi" w:hAnsiTheme="majorHAnsi" w:cstheme="majorHAnsi"/>
          <w:sz w:val="20"/>
          <w:szCs w:val="20"/>
        </w:rPr>
        <w:t>Muazhzhamah</w:t>
      </w:r>
      <w:proofErr w:type="spellEnd"/>
      <w:r w:rsidRPr="009A5DA9">
        <w:rPr>
          <w:rFonts w:asciiTheme="majorHAnsi" w:hAnsiTheme="majorHAnsi" w:cstheme="majorHAnsi"/>
          <w:sz w:val="20"/>
          <w:szCs w:val="20"/>
        </w:rPr>
        <w:t xml:space="preserve"> (figure 4), daughter of Sultan Zainal Abidin bin Ahmad bin Muhammad bin Al-Malik Ash-Salih, feature an inscription of Surah Yasin [19]. It symbolizes Malikah </w:t>
      </w:r>
      <w:proofErr w:type="spellStart"/>
      <w:r w:rsidRPr="009A5DA9">
        <w:rPr>
          <w:rFonts w:asciiTheme="majorHAnsi" w:hAnsiTheme="majorHAnsi" w:cstheme="majorHAnsi"/>
          <w:sz w:val="20"/>
          <w:szCs w:val="20"/>
        </w:rPr>
        <w:t>Nahrasyiyah's</w:t>
      </w:r>
      <w:proofErr w:type="spellEnd"/>
      <w:r w:rsidRPr="009A5DA9">
        <w:rPr>
          <w:rFonts w:asciiTheme="majorHAnsi" w:hAnsiTheme="majorHAnsi" w:cstheme="majorHAnsi"/>
          <w:sz w:val="20"/>
          <w:szCs w:val="20"/>
        </w:rPr>
        <w:t xml:space="preserve"> significance as the heart of the Pasai Ocean and the Pasai Ocean's centrality among Islamic countries in Southeast Asia, akin to Surah Yasin's centrality in the Quran. Consequently, Surah Yasin inscribed on the grave markers signifies the multifaceted role of Malikah </w:t>
      </w:r>
      <w:proofErr w:type="spellStart"/>
      <w:r w:rsidRPr="009A5DA9">
        <w:rPr>
          <w:rFonts w:asciiTheme="majorHAnsi" w:hAnsiTheme="majorHAnsi" w:cstheme="majorHAnsi"/>
          <w:sz w:val="20"/>
          <w:szCs w:val="20"/>
        </w:rPr>
        <w:t>Nahrasyiyah</w:t>
      </w:r>
      <w:proofErr w:type="spellEnd"/>
      <w:r w:rsidRPr="009A5DA9">
        <w:rPr>
          <w:rFonts w:asciiTheme="majorHAnsi" w:hAnsiTheme="majorHAnsi" w:cstheme="majorHAnsi"/>
          <w:sz w:val="20"/>
          <w:szCs w:val="20"/>
        </w:rPr>
        <w:t xml:space="preserve"> and Samudra Pasai, encompassing worldly and spiritual aspects, safety, </w:t>
      </w:r>
      <w:proofErr w:type="spellStart"/>
      <w:r w:rsidRPr="009A5DA9">
        <w:rPr>
          <w:rFonts w:asciiTheme="majorHAnsi" w:hAnsiTheme="majorHAnsi" w:cstheme="majorHAnsi"/>
          <w:sz w:val="20"/>
          <w:szCs w:val="20"/>
        </w:rPr>
        <w:t>defense</w:t>
      </w:r>
      <w:proofErr w:type="spellEnd"/>
      <w:r w:rsidRPr="009A5DA9">
        <w:rPr>
          <w:rFonts w:asciiTheme="majorHAnsi" w:hAnsiTheme="majorHAnsi" w:cstheme="majorHAnsi"/>
          <w:sz w:val="20"/>
          <w:szCs w:val="20"/>
        </w:rPr>
        <w:t xml:space="preserve"> capabilities, and the prosperity and well-being of its people.</w:t>
      </w:r>
    </w:p>
    <w:p w14:paraId="68300BC6" w14:textId="77777777" w:rsidR="009A5DA9" w:rsidRPr="009A5DA9" w:rsidRDefault="009A5DA9" w:rsidP="009A5DA9">
      <w:pPr>
        <w:ind w:left="284" w:firstLine="283"/>
        <w:jc w:val="both"/>
        <w:rPr>
          <w:rFonts w:asciiTheme="majorHAnsi" w:hAnsiTheme="majorHAnsi" w:cstheme="majorHAnsi"/>
          <w:sz w:val="20"/>
          <w:szCs w:val="20"/>
        </w:rPr>
      </w:pPr>
    </w:p>
    <w:p w14:paraId="198F39F2" w14:textId="77777777" w:rsidR="009A5DA9" w:rsidRDefault="009A5DA9" w:rsidP="009A5DA9">
      <w:pPr>
        <w:ind w:left="284" w:firstLine="283"/>
        <w:jc w:val="center"/>
        <w:rPr>
          <w:rFonts w:asciiTheme="majorHAnsi" w:hAnsiTheme="majorHAnsi" w:cstheme="majorHAnsi"/>
          <w:sz w:val="20"/>
          <w:szCs w:val="20"/>
        </w:rPr>
      </w:pPr>
      <w:r w:rsidRPr="009A5DA9">
        <w:rPr>
          <w:rFonts w:asciiTheme="majorHAnsi" w:hAnsiTheme="majorHAnsi" w:cstheme="majorHAnsi"/>
          <w:noProof/>
          <w:sz w:val="20"/>
          <w:szCs w:val="20"/>
        </w:rPr>
        <w:drawing>
          <wp:inline distT="0" distB="0" distL="0" distR="0" wp14:anchorId="636CE487" wp14:editId="0CAF3460">
            <wp:extent cx="1423283" cy="2487150"/>
            <wp:effectExtent l="0" t="0" r="5715" b="8890"/>
            <wp:docPr id="11903063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631" r="27159" b="6590"/>
                    <a:stretch/>
                  </pic:blipFill>
                  <pic:spPr bwMode="auto">
                    <a:xfrm>
                      <a:off x="0" y="0"/>
                      <a:ext cx="1456412" cy="2545042"/>
                    </a:xfrm>
                    <a:prstGeom prst="rect">
                      <a:avLst/>
                    </a:prstGeom>
                    <a:noFill/>
                    <a:ln>
                      <a:noFill/>
                    </a:ln>
                    <a:extLst>
                      <a:ext uri="{53640926-AAD7-44D8-BBD7-CCE9431645EC}">
                        <a14:shadowObscured xmlns:a14="http://schemas.microsoft.com/office/drawing/2010/main"/>
                      </a:ext>
                    </a:extLst>
                  </pic:spPr>
                </pic:pic>
              </a:graphicData>
            </a:graphic>
          </wp:inline>
        </w:drawing>
      </w:r>
    </w:p>
    <w:p w14:paraId="2975496E" w14:textId="77777777" w:rsidR="009A5DA9" w:rsidRPr="009A5DA9" w:rsidRDefault="009A5DA9" w:rsidP="009A5DA9">
      <w:pPr>
        <w:ind w:left="284" w:firstLine="283"/>
        <w:jc w:val="center"/>
        <w:rPr>
          <w:rFonts w:asciiTheme="majorHAnsi" w:hAnsiTheme="majorHAnsi" w:cstheme="majorHAnsi"/>
          <w:sz w:val="20"/>
          <w:szCs w:val="20"/>
        </w:rPr>
      </w:pPr>
    </w:p>
    <w:p w14:paraId="26AEB276" w14:textId="77777777" w:rsidR="009A5DA9" w:rsidRPr="009A5DA9" w:rsidRDefault="009A5DA9" w:rsidP="009A5DA9">
      <w:pPr>
        <w:ind w:left="284" w:firstLine="283"/>
        <w:jc w:val="center"/>
        <w:rPr>
          <w:rFonts w:asciiTheme="majorHAnsi" w:hAnsiTheme="majorHAnsi" w:cstheme="majorHAnsi"/>
          <w:sz w:val="16"/>
          <w:szCs w:val="16"/>
        </w:rPr>
      </w:pPr>
      <w:r w:rsidRPr="009A5DA9">
        <w:rPr>
          <w:rFonts w:asciiTheme="majorHAnsi" w:hAnsiTheme="majorHAnsi" w:cstheme="majorHAnsi"/>
          <w:sz w:val="16"/>
          <w:szCs w:val="16"/>
        </w:rPr>
        <w:t>Figure 4. The grave markers of Malikah Al-</w:t>
      </w:r>
      <w:proofErr w:type="spellStart"/>
      <w:r w:rsidRPr="009A5DA9">
        <w:rPr>
          <w:rFonts w:asciiTheme="majorHAnsi" w:hAnsiTheme="majorHAnsi" w:cstheme="majorHAnsi"/>
          <w:sz w:val="16"/>
          <w:szCs w:val="16"/>
        </w:rPr>
        <w:t>Muazhzhamah</w:t>
      </w:r>
      <w:proofErr w:type="spellEnd"/>
      <w:r w:rsidRPr="009A5DA9">
        <w:rPr>
          <w:rFonts w:asciiTheme="majorHAnsi" w:hAnsiTheme="majorHAnsi" w:cstheme="majorHAnsi"/>
          <w:sz w:val="16"/>
          <w:szCs w:val="16"/>
        </w:rPr>
        <w:t xml:space="preserve">, </w:t>
      </w:r>
      <w:proofErr w:type="spellStart"/>
      <w:r w:rsidRPr="009A5DA9">
        <w:rPr>
          <w:rFonts w:asciiTheme="majorHAnsi" w:hAnsiTheme="majorHAnsi" w:cstheme="majorHAnsi"/>
          <w:sz w:val="16"/>
          <w:szCs w:val="16"/>
        </w:rPr>
        <w:t>Nahrasyiyah</w:t>
      </w:r>
      <w:proofErr w:type="spellEnd"/>
      <w:r w:rsidRPr="009A5DA9">
        <w:rPr>
          <w:rFonts w:asciiTheme="majorHAnsi" w:hAnsiTheme="majorHAnsi" w:cstheme="majorHAnsi"/>
          <w:sz w:val="16"/>
          <w:szCs w:val="16"/>
        </w:rPr>
        <w:t xml:space="preserve"> binti Sultan Zainal Abidin bin Ahmad bin Muhammad bin Al-Malik Ash-</w:t>
      </w:r>
      <w:proofErr w:type="spellStart"/>
      <w:r w:rsidRPr="009A5DA9">
        <w:rPr>
          <w:rFonts w:asciiTheme="majorHAnsi" w:hAnsiTheme="majorHAnsi" w:cstheme="majorHAnsi"/>
          <w:sz w:val="16"/>
          <w:szCs w:val="16"/>
        </w:rPr>
        <w:t>Shalih</w:t>
      </w:r>
      <w:proofErr w:type="spellEnd"/>
      <w:r w:rsidRPr="009A5DA9">
        <w:rPr>
          <w:rFonts w:asciiTheme="majorHAnsi" w:hAnsiTheme="majorHAnsi" w:cstheme="majorHAnsi"/>
          <w:sz w:val="16"/>
          <w:szCs w:val="16"/>
        </w:rPr>
        <w:t xml:space="preserve"> is located in the second period Sultanate cemetery, Kuta Krueng, </w:t>
      </w:r>
      <w:proofErr w:type="spellStart"/>
      <w:r w:rsidRPr="009A5DA9">
        <w:rPr>
          <w:rFonts w:asciiTheme="majorHAnsi" w:hAnsiTheme="majorHAnsi" w:cstheme="majorHAnsi"/>
          <w:sz w:val="16"/>
          <w:szCs w:val="16"/>
        </w:rPr>
        <w:t>Samudera</w:t>
      </w:r>
      <w:proofErr w:type="spellEnd"/>
      <w:r w:rsidRPr="009A5DA9">
        <w:rPr>
          <w:rFonts w:asciiTheme="majorHAnsi" w:hAnsiTheme="majorHAnsi" w:cstheme="majorHAnsi"/>
          <w:sz w:val="16"/>
          <w:szCs w:val="16"/>
        </w:rPr>
        <w:t xml:space="preserve">, North </w:t>
      </w:r>
      <w:proofErr w:type="spellStart"/>
      <w:r w:rsidRPr="009A5DA9">
        <w:rPr>
          <w:rFonts w:asciiTheme="majorHAnsi" w:hAnsiTheme="majorHAnsi" w:cstheme="majorHAnsi"/>
          <w:sz w:val="16"/>
          <w:szCs w:val="16"/>
        </w:rPr>
        <w:t>Aceh.s</w:t>
      </w:r>
      <w:proofErr w:type="spellEnd"/>
    </w:p>
    <w:p w14:paraId="21233C89"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lastRenderedPageBreak/>
        <w:t xml:space="preserve">The most widely used scripts in Aceh are Naskhi and Kufi, but in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in Perak, Kufi script predominates. In calligraphy, one can typically find Sufi poetry and passages from the Quran often feature repeated martyrdom proverbs like </w:t>
      </w:r>
      <w:r w:rsidRPr="009A5DA9">
        <w:rPr>
          <w:rFonts w:asciiTheme="majorHAnsi" w:hAnsiTheme="majorHAnsi" w:cstheme="majorHAnsi"/>
          <w:i/>
          <w:iCs/>
          <w:sz w:val="20"/>
          <w:szCs w:val="20"/>
        </w:rPr>
        <w:t>Allah</w:t>
      </w:r>
      <w:r w:rsidRPr="009A5DA9">
        <w:rPr>
          <w:rFonts w:asciiTheme="majorHAnsi" w:hAnsiTheme="majorHAnsi" w:cstheme="majorHAnsi"/>
          <w:sz w:val="20"/>
          <w:szCs w:val="20"/>
        </w:rPr>
        <w:t xml:space="preserve"> and </w:t>
      </w:r>
      <w:proofErr w:type="spellStart"/>
      <w:r w:rsidRPr="009A5DA9">
        <w:rPr>
          <w:rFonts w:asciiTheme="majorHAnsi" w:hAnsiTheme="majorHAnsi" w:cstheme="majorHAnsi"/>
          <w:i/>
          <w:iCs/>
          <w:sz w:val="20"/>
          <w:szCs w:val="20"/>
        </w:rPr>
        <w:t>Laillahaillalah</w:t>
      </w:r>
      <w:proofErr w:type="spellEnd"/>
      <w:r w:rsidRPr="009A5DA9">
        <w:rPr>
          <w:rFonts w:asciiTheme="majorHAnsi" w:hAnsiTheme="majorHAnsi" w:cstheme="majorHAnsi"/>
          <w:sz w:val="20"/>
          <w:szCs w:val="20"/>
        </w:rPr>
        <w:t xml:space="preserve">. According to </w:t>
      </w:r>
      <w:proofErr w:type="spellStart"/>
      <w:r w:rsidRPr="009A5DA9">
        <w:rPr>
          <w:rFonts w:asciiTheme="majorHAnsi" w:hAnsiTheme="majorHAnsi" w:cstheme="majorHAnsi"/>
          <w:sz w:val="20"/>
          <w:szCs w:val="20"/>
        </w:rPr>
        <w:t>Addini</w:t>
      </w:r>
      <w:proofErr w:type="spellEnd"/>
      <w:r w:rsidRPr="009A5DA9">
        <w:rPr>
          <w:rFonts w:asciiTheme="majorHAnsi" w:hAnsiTheme="majorHAnsi" w:cstheme="majorHAnsi"/>
          <w:sz w:val="20"/>
          <w:szCs w:val="20"/>
        </w:rPr>
        <w:t xml:space="preserve"> [20],</w:t>
      </w:r>
      <w:r w:rsidRPr="009A5DA9">
        <w:rPr>
          <w:rFonts w:asciiTheme="majorHAnsi" w:hAnsiTheme="majorHAnsi" w:cstheme="majorHAnsi"/>
          <w:color w:val="FF0000"/>
          <w:sz w:val="20"/>
          <w:szCs w:val="20"/>
        </w:rPr>
        <w:t xml:space="preserve"> </w:t>
      </w:r>
      <w:r w:rsidRPr="009A5DA9">
        <w:rPr>
          <w:rFonts w:asciiTheme="majorHAnsi" w:hAnsiTheme="majorHAnsi" w:cstheme="majorHAnsi"/>
          <w:sz w:val="20"/>
          <w:szCs w:val="20"/>
        </w:rPr>
        <w:t xml:space="preserve">calligraphy on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is used as a means of preaching, art, adornment, and expression of respect for the deceased as well as their identity and social standing.</w:t>
      </w:r>
    </w:p>
    <w:p w14:paraId="5FD619FA"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i/>
          <w:sz w:val="20"/>
          <w:szCs w:val="20"/>
        </w:rPr>
        <w:t>Batu Aceh</w:t>
      </w:r>
      <w:r w:rsidRPr="009A5DA9">
        <w:rPr>
          <w:rFonts w:asciiTheme="majorHAnsi" w:hAnsiTheme="majorHAnsi" w:cstheme="majorHAnsi"/>
          <w:sz w:val="20"/>
          <w:szCs w:val="20"/>
        </w:rPr>
        <w:t xml:space="preserve"> is generally categorized into three main types: flat, block, and elongated cylindrical ones. The size of the grave marker is believed to be influenced by the deceased's social status and age, with children typically having smaller grave markers than adults [19]. The shape of the grave marker also indirectly indicates the deceased's gender, with flat stones for females and cylindrical for males. This is a notable similarity in using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and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Although flat grave markers with shoulder-like shapes were initially considered for females, observations across the archipelago show that such stones are placed on male graves [21].</w:t>
      </w:r>
    </w:p>
    <w:p w14:paraId="33AF6D3A"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 influence of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on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 is seen in the incorporation of Islamic geometric patterns and calligraphy, reflecting a shared religious heritage. This similarity indicates a cultural exchange, likely facilitated by historical trade and religious connections between the Malay Archipelago and Borneo. The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markers, with their distinct Islamic artistry, contrast the indigenous styles of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highlighting the adaptability and syncretism in the latter’s artistic expressions.</w:t>
      </w:r>
    </w:p>
    <w:p w14:paraId="6BFE2901"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As political relations between Aceh and states in the Malay Peninsula and Indochina strengthened, diverse connections were also formed, between Aceh and various Eastern regions, including those influenced by Chinese culture or China itself. This influence likely extended to Aceh. Concurrently, the influence of these gravestones spread widely, in line with the rapid trade development in the Malay Archipelago. This is particularly interesting as an old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burial ground in Miri is named </w:t>
      </w:r>
      <w:r w:rsidRPr="009A5DA9">
        <w:rPr>
          <w:rFonts w:asciiTheme="majorHAnsi" w:hAnsiTheme="majorHAnsi" w:cstheme="majorHAnsi"/>
          <w:i/>
          <w:iCs/>
          <w:sz w:val="20"/>
          <w:szCs w:val="20"/>
        </w:rPr>
        <w:t>'Tab Sinak'</w:t>
      </w:r>
      <w:r w:rsidRPr="009A5DA9">
        <w:rPr>
          <w:rFonts w:asciiTheme="majorHAnsi" w:hAnsiTheme="majorHAnsi" w:cstheme="majorHAnsi"/>
          <w:sz w:val="20"/>
          <w:szCs w:val="20"/>
        </w:rPr>
        <w:t>, marking where Chinese settlers arrived, indicating Chinese influence alongside Islamic traders [6].</w:t>
      </w:r>
    </w:p>
    <w:p w14:paraId="1077EA87"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Apart from the initial influence of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it is believed to have spread throughout the Malay Archipelago, adapting in terms of materials and motifs to suit the culture and environment of the local community. This influence has been detected across the Malay Peninsula, Southern Thailand, the Borneo islands, and the Southern Philippines. Therefore, the origin of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wooden grave markers can also be studied from the materials used, namely </w:t>
      </w:r>
      <w:proofErr w:type="spellStart"/>
      <w:r w:rsidRPr="009A5DA9">
        <w:rPr>
          <w:rFonts w:asciiTheme="majorHAnsi" w:hAnsiTheme="majorHAnsi" w:cstheme="majorHAnsi"/>
          <w:i/>
          <w:iCs/>
          <w:sz w:val="20"/>
          <w:szCs w:val="20"/>
        </w:rPr>
        <w:t>belian</w:t>
      </w:r>
      <w:proofErr w:type="spellEnd"/>
      <w:r w:rsidRPr="009A5DA9">
        <w:rPr>
          <w:rFonts w:asciiTheme="majorHAnsi" w:hAnsiTheme="majorHAnsi" w:cstheme="majorHAnsi"/>
          <w:i/>
          <w:iCs/>
          <w:sz w:val="20"/>
          <w:szCs w:val="20"/>
        </w:rPr>
        <w:t xml:space="preserve"> </w:t>
      </w:r>
      <w:r w:rsidRPr="009A5DA9">
        <w:rPr>
          <w:rFonts w:asciiTheme="majorHAnsi" w:hAnsiTheme="majorHAnsi" w:cstheme="majorHAnsi"/>
          <w:sz w:val="20"/>
          <w:szCs w:val="20"/>
        </w:rPr>
        <w:t xml:space="preserve">or ironwood. </w:t>
      </w:r>
    </w:p>
    <w:p w14:paraId="2ABEBE33" w14:textId="77777777" w:rsidR="009A5DA9" w:rsidRDefault="009A5DA9" w:rsidP="009A5DA9">
      <w:pPr>
        <w:jc w:val="both"/>
        <w:rPr>
          <w:rFonts w:ascii="Candara" w:hAnsi="Candara"/>
          <w:sz w:val="18"/>
          <w:szCs w:val="18"/>
        </w:rPr>
      </w:pPr>
    </w:p>
    <w:p w14:paraId="689D01CF" w14:textId="181AF931" w:rsidR="009A5DA9" w:rsidRPr="009A5DA9" w:rsidRDefault="005C28E2" w:rsidP="009A5DA9">
      <w:pPr>
        <w:pStyle w:val="ListParagraph"/>
        <w:numPr>
          <w:ilvl w:val="0"/>
          <w:numId w:val="10"/>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6. Bajau </w:t>
      </w:r>
      <w:proofErr w:type="spellStart"/>
      <w:r>
        <w:rPr>
          <w:rFonts w:asciiTheme="minorHAnsi" w:hAnsiTheme="minorHAnsi" w:cstheme="minorHAnsi"/>
          <w:b/>
          <w:bCs/>
          <w:i/>
          <w:iCs/>
          <w:sz w:val="18"/>
          <w:szCs w:val="18"/>
        </w:rPr>
        <w:t>Sunduk</w:t>
      </w:r>
      <w:proofErr w:type="spellEnd"/>
    </w:p>
    <w:p w14:paraId="30C7BCEC" w14:textId="77777777" w:rsid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A more practical design can be seen in the </w:t>
      </w:r>
      <w:proofErr w:type="spellStart"/>
      <w:r w:rsidRPr="009A5DA9">
        <w:rPr>
          <w:rFonts w:asciiTheme="majorHAnsi" w:hAnsiTheme="majorHAnsi" w:cstheme="majorHAnsi"/>
          <w:i/>
          <w:iCs/>
          <w:sz w:val="20"/>
          <w:szCs w:val="20"/>
        </w:rPr>
        <w:t>Sunduk</w:t>
      </w:r>
      <w:proofErr w:type="spellEnd"/>
      <w:r w:rsidRPr="009A5DA9">
        <w:rPr>
          <w:rFonts w:asciiTheme="majorHAnsi" w:hAnsiTheme="majorHAnsi" w:cstheme="majorHAnsi"/>
          <w:sz w:val="20"/>
          <w:szCs w:val="20"/>
        </w:rPr>
        <w:t xml:space="preserve"> of Bajau, which is mostly utilized by the sea nomads of the Sulu Archipelago.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 exhibits echoes of this austere style, indicating an influence that extends beyond aesthetics to pragmatic concerns. Even though they are less elaborate, these marks represent a distinct form of cultural expression by prioritizing functionality over decoration. The influence of early gravestone designs from </w:t>
      </w:r>
      <w:r w:rsidRPr="009A5DA9">
        <w:rPr>
          <w:rFonts w:asciiTheme="majorHAnsi" w:hAnsiTheme="majorHAnsi" w:cstheme="majorHAnsi"/>
          <w:i/>
          <w:sz w:val="20"/>
          <w:szCs w:val="20"/>
        </w:rPr>
        <w:t>Batu Aceh</w:t>
      </w:r>
      <w:r w:rsidRPr="009A5DA9">
        <w:rPr>
          <w:rFonts w:asciiTheme="majorHAnsi" w:hAnsiTheme="majorHAnsi" w:cstheme="majorHAnsi"/>
          <w:sz w:val="20"/>
          <w:szCs w:val="20"/>
        </w:rPr>
        <w:t xml:space="preserve"> spread across the Malay Archipelago, evolving in material and motif choices to align with local cultures. This shift, notably from stone to wood like </w:t>
      </w:r>
      <w:proofErr w:type="spellStart"/>
      <w:r w:rsidRPr="009A5DA9">
        <w:rPr>
          <w:rFonts w:asciiTheme="majorHAnsi" w:hAnsiTheme="majorHAnsi" w:cstheme="majorHAnsi"/>
          <w:i/>
          <w:iCs/>
          <w:sz w:val="20"/>
          <w:szCs w:val="20"/>
        </w:rPr>
        <w:t>belian</w:t>
      </w:r>
      <w:proofErr w:type="spellEnd"/>
      <w:r w:rsidRPr="009A5DA9">
        <w:rPr>
          <w:rFonts w:asciiTheme="majorHAnsi" w:hAnsiTheme="majorHAnsi" w:cstheme="majorHAnsi"/>
          <w:sz w:val="20"/>
          <w:szCs w:val="20"/>
        </w:rPr>
        <w:t xml:space="preserve"> wood, is observed in areas like the Malay Peninsula, Southern Thailand, Borneo, and the Southern Philippines. Other ethnic groups, such as the </w:t>
      </w:r>
      <w:proofErr w:type="spellStart"/>
      <w:r w:rsidRPr="009A5DA9">
        <w:rPr>
          <w:rFonts w:asciiTheme="majorHAnsi" w:hAnsiTheme="majorHAnsi" w:cstheme="majorHAnsi"/>
          <w:sz w:val="20"/>
          <w:szCs w:val="20"/>
        </w:rPr>
        <w:t>Kedayan</w:t>
      </w:r>
      <w:proofErr w:type="spellEnd"/>
      <w:r w:rsidRPr="009A5DA9">
        <w:rPr>
          <w:rFonts w:asciiTheme="majorHAnsi" w:hAnsiTheme="majorHAnsi" w:cstheme="majorHAnsi"/>
          <w:sz w:val="20"/>
          <w:szCs w:val="20"/>
        </w:rPr>
        <w:t xml:space="preserve"> in Miri, the </w:t>
      </w:r>
      <w:proofErr w:type="spellStart"/>
      <w:r w:rsidRPr="009A5DA9">
        <w:rPr>
          <w:rFonts w:asciiTheme="majorHAnsi" w:hAnsiTheme="majorHAnsi" w:cstheme="majorHAnsi"/>
          <w:sz w:val="20"/>
          <w:szCs w:val="20"/>
        </w:rPr>
        <w:t>Vaie</w:t>
      </w:r>
      <w:proofErr w:type="spellEnd"/>
      <w:r w:rsidRPr="009A5DA9">
        <w:rPr>
          <w:rFonts w:asciiTheme="majorHAnsi" w:hAnsiTheme="majorHAnsi" w:cstheme="majorHAnsi"/>
          <w:sz w:val="20"/>
          <w:szCs w:val="20"/>
        </w:rPr>
        <w:t xml:space="preserve"> in Bintulu, and the Melanau in Rajang and </w:t>
      </w:r>
      <w:proofErr w:type="spellStart"/>
      <w:r w:rsidRPr="009A5DA9">
        <w:rPr>
          <w:rFonts w:asciiTheme="majorHAnsi" w:hAnsiTheme="majorHAnsi" w:cstheme="majorHAnsi"/>
          <w:sz w:val="20"/>
          <w:szCs w:val="20"/>
        </w:rPr>
        <w:t>Belawai</w:t>
      </w:r>
      <w:proofErr w:type="spellEnd"/>
      <w:r w:rsidRPr="009A5DA9">
        <w:rPr>
          <w:rFonts w:asciiTheme="majorHAnsi" w:hAnsiTheme="majorHAnsi" w:cstheme="majorHAnsi"/>
          <w:sz w:val="20"/>
          <w:szCs w:val="20"/>
        </w:rPr>
        <w:t xml:space="preserve">, adopted similar carved wooden gravestones to those in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Noteworthy examples include </w:t>
      </w:r>
      <w:proofErr w:type="spellStart"/>
      <w:r w:rsidRPr="009A5DA9">
        <w:rPr>
          <w:rFonts w:asciiTheme="majorHAnsi" w:hAnsiTheme="majorHAnsi" w:cstheme="majorHAnsi"/>
          <w:sz w:val="20"/>
          <w:szCs w:val="20"/>
        </w:rPr>
        <w:t>Permaisuri</w:t>
      </w:r>
      <w:proofErr w:type="spellEnd"/>
      <w:r w:rsidRPr="009A5DA9">
        <w:rPr>
          <w:rFonts w:asciiTheme="majorHAnsi" w:hAnsiTheme="majorHAnsi" w:cstheme="majorHAnsi"/>
          <w:sz w:val="20"/>
          <w:szCs w:val="20"/>
        </w:rPr>
        <w:t xml:space="preserve"> Long Yunus's gravestone in Kota Bharu, Kelantan, and the Bajau </w:t>
      </w:r>
      <w:proofErr w:type="spellStart"/>
      <w:r w:rsidRPr="009A5DA9">
        <w:rPr>
          <w:rFonts w:asciiTheme="majorHAnsi" w:hAnsiTheme="majorHAnsi" w:cstheme="majorHAnsi"/>
          <w:sz w:val="20"/>
          <w:szCs w:val="20"/>
        </w:rPr>
        <w:t>sunduk</w:t>
      </w:r>
      <w:proofErr w:type="spellEnd"/>
      <w:r w:rsidRPr="009A5DA9">
        <w:rPr>
          <w:rFonts w:asciiTheme="majorHAnsi" w:hAnsiTheme="majorHAnsi" w:cstheme="majorHAnsi"/>
          <w:sz w:val="20"/>
          <w:szCs w:val="20"/>
        </w:rPr>
        <w:t xml:space="preserve"> gravestones found on various islands in Sabah and the Sulu Islands, Philippines.</w:t>
      </w:r>
    </w:p>
    <w:p w14:paraId="099C43FA" w14:textId="77777777" w:rsidR="009A5DA9" w:rsidRPr="009A5DA9" w:rsidRDefault="009A5DA9" w:rsidP="009A5DA9">
      <w:pPr>
        <w:ind w:left="284" w:firstLine="283"/>
        <w:jc w:val="both"/>
        <w:rPr>
          <w:rFonts w:asciiTheme="majorHAnsi" w:hAnsiTheme="majorHAnsi" w:cstheme="majorHAnsi"/>
          <w:sz w:val="20"/>
          <w:szCs w:val="20"/>
        </w:rPr>
      </w:pPr>
    </w:p>
    <w:p w14:paraId="79A783CC" w14:textId="77777777" w:rsidR="009A5DA9" w:rsidRPr="009A5DA9" w:rsidRDefault="009A5DA9" w:rsidP="009A5DA9">
      <w:pPr>
        <w:ind w:left="284" w:firstLine="283"/>
        <w:jc w:val="center"/>
        <w:rPr>
          <w:rFonts w:asciiTheme="majorHAnsi" w:hAnsiTheme="majorHAnsi" w:cstheme="majorHAnsi"/>
          <w:b/>
          <w:bCs/>
          <w:sz w:val="20"/>
          <w:szCs w:val="20"/>
        </w:rPr>
      </w:pPr>
      <w:r w:rsidRPr="009A5DA9">
        <w:rPr>
          <w:rFonts w:asciiTheme="majorHAnsi" w:hAnsiTheme="majorHAnsi" w:cstheme="majorHAnsi"/>
          <w:b/>
          <w:bCs/>
          <w:noProof/>
          <w:sz w:val="20"/>
          <w:szCs w:val="20"/>
        </w:rPr>
        <w:drawing>
          <wp:inline distT="0" distB="0" distL="0" distR="0" wp14:anchorId="07379F57" wp14:editId="5CF3073E">
            <wp:extent cx="3616911" cy="2091193"/>
            <wp:effectExtent l="0" t="0" r="3175" b="4445"/>
            <wp:docPr id="1035029859" name="Picture 1" descr="A collage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029859" name="Picture 1" descr="A collage of a group of peopl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632833" cy="2100398"/>
                    </a:xfrm>
                    <a:prstGeom prst="rect">
                      <a:avLst/>
                    </a:prstGeom>
                  </pic:spPr>
                </pic:pic>
              </a:graphicData>
            </a:graphic>
          </wp:inline>
        </w:drawing>
      </w:r>
    </w:p>
    <w:p w14:paraId="2A780FB0" w14:textId="77777777" w:rsidR="009A5DA9" w:rsidRPr="009A5DA9" w:rsidRDefault="009A5DA9" w:rsidP="009A5DA9">
      <w:pPr>
        <w:ind w:left="284" w:firstLine="283"/>
        <w:jc w:val="center"/>
        <w:rPr>
          <w:rFonts w:asciiTheme="majorHAnsi" w:hAnsiTheme="majorHAnsi" w:cstheme="majorHAnsi"/>
          <w:b/>
          <w:bCs/>
          <w:sz w:val="20"/>
          <w:szCs w:val="20"/>
        </w:rPr>
      </w:pPr>
    </w:p>
    <w:p w14:paraId="5AFEA00A" w14:textId="77777777" w:rsidR="009A5DA9" w:rsidRPr="009A5DA9" w:rsidRDefault="009A5DA9" w:rsidP="009A5DA9">
      <w:pPr>
        <w:ind w:left="284" w:firstLine="283"/>
        <w:jc w:val="center"/>
        <w:rPr>
          <w:rFonts w:asciiTheme="majorHAnsi" w:hAnsiTheme="majorHAnsi" w:cstheme="majorHAnsi"/>
          <w:sz w:val="16"/>
          <w:szCs w:val="16"/>
        </w:rPr>
      </w:pPr>
      <w:r w:rsidRPr="009A5DA9">
        <w:rPr>
          <w:rFonts w:asciiTheme="majorHAnsi" w:hAnsiTheme="majorHAnsi" w:cstheme="majorHAnsi"/>
          <w:sz w:val="16"/>
          <w:szCs w:val="16"/>
        </w:rPr>
        <w:t>Figure 5. Other Ethnic Burial Grounds Using Carved Wooden Grave Marker.</w:t>
      </w:r>
    </w:p>
    <w:p w14:paraId="754E75F3" w14:textId="77777777" w:rsidR="009A5DA9" w:rsidRPr="009A5DA9" w:rsidRDefault="009A5DA9" w:rsidP="009A5DA9">
      <w:pPr>
        <w:ind w:left="284" w:firstLine="283"/>
        <w:jc w:val="center"/>
        <w:rPr>
          <w:rFonts w:asciiTheme="majorHAnsi" w:hAnsiTheme="majorHAnsi" w:cstheme="majorHAnsi"/>
          <w:sz w:val="20"/>
          <w:szCs w:val="20"/>
        </w:rPr>
      </w:pPr>
    </w:p>
    <w:p w14:paraId="5E0FCEB5" w14:textId="77777777" w:rsidR="009A5DA9" w:rsidRDefault="009A5DA9" w:rsidP="009A5DA9">
      <w:pPr>
        <w:ind w:left="284" w:firstLine="283"/>
        <w:jc w:val="center"/>
        <w:rPr>
          <w:rFonts w:asciiTheme="majorHAnsi" w:hAnsiTheme="majorHAnsi" w:cstheme="majorHAnsi"/>
          <w:sz w:val="20"/>
          <w:szCs w:val="20"/>
        </w:rPr>
      </w:pPr>
      <w:r w:rsidRPr="009A5DA9">
        <w:rPr>
          <w:rFonts w:asciiTheme="majorHAnsi" w:hAnsiTheme="majorHAnsi" w:cstheme="majorHAnsi"/>
          <w:noProof/>
          <w:sz w:val="20"/>
          <w:szCs w:val="20"/>
        </w:rPr>
        <w:drawing>
          <wp:inline distT="0" distB="0" distL="0" distR="0" wp14:anchorId="228EEB68" wp14:editId="1B595AF7">
            <wp:extent cx="1892410" cy="2523212"/>
            <wp:effectExtent l="0" t="0" r="0" b="0"/>
            <wp:docPr id="1446328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6836" cy="2542447"/>
                    </a:xfrm>
                    <a:prstGeom prst="rect">
                      <a:avLst/>
                    </a:prstGeom>
                    <a:noFill/>
                  </pic:spPr>
                </pic:pic>
              </a:graphicData>
            </a:graphic>
          </wp:inline>
        </w:drawing>
      </w:r>
    </w:p>
    <w:p w14:paraId="52482E37" w14:textId="77777777" w:rsidR="009A5DA9" w:rsidRPr="009A5DA9" w:rsidRDefault="009A5DA9" w:rsidP="009A5DA9">
      <w:pPr>
        <w:ind w:left="284" w:firstLine="283"/>
        <w:jc w:val="center"/>
        <w:rPr>
          <w:rFonts w:asciiTheme="majorHAnsi" w:hAnsiTheme="majorHAnsi" w:cstheme="majorHAnsi"/>
          <w:sz w:val="20"/>
          <w:szCs w:val="20"/>
        </w:rPr>
      </w:pPr>
    </w:p>
    <w:p w14:paraId="1F79D118" w14:textId="77777777" w:rsidR="009A5DA9" w:rsidRPr="009A5DA9" w:rsidRDefault="009A5DA9" w:rsidP="009A5DA9">
      <w:pPr>
        <w:ind w:left="284" w:firstLine="283"/>
        <w:jc w:val="center"/>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 xml:space="preserve">Figure 6: Grave Marker of Queen Long Yunus, Che Ku Tuan Nawi. Tomb in Raja </w:t>
      </w:r>
      <w:proofErr w:type="spellStart"/>
      <w:r w:rsidRPr="009A5DA9">
        <w:rPr>
          <w:rFonts w:asciiTheme="majorHAnsi" w:hAnsiTheme="majorHAnsi" w:cstheme="majorHAnsi"/>
          <w:color w:val="000000" w:themeColor="text1"/>
          <w:sz w:val="16"/>
          <w:szCs w:val="16"/>
        </w:rPr>
        <w:t>Langgar</w:t>
      </w:r>
      <w:proofErr w:type="spellEnd"/>
      <w:r w:rsidRPr="009A5DA9">
        <w:rPr>
          <w:rFonts w:asciiTheme="majorHAnsi" w:hAnsiTheme="majorHAnsi" w:cstheme="majorHAnsi"/>
          <w:color w:val="000000" w:themeColor="text1"/>
          <w:sz w:val="16"/>
          <w:szCs w:val="16"/>
        </w:rPr>
        <w:t>, Kota Bharu. Mid-18th Century</w:t>
      </w:r>
    </w:p>
    <w:p w14:paraId="1F57494E" w14:textId="77777777" w:rsidR="009A5DA9" w:rsidRPr="009A5DA9" w:rsidRDefault="009A5DA9" w:rsidP="009A5DA9">
      <w:pPr>
        <w:ind w:left="284" w:firstLine="283"/>
        <w:jc w:val="center"/>
        <w:rPr>
          <w:rFonts w:asciiTheme="majorHAnsi" w:hAnsiTheme="majorHAnsi" w:cstheme="majorHAnsi"/>
          <w:color w:val="000000" w:themeColor="text1"/>
          <w:sz w:val="20"/>
          <w:szCs w:val="20"/>
        </w:rPr>
      </w:pPr>
    </w:p>
    <w:p w14:paraId="72A40907"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 study indicates, based on Ambary [21], that the design and decoration of the Bajau's </w:t>
      </w:r>
      <w:proofErr w:type="spellStart"/>
      <w:r w:rsidRPr="009A5DA9">
        <w:rPr>
          <w:rFonts w:asciiTheme="majorHAnsi" w:hAnsiTheme="majorHAnsi" w:cstheme="majorHAnsi"/>
          <w:i/>
          <w:iCs/>
          <w:sz w:val="20"/>
          <w:szCs w:val="20"/>
        </w:rPr>
        <w:t>Sunduk</w:t>
      </w:r>
      <w:proofErr w:type="spellEnd"/>
      <w:r w:rsidRPr="009A5DA9">
        <w:rPr>
          <w:rFonts w:asciiTheme="majorHAnsi" w:hAnsiTheme="majorHAnsi" w:cstheme="majorHAnsi"/>
          <w:sz w:val="20"/>
          <w:szCs w:val="20"/>
        </w:rPr>
        <w:t xml:space="preserve"> in Sabah and the Sulu Archipelago may have been influenced by Bugis-Makassar type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grave markers, which have been found in the South, like the Philippines. Located along the marine trade routes that connect Borneo and the Southern Philippines, the Sulu Archipelago was once home to the Islamic Sulu Sultanate and served as a </w:t>
      </w:r>
      <w:proofErr w:type="spellStart"/>
      <w:r w:rsidRPr="009A5DA9">
        <w:rPr>
          <w:rFonts w:asciiTheme="majorHAnsi" w:hAnsiTheme="majorHAnsi" w:cstheme="majorHAnsi"/>
          <w:sz w:val="20"/>
          <w:szCs w:val="20"/>
        </w:rPr>
        <w:t>center</w:t>
      </w:r>
      <w:proofErr w:type="spellEnd"/>
      <w:r w:rsidRPr="009A5DA9">
        <w:rPr>
          <w:rFonts w:asciiTheme="majorHAnsi" w:hAnsiTheme="majorHAnsi" w:cstheme="majorHAnsi"/>
          <w:sz w:val="20"/>
          <w:szCs w:val="20"/>
        </w:rPr>
        <w:t xml:space="preserve"> of artistic and cultural activity. Even though the Bajau are Muslims, their artwork frequently features pre-Islamic native motifs, such as human or animal figures, which are generally forbidden in Islam [23].</w:t>
      </w:r>
    </w:p>
    <w:p w14:paraId="19FB4DA0"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 Bajau grave markers in Southeast Asia's Sulu Archipelago showcase a fusion of Islamic and native civilizations. Researchers examining the Sulu Archipelago's cultural, religious, and artistic past and the early history of Islam in Southeast Asia can learn much from its grave markers. The two primary components of these monuments are the </w:t>
      </w:r>
      <w:proofErr w:type="spellStart"/>
      <w:r w:rsidRPr="009A5DA9">
        <w:rPr>
          <w:rFonts w:asciiTheme="majorHAnsi" w:hAnsiTheme="majorHAnsi" w:cstheme="majorHAnsi"/>
          <w:i/>
          <w:iCs/>
          <w:sz w:val="20"/>
          <w:szCs w:val="20"/>
        </w:rPr>
        <w:t>Sunduk</w:t>
      </w:r>
      <w:proofErr w:type="spellEnd"/>
      <w:r w:rsidRPr="009A5DA9">
        <w:rPr>
          <w:rFonts w:asciiTheme="majorHAnsi" w:hAnsiTheme="majorHAnsi" w:cstheme="majorHAnsi"/>
          <w:sz w:val="20"/>
          <w:szCs w:val="20"/>
        </w:rPr>
        <w:t xml:space="preserve">, which indicates the deceased's gender, and the </w:t>
      </w:r>
      <w:proofErr w:type="spellStart"/>
      <w:r w:rsidRPr="009A5DA9">
        <w:rPr>
          <w:rFonts w:asciiTheme="majorHAnsi" w:hAnsiTheme="majorHAnsi" w:cstheme="majorHAnsi"/>
          <w:i/>
          <w:iCs/>
          <w:sz w:val="20"/>
          <w:szCs w:val="20"/>
        </w:rPr>
        <w:t>Kubul</w:t>
      </w:r>
      <w:proofErr w:type="spellEnd"/>
      <w:r w:rsidRPr="009A5DA9">
        <w:rPr>
          <w:rFonts w:asciiTheme="majorHAnsi" w:hAnsiTheme="majorHAnsi" w:cstheme="majorHAnsi"/>
          <w:i/>
          <w:iCs/>
          <w:sz w:val="20"/>
          <w:szCs w:val="20"/>
        </w:rPr>
        <w:t>,</w:t>
      </w:r>
      <w:r w:rsidRPr="009A5DA9">
        <w:rPr>
          <w:rFonts w:asciiTheme="majorHAnsi" w:hAnsiTheme="majorHAnsi" w:cstheme="majorHAnsi"/>
          <w:sz w:val="20"/>
          <w:szCs w:val="20"/>
        </w:rPr>
        <w:t xml:space="preserve"> a low, open fence encircling the grave. The female’s </w:t>
      </w:r>
      <w:proofErr w:type="spellStart"/>
      <w:r w:rsidRPr="009A5DA9">
        <w:rPr>
          <w:rFonts w:asciiTheme="majorHAnsi" w:hAnsiTheme="majorHAnsi" w:cstheme="majorHAnsi"/>
          <w:sz w:val="20"/>
          <w:szCs w:val="20"/>
        </w:rPr>
        <w:t>S</w:t>
      </w:r>
      <w:r w:rsidRPr="009A5DA9">
        <w:rPr>
          <w:rFonts w:asciiTheme="majorHAnsi" w:hAnsiTheme="majorHAnsi" w:cstheme="majorHAnsi"/>
          <w:i/>
          <w:iCs/>
          <w:sz w:val="20"/>
          <w:szCs w:val="20"/>
        </w:rPr>
        <w:t>unduk</w:t>
      </w:r>
      <w:proofErr w:type="spellEnd"/>
      <w:r w:rsidRPr="009A5DA9">
        <w:rPr>
          <w:rFonts w:asciiTheme="majorHAnsi" w:hAnsiTheme="majorHAnsi" w:cstheme="majorHAnsi"/>
          <w:sz w:val="20"/>
          <w:szCs w:val="20"/>
        </w:rPr>
        <w:t xml:space="preserve"> has a flat, finely carved board, whereas the male’s </w:t>
      </w:r>
      <w:proofErr w:type="spellStart"/>
      <w:r w:rsidRPr="009A5DA9">
        <w:rPr>
          <w:rFonts w:asciiTheme="majorHAnsi" w:hAnsiTheme="majorHAnsi" w:cstheme="majorHAnsi"/>
          <w:i/>
          <w:iCs/>
          <w:sz w:val="20"/>
          <w:szCs w:val="20"/>
        </w:rPr>
        <w:t>Sunduk</w:t>
      </w:r>
      <w:proofErr w:type="spellEnd"/>
      <w:r w:rsidRPr="009A5DA9">
        <w:rPr>
          <w:rFonts w:asciiTheme="majorHAnsi" w:hAnsiTheme="majorHAnsi" w:cstheme="majorHAnsi"/>
          <w:sz w:val="20"/>
          <w:szCs w:val="20"/>
        </w:rPr>
        <w:t xml:space="preserve"> is cylindrical and has a separate base styled like a boat or animal. With components like stylized lotus blossoms, traditional Malay carvings, lattice motifs highlighting the Islamic tradition, and geometric and floral patterns rooted in Islamic history, their design and decoration represent Islamic and indigenous art influences.</w:t>
      </w:r>
    </w:p>
    <w:p w14:paraId="58DDC52C"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These </w:t>
      </w:r>
      <w:proofErr w:type="spellStart"/>
      <w:r w:rsidRPr="009A5DA9">
        <w:rPr>
          <w:rFonts w:asciiTheme="majorHAnsi" w:hAnsiTheme="majorHAnsi" w:cstheme="majorHAnsi"/>
          <w:i/>
          <w:iCs/>
          <w:sz w:val="20"/>
          <w:szCs w:val="20"/>
        </w:rPr>
        <w:t>Sunduk</w:t>
      </w:r>
      <w:r w:rsidRPr="009A5DA9">
        <w:rPr>
          <w:rFonts w:asciiTheme="majorHAnsi" w:hAnsiTheme="majorHAnsi" w:cstheme="majorHAnsi"/>
          <w:sz w:val="20"/>
          <w:szCs w:val="20"/>
        </w:rPr>
        <w:t>s</w:t>
      </w:r>
      <w:proofErr w:type="spellEnd"/>
      <w:r w:rsidRPr="009A5DA9">
        <w:rPr>
          <w:rFonts w:asciiTheme="majorHAnsi" w:hAnsiTheme="majorHAnsi" w:cstheme="majorHAnsi"/>
          <w:sz w:val="20"/>
          <w:szCs w:val="20"/>
        </w:rPr>
        <w:t xml:space="preserve"> share many similarities with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particularly in material, craftsmanship, and carving designs. As previously stated, the influence of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first spread throughout the Malay Archipelago, including the Southern Philippines and the Sulu Archipelago. This impact came in the form of ideas and the application of Islamic ideals to the construction of grave markers at the time. However, the construction material was changed to ironwood. The transition from river stones to ironwood was most likely caused by the abundance and accessibility of wood supplies and the faster way of cutting wood compared to stone.</w:t>
      </w:r>
    </w:p>
    <w:p w14:paraId="4EE1FEDA"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like those in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have a shape that reflects the deceased's gender. Women's wooden markers are beautifully carved panels, whereas men's are cylindrical. </w:t>
      </w:r>
      <w:proofErr w:type="spellStart"/>
      <w:r w:rsidRPr="009A5DA9">
        <w:rPr>
          <w:rFonts w:asciiTheme="majorHAnsi" w:hAnsiTheme="majorHAnsi" w:cstheme="majorHAnsi"/>
          <w:i/>
          <w:iCs/>
          <w:sz w:val="20"/>
          <w:szCs w:val="20"/>
        </w:rPr>
        <w:t>Sunduk</w:t>
      </w:r>
      <w:r w:rsidRPr="009A5DA9">
        <w:rPr>
          <w:rFonts w:asciiTheme="majorHAnsi" w:hAnsiTheme="majorHAnsi" w:cstheme="majorHAnsi"/>
          <w:sz w:val="20"/>
          <w:szCs w:val="20"/>
        </w:rPr>
        <w:t>s</w:t>
      </w:r>
      <w:proofErr w:type="spellEnd"/>
      <w:r w:rsidRPr="009A5DA9">
        <w:rPr>
          <w:rFonts w:asciiTheme="majorHAnsi" w:hAnsiTheme="majorHAnsi" w:cstheme="majorHAnsi"/>
          <w:sz w:val="20"/>
          <w:szCs w:val="20"/>
        </w:rPr>
        <w:t xml:space="preserve">, on the other hand, usually have a distinct base in the shape of a boat or stylized animal, as opposed to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wooden markers, which do not utilize any motifs other than flora and geometry. Regarding the motifs of the wooden grave marker carvings, it is discovered that the art of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wooden grave marker’s carvings is the finest and the most detailed one compared to other ethnic carving arts. All reported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carving art themes have distinct patterns that differ from one another.</w:t>
      </w:r>
    </w:p>
    <w:p w14:paraId="6FC62B47" w14:textId="4EFAD12E"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Thus, research on the grave markers of Bajau and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can advance the knowledge of the evolution of Islamic art in Southeast Asia. This makes it possible to examine how Islamic art changed and adapted to the various cultural contexts of the area, expressing various influences and customs that were present there before influencing and spreading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culture in Miri, Sarawak. Therefore, these two kinds of grave markers provide an intriguing illustration of how visual and material culture can aid in understanding intricate historical and cultural relationships from the past. We can learn more about social structures, cultural traditions, and religious beliefs by dissecting the patterns and designs of these markers. This helps us comprehend historical trends in a certain area.</w:t>
      </w:r>
    </w:p>
    <w:p w14:paraId="167AEE9E" w14:textId="77777777" w:rsidR="009A5DA9" w:rsidRDefault="009A5DA9" w:rsidP="009A5DA9">
      <w:pPr>
        <w:ind w:left="284" w:firstLine="283"/>
        <w:jc w:val="both"/>
        <w:rPr>
          <w:rFonts w:asciiTheme="majorHAnsi" w:hAnsiTheme="majorHAnsi" w:cstheme="majorHAnsi"/>
          <w:sz w:val="20"/>
          <w:szCs w:val="20"/>
        </w:rPr>
      </w:pPr>
    </w:p>
    <w:p w14:paraId="1DEE17BA" w14:textId="6A6012DE" w:rsidR="009A5DA9" w:rsidRDefault="009A5DA9" w:rsidP="009A5DA9">
      <w:pPr>
        <w:pStyle w:val="ListParagraph"/>
        <w:numPr>
          <w:ilvl w:val="0"/>
          <w:numId w:val="10"/>
        </w:numPr>
        <w:ind w:left="567" w:hanging="283"/>
        <w:jc w:val="both"/>
        <w:rPr>
          <w:rFonts w:asciiTheme="minorHAnsi" w:hAnsiTheme="minorHAnsi" w:cstheme="minorHAnsi"/>
          <w:b/>
          <w:bCs/>
          <w:sz w:val="18"/>
          <w:szCs w:val="18"/>
        </w:rPr>
      </w:pPr>
      <w:r w:rsidRPr="009A5DA9">
        <w:rPr>
          <w:rFonts w:asciiTheme="minorHAnsi" w:hAnsiTheme="minorHAnsi" w:cstheme="minorHAnsi"/>
          <w:b/>
          <w:bCs/>
          <w:sz w:val="18"/>
          <w:szCs w:val="18"/>
        </w:rPr>
        <w:lastRenderedPageBreak/>
        <w:t>PROBLEM STATEMENT</w:t>
      </w:r>
    </w:p>
    <w:p w14:paraId="59ACD96B" w14:textId="5CB32D58" w:rsid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 study of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ancient grave markers is a vital step towards understanding the intersection of Southeast Asia's cultural history, architecture, and religious impact. These markers provide essential insights into the architectural development and socio-religious dynamics of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community. However, the dearth of written records and past research on these markers has hampered thorough academic investigation. To comprehend their significance, it is vital to grasp that such grave markers are more than just sepulchral monuments but complex woodcarving artworks intricately intertwined with Islamic architectural traditions [4]. As devotional markers, these markers demonstrate how Islamic aesthetics have been embraced and shared in the community's traditions [7]. As a result, carefully investigating these grave markers can substantially improve our understanding of Southeast Asia's narrative architectural styles and cultural essence. This is especially true when evaluating Islam's influence and manifestation in material culture. Through a contextual exploration of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ancient grave markers, this research endeavour bridges a knowledge vacuum by integrating the fields of architectural studies, Islamic art, and cultural heritage preservation</w:t>
      </w:r>
    </w:p>
    <w:p w14:paraId="4E1B3367" w14:textId="77777777" w:rsidR="009A5DA9" w:rsidRDefault="009A5DA9" w:rsidP="009A5DA9">
      <w:pPr>
        <w:ind w:left="284" w:firstLine="283"/>
        <w:jc w:val="both"/>
        <w:rPr>
          <w:rFonts w:asciiTheme="majorHAnsi" w:hAnsiTheme="majorHAnsi" w:cstheme="majorHAnsi"/>
          <w:sz w:val="20"/>
          <w:szCs w:val="20"/>
        </w:rPr>
      </w:pPr>
    </w:p>
    <w:p w14:paraId="03889129" w14:textId="307B14D3" w:rsidR="009A5DA9" w:rsidRDefault="009A5DA9" w:rsidP="009A5DA9">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293580BA" w14:textId="33C74ABA" w:rsidR="009A5DA9" w:rsidRPr="009A5DA9" w:rsidRDefault="009A5DA9" w:rsidP="009A5DA9">
      <w:pPr>
        <w:ind w:firstLine="284"/>
        <w:jc w:val="both"/>
        <w:rPr>
          <w:rFonts w:asciiTheme="majorHAnsi" w:hAnsiTheme="majorHAnsi" w:cstheme="majorHAnsi"/>
          <w:sz w:val="20"/>
          <w:szCs w:val="20"/>
        </w:rPr>
      </w:pPr>
      <w:r w:rsidRPr="009A5DA9">
        <w:rPr>
          <w:rFonts w:asciiTheme="majorHAnsi" w:hAnsiTheme="majorHAnsi" w:cstheme="majorHAnsi"/>
          <w:sz w:val="20"/>
          <w:szCs w:val="20"/>
        </w:rPr>
        <w:t xml:space="preserve">The methodology of this research takes a multifaceted approach. It comprises the collection of 216 grave markers pictures from 13 different burial sites in Miri, Sarawak (refer to Figure 7, 8 a, b, and c), as well as field trips for direct observation and visual analysis of the designs and motifs. The fieldwork took place near Miri, including </w:t>
      </w:r>
      <w:proofErr w:type="spellStart"/>
      <w:r w:rsidRPr="009A5DA9">
        <w:rPr>
          <w:rFonts w:asciiTheme="majorHAnsi" w:hAnsiTheme="majorHAnsi" w:cstheme="majorHAnsi"/>
          <w:sz w:val="20"/>
          <w:szCs w:val="20"/>
        </w:rPr>
        <w:t>Likauh</w:t>
      </w:r>
      <w:proofErr w:type="spellEnd"/>
      <w:r w:rsidRPr="009A5DA9">
        <w:rPr>
          <w:rFonts w:asciiTheme="majorHAnsi" w:hAnsiTheme="majorHAnsi" w:cstheme="majorHAnsi"/>
          <w:sz w:val="20"/>
          <w:szCs w:val="20"/>
        </w:rPr>
        <w:t xml:space="preserve"> Buie, </w:t>
      </w:r>
      <w:proofErr w:type="spellStart"/>
      <w:r w:rsidRPr="009A5DA9">
        <w:rPr>
          <w:rFonts w:asciiTheme="majorHAnsi" w:hAnsiTheme="majorHAnsi" w:cstheme="majorHAnsi"/>
          <w:sz w:val="20"/>
          <w:szCs w:val="20"/>
        </w:rPr>
        <w:t>Menjelin</w:t>
      </w:r>
      <w:proofErr w:type="spellEnd"/>
      <w:r w:rsidRPr="009A5DA9">
        <w:rPr>
          <w:rFonts w:asciiTheme="majorHAnsi" w:hAnsiTheme="majorHAnsi" w:cstheme="majorHAnsi"/>
          <w:sz w:val="20"/>
          <w:szCs w:val="20"/>
        </w:rPr>
        <w:t xml:space="preserve">, Song </w:t>
      </w:r>
      <w:proofErr w:type="spellStart"/>
      <w:r w:rsidRPr="009A5DA9">
        <w:rPr>
          <w:rFonts w:asciiTheme="majorHAnsi" w:hAnsiTheme="majorHAnsi" w:cstheme="majorHAnsi"/>
          <w:sz w:val="20"/>
          <w:szCs w:val="20"/>
        </w:rPr>
        <w:t>Lekang</w:t>
      </w:r>
      <w:proofErr w:type="spellEnd"/>
      <w:r w:rsidRPr="009A5DA9">
        <w:rPr>
          <w:rFonts w:asciiTheme="majorHAnsi" w:hAnsiTheme="majorHAnsi" w:cstheme="majorHAnsi"/>
          <w:sz w:val="20"/>
          <w:szCs w:val="20"/>
        </w:rPr>
        <w:t xml:space="preserve">, Tanjong </w:t>
      </w:r>
      <w:proofErr w:type="spellStart"/>
      <w:r w:rsidRPr="009A5DA9">
        <w:rPr>
          <w:rFonts w:asciiTheme="majorHAnsi" w:hAnsiTheme="majorHAnsi" w:cstheme="majorHAnsi"/>
          <w:sz w:val="20"/>
          <w:szCs w:val="20"/>
        </w:rPr>
        <w:t>Lobang</w:t>
      </w:r>
      <w:proofErr w:type="spellEnd"/>
      <w:r w:rsidRPr="009A5DA9">
        <w:rPr>
          <w:rFonts w:asciiTheme="majorHAnsi" w:hAnsiTheme="majorHAnsi" w:cstheme="majorHAnsi"/>
          <w:sz w:val="20"/>
          <w:szCs w:val="20"/>
        </w:rPr>
        <w:t xml:space="preserve">, Pelapi, Tab Sinak, </w:t>
      </w:r>
      <w:proofErr w:type="spellStart"/>
      <w:r w:rsidRPr="009A5DA9">
        <w:rPr>
          <w:rFonts w:asciiTheme="majorHAnsi" w:hAnsiTheme="majorHAnsi" w:cstheme="majorHAnsi"/>
          <w:sz w:val="20"/>
          <w:szCs w:val="20"/>
        </w:rPr>
        <w:t>Babutan</w:t>
      </w:r>
      <w:proofErr w:type="spellEnd"/>
      <w:r w:rsidRPr="009A5DA9">
        <w:rPr>
          <w:rFonts w:asciiTheme="majorHAnsi" w:hAnsiTheme="majorHAnsi" w:cstheme="majorHAnsi"/>
          <w:sz w:val="20"/>
          <w:szCs w:val="20"/>
        </w:rPr>
        <w:t xml:space="preserve">, Lat Suran, </w:t>
      </w:r>
      <w:proofErr w:type="spellStart"/>
      <w:r w:rsidRPr="009A5DA9">
        <w:rPr>
          <w:rFonts w:asciiTheme="majorHAnsi" w:hAnsiTheme="majorHAnsi" w:cstheme="majorHAnsi"/>
          <w:sz w:val="20"/>
          <w:szCs w:val="20"/>
        </w:rPr>
        <w:t>Luheng</w:t>
      </w:r>
      <w:proofErr w:type="spellEnd"/>
      <w:r w:rsidRPr="009A5DA9">
        <w:rPr>
          <w:rFonts w:asciiTheme="majorHAnsi" w:hAnsiTheme="majorHAnsi" w:cstheme="majorHAnsi"/>
          <w:sz w:val="20"/>
          <w:szCs w:val="20"/>
        </w:rPr>
        <w:t xml:space="preserve">, Siwak Jaya, </w:t>
      </w:r>
      <w:proofErr w:type="spellStart"/>
      <w:r w:rsidRPr="009A5DA9">
        <w:rPr>
          <w:rFonts w:asciiTheme="majorHAnsi" w:hAnsiTheme="majorHAnsi" w:cstheme="majorHAnsi"/>
          <w:sz w:val="20"/>
          <w:szCs w:val="20"/>
        </w:rPr>
        <w:t>Katong</w:t>
      </w:r>
      <w:proofErr w:type="spellEnd"/>
      <w:r w:rsidRPr="009A5DA9">
        <w:rPr>
          <w:rFonts w:asciiTheme="majorHAnsi" w:hAnsiTheme="majorHAnsi" w:cstheme="majorHAnsi"/>
          <w:sz w:val="20"/>
          <w:szCs w:val="20"/>
        </w:rPr>
        <w:t xml:space="preserve">, </w:t>
      </w:r>
      <w:proofErr w:type="spellStart"/>
      <w:r w:rsidRPr="009A5DA9">
        <w:rPr>
          <w:rFonts w:asciiTheme="majorHAnsi" w:hAnsiTheme="majorHAnsi" w:cstheme="majorHAnsi"/>
          <w:sz w:val="20"/>
          <w:szCs w:val="20"/>
        </w:rPr>
        <w:t>Merafak</w:t>
      </w:r>
      <w:proofErr w:type="spellEnd"/>
      <w:r w:rsidRPr="009A5DA9">
        <w:rPr>
          <w:rFonts w:asciiTheme="majorHAnsi" w:hAnsiTheme="majorHAnsi" w:cstheme="majorHAnsi"/>
          <w:sz w:val="20"/>
          <w:szCs w:val="20"/>
        </w:rPr>
        <w:t>, and Bakam</w:t>
      </w:r>
      <w:r w:rsidRPr="005E66A5">
        <w:rPr>
          <w:rFonts w:asciiTheme="majorHAnsi" w:hAnsiTheme="majorHAnsi" w:cstheme="majorHAnsi"/>
          <w:sz w:val="20"/>
          <w:szCs w:val="20"/>
        </w:rPr>
        <w:t>.</w:t>
      </w:r>
    </w:p>
    <w:p w14:paraId="7A4CFD28" w14:textId="77777777" w:rsidR="009A5DA9" w:rsidRPr="009A5DA9" w:rsidRDefault="009A5DA9" w:rsidP="005C28E2">
      <w:pPr>
        <w:jc w:val="both"/>
        <w:rPr>
          <w:rFonts w:asciiTheme="majorHAnsi" w:hAnsiTheme="majorHAnsi" w:cstheme="majorHAnsi"/>
          <w:bCs/>
          <w:sz w:val="20"/>
          <w:szCs w:val="20"/>
        </w:rPr>
      </w:pPr>
    </w:p>
    <w:p w14:paraId="7698DE70" w14:textId="77777777" w:rsidR="009A5DA9" w:rsidRPr="009A5DA9" w:rsidRDefault="009A5DA9" w:rsidP="009A5DA9">
      <w:pPr>
        <w:ind w:firstLine="284"/>
        <w:jc w:val="center"/>
        <w:rPr>
          <w:rFonts w:asciiTheme="majorHAnsi" w:hAnsiTheme="majorHAnsi" w:cstheme="majorHAnsi"/>
          <w:bCs/>
          <w:sz w:val="20"/>
          <w:szCs w:val="20"/>
        </w:rPr>
      </w:pPr>
      <w:r w:rsidRPr="009A5DA9">
        <w:rPr>
          <w:rFonts w:asciiTheme="majorHAnsi" w:hAnsiTheme="majorHAnsi" w:cstheme="majorHAnsi"/>
          <w:noProof/>
          <w:sz w:val="20"/>
          <w:szCs w:val="20"/>
        </w:rPr>
        <w:drawing>
          <wp:inline distT="0" distB="0" distL="0" distR="0" wp14:anchorId="714D9558" wp14:editId="400B10AA">
            <wp:extent cx="2755621" cy="2600077"/>
            <wp:effectExtent l="0" t="0" r="6985" b="0"/>
            <wp:docPr id="1567727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27087" name=""/>
                    <pic:cNvPicPr/>
                  </pic:nvPicPr>
                  <pic:blipFill>
                    <a:blip r:embed="rId16"/>
                    <a:stretch>
                      <a:fillRect/>
                    </a:stretch>
                  </pic:blipFill>
                  <pic:spPr>
                    <a:xfrm>
                      <a:off x="0" y="0"/>
                      <a:ext cx="2794460" cy="2636723"/>
                    </a:xfrm>
                    <a:prstGeom prst="rect">
                      <a:avLst/>
                    </a:prstGeom>
                  </pic:spPr>
                </pic:pic>
              </a:graphicData>
            </a:graphic>
          </wp:inline>
        </w:drawing>
      </w:r>
    </w:p>
    <w:p w14:paraId="3A53F06F" w14:textId="77777777" w:rsidR="009A5DA9" w:rsidRDefault="009A5DA9" w:rsidP="009A5DA9">
      <w:pPr>
        <w:ind w:firstLine="284"/>
        <w:jc w:val="center"/>
        <w:rPr>
          <w:rFonts w:asciiTheme="majorHAnsi" w:hAnsiTheme="majorHAnsi" w:cstheme="majorHAnsi"/>
          <w:bCs/>
          <w:sz w:val="20"/>
          <w:szCs w:val="20"/>
        </w:rPr>
      </w:pPr>
    </w:p>
    <w:p w14:paraId="619A7914" w14:textId="372FA82F" w:rsidR="009A5DA9" w:rsidRDefault="009A5DA9" w:rsidP="009A5DA9">
      <w:pPr>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 xml:space="preserve">Figure 7. List of locations, </w:t>
      </w:r>
      <w:proofErr w:type="spellStart"/>
      <w:r w:rsidRPr="009A5DA9">
        <w:rPr>
          <w:rFonts w:asciiTheme="majorHAnsi" w:hAnsiTheme="majorHAnsi" w:cstheme="majorHAnsi"/>
          <w:bCs/>
          <w:sz w:val="16"/>
          <w:szCs w:val="16"/>
        </w:rPr>
        <w:t>color</w:t>
      </w:r>
      <w:proofErr w:type="spellEnd"/>
      <w:r w:rsidRPr="009A5DA9">
        <w:rPr>
          <w:rFonts w:asciiTheme="majorHAnsi" w:hAnsiTheme="majorHAnsi" w:cstheme="majorHAnsi"/>
          <w:bCs/>
          <w:sz w:val="16"/>
          <w:szCs w:val="16"/>
        </w:rPr>
        <w:t xml:space="preserve"> codes, and gravestone codes for documenting Jatti </w:t>
      </w:r>
      <w:proofErr w:type="spellStart"/>
      <w:r w:rsidRPr="009A5DA9">
        <w:rPr>
          <w:rFonts w:asciiTheme="majorHAnsi" w:hAnsiTheme="majorHAnsi" w:cstheme="majorHAnsi"/>
          <w:bCs/>
          <w:sz w:val="16"/>
          <w:szCs w:val="16"/>
        </w:rPr>
        <w:t>Miriek</w:t>
      </w:r>
      <w:proofErr w:type="spellEnd"/>
      <w:r w:rsidRPr="009A5DA9">
        <w:rPr>
          <w:rFonts w:asciiTheme="majorHAnsi" w:hAnsiTheme="majorHAnsi" w:cstheme="majorHAnsi"/>
          <w:bCs/>
          <w:sz w:val="16"/>
          <w:szCs w:val="16"/>
        </w:rPr>
        <w:t xml:space="preserve"> grave markers at the old cemetery sites identified in Miri, Sarawak.</w:t>
      </w:r>
    </w:p>
    <w:p w14:paraId="5A631E24" w14:textId="77777777" w:rsidR="009A5DA9" w:rsidRPr="009A5DA9" w:rsidRDefault="009A5DA9" w:rsidP="009A5DA9">
      <w:pPr>
        <w:ind w:firstLine="284"/>
        <w:jc w:val="center"/>
        <w:rPr>
          <w:rFonts w:asciiTheme="majorHAnsi" w:hAnsiTheme="majorHAnsi" w:cstheme="majorHAnsi"/>
          <w:bCs/>
          <w:sz w:val="16"/>
          <w:szCs w:val="16"/>
        </w:rPr>
      </w:pPr>
    </w:p>
    <w:p w14:paraId="7E23E0FC" w14:textId="77777777" w:rsidR="009A5DA9" w:rsidRDefault="009A5DA9" w:rsidP="009A5DA9">
      <w:pPr>
        <w:ind w:firstLine="284"/>
        <w:jc w:val="center"/>
        <w:rPr>
          <w:rFonts w:asciiTheme="majorHAnsi" w:hAnsiTheme="majorHAnsi" w:cstheme="majorHAnsi"/>
          <w:bCs/>
          <w:sz w:val="20"/>
          <w:szCs w:val="20"/>
        </w:rPr>
      </w:pPr>
      <w:r w:rsidRPr="009A5DA9">
        <w:rPr>
          <w:rFonts w:asciiTheme="majorHAnsi" w:hAnsiTheme="majorHAnsi" w:cstheme="majorHAnsi"/>
          <w:noProof/>
          <w:sz w:val="20"/>
          <w:szCs w:val="20"/>
        </w:rPr>
        <w:drawing>
          <wp:inline distT="0" distB="0" distL="0" distR="0" wp14:anchorId="3A88A603" wp14:editId="3A43F5FD">
            <wp:extent cx="4691269" cy="2216039"/>
            <wp:effectExtent l="0" t="0" r="0" b="0"/>
            <wp:docPr id="915956072"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56072" name="Picture 1" descr="A map of a city&#10;&#10;Description automatically generated"/>
                    <pic:cNvPicPr/>
                  </pic:nvPicPr>
                  <pic:blipFill>
                    <a:blip r:embed="rId17"/>
                    <a:stretch>
                      <a:fillRect/>
                    </a:stretch>
                  </pic:blipFill>
                  <pic:spPr>
                    <a:xfrm>
                      <a:off x="0" y="0"/>
                      <a:ext cx="4757793" cy="2247463"/>
                    </a:xfrm>
                    <a:prstGeom prst="rect">
                      <a:avLst/>
                    </a:prstGeom>
                  </pic:spPr>
                </pic:pic>
              </a:graphicData>
            </a:graphic>
          </wp:inline>
        </w:drawing>
      </w:r>
    </w:p>
    <w:p w14:paraId="176CDA5F" w14:textId="77777777" w:rsidR="009A5DA9" w:rsidRPr="009A5DA9" w:rsidRDefault="009A5DA9" w:rsidP="009A5DA9">
      <w:pPr>
        <w:ind w:firstLine="284"/>
        <w:jc w:val="both"/>
        <w:rPr>
          <w:rFonts w:asciiTheme="majorHAnsi" w:hAnsiTheme="majorHAnsi" w:cstheme="majorHAnsi"/>
          <w:bCs/>
          <w:sz w:val="20"/>
          <w:szCs w:val="20"/>
        </w:rPr>
      </w:pPr>
    </w:p>
    <w:p w14:paraId="417B12E4" w14:textId="77777777" w:rsidR="009A5DA9" w:rsidRPr="009A5DA9" w:rsidRDefault="009A5DA9" w:rsidP="009A5DA9">
      <w:pPr>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 xml:space="preserve">Figure 8(a). Location Plan of the </w:t>
      </w:r>
      <w:proofErr w:type="spellStart"/>
      <w:r w:rsidRPr="009A5DA9">
        <w:rPr>
          <w:rFonts w:asciiTheme="majorHAnsi" w:hAnsiTheme="majorHAnsi" w:cstheme="majorHAnsi"/>
          <w:bCs/>
          <w:sz w:val="16"/>
          <w:szCs w:val="16"/>
        </w:rPr>
        <w:t>Merafak</w:t>
      </w:r>
      <w:proofErr w:type="spellEnd"/>
      <w:r w:rsidRPr="009A5DA9">
        <w:rPr>
          <w:rFonts w:asciiTheme="majorHAnsi" w:hAnsiTheme="majorHAnsi" w:cstheme="majorHAnsi"/>
          <w:bCs/>
          <w:sz w:val="16"/>
          <w:szCs w:val="16"/>
        </w:rPr>
        <w:t xml:space="preserve">, </w:t>
      </w:r>
      <w:proofErr w:type="spellStart"/>
      <w:r w:rsidRPr="009A5DA9">
        <w:rPr>
          <w:rFonts w:asciiTheme="majorHAnsi" w:hAnsiTheme="majorHAnsi" w:cstheme="majorHAnsi"/>
          <w:bCs/>
          <w:sz w:val="16"/>
          <w:szCs w:val="16"/>
        </w:rPr>
        <w:t>Babutan</w:t>
      </w:r>
      <w:proofErr w:type="spellEnd"/>
      <w:r w:rsidRPr="009A5DA9">
        <w:rPr>
          <w:rFonts w:asciiTheme="majorHAnsi" w:hAnsiTheme="majorHAnsi" w:cstheme="majorHAnsi"/>
          <w:bCs/>
          <w:sz w:val="16"/>
          <w:szCs w:val="16"/>
        </w:rPr>
        <w:t xml:space="preserve">, </w:t>
      </w:r>
      <w:proofErr w:type="spellStart"/>
      <w:r w:rsidRPr="009A5DA9">
        <w:rPr>
          <w:rFonts w:asciiTheme="majorHAnsi" w:hAnsiTheme="majorHAnsi" w:cstheme="majorHAnsi"/>
          <w:bCs/>
          <w:sz w:val="16"/>
          <w:szCs w:val="16"/>
        </w:rPr>
        <w:t>Likauh</w:t>
      </w:r>
      <w:proofErr w:type="spellEnd"/>
      <w:r w:rsidRPr="009A5DA9">
        <w:rPr>
          <w:rFonts w:asciiTheme="majorHAnsi" w:hAnsiTheme="majorHAnsi" w:cstheme="majorHAnsi"/>
          <w:bCs/>
          <w:sz w:val="16"/>
          <w:szCs w:val="16"/>
        </w:rPr>
        <w:t xml:space="preserve"> Buie, Tab Sinak, Lat Suran, Song </w:t>
      </w:r>
      <w:proofErr w:type="spellStart"/>
      <w:r w:rsidRPr="009A5DA9">
        <w:rPr>
          <w:rFonts w:asciiTheme="majorHAnsi" w:hAnsiTheme="majorHAnsi" w:cstheme="majorHAnsi"/>
          <w:bCs/>
          <w:sz w:val="16"/>
          <w:szCs w:val="16"/>
        </w:rPr>
        <w:t>Lekang</w:t>
      </w:r>
      <w:proofErr w:type="spellEnd"/>
      <w:r w:rsidRPr="009A5DA9">
        <w:rPr>
          <w:rFonts w:asciiTheme="majorHAnsi" w:hAnsiTheme="majorHAnsi" w:cstheme="majorHAnsi"/>
          <w:bCs/>
          <w:sz w:val="16"/>
          <w:szCs w:val="16"/>
        </w:rPr>
        <w:t xml:space="preserve">, and Datuk </w:t>
      </w:r>
      <w:proofErr w:type="spellStart"/>
      <w:r w:rsidRPr="009A5DA9">
        <w:rPr>
          <w:rFonts w:asciiTheme="majorHAnsi" w:hAnsiTheme="majorHAnsi" w:cstheme="majorHAnsi"/>
          <w:bCs/>
          <w:sz w:val="16"/>
          <w:szCs w:val="16"/>
        </w:rPr>
        <w:t>Permaisuri</w:t>
      </w:r>
      <w:proofErr w:type="spellEnd"/>
      <w:r w:rsidRPr="009A5DA9">
        <w:rPr>
          <w:rFonts w:asciiTheme="majorHAnsi" w:hAnsiTheme="majorHAnsi" w:cstheme="majorHAnsi"/>
          <w:bCs/>
          <w:sz w:val="16"/>
          <w:szCs w:val="16"/>
        </w:rPr>
        <w:t xml:space="preserve"> Burial Sites.</w:t>
      </w:r>
    </w:p>
    <w:p w14:paraId="29908BAC" w14:textId="77777777" w:rsidR="009A5DA9" w:rsidRPr="009A5DA9" w:rsidRDefault="009A5DA9" w:rsidP="009A5DA9">
      <w:pPr>
        <w:ind w:firstLine="284"/>
        <w:jc w:val="center"/>
        <w:rPr>
          <w:rFonts w:asciiTheme="majorHAnsi" w:hAnsiTheme="majorHAnsi" w:cstheme="majorHAnsi"/>
          <w:bCs/>
          <w:sz w:val="20"/>
          <w:szCs w:val="20"/>
        </w:rPr>
      </w:pPr>
    </w:p>
    <w:p w14:paraId="294B0CF8" w14:textId="77777777" w:rsidR="009A5DA9" w:rsidRDefault="009A5DA9" w:rsidP="009A5DA9">
      <w:pPr>
        <w:ind w:firstLine="284"/>
        <w:jc w:val="center"/>
        <w:rPr>
          <w:rFonts w:asciiTheme="majorHAnsi" w:hAnsiTheme="majorHAnsi" w:cstheme="majorHAnsi"/>
          <w:bCs/>
          <w:sz w:val="20"/>
          <w:szCs w:val="20"/>
        </w:rPr>
      </w:pPr>
      <w:r w:rsidRPr="009A5DA9">
        <w:rPr>
          <w:rFonts w:asciiTheme="majorHAnsi" w:hAnsiTheme="majorHAnsi" w:cstheme="majorHAnsi"/>
          <w:noProof/>
          <w:sz w:val="20"/>
          <w:szCs w:val="20"/>
        </w:rPr>
        <w:drawing>
          <wp:inline distT="0" distB="0" distL="0" distR="0" wp14:anchorId="179EAB3C" wp14:editId="23365A4F">
            <wp:extent cx="4676775" cy="2083911"/>
            <wp:effectExtent l="0" t="0" r="0" b="0"/>
            <wp:docPr id="53033452"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3452" name="Picture 1" descr="A map of a city&#10;&#10;Description automatically generated"/>
                    <pic:cNvPicPr/>
                  </pic:nvPicPr>
                  <pic:blipFill>
                    <a:blip r:embed="rId18"/>
                    <a:stretch>
                      <a:fillRect/>
                    </a:stretch>
                  </pic:blipFill>
                  <pic:spPr>
                    <a:xfrm>
                      <a:off x="0" y="0"/>
                      <a:ext cx="4697229" cy="2093025"/>
                    </a:xfrm>
                    <a:prstGeom prst="rect">
                      <a:avLst/>
                    </a:prstGeom>
                  </pic:spPr>
                </pic:pic>
              </a:graphicData>
            </a:graphic>
          </wp:inline>
        </w:drawing>
      </w:r>
    </w:p>
    <w:p w14:paraId="0D2CC240" w14:textId="77777777" w:rsidR="009A5DA9" w:rsidRPr="009A5DA9" w:rsidRDefault="009A5DA9" w:rsidP="009A5DA9">
      <w:pPr>
        <w:ind w:firstLine="284"/>
        <w:jc w:val="center"/>
        <w:rPr>
          <w:rFonts w:asciiTheme="majorHAnsi" w:hAnsiTheme="majorHAnsi" w:cstheme="majorHAnsi"/>
          <w:bCs/>
          <w:sz w:val="20"/>
          <w:szCs w:val="20"/>
        </w:rPr>
      </w:pPr>
    </w:p>
    <w:p w14:paraId="3F3D4482" w14:textId="77777777" w:rsidR="009A5DA9" w:rsidRDefault="009A5DA9" w:rsidP="009A5DA9">
      <w:pPr>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 xml:space="preserve">Figure 8(b). Location Plan of the </w:t>
      </w:r>
      <w:proofErr w:type="spellStart"/>
      <w:r w:rsidRPr="009A5DA9">
        <w:rPr>
          <w:rFonts w:asciiTheme="majorHAnsi" w:hAnsiTheme="majorHAnsi" w:cstheme="majorHAnsi"/>
          <w:bCs/>
          <w:sz w:val="16"/>
          <w:szCs w:val="16"/>
        </w:rPr>
        <w:t>Katong</w:t>
      </w:r>
      <w:proofErr w:type="spellEnd"/>
      <w:r w:rsidRPr="009A5DA9">
        <w:rPr>
          <w:rFonts w:asciiTheme="majorHAnsi" w:hAnsiTheme="majorHAnsi" w:cstheme="majorHAnsi"/>
          <w:bCs/>
          <w:sz w:val="16"/>
          <w:szCs w:val="16"/>
        </w:rPr>
        <w:t xml:space="preserve">, </w:t>
      </w:r>
      <w:proofErr w:type="spellStart"/>
      <w:r w:rsidRPr="009A5DA9">
        <w:rPr>
          <w:rFonts w:asciiTheme="majorHAnsi" w:hAnsiTheme="majorHAnsi" w:cstheme="majorHAnsi"/>
          <w:bCs/>
          <w:sz w:val="16"/>
          <w:szCs w:val="16"/>
        </w:rPr>
        <w:t>Luheng</w:t>
      </w:r>
      <w:proofErr w:type="spellEnd"/>
      <w:r w:rsidRPr="009A5DA9">
        <w:rPr>
          <w:rFonts w:asciiTheme="majorHAnsi" w:hAnsiTheme="majorHAnsi" w:cstheme="majorHAnsi"/>
          <w:bCs/>
          <w:sz w:val="16"/>
          <w:szCs w:val="16"/>
        </w:rPr>
        <w:t xml:space="preserve">, and Tanjong </w:t>
      </w:r>
      <w:proofErr w:type="spellStart"/>
      <w:r w:rsidRPr="009A5DA9">
        <w:rPr>
          <w:rFonts w:asciiTheme="majorHAnsi" w:hAnsiTheme="majorHAnsi" w:cstheme="majorHAnsi"/>
          <w:bCs/>
          <w:sz w:val="16"/>
          <w:szCs w:val="16"/>
        </w:rPr>
        <w:t>Lobang</w:t>
      </w:r>
      <w:proofErr w:type="spellEnd"/>
      <w:r w:rsidRPr="009A5DA9">
        <w:rPr>
          <w:rFonts w:asciiTheme="majorHAnsi" w:hAnsiTheme="majorHAnsi" w:cstheme="majorHAnsi"/>
          <w:bCs/>
          <w:sz w:val="16"/>
          <w:szCs w:val="16"/>
        </w:rPr>
        <w:t xml:space="preserve"> Burial Sites.</w:t>
      </w:r>
    </w:p>
    <w:p w14:paraId="64C6AC48" w14:textId="77777777" w:rsidR="009A5DA9" w:rsidRPr="009A5DA9" w:rsidRDefault="009A5DA9" w:rsidP="009A5DA9">
      <w:pPr>
        <w:ind w:firstLine="284"/>
        <w:jc w:val="center"/>
        <w:rPr>
          <w:rFonts w:asciiTheme="majorHAnsi" w:hAnsiTheme="majorHAnsi" w:cstheme="majorHAnsi"/>
          <w:bCs/>
          <w:sz w:val="16"/>
          <w:szCs w:val="16"/>
        </w:rPr>
      </w:pPr>
    </w:p>
    <w:p w14:paraId="2C7A14D5" w14:textId="77777777" w:rsidR="009A5DA9" w:rsidRDefault="009A5DA9" w:rsidP="009A5DA9">
      <w:pPr>
        <w:ind w:firstLine="284"/>
        <w:jc w:val="center"/>
        <w:rPr>
          <w:rFonts w:asciiTheme="majorHAnsi" w:hAnsiTheme="majorHAnsi" w:cstheme="majorHAnsi"/>
          <w:bCs/>
          <w:sz w:val="20"/>
          <w:szCs w:val="20"/>
        </w:rPr>
      </w:pPr>
      <w:r w:rsidRPr="009A5DA9">
        <w:rPr>
          <w:rFonts w:asciiTheme="majorHAnsi" w:hAnsiTheme="majorHAnsi" w:cstheme="majorHAnsi"/>
          <w:noProof/>
          <w:sz w:val="20"/>
          <w:szCs w:val="20"/>
        </w:rPr>
        <w:drawing>
          <wp:inline distT="0" distB="0" distL="0" distR="0" wp14:anchorId="6FFAB4A0" wp14:editId="529C1AA9">
            <wp:extent cx="4438650" cy="2096707"/>
            <wp:effectExtent l="0" t="0" r="0" b="0"/>
            <wp:docPr id="184708996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089967" name="Picture 1" descr="A map of a city&#10;&#10;Description automatically generated"/>
                    <pic:cNvPicPr/>
                  </pic:nvPicPr>
                  <pic:blipFill>
                    <a:blip r:embed="rId19"/>
                    <a:stretch>
                      <a:fillRect/>
                    </a:stretch>
                  </pic:blipFill>
                  <pic:spPr>
                    <a:xfrm>
                      <a:off x="0" y="0"/>
                      <a:ext cx="4463150" cy="2108280"/>
                    </a:xfrm>
                    <a:prstGeom prst="rect">
                      <a:avLst/>
                    </a:prstGeom>
                  </pic:spPr>
                </pic:pic>
              </a:graphicData>
            </a:graphic>
          </wp:inline>
        </w:drawing>
      </w:r>
    </w:p>
    <w:p w14:paraId="65DF1AA1" w14:textId="77777777" w:rsidR="009A5DA9" w:rsidRPr="009A5DA9" w:rsidRDefault="009A5DA9" w:rsidP="009A5DA9">
      <w:pPr>
        <w:ind w:firstLine="284"/>
        <w:jc w:val="center"/>
        <w:rPr>
          <w:rFonts w:asciiTheme="majorHAnsi" w:hAnsiTheme="majorHAnsi" w:cstheme="majorHAnsi"/>
          <w:bCs/>
          <w:sz w:val="20"/>
          <w:szCs w:val="20"/>
        </w:rPr>
      </w:pPr>
    </w:p>
    <w:p w14:paraId="627DEE8B" w14:textId="77777777" w:rsidR="009A5DA9" w:rsidRPr="009A5DA9" w:rsidRDefault="009A5DA9" w:rsidP="009A5DA9">
      <w:pPr>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Figure 8(c). Location Plan of the Bakam and Siwak Jaya Burial Sites.</w:t>
      </w:r>
    </w:p>
    <w:p w14:paraId="1435290F" w14:textId="77777777" w:rsidR="009A5DA9" w:rsidRPr="009A5DA9" w:rsidRDefault="009A5DA9" w:rsidP="009A5DA9">
      <w:pPr>
        <w:ind w:firstLine="284"/>
        <w:jc w:val="both"/>
        <w:rPr>
          <w:rFonts w:asciiTheme="majorHAnsi" w:hAnsiTheme="majorHAnsi" w:cstheme="majorHAnsi"/>
          <w:bCs/>
          <w:sz w:val="20"/>
          <w:szCs w:val="20"/>
        </w:rPr>
      </w:pPr>
    </w:p>
    <w:p w14:paraId="5674E0C4" w14:textId="77777777" w:rsidR="009A5DA9" w:rsidRDefault="009A5DA9" w:rsidP="009A5DA9">
      <w:pPr>
        <w:ind w:firstLine="284"/>
        <w:jc w:val="both"/>
        <w:rPr>
          <w:rFonts w:asciiTheme="majorHAnsi" w:hAnsiTheme="majorHAnsi" w:cstheme="majorHAnsi"/>
          <w:bCs/>
          <w:sz w:val="20"/>
          <w:szCs w:val="20"/>
        </w:rPr>
      </w:pPr>
      <w:r w:rsidRPr="009A5DA9">
        <w:rPr>
          <w:rFonts w:asciiTheme="majorHAnsi" w:hAnsiTheme="majorHAnsi" w:cstheme="majorHAnsi"/>
          <w:bCs/>
          <w:sz w:val="20"/>
          <w:szCs w:val="20"/>
        </w:rPr>
        <w:t xml:space="preserve">Observations found that several ancient gravesites retain well-preserved grave markers or tombstones with elaborate carvings, especially in </w:t>
      </w:r>
      <w:proofErr w:type="spellStart"/>
      <w:r w:rsidRPr="009A5DA9">
        <w:rPr>
          <w:rFonts w:asciiTheme="majorHAnsi" w:hAnsiTheme="majorHAnsi" w:cstheme="majorHAnsi"/>
          <w:bCs/>
          <w:sz w:val="20"/>
          <w:szCs w:val="20"/>
        </w:rPr>
        <w:t>Merafak</w:t>
      </w:r>
      <w:proofErr w:type="spellEnd"/>
      <w:r w:rsidRPr="009A5DA9">
        <w:rPr>
          <w:rFonts w:asciiTheme="majorHAnsi" w:hAnsiTheme="majorHAnsi" w:cstheme="majorHAnsi"/>
          <w:bCs/>
          <w:sz w:val="20"/>
          <w:szCs w:val="20"/>
        </w:rPr>
        <w:t xml:space="preserve"> and Bakam. In other situations, the deceased's family has replaced existing graves with new marble markers for concern that the graves may become unidentified. Furthermore, other areas, such as Lat Suran and Tanjong </w:t>
      </w:r>
      <w:proofErr w:type="spellStart"/>
      <w:r w:rsidRPr="009A5DA9">
        <w:rPr>
          <w:rFonts w:asciiTheme="majorHAnsi" w:hAnsiTheme="majorHAnsi" w:cstheme="majorHAnsi"/>
          <w:bCs/>
          <w:sz w:val="20"/>
          <w:szCs w:val="20"/>
        </w:rPr>
        <w:t>Lobang</w:t>
      </w:r>
      <w:proofErr w:type="spellEnd"/>
      <w:r w:rsidRPr="009A5DA9">
        <w:rPr>
          <w:rFonts w:asciiTheme="majorHAnsi" w:hAnsiTheme="majorHAnsi" w:cstheme="majorHAnsi"/>
          <w:bCs/>
          <w:sz w:val="20"/>
          <w:szCs w:val="20"/>
        </w:rPr>
        <w:t>, have been abandoned and are no longer used by the local population for burial. There are also old graves whose owners can no longer be identified due to a lack of grave marker inscriptions, the absence of descendants, erosion, or neglect over time.</w:t>
      </w:r>
    </w:p>
    <w:p w14:paraId="6E60DCBC" w14:textId="77777777" w:rsidR="009A5DA9" w:rsidRPr="009A5DA9" w:rsidRDefault="009A5DA9" w:rsidP="009A5DA9">
      <w:pPr>
        <w:ind w:firstLine="284"/>
        <w:jc w:val="both"/>
        <w:rPr>
          <w:rFonts w:asciiTheme="majorHAnsi" w:hAnsiTheme="majorHAnsi" w:cstheme="majorHAnsi"/>
          <w:bCs/>
          <w:sz w:val="20"/>
          <w:szCs w:val="20"/>
        </w:rPr>
      </w:pPr>
    </w:p>
    <w:p w14:paraId="5CDFA182" w14:textId="77777777" w:rsidR="009A5DA9" w:rsidRDefault="009A5DA9" w:rsidP="009A5DA9">
      <w:pPr>
        <w:ind w:firstLine="284"/>
        <w:jc w:val="center"/>
        <w:rPr>
          <w:rFonts w:asciiTheme="majorHAnsi" w:hAnsiTheme="majorHAnsi" w:cstheme="majorHAnsi"/>
          <w:b/>
          <w:sz w:val="20"/>
          <w:szCs w:val="20"/>
        </w:rPr>
      </w:pPr>
      <w:r w:rsidRPr="009A5DA9">
        <w:rPr>
          <w:rFonts w:asciiTheme="majorHAnsi" w:hAnsiTheme="majorHAnsi" w:cstheme="majorHAnsi"/>
          <w:b/>
          <w:noProof/>
          <w:sz w:val="20"/>
          <w:szCs w:val="20"/>
        </w:rPr>
        <w:drawing>
          <wp:inline distT="0" distB="0" distL="0" distR="0" wp14:anchorId="3F465D8B" wp14:editId="0C5EDB69">
            <wp:extent cx="3694627" cy="2091193"/>
            <wp:effectExtent l="0" t="0" r="1270" b="4445"/>
            <wp:docPr id="5986879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06370" cy="2097839"/>
                    </a:xfrm>
                    <a:prstGeom prst="rect">
                      <a:avLst/>
                    </a:prstGeom>
                    <a:noFill/>
                    <a:ln>
                      <a:noFill/>
                    </a:ln>
                  </pic:spPr>
                </pic:pic>
              </a:graphicData>
            </a:graphic>
          </wp:inline>
        </w:drawing>
      </w:r>
    </w:p>
    <w:p w14:paraId="78CA6D3C" w14:textId="77777777" w:rsidR="009A5DA9" w:rsidRPr="009A5DA9" w:rsidRDefault="009A5DA9" w:rsidP="009A5DA9">
      <w:pPr>
        <w:ind w:firstLine="284"/>
        <w:jc w:val="center"/>
        <w:rPr>
          <w:rFonts w:asciiTheme="majorHAnsi" w:hAnsiTheme="majorHAnsi" w:cstheme="majorHAnsi"/>
          <w:b/>
          <w:sz w:val="20"/>
          <w:szCs w:val="20"/>
        </w:rPr>
      </w:pPr>
    </w:p>
    <w:p w14:paraId="0A43DE0F" w14:textId="77777777" w:rsidR="009A5DA9" w:rsidRDefault="009A5DA9" w:rsidP="009A5DA9">
      <w:pPr>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 xml:space="preserve">Figure 9. The historic site in Siwak Jaya, one of 13 burial sites, still contains many preserved Jatti </w:t>
      </w:r>
      <w:proofErr w:type="spellStart"/>
      <w:r w:rsidRPr="009A5DA9">
        <w:rPr>
          <w:rFonts w:asciiTheme="majorHAnsi" w:hAnsiTheme="majorHAnsi" w:cstheme="majorHAnsi"/>
          <w:bCs/>
          <w:sz w:val="16"/>
          <w:szCs w:val="16"/>
        </w:rPr>
        <w:t>Miriek</w:t>
      </w:r>
      <w:proofErr w:type="spellEnd"/>
      <w:r w:rsidRPr="009A5DA9">
        <w:rPr>
          <w:rFonts w:asciiTheme="majorHAnsi" w:hAnsiTheme="majorHAnsi" w:cstheme="majorHAnsi"/>
          <w:bCs/>
          <w:sz w:val="16"/>
          <w:szCs w:val="16"/>
        </w:rPr>
        <w:t xml:space="preserve"> grave markers.</w:t>
      </w:r>
    </w:p>
    <w:p w14:paraId="5046A245" w14:textId="77777777" w:rsidR="009A5DA9" w:rsidRPr="009A5DA9" w:rsidRDefault="009A5DA9" w:rsidP="009A5DA9">
      <w:pPr>
        <w:ind w:firstLine="284"/>
        <w:jc w:val="center"/>
        <w:rPr>
          <w:rFonts w:asciiTheme="majorHAnsi" w:hAnsiTheme="majorHAnsi" w:cstheme="majorHAnsi"/>
          <w:bCs/>
          <w:sz w:val="16"/>
          <w:szCs w:val="16"/>
        </w:rPr>
      </w:pPr>
    </w:p>
    <w:p w14:paraId="68AA9327" w14:textId="77777777" w:rsidR="009A5DA9" w:rsidRDefault="009A5DA9" w:rsidP="009A5DA9">
      <w:pPr>
        <w:ind w:firstLine="284"/>
        <w:jc w:val="both"/>
        <w:rPr>
          <w:rFonts w:asciiTheme="majorHAnsi" w:hAnsiTheme="majorHAnsi" w:cstheme="majorHAnsi"/>
          <w:sz w:val="20"/>
          <w:szCs w:val="20"/>
        </w:rPr>
      </w:pPr>
      <w:r w:rsidRPr="009A5DA9">
        <w:rPr>
          <w:rFonts w:asciiTheme="majorHAnsi" w:hAnsiTheme="majorHAnsi" w:cstheme="majorHAnsi"/>
          <w:sz w:val="20"/>
          <w:szCs w:val="20"/>
        </w:rPr>
        <w:lastRenderedPageBreak/>
        <w:t xml:space="preserve">Ethnographic interview and community interaction were used in conjunction with a comparative methodology to examine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against </w:t>
      </w:r>
      <w:r w:rsidRPr="009A5DA9">
        <w:rPr>
          <w:rFonts w:asciiTheme="majorHAnsi" w:hAnsiTheme="majorHAnsi" w:cstheme="majorHAnsi"/>
          <w:i/>
          <w:sz w:val="20"/>
          <w:szCs w:val="20"/>
        </w:rPr>
        <w:t>Batu Aceh</w:t>
      </w:r>
      <w:r w:rsidRPr="009A5DA9">
        <w:rPr>
          <w:rFonts w:asciiTheme="majorHAnsi" w:hAnsiTheme="majorHAnsi" w:cstheme="majorHAnsi"/>
          <w:sz w:val="20"/>
          <w:szCs w:val="20"/>
        </w:rPr>
        <w:t xml:space="preserve"> and Bajau </w:t>
      </w:r>
      <w:proofErr w:type="spellStart"/>
      <w:r w:rsidRPr="009A5DA9">
        <w:rPr>
          <w:rFonts w:asciiTheme="majorHAnsi" w:hAnsiTheme="majorHAnsi" w:cstheme="majorHAnsi"/>
          <w:i/>
          <w:sz w:val="20"/>
          <w:szCs w:val="20"/>
        </w:rPr>
        <w:t>Sunduk</w:t>
      </w:r>
      <w:proofErr w:type="spellEnd"/>
      <w:r w:rsidRPr="009A5DA9">
        <w:rPr>
          <w:rFonts w:asciiTheme="majorHAnsi" w:hAnsiTheme="majorHAnsi" w:cstheme="majorHAnsi"/>
          <w:sz w:val="20"/>
          <w:szCs w:val="20"/>
        </w:rPr>
        <w:t xml:space="preserve"> to understand the cultural and historical context. The research intends to provide a detailed understanding of the cultural, historical, and artistic value of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through this multifaceted method, positioning it within the broader framework of Southeast Asian’s cultural history.</w:t>
      </w:r>
    </w:p>
    <w:p w14:paraId="51FBF5D6" w14:textId="77777777" w:rsidR="005C28E2" w:rsidRPr="009A5DA9" w:rsidRDefault="005C28E2" w:rsidP="009A5DA9">
      <w:pPr>
        <w:ind w:firstLine="284"/>
        <w:jc w:val="both"/>
        <w:rPr>
          <w:rFonts w:asciiTheme="majorHAnsi" w:hAnsiTheme="majorHAnsi" w:cstheme="majorHAnsi"/>
          <w:sz w:val="20"/>
          <w:szCs w:val="20"/>
        </w:rPr>
      </w:pPr>
    </w:p>
    <w:p w14:paraId="72DC37BA" w14:textId="77777777" w:rsidR="009A5DA9" w:rsidRDefault="009A5DA9" w:rsidP="009A5DA9">
      <w:pPr>
        <w:ind w:firstLine="284"/>
        <w:jc w:val="center"/>
        <w:rPr>
          <w:rFonts w:asciiTheme="majorHAnsi" w:hAnsiTheme="majorHAnsi" w:cstheme="majorHAnsi"/>
          <w:sz w:val="20"/>
          <w:szCs w:val="20"/>
        </w:rPr>
      </w:pPr>
      <w:r w:rsidRPr="009A5DA9">
        <w:rPr>
          <w:rFonts w:asciiTheme="majorHAnsi" w:hAnsiTheme="majorHAnsi" w:cstheme="majorHAnsi"/>
          <w:noProof/>
          <w:sz w:val="20"/>
          <w:szCs w:val="20"/>
        </w:rPr>
        <w:drawing>
          <wp:inline distT="0" distB="0" distL="0" distR="0" wp14:anchorId="778E0CE1" wp14:editId="25FECE42">
            <wp:extent cx="3753016" cy="2500278"/>
            <wp:effectExtent l="0" t="0" r="0" b="0"/>
            <wp:docPr id="902447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91678" cy="2526035"/>
                    </a:xfrm>
                    <a:prstGeom prst="rect">
                      <a:avLst/>
                    </a:prstGeom>
                    <a:noFill/>
                  </pic:spPr>
                </pic:pic>
              </a:graphicData>
            </a:graphic>
          </wp:inline>
        </w:drawing>
      </w:r>
    </w:p>
    <w:p w14:paraId="20D4266B" w14:textId="77777777" w:rsidR="009A5DA9" w:rsidRPr="009A5DA9" w:rsidRDefault="009A5DA9" w:rsidP="009A5DA9">
      <w:pPr>
        <w:ind w:firstLine="284"/>
        <w:jc w:val="center"/>
        <w:rPr>
          <w:rFonts w:asciiTheme="majorHAnsi" w:hAnsiTheme="majorHAnsi" w:cstheme="majorHAnsi"/>
          <w:sz w:val="20"/>
          <w:szCs w:val="20"/>
        </w:rPr>
      </w:pPr>
    </w:p>
    <w:p w14:paraId="0552BE61" w14:textId="77777777" w:rsidR="009A5DA9" w:rsidRPr="009A5DA9" w:rsidRDefault="009A5DA9" w:rsidP="009A5DA9">
      <w:pPr>
        <w:ind w:firstLine="284"/>
        <w:jc w:val="center"/>
        <w:rPr>
          <w:rFonts w:asciiTheme="majorHAnsi" w:hAnsiTheme="majorHAnsi" w:cstheme="majorHAnsi"/>
          <w:sz w:val="16"/>
          <w:szCs w:val="16"/>
        </w:rPr>
      </w:pPr>
      <w:r w:rsidRPr="009A5DA9">
        <w:rPr>
          <w:rFonts w:asciiTheme="majorHAnsi" w:hAnsiTheme="majorHAnsi" w:cstheme="majorHAnsi"/>
          <w:sz w:val="16"/>
          <w:szCs w:val="16"/>
        </w:rPr>
        <w:t xml:space="preserve">Figure 10. Direct observation and documentation were conducted at one of the old Jatti </w:t>
      </w:r>
      <w:proofErr w:type="spellStart"/>
      <w:r w:rsidRPr="009A5DA9">
        <w:rPr>
          <w:rFonts w:asciiTheme="majorHAnsi" w:hAnsiTheme="majorHAnsi" w:cstheme="majorHAnsi"/>
          <w:sz w:val="16"/>
          <w:szCs w:val="16"/>
        </w:rPr>
        <w:t>Miriek</w:t>
      </w:r>
      <w:proofErr w:type="spellEnd"/>
      <w:r w:rsidRPr="009A5DA9">
        <w:rPr>
          <w:rFonts w:asciiTheme="majorHAnsi" w:hAnsiTheme="majorHAnsi" w:cstheme="majorHAnsi"/>
          <w:sz w:val="16"/>
          <w:szCs w:val="16"/>
        </w:rPr>
        <w:t xml:space="preserve"> burial sites in Miri, Sarawak. Grave markers are cleaned before the documentation session begins so that the motifs can be recorded.</w:t>
      </w:r>
    </w:p>
    <w:p w14:paraId="525E409E" w14:textId="77777777" w:rsidR="009A5DA9" w:rsidRPr="009A5DA9" w:rsidRDefault="009A5DA9" w:rsidP="009A5DA9">
      <w:pPr>
        <w:ind w:firstLine="284"/>
        <w:jc w:val="center"/>
        <w:rPr>
          <w:rFonts w:asciiTheme="majorHAnsi" w:hAnsiTheme="majorHAnsi" w:cstheme="majorHAnsi"/>
          <w:sz w:val="20"/>
          <w:szCs w:val="20"/>
        </w:rPr>
      </w:pPr>
    </w:p>
    <w:p w14:paraId="04E1BBC7" w14:textId="77777777" w:rsidR="009A5DA9" w:rsidRPr="009A5DA9" w:rsidRDefault="009A5DA9" w:rsidP="009A5DA9">
      <w:pPr>
        <w:ind w:firstLine="284"/>
        <w:jc w:val="both"/>
        <w:rPr>
          <w:rFonts w:asciiTheme="majorHAnsi" w:hAnsiTheme="majorHAnsi" w:cstheme="majorHAnsi"/>
          <w:sz w:val="20"/>
          <w:szCs w:val="20"/>
        </w:rPr>
      </w:pPr>
      <w:r w:rsidRPr="009A5DA9">
        <w:rPr>
          <w:rFonts w:asciiTheme="majorHAnsi" w:hAnsiTheme="majorHAnsi" w:cstheme="majorHAnsi"/>
          <w:sz w:val="20"/>
          <w:szCs w:val="20"/>
        </w:rPr>
        <w:t xml:space="preserve">167 of the 216 photos of wooden grave markers from the 13 historic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burial sites have been chosen for additional examination based on the compilation of data (figure 10). However, only 106 carvings could be identified because most references were too damaged or had insufficient detail to be recorded. The number of identified grave markers with carvings and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ethnic identification, together with a list of historical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burial places in Miri, are provided in the Table 1.</w:t>
      </w:r>
    </w:p>
    <w:p w14:paraId="62ED749E" w14:textId="77777777" w:rsidR="009A5DA9" w:rsidRPr="009A5DA9" w:rsidRDefault="009A5DA9" w:rsidP="009A5DA9">
      <w:pPr>
        <w:ind w:firstLine="284"/>
        <w:jc w:val="both"/>
        <w:rPr>
          <w:rFonts w:asciiTheme="majorHAnsi" w:hAnsiTheme="majorHAnsi" w:cstheme="majorHAnsi"/>
          <w:sz w:val="20"/>
          <w:szCs w:val="20"/>
        </w:rPr>
      </w:pPr>
    </w:p>
    <w:tbl>
      <w:tblPr>
        <w:tblW w:w="4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743"/>
        <w:gridCol w:w="1234"/>
      </w:tblGrid>
      <w:tr w:rsidR="009A5DA9" w:rsidRPr="009A5DA9" w14:paraId="164EEC1B" w14:textId="77777777" w:rsidTr="009A5DA9">
        <w:trPr>
          <w:trHeight w:val="283"/>
          <w:jc w:val="center"/>
        </w:trPr>
        <w:tc>
          <w:tcPr>
            <w:tcW w:w="4532" w:type="dxa"/>
            <w:gridSpan w:val="3"/>
            <w:tcBorders>
              <w:top w:val="nil"/>
              <w:left w:val="nil"/>
              <w:bottom w:val="single" w:sz="4" w:space="0" w:color="auto"/>
              <w:right w:val="nil"/>
            </w:tcBorders>
          </w:tcPr>
          <w:p w14:paraId="0AAC7D48" w14:textId="57DE8D6F"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sz w:val="16"/>
                <w:szCs w:val="16"/>
              </w:rPr>
              <w:t>Table 1. List of Grave Markers Documentation</w:t>
            </w:r>
          </w:p>
        </w:tc>
      </w:tr>
      <w:tr w:rsidR="009A5DA9" w:rsidRPr="009A5DA9" w14:paraId="2710F550" w14:textId="77777777" w:rsidTr="0049102C">
        <w:trPr>
          <w:trHeight w:val="85"/>
          <w:jc w:val="center"/>
        </w:trPr>
        <w:tc>
          <w:tcPr>
            <w:tcW w:w="1555" w:type="dxa"/>
            <w:tcBorders>
              <w:top w:val="nil"/>
              <w:left w:val="nil"/>
              <w:bottom w:val="single" w:sz="4" w:space="0" w:color="auto"/>
              <w:right w:val="nil"/>
            </w:tcBorders>
          </w:tcPr>
          <w:p w14:paraId="6CE8D8C4" w14:textId="77777777" w:rsidR="009A5DA9" w:rsidRPr="009A5DA9" w:rsidRDefault="009A5DA9" w:rsidP="009A5DA9">
            <w:pPr>
              <w:spacing w:line="264" w:lineRule="auto"/>
              <w:ind w:firstLine="284"/>
              <w:jc w:val="both"/>
              <w:rPr>
                <w:rFonts w:asciiTheme="majorHAnsi" w:hAnsiTheme="majorHAnsi" w:cstheme="majorHAnsi"/>
                <w:bCs/>
                <w:sz w:val="16"/>
                <w:szCs w:val="16"/>
              </w:rPr>
            </w:pPr>
            <w:r w:rsidRPr="009A5DA9">
              <w:rPr>
                <w:rFonts w:asciiTheme="majorHAnsi" w:hAnsiTheme="majorHAnsi" w:cstheme="majorHAnsi"/>
                <w:bCs/>
                <w:sz w:val="16"/>
                <w:szCs w:val="16"/>
              </w:rPr>
              <w:t>Burial Site</w:t>
            </w:r>
          </w:p>
        </w:tc>
        <w:tc>
          <w:tcPr>
            <w:tcW w:w="1743" w:type="dxa"/>
            <w:tcBorders>
              <w:top w:val="nil"/>
              <w:left w:val="nil"/>
              <w:bottom w:val="single" w:sz="4" w:space="0" w:color="auto"/>
              <w:right w:val="nil"/>
            </w:tcBorders>
          </w:tcPr>
          <w:p w14:paraId="3BD0CB0B" w14:textId="77777777" w:rsidR="009A5DA9" w:rsidRPr="009A5DA9" w:rsidRDefault="009A5DA9" w:rsidP="009A5DA9">
            <w:pPr>
              <w:spacing w:line="264" w:lineRule="auto"/>
              <w:ind w:firstLine="284"/>
              <w:jc w:val="both"/>
              <w:rPr>
                <w:rFonts w:asciiTheme="majorHAnsi" w:hAnsiTheme="majorHAnsi" w:cstheme="majorHAnsi"/>
                <w:bCs/>
                <w:sz w:val="16"/>
                <w:szCs w:val="16"/>
              </w:rPr>
            </w:pPr>
            <w:r w:rsidRPr="009A5DA9">
              <w:rPr>
                <w:rFonts w:asciiTheme="majorHAnsi" w:hAnsiTheme="majorHAnsi" w:cstheme="majorHAnsi"/>
                <w:bCs/>
                <w:sz w:val="16"/>
                <w:szCs w:val="16"/>
              </w:rPr>
              <w:t>Total Documentation</w:t>
            </w:r>
          </w:p>
        </w:tc>
        <w:tc>
          <w:tcPr>
            <w:tcW w:w="1234" w:type="dxa"/>
            <w:tcBorders>
              <w:top w:val="nil"/>
              <w:left w:val="nil"/>
              <w:bottom w:val="single" w:sz="4" w:space="0" w:color="auto"/>
              <w:right w:val="nil"/>
            </w:tcBorders>
          </w:tcPr>
          <w:p w14:paraId="540A37F1" w14:textId="77777777" w:rsidR="009A5DA9" w:rsidRPr="009A5DA9" w:rsidRDefault="009A5DA9" w:rsidP="009A5DA9">
            <w:pPr>
              <w:spacing w:line="264" w:lineRule="auto"/>
              <w:ind w:firstLine="284"/>
              <w:jc w:val="both"/>
              <w:rPr>
                <w:rFonts w:asciiTheme="majorHAnsi" w:hAnsiTheme="majorHAnsi" w:cstheme="majorHAnsi"/>
                <w:bCs/>
                <w:sz w:val="16"/>
                <w:szCs w:val="16"/>
              </w:rPr>
            </w:pPr>
            <w:r w:rsidRPr="009A5DA9">
              <w:rPr>
                <w:rFonts w:asciiTheme="majorHAnsi" w:hAnsiTheme="majorHAnsi" w:cstheme="majorHAnsi"/>
                <w:bCs/>
                <w:sz w:val="16"/>
                <w:szCs w:val="16"/>
              </w:rPr>
              <w:t>Total Selected</w:t>
            </w:r>
          </w:p>
        </w:tc>
      </w:tr>
      <w:tr w:rsidR="009A5DA9" w:rsidRPr="009A5DA9" w14:paraId="79A48232" w14:textId="77777777" w:rsidTr="0049102C">
        <w:trPr>
          <w:cantSplit/>
          <w:trHeight w:val="2850"/>
          <w:jc w:val="center"/>
        </w:trPr>
        <w:tc>
          <w:tcPr>
            <w:tcW w:w="1555" w:type="dxa"/>
            <w:tcBorders>
              <w:top w:val="single" w:sz="4" w:space="0" w:color="auto"/>
              <w:left w:val="nil"/>
              <w:right w:val="nil"/>
            </w:tcBorders>
          </w:tcPr>
          <w:p w14:paraId="509FD2F5" w14:textId="77777777" w:rsidR="009A5DA9" w:rsidRPr="009A5DA9" w:rsidRDefault="009A5DA9" w:rsidP="009A5DA9">
            <w:pPr>
              <w:spacing w:line="264" w:lineRule="auto"/>
              <w:ind w:firstLine="284"/>
              <w:jc w:val="both"/>
              <w:rPr>
                <w:rFonts w:asciiTheme="majorHAnsi" w:hAnsiTheme="majorHAnsi" w:cstheme="majorHAnsi"/>
                <w:bCs/>
                <w:sz w:val="16"/>
                <w:szCs w:val="16"/>
              </w:rPr>
            </w:pPr>
            <w:proofErr w:type="spellStart"/>
            <w:r w:rsidRPr="009A5DA9">
              <w:rPr>
                <w:rFonts w:asciiTheme="majorHAnsi" w:hAnsiTheme="majorHAnsi" w:cstheme="majorHAnsi"/>
                <w:bCs/>
                <w:sz w:val="16"/>
                <w:szCs w:val="16"/>
                <w:lang w:val="en-GB"/>
              </w:rPr>
              <w:t>Likauh</w:t>
            </w:r>
            <w:proofErr w:type="spellEnd"/>
            <w:r w:rsidRPr="009A5DA9">
              <w:rPr>
                <w:rFonts w:asciiTheme="majorHAnsi" w:hAnsiTheme="majorHAnsi" w:cstheme="majorHAnsi"/>
                <w:bCs/>
                <w:sz w:val="16"/>
                <w:szCs w:val="16"/>
                <w:lang w:val="en-GB"/>
              </w:rPr>
              <w:t xml:space="preserve"> Buie</w:t>
            </w:r>
          </w:p>
          <w:p w14:paraId="1E6CD321" w14:textId="77777777" w:rsidR="009A5DA9" w:rsidRPr="009A5DA9" w:rsidRDefault="009A5DA9" w:rsidP="009A5DA9">
            <w:pPr>
              <w:spacing w:line="264" w:lineRule="auto"/>
              <w:ind w:firstLine="284"/>
              <w:jc w:val="both"/>
              <w:rPr>
                <w:rFonts w:asciiTheme="majorHAnsi" w:hAnsiTheme="majorHAnsi" w:cstheme="majorHAnsi"/>
                <w:bCs/>
                <w:sz w:val="16"/>
                <w:szCs w:val="16"/>
              </w:rPr>
            </w:pPr>
            <w:proofErr w:type="spellStart"/>
            <w:r w:rsidRPr="009A5DA9">
              <w:rPr>
                <w:rFonts w:asciiTheme="majorHAnsi" w:hAnsiTheme="majorHAnsi" w:cstheme="majorHAnsi"/>
                <w:bCs/>
                <w:sz w:val="16"/>
                <w:szCs w:val="16"/>
              </w:rPr>
              <w:t>Menjelin</w:t>
            </w:r>
            <w:proofErr w:type="spellEnd"/>
          </w:p>
          <w:p w14:paraId="4FEC4F76" w14:textId="77777777" w:rsidR="009A5DA9" w:rsidRPr="009A5DA9" w:rsidRDefault="009A5DA9" w:rsidP="009A5DA9">
            <w:pPr>
              <w:spacing w:line="264" w:lineRule="auto"/>
              <w:ind w:firstLine="284"/>
              <w:jc w:val="both"/>
              <w:rPr>
                <w:rFonts w:asciiTheme="majorHAnsi" w:hAnsiTheme="majorHAnsi" w:cstheme="majorHAnsi"/>
                <w:bCs/>
                <w:sz w:val="16"/>
                <w:szCs w:val="16"/>
              </w:rPr>
            </w:pPr>
            <w:r w:rsidRPr="009A5DA9">
              <w:rPr>
                <w:rFonts w:asciiTheme="majorHAnsi" w:hAnsiTheme="majorHAnsi" w:cstheme="majorHAnsi"/>
                <w:bCs/>
                <w:sz w:val="16"/>
                <w:szCs w:val="16"/>
              </w:rPr>
              <w:t xml:space="preserve">Song </w:t>
            </w:r>
            <w:proofErr w:type="spellStart"/>
            <w:r w:rsidRPr="009A5DA9">
              <w:rPr>
                <w:rFonts w:asciiTheme="majorHAnsi" w:hAnsiTheme="majorHAnsi" w:cstheme="majorHAnsi"/>
                <w:bCs/>
                <w:sz w:val="16"/>
                <w:szCs w:val="16"/>
              </w:rPr>
              <w:t>Lekang</w:t>
            </w:r>
            <w:proofErr w:type="spellEnd"/>
          </w:p>
          <w:p w14:paraId="37B13DBB" w14:textId="77777777" w:rsidR="009A5DA9" w:rsidRPr="009A5DA9" w:rsidRDefault="009A5DA9" w:rsidP="009A5DA9">
            <w:pPr>
              <w:spacing w:line="264" w:lineRule="auto"/>
              <w:ind w:firstLine="284"/>
              <w:jc w:val="both"/>
              <w:rPr>
                <w:rFonts w:asciiTheme="majorHAnsi" w:hAnsiTheme="majorHAnsi" w:cstheme="majorHAnsi"/>
                <w:bCs/>
                <w:sz w:val="16"/>
                <w:szCs w:val="16"/>
              </w:rPr>
            </w:pPr>
            <w:r w:rsidRPr="009A5DA9">
              <w:rPr>
                <w:rFonts w:asciiTheme="majorHAnsi" w:hAnsiTheme="majorHAnsi" w:cstheme="majorHAnsi"/>
                <w:bCs/>
                <w:sz w:val="16"/>
                <w:szCs w:val="16"/>
              </w:rPr>
              <w:t xml:space="preserve">Tanjong </w:t>
            </w:r>
            <w:proofErr w:type="spellStart"/>
            <w:r w:rsidRPr="009A5DA9">
              <w:rPr>
                <w:rFonts w:asciiTheme="majorHAnsi" w:hAnsiTheme="majorHAnsi" w:cstheme="majorHAnsi"/>
                <w:bCs/>
                <w:sz w:val="16"/>
                <w:szCs w:val="16"/>
              </w:rPr>
              <w:t>Lobang</w:t>
            </w:r>
            <w:proofErr w:type="spellEnd"/>
          </w:p>
          <w:p w14:paraId="2599FCF0" w14:textId="77777777" w:rsidR="009A5DA9" w:rsidRPr="009A5DA9" w:rsidRDefault="009A5DA9" w:rsidP="009A5DA9">
            <w:pPr>
              <w:spacing w:line="264" w:lineRule="auto"/>
              <w:ind w:firstLine="284"/>
              <w:jc w:val="both"/>
              <w:rPr>
                <w:rFonts w:asciiTheme="majorHAnsi" w:hAnsiTheme="majorHAnsi" w:cstheme="majorHAnsi"/>
                <w:bCs/>
                <w:sz w:val="16"/>
                <w:szCs w:val="16"/>
              </w:rPr>
            </w:pPr>
            <w:r w:rsidRPr="009A5DA9">
              <w:rPr>
                <w:rFonts w:asciiTheme="majorHAnsi" w:hAnsiTheme="majorHAnsi" w:cstheme="majorHAnsi"/>
                <w:bCs/>
                <w:sz w:val="16"/>
                <w:szCs w:val="16"/>
              </w:rPr>
              <w:t>Pelapi</w:t>
            </w:r>
          </w:p>
          <w:p w14:paraId="1F893A0A" w14:textId="77777777" w:rsidR="009A5DA9" w:rsidRPr="009A5DA9" w:rsidRDefault="009A5DA9" w:rsidP="009A5DA9">
            <w:pPr>
              <w:spacing w:line="264" w:lineRule="auto"/>
              <w:ind w:firstLine="284"/>
              <w:jc w:val="both"/>
              <w:rPr>
                <w:rFonts w:asciiTheme="majorHAnsi" w:hAnsiTheme="majorHAnsi" w:cstheme="majorHAnsi"/>
                <w:bCs/>
                <w:sz w:val="16"/>
                <w:szCs w:val="16"/>
              </w:rPr>
            </w:pPr>
            <w:proofErr w:type="spellStart"/>
            <w:r w:rsidRPr="009A5DA9">
              <w:rPr>
                <w:rFonts w:asciiTheme="majorHAnsi" w:hAnsiTheme="majorHAnsi" w:cstheme="majorHAnsi"/>
                <w:bCs/>
                <w:sz w:val="16"/>
                <w:szCs w:val="16"/>
              </w:rPr>
              <w:t>Tabsinak</w:t>
            </w:r>
            <w:proofErr w:type="spellEnd"/>
          </w:p>
          <w:p w14:paraId="6E84439C" w14:textId="77777777" w:rsidR="009A5DA9" w:rsidRPr="009A5DA9" w:rsidRDefault="009A5DA9" w:rsidP="009A5DA9">
            <w:pPr>
              <w:spacing w:line="264" w:lineRule="auto"/>
              <w:ind w:firstLine="284"/>
              <w:jc w:val="both"/>
              <w:rPr>
                <w:rFonts w:asciiTheme="majorHAnsi" w:hAnsiTheme="majorHAnsi" w:cstheme="majorHAnsi"/>
                <w:bCs/>
                <w:sz w:val="16"/>
                <w:szCs w:val="16"/>
              </w:rPr>
            </w:pPr>
            <w:proofErr w:type="spellStart"/>
            <w:r w:rsidRPr="009A5DA9">
              <w:rPr>
                <w:rFonts w:asciiTheme="majorHAnsi" w:hAnsiTheme="majorHAnsi" w:cstheme="majorHAnsi"/>
                <w:bCs/>
                <w:sz w:val="16"/>
                <w:szCs w:val="16"/>
              </w:rPr>
              <w:t>Babutan</w:t>
            </w:r>
            <w:proofErr w:type="spellEnd"/>
          </w:p>
          <w:p w14:paraId="6322976E" w14:textId="77777777" w:rsidR="009A5DA9" w:rsidRPr="009A5DA9" w:rsidRDefault="009A5DA9" w:rsidP="009A5DA9">
            <w:pPr>
              <w:spacing w:line="264" w:lineRule="auto"/>
              <w:ind w:firstLine="284"/>
              <w:jc w:val="both"/>
              <w:rPr>
                <w:rFonts w:asciiTheme="majorHAnsi" w:hAnsiTheme="majorHAnsi" w:cstheme="majorHAnsi"/>
                <w:bCs/>
                <w:sz w:val="16"/>
                <w:szCs w:val="16"/>
              </w:rPr>
            </w:pPr>
            <w:r w:rsidRPr="009A5DA9">
              <w:rPr>
                <w:rFonts w:asciiTheme="majorHAnsi" w:hAnsiTheme="majorHAnsi" w:cstheme="majorHAnsi"/>
                <w:bCs/>
                <w:sz w:val="16"/>
                <w:szCs w:val="16"/>
              </w:rPr>
              <w:t>Lat Suran</w:t>
            </w:r>
          </w:p>
          <w:p w14:paraId="41183632" w14:textId="77777777" w:rsidR="009A5DA9" w:rsidRPr="009A5DA9" w:rsidRDefault="009A5DA9" w:rsidP="009A5DA9">
            <w:pPr>
              <w:spacing w:line="264" w:lineRule="auto"/>
              <w:ind w:firstLine="284"/>
              <w:jc w:val="both"/>
              <w:rPr>
                <w:rFonts w:asciiTheme="majorHAnsi" w:hAnsiTheme="majorHAnsi" w:cstheme="majorHAnsi"/>
                <w:bCs/>
                <w:sz w:val="16"/>
                <w:szCs w:val="16"/>
              </w:rPr>
            </w:pPr>
            <w:proofErr w:type="spellStart"/>
            <w:r w:rsidRPr="009A5DA9">
              <w:rPr>
                <w:rFonts w:asciiTheme="majorHAnsi" w:hAnsiTheme="majorHAnsi" w:cstheme="majorHAnsi"/>
                <w:bCs/>
                <w:sz w:val="16"/>
                <w:szCs w:val="16"/>
              </w:rPr>
              <w:t>Luheng</w:t>
            </w:r>
            <w:proofErr w:type="spellEnd"/>
          </w:p>
          <w:p w14:paraId="58E3F0D5" w14:textId="77777777" w:rsidR="009A5DA9" w:rsidRPr="009A5DA9" w:rsidRDefault="009A5DA9" w:rsidP="009A5DA9">
            <w:pPr>
              <w:spacing w:line="264" w:lineRule="auto"/>
              <w:ind w:firstLine="284"/>
              <w:jc w:val="both"/>
              <w:rPr>
                <w:rFonts w:asciiTheme="majorHAnsi" w:hAnsiTheme="majorHAnsi" w:cstheme="majorHAnsi"/>
                <w:bCs/>
                <w:sz w:val="16"/>
                <w:szCs w:val="16"/>
              </w:rPr>
            </w:pPr>
            <w:r w:rsidRPr="009A5DA9">
              <w:rPr>
                <w:rFonts w:asciiTheme="majorHAnsi" w:hAnsiTheme="majorHAnsi" w:cstheme="majorHAnsi"/>
                <w:bCs/>
                <w:sz w:val="16"/>
                <w:szCs w:val="16"/>
              </w:rPr>
              <w:t>Siwak Jaya</w:t>
            </w:r>
          </w:p>
          <w:p w14:paraId="3B9AFEF6" w14:textId="77777777" w:rsidR="009A5DA9" w:rsidRPr="009A5DA9" w:rsidRDefault="009A5DA9" w:rsidP="009A5DA9">
            <w:pPr>
              <w:spacing w:line="264" w:lineRule="auto"/>
              <w:ind w:firstLine="284"/>
              <w:jc w:val="both"/>
              <w:rPr>
                <w:rFonts w:asciiTheme="majorHAnsi" w:hAnsiTheme="majorHAnsi" w:cstheme="majorHAnsi"/>
                <w:bCs/>
                <w:sz w:val="16"/>
                <w:szCs w:val="16"/>
              </w:rPr>
            </w:pPr>
            <w:proofErr w:type="spellStart"/>
            <w:r w:rsidRPr="009A5DA9">
              <w:rPr>
                <w:rFonts w:asciiTheme="majorHAnsi" w:hAnsiTheme="majorHAnsi" w:cstheme="majorHAnsi"/>
                <w:bCs/>
                <w:sz w:val="16"/>
                <w:szCs w:val="16"/>
              </w:rPr>
              <w:t>Katong</w:t>
            </w:r>
            <w:proofErr w:type="spellEnd"/>
          </w:p>
          <w:p w14:paraId="4433E634" w14:textId="77777777" w:rsidR="009A5DA9" w:rsidRPr="009A5DA9" w:rsidRDefault="009A5DA9" w:rsidP="009A5DA9">
            <w:pPr>
              <w:spacing w:line="264" w:lineRule="auto"/>
              <w:ind w:firstLine="284"/>
              <w:jc w:val="both"/>
              <w:rPr>
                <w:rFonts w:asciiTheme="majorHAnsi" w:hAnsiTheme="majorHAnsi" w:cstheme="majorHAnsi"/>
                <w:bCs/>
                <w:sz w:val="16"/>
                <w:szCs w:val="16"/>
              </w:rPr>
            </w:pPr>
            <w:proofErr w:type="spellStart"/>
            <w:r w:rsidRPr="009A5DA9">
              <w:rPr>
                <w:rFonts w:asciiTheme="majorHAnsi" w:hAnsiTheme="majorHAnsi" w:cstheme="majorHAnsi"/>
                <w:bCs/>
                <w:sz w:val="16"/>
                <w:szCs w:val="16"/>
              </w:rPr>
              <w:t>Marafak</w:t>
            </w:r>
            <w:proofErr w:type="spellEnd"/>
          </w:p>
          <w:p w14:paraId="161333A2" w14:textId="77777777" w:rsidR="009A5DA9" w:rsidRPr="009A5DA9" w:rsidRDefault="009A5DA9" w:rsidP="009A5DA9">
            <w:pPr>
              <w:spacing w:line="264" w:lineRule="auto"/>
              <w:ind w:firstLine="284"/>
              <w:jc w:val="both"/>
              <w:rPr>
                <w:rFonts w:asciiTheme="majorHAnsi" w:hAnsiTheme="majorHAnsi" w:cstheme="majorHAnsi"/>
                <w:bCs/>
                <w:sz w:val="16"/>
                <w:szCs w:val="16"/>
              </w:rPr>
            </w:pPr>
            <w:r w:rsidRPr="009A5DA9">
              <w:rPr>
                <w:rFonts w:asciiTheme="majorHAnsi" w:hAnsiTheme="majorHAnsi" w:cstheme="majorHAnsi"/>
                <w:bCs/>
                <w:sz w:val="16"/>
                <w:szCs w:val="16"/>
              </w:rPr>
              <w:t>Bakam</w:t>
            </w:r>
          </w:p>
          <w:p w14:paraId="79B0800D" w14:textId="77777777" w:rsidR="009A5DA9" w:rsidRPr="009A5DA9" w:rsidRDefault="009A5DA9" w:rsidP="009A5DA9">
            <w:pPr>
              <w:spacing w:line="264" w:lineRule="auto"/>
              <w:ind w:firstLine="284"/>
              <w:jc w:val="right"/>
              <w:rPr>
                <w:rFonts w:asciiTheme="majorHAnsi" w:hAnsiTheme="majorHAnsi" w:cstheme="majorHAnsi"/>
                <w:bCs/>
                <w:sz w:val="16"/>
                <w:szCs w:val="16"/>
              </w:rPr>
            </w:pPr>
            <w:r w:rsidRPr="009A5DA9">
              <w:rPr>
                <w:rFonts w:asciiTheme="majorHAnsi" w:hAnsiTheme="majorHAnsi" w:cstheme="majorHAnsi"/>
                <w:bCs/>
                <w:sz w:val="16"/>
                <w:szCs w:val="16"/>
              </w:rPr>
              <w:t>Total</w:t>
            </w:r>
          </w:p>
        </w:tc>
        <w:tc>
          <w:tcPr>
            <w:tcW w:w="1743" w:type="dxa"/>
            <w:tcBorders>
              <w:top w:val="single" w:sz="4" w:space="0" w:color="auto"/>
              <w:left w:val="nil"/>
              <w:right w:val="nil"/>
            </w:tcBorders>
          </w:tcPr>
          <w:p w14:paraId="032D6764" w14:textId="413BB89A"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4</w:t>
            </w:r>
          </w:p>
          <w:p w14:paraId="7FE413C2"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6</w:t>
            </w:r>
          </w:p>
          <w:p w14:paraId="6BD6EEAA"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5</w:t>
            </w:r>
          </w:p>
          <w:p w14:paraId="2F8EE3F9"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11</w:t>
            </w:r>
          </w:p>
          <w:p w14:paraId="17CC96CF"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18</w:t>
            </w:r>
          </w:p>
          <w:p w14:paraId="1EC24464"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7</w:t>
            </w:r>
          </w:p>
          <w:p w14:paraId="1DC664DB"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8</w:t>
            </w:r>
          </w:p>
          <w:p w14:paraId="5F17E5B2"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22</w:t>
            </w:r>
          </w:p>
          <w:p w14:paraId="32D3CA16"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11</w:t>
            </w:r>
          </w:p>
          <w:p w14:paraId="01FC8177"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18</w:t>
            </w:r>
          </w:p>
          <w:p w14:paraId="4EFF730B"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24</w:t>
            </w:r>
          </w:p>
          <w:p w14:paraId="38ED4B69"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38</w:t>
            </w:r>
          </w:p>
          <w:p w14:paraId="0272C088"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44</w:t>
            </w:r>
          </w:p>
          <w:p w14:paraId="0750DC87"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216</w:t>
            </w:r>
          </w:p>
        </w:tc>
        <w:tc>
          <w:tcPr>
            <w:tcW w:w="1234" w:type="dxa"/>
            <w:tcBorders>
              <w:top w:val="single" w:sz="4" w:space="0" w:color="auto"/>
              <w:left w:val="nil"/>
              <w:right w:val="nil"/>
            </w:tcBorders>
          </w:tcPr>
          <w:p w14:paraId="4428E696" w14:textId="2B25C3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2</w:t>
            </w:r>
          </w:p>
          <w:p w14:paraId="7022D428" w14:textId="62C865B3"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2</w:t>
            </w:r>
          </w:p>
          <w:p w14:paraId="033204FC"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2</w:t>
            </w:r>
          </w:p>
          <w:p w14:paraId="30F5F42A"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4</w:t>
            </w:r>
          </w:p>
          <w:p w14:paraId="66A4C713"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6</w:t>
            </w:r>
          </w:p>
          <w:p w14:paraId="5A76103F"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7</w:t>
            </w:r>
          </w:p>
          <w:p w14:paraId="7E5A33C0"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8</w:t>
            </w:r>
          </w:p>
          <w:p w14:paraId="6580380C"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11</w:t>
            </w:r>
          </w:p>
          <w:p w14:paraId="02F30266"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11</w:t>
            </w:r>
          </w:p>
          <w:p w14:paraId="3FAFB4F5"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16</w:t>
            </w:r>
          </w:p>
          <w:p w14:paraId="52BDF3CC"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22</w:t>
            </w:r>
          </w:p>
          <w:p w14:paraId="5C3EACF4"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32</w:t>
            </w:r>
          </w:p>
          <w:p w14:paraId="6B7DF04B"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44</w:t>
            </w:r>
          </w:p>
          <w:p w14:paraId="59785D6A" w14:textId="77777777" w:rsidR="009A5DA9" w:rsidRPr="009A5DA9" w:rsidRDefault="009A5DA9" w:rsidP="009A5DA9">
            <w:pPr>
              <w:spacing w:line="264" w:lineRule="auto"/>
              <w:ind w:firstLine="284"/>
              <w:jc w:val="center"/>
              <w:rPr>
                <w:rFonts w:asciiTheme="majorHAnsi" w:hAnsiTheme="majorHAnsi" w:cstheme="majorHAnsi"/>
                <w:bCs/>
                <w:sz w:val="16"/>
                <w:szCs w:val="16"/>
              </w:rPr>
            </w:pPr>
            <w:r w:rsidRPr="009A5DA9">
              <w:rPr>
                <w:rFonts w:asciiTheme="majorHAnsi" w:hAnsiTheme="majorHAnsi" w:cstheme="majorHAnsi"/>
                <w:bCs/>
                <w:sz w:val="16"/>
                <w:szCs w:val="16"/>
              </w:rPr>
              <w:t>167</w:t>
            </w:r>
          </w:p>
        </w:tc>
      </w:tr>
    </w:tbl>
    <w:p w14:paraId="3723BE70" w14:textId="77777777" w:rsidR="009A5DA9" w:rsidRPr="009A5DA9" w:rsidRDefault="009A5DA9" w:rsidP="009A5DA9">
      <w:pPr>
        <w:ind w:firstLine="284"/>
        <w:jc w:val="both"/>
        <w:rPr>
          <w:rFonts w:asciiTheme="majorHAnsi" w:hAnsiTheme="majorHAnsi" w:cstheme="majorHAnsi"/>
          <w:b/>
          <w:sz w:val="20"/>
          <w:szCs w:val="20"/>
        </w:rPr>
      </w:pPr>
    </w:p>
    <w:p w14:paraId="5C24C23E" w14:textId="056D5015" w:rsidR="009A5DA9" w:rsidRDefault="009A5DA9" w:rsidP="009A5DA9">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6F03D877" w14:textId="77777777" w:rsidR="009A5DA9" w:rsidRDefault="009A5DA9" w:rsidP="009A5DA9">
      <w:pPr>
        <w:jc w:val="both"/>
        <w:rPr>
          <w:rFonts w:asciiTheme="minorHAnsi" w:hAnsiTheme="minorHAnsi" w:cstheme="minorHAnsi"/>
          <w:b/>
          <w:bCs/>
        </w:rPr>
      </w:pPr>
    </w:p>
    <w:p w14:paraId="689B2071" w14:textId="62C6B42A" w:rsidR="009A5DA9" w:rsidRDefault="009A5DA9" w:rsidP="009A5DA9">
      <w:pPr>
        <w:pStyle w:val="ListParagraph"/>
        <w:numPr>
          <w:ilvl w:val="0"/>
          <w:numId w:val="11"/>
        </w:numPr>
        <w:ind w:left="567" w:hanging="283"/>
        <w:jc w:val="both"/>
        <w:rPr>
          <w:rFonts w:asciiTheme="minorHAnsi" w:hAnsiTheme="minorHAnsi" w:cstheme="minorHAnsi"/>
          <w:b/>
          <w:bCs/>
          <w:sz w:val="18"/>
          <w:szCs w:val="18"/>
        </w:rPr>
      </w:pPr>
      <w:r w:rsidRPr="009A5DA9">
        <w:rPr>
          <w:rFonts w:asciiTheme="minorHAnsi" w:hAnsiTheme="minorHAnsi" w:cstheme="minorHAnsi"/>
          <w:b/>
          <w:bCs/>
          <w:sz w:val="18"/>
          <w:szCs w:val="18"/>
        </w:rPr>
        <w:t>TRANSITION OF JATTI MIRIEK GRAVE MARKERS</w:t>
      </w:r>
    </w:p>
    <w:p w14:paraId="42355C10"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 research indicates that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initially resembled </w:t>
      </w:r>
      <w:r w:rsidRPr="009A5DA9">
        <w:rPr>
          <w:rFonts w:asciiTheme="majorHAnsi" w:hAnsiTheme="majorHAnsi" w:cstheme="majorHAnsi"/>
          <w:i/>
          <w:sz w:val="20"/>
          <w:szCs w:val="20"/>
        </w:rPr>
        <w:t>Batu Aceh</w:t>
      </w:r>
      <w:r w:rsidRPr="009A5DA9">
        <w:rPr>
          <w:rFonts w:asciiTheme="majorHAnsi" w:hAnsiTheme="majorHAnsi" w:cstheme="majorHAnsi"/>
          <w:sz w:val="20"/>
          <w:szCs w:val="20"/>
        </w:rPr>
        <w:t>, suggesting an early influence around 1800 AD. Over the 19</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and 20</w:t>
      </w:r>
      <w:r w:rsidRPr="009A5DA9">
        <w:rPr>
          <w:rFonts w:asciiTheme="majorHAnsi" w:hAnsiTheme="majorHAnsi" w:cstheme="majorHAnsi"/>
          <w:sz w:val="20"/>
          <w:szCs w:val="20"/>
          <w:vertAlign w:val="superscript"/>
        </w:rPr>
        <w:t>th</w:t>
      </w:r>
      <w:r w:rsidRPr="009A5DA9">
        <w:rPr>
          <w:rFonts w:asciiTheme="majorHAnsi" w:hAnsiTheme="majorHAnsi" w:cstheme="majorHAnsi"/>
          <w:sz w:val="20"/>
          <w:szCs w:val="20"/>
        </w:rPr>
        <w:t xml:space="preserve"> centuries, these designs evolved across the Malay Archipelago, including the Malay Peninsula, Southern Thailand, the Borneo islands, and the Southern Philippines, to better reflect local cultures and environments. This evolution (figure 11) involved changes in motifs and materials, notably transitioning from stone to wood, such as </w:t>
      </w:r>
      <w:proofErr w:type="spellStart"/>
      <w:r w:rsidRPr="009A5DA9">
        <w:rPr>
          <w:rFonts w:asciiTheme="majorHAnsi" w:hAnsiTheme="majorHAnsi" w:cstheme="majorHAnsi"/>
          <w:i/>
          <w:iCs/>
          <w:sz w:val="20"/>
          <w:szCs w:val="20"/>
        </w:rPr>
        <w:t>belian</w:t>
      </w:r>
      <w:proofErr w:type="spellEnd"/>
      <w:r w:rsidRPr="009A5DA9">
        <w:rPr>
          <w:rFonts w:asciiTheme="majorHAnsi" w:hAnsiTheme="majorHAnsi" w:cstheme="majorHAnsi"/>
          <w:sz w:val="20"/>
          <w:szCs w:val="20"/>
        </w:rPr>
        <w:t xml:space="preserve"> wood, culminating in the development of Bajau </w:t>
      </w:r>
      <w:proofErr w:type="spellStart"/>
      <w:r w:rsidRPr="009A5DA9">
        <w:rPr>
          <w:rFonts w:asciiTheme="majorHAnsi" w:hAnsiTheme="majorHAnsi" w:cstheme="majorHAnsi"/>
          <w:i/>
          <w:iCs/>
          <w:sz w:val="20"/>
          <w:szCs w:val="20"/>
        </w:rPr>
        <w:t>Sunduk</w:t>
      </w:r>
      <w:proofErr w:type="spellEnd"/>
      <w:r w:rsidRPr="009A5DA9">
        <w:rPr>
          <w:rFonts w:asciiTheme="majorHAnsi" w:hAnsiTheme="majorHAnsi" w:cstheme="majorHAnsi"/>
          <w:sz w:val="20"/>
          <w:szCs w:val="20"/>
        </w:rPr>
        <w:t xml:space="preserve"> markers.</w:t>
      </w:r>
    </w:p>
    <w:p w14:paraId="1419B672" w14:textId="77777777" w:rsidR="009A5DA9" w:rsidRPr="009A5DA9" w:rsidRDefault="009A5DA9" w:rsidP="009A5DA9">
      <w:pPr>
        <w:ind w:firstLine="720"/>
        <w:jc w:val="both"/>
        <w:rPr>
          <w:rFonts w:asciiTheme="majorHAnsi" w:hAnsiTheme="majorHAnsi" w:cstheme="majorHAnsi"/>
          <w:sz w:val="20"/>
          <w:szCs w:val="20"/>
        </w:rPr>
      </w:pPr>
    </w:p>
    <w:p w14:paraId="3978E4B8" w14:textId="77777777" w:rsidR="009A5DA9" w:rsidRDefault="009A5DA9" w:rsidP="009A5DA9">
      <w:pPr>
        <w:jc w:val="center"/>
        <w:rPr>
          <w:rFonts w:asciiTheme="majorHAnsi" w:hAnsiTheme="majorHAnsi" w:cstheme="majorHAnsi"/>
          <w:b/>
          <w:sz w:val="20"/>
          <w:szCs w:val="20"/>
        </w:rPr>
      </w:pPr>
      <w:r w:rsidRPr="009A5DA9">
        <w:rPr>
          <w:rFonts w:asciiTheme="majorHAnsi" w:hAnsiTheme="majorHAnsi" w:cstheme="majorHAnsi"/>
          <w:b/>
          <w:noProof/>
          <w:sz w:val="20"/>
          <w:szCs w:val="20"/>
        </w:rPr>
        <w:drawing>
          <wp:inline distT="0" distB="0" distL="0" distR="0" wp14:anchorId="38C6C1A8" wp14:editId="2AFC8425">
            <wp:extent cx="3686290" cy="1162050"/>
            <wp:effectExtent l="0" t="0" r="9525" b="0"/>
            <wp:docPr id="1046908953" name="Picture 1" descr="A diagram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908953" name="Picture 1" descr="A diagram of a person's body&#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91159" cy="1195109"/>
                    </a:xfrm>
                    <a:prstGeom prst="rect">
                      <a:avLst/>
                    </a:prstGeom>
                  </pic:spPr>
                </pic:pic>
              </a:graphicData>
            </a:graphic>
          </wp:inline>
        </w:drawing>
      </w:r>
    </w:p>
    <w:p w14:paraId="3FAC9B38" w14:textId="77777777" w:rsidR="009A5DA9" w:rsidRPr="009A5DA9" w:rsidRDefault="009A5DA9" w:rsidP="009A5DA9">
      <w:pPr>
        <w:jc w:val="center"/>
        <w:rPr>
          <w:rFonts w:asciiTheme="majorHAnsi" w:hAnsiTheme="majorHAnsi" w:cstheme="majorHAnsi"/>
          <w:b/>
          <w:sz w:val="20"/>
          <w:szCs w:val="20"/>
        </w:rPr>
      </w:pPr>
    </w:p>
    <w:p w14:paraId="6DEB2E3F" w14:textId="77777777" w:rsidR="009A5DA9" w:rsidRPr="009A5DA9" w:rsidRDefault="009A5DA9" w:rsidP="009A5DA9">
      <w:pPr>
        <w:jc w:val="center"/>
        <w:rPr>
          <w:rFonts w:asciiTheme="majorHAnsi" w:hAnsiTheme="majorHAnsi" w:cstheme="majorHAnsi"/>
          <w:sz w:val="16"/>
          <w:szCs w:val="16"/>
        </w:rPr>
      </w:pPr>
      <w:r w:rsidRPr="009A5DA9">
        <w:rPr>
          <w:rFonts w:asciiTheme="majorHAnsi" w:hAnsiTheme="majorHAnsi" w:cstheme="majorHAnsi"/>
          <w:sz w:val="16"/>
          <w:szCs w:val="16"/>
        </w:rPr>
        <w:t xml:space="preserve">Figure 11. The development of Jatti </w:t>
      </w:r>
      <w:proofErr w:type="spellStart"/>
      <w:r w:rsidRPr="009A5DA9">
        <w:rPr>
          <w:rFonts w:asciiTheme="majorHAnsi" w:hAnsiTheme="majorHAnsi" w:cstheme="majorHAnsi"/>
          <w:sz w:val="16"/>
          <w:szCs w:val="16"/>
        </w:rPr>
        <w:t>Miriek</w:t>
      </w:r>
      <w:proofErr w:type="spellEnd"/>
      <w:r w:rsidRPr="009A5DA9">
        <w:rPr>
          <w:rFonts w:asciiTheme="majorHAnsi" w:hAnsiTheme="majorHAnsi" w:cstheme="majorHAnsi"/>
          <w:sz w:val="16"/>
          <w:szCs w:val="16"/>
        </w:rPr>
        <w:t xml:space="preserve"> Grave Markers Design</w:t>
      </w:r>
    </w:p>
    <w:p w14:paraId="725A2B0F" w14:textId="77777777" w:rsidR="009A5DA9" w:rsidRPr="009A5DA9" w:rsidRDefault="009A5DA9" w:rsidP="009A5DA9">
      <w:pPr>
        <w:rPr>
          <w:rFonts w:asciiTheme="majorHAnsi" w:hAnsiTheme="majorHAnsi" w:cstheme="majorHAnsi"/>
          <w:b/>
          <w:sz w:val="20"/>
          <w:szCs w:val="20"/>
        </w:rPr>
      </w:pPr>
    </w:p>
    <w:p w14:paraId="0832C82D" w14:textId="77777777" w:rsidR="009A5DA9" w:rsidRPr="009A5DA9" w:rsidRDefault="009A5DA9" w:rsidP="009A5DA9">
      <w:pPr>
        <w:pStyle w:val="ListParagraph"/>
        <w:numPr>
          <w:ilvl w:val="0"/>
          <w:numId w:val="3"/>
        </w:numPr>
        <w:ind w:left="567" w:hanging="283"/>
        <w:jc w:val="both"/>
        <w:rPr>
          <w:rFonts w:asciiTheme="majorHAnsi" w:hAnsiTheme="majorHAnsi" w:cstheme="majorHAnsi"/>
          <w:b/>
          <w:sz w:val="20"/>
          <w:szCs w:val="20"/>
        </w:rPr>
      </w:pPr>
      <w:r w:rsidRPr="009A5DA9">
        <w:rPr>
          <w:rFonts w:asciiTheme="majorHAnsi" w:hAnsiTheme="majorHAnsi" w:cstheme="majorHAnsi"/>
          <w:b/>
          <w:sz w:val="20"/>
          <w:szCs w:val="20"/>
        </w:rPr>
        <w:t>CATEGORIES OF JATTI MIRIEK GRAVE MARKERS</w:t>
      </w:r>
    </w:p>
    <w:p w14:paraId="1F362537"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contain distinctive elements that may be influenced by the deceased's social rank and communal functions. The carvings on each grave marker vary in complexity, size, and type. The shapes and designs of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have allowed for the identification of the categories of markers (Table 2). </w:t>
      </w:r>
    </w:p>
    <w:p w14:paraId="08D0F505" w14:textId="77777777" w:rsidR="009A5DA9" w:rsidRPr="009A5DA9" w:rsidRDefault="009A5DA9" w:rsidP="009A5DA9">
      <w:pPr>
        <w:jc w:val="both"/>
        <w:rPr>
          <w:rFonts w:asciiTheme="majorHAnsi" w:hAnsiTheme="majorHAnsi" w:cstheme="majorHAnsi"/>
          <w:sz w:val="20"/>
          <w:szCs w:val="20"/>
        </w:rPr>
      </w:pPr>
    </w:p>
    <w:p w14:paraId="53546588" w14:textId="77777777" w:rsidR="009A5DA9" w:rsidRPr="009A5DA9" w:rsidRDefault="009A5DA9" w:rsidP="009A5DA9">
      <w:pPr>
        <w:jc w:val="center"/>
        <w:rPr>
          <w:rFonts w:asciiTheme="majorHAnsi" w:hAnsiTheme="majorHAnsi" w:cstheme="majorHAnsi"/>
          <w:b/>
          <w:sz w:val="16"/>
          <w:szCs w:val="16"/>
        </w:rPr>
      </w:pPr>
      <w:r w:rsidRPr="009A5DA9">
        <w:rPr>
          <w:rFonts w:asciiTheme="majorHAnsi" w:hAnsiTheme="majorHAnsi" w:cstheme="majorHAnsi"/>
          <w:sz w:val="16"/>
          <w:szCs w:val="16"/>
        </w:rPr>
        <w:t xml:space="preserve">Table 2. Six Categories of Jatti </w:t>
      </w:r>
      <w:proofErr w:type="spellStart"/>
      <w:r w:rsidRPr="009A5DA9">
        <w:rPr>
          <w:rFonts w:asciiTheme="majorHAnsi" w:hAnsiTheme="majorHAnsi" w:cstheme="majorHAnsi"/>
          <w:sz w:val="16"/>
          <w:szCs w:val="16"/>
        </w:rPr>
        <w:t>Miriek</w:t>
      </w:r>
      <w:proofErr w:type="spellEnd"/>
      <w:r w:rsidRPr="009A5DA9">
        <w:rPr>
          <w:rFonts w:asciiTheme="majorHAnsi" w:hAnsiTheme="majorHAnsi" w:cstheme="majorHAnsi"/>
          <w:sz w:val="16"/>
          <w:szCs w:val="16"/>
        </w:rPr>
        <w:t xml:space="preserve"> Grave Markers</w:t>
      </w:r>
    </w:p>
    <w:p w14:paraId="67C7EC65" w14:textId="77777777" w:rsidR="009A5DA9" w:rsidRPr="009A5DA9" w:rsidRDefault="009A5DA9" w:rsidP="009A5DA9">
      <w:pPr>
        <w:jc w:val="center"/>
        <w:rPr>
          <w:rFonts w:asciiTheme="majorHAnsi" w:hAnsiTheme="majorHAnsi" w:cstheme="majorHAnsi"/>
          <w:sz w:val="20"/>
          <w:szCs w:val="20"/>
        </w:rPr>
      </w:pPr>
      <w:r w:rsidRPr="009A5DA9">
        <w:rPr>
          <w:rFonts w:asciiTheme="majorHAnsi" w:hAnsiTheme="majorHAnsi" w:cstheme="majorHAnsi"/>
          <w:noProof/>
          <w:sz w:val="20"/>
          <w:szCs w:val="20"/>
        </w:rPr>
        <w:drawing>
          <wp:inline distT="0" distB="0" distL="0" distR="0" wp14:anchorId="6890202B" wp14:editId="7E7D0198">
            <wp:extent cx="2894275" cy="5845876"/>
            <wp:effectExtent l="0" t="0" r="1905" b="2540"/>
            <wp:docPr id="1149486636" name="Picture 2" descr="A diagram of a carv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486636" name="Picture 2" descr="A diagram of a carving&#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2897666" cy="5852725"/>
                    </a:xfrm>
                    <a:prstGeom prst="rect">
                      <a:avLst/>
                    </a:prstGeom>
                  </pic:spPr>
                </pic:pic>
              </a:graphicData>
            </a:graphic>
          </wp:inline>
        </w:drawing>
      </w:r>
    </w:p>
    <w:p w14:paraId="7BC4BE4C" w14:textId="77777777" w:rsidR="009A5DA9" w:rsidRPr="009A5DA9" w:rsidRDefault="009A5DA9" w:rsidP="009A5DA9">
      <w:pPr>
        <w:jc w:val="center"/>
        <w:rPr>
          <w:rFonts w:asciiTheme="majorHAnsi" w:hAnsiTheme="majorHAnsi" w:cstheme="majorHAnsi"/>
          <w:sz w:val="20"/>
          <w:szCs w:val="20"/>
        </w:rPr>
      </w:pPr>
    </w:p>
    <w:p w14:paraId="45C5611F"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lastRenderedPageBreak/>
        <w:t xml:space="preserve">Observations show that the Islamic influence on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falls into two groups of motifs: geometric and floral. </w:t>
      </w:r>
      <w:proofErr w:type="spellStart"/>
      <w:r w:rsidRPr="009A5DA9">
        <w:rPr>
          <w:rFonts w:asciiTheme="majorHAnsi" w:hAnsiTheme="majorHAnsi" w:cstheme="majorHAnsi"/>
          <w:sz w:val="20"/>
          <w:szCs w:val="20"/>
        </w:rPr>
        <w:t>Alhough</w:t>
      </w:r>
      <w:proofErr w:type="spellEnd"/>
      <w:r w:rsidRPr="009A5DA9">
        <w:rPr>
          <w:rFonts w:asciiTheme="majorHAnsi" w:hAnsiTheme="majorHAnsi" w:cstheme="majorHAnsi"/>
          <w:sz w:val="20"/>
          <w:szCs w:val="20"/>
        </w:rPr>
        <w:t xml:space="preserve"> certain geometric designs are also present, floral motifs predominate in most grave markers. A cross-study with themes from Acehnese carving art led to the identification of ten varieties of floral motifs and two geometric patterns. These motifs are broken down in Table 3. </w:t>
      </w:r>
    </w:p>
    <w:p w14:paraId="402BB150"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 influence of Islamic art on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is evident through specific symbols and motifs, reflecting cultural and religious significance. Floral motifs, such as leaves and flowers, are foundational in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wood carving art, symbolizing life, beauty, and spiritual growth. They are closely aligned with their beliefs and spirituality tied to nature. Additionally, geometric motifs, although less common, represent Islamic principles like unity, harmony, and the eternal aspects of God. These motifs, along with intricate carvings on women's grave markers, showcase the influence of Islamic aesthetics, emphasizing balance and finesse in design. Moreover, unique motifs like the Bean Sprout, Jasmine Vine, and Pineapple distinguish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and hold deep cultural and religious meanings specific to their community. Overall, the fusion of Islamic art elements with Jatti </w:t>
      </w:r>
      <w:proofErr w:type="spellStart"/>
      <w:r w:rsidRPr="009A5DA9">
        <w:rPr>
          <w:rFonts w:asciiTheme="majorHAnsi" w:hAnsiTheme="majorHAnsi" w:cstheme="majorHAnsi"/>
          <w:sz w:val="20"/>
          <w:szCs w:val="20"/>
        </w:rPr>
        <w:t>Miriek's</w:t>
      </w:r>
      <w:proofErr w:type="spellEnd"/>
      <w:r w:rsidRPr="009A5DA9">
        <w:rPr>
          <w:rFonts w:asciiTheme="majorHAnsi" w:hAnsiTheme="majorHAnsi" w:cstheme="majorHAnsi"/>
          <w:sz w:val="20"/>
          <w:szCs w:val="20"/>
        </w:rPr>
        <w:t xml:space="preserve"> cultural and religious beliefs is evident in their grave markers, reflecting a harmonious blend of aesthetics and spirituality in their artistic expression.</w:t>
      </w:r>
    </w:p>
    <w:p w14:paraId="673E15BD" w14:textId="77777777" w:rsid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 evolution of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reflects social and religious changes in their society over time. These markers serve as cultural artifacts, illustrating the intertwined influences of culture and religion on the community's wood carving art. Initially influenced by cultural identity and ethnic traditions, the choice of motifs and carving techniques on the gravestones mirrors the beliefs and values passed down through generations. Over time, the influence of Islam becomes apparent, as Islamic motifs and symbolism are integrated into the wood carving art, indicating the community's adoption of Islamic teachings and values. This shift demonstrates the dynamic nature of cultural expression, showcasing how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wood carving art on gravestones has evolved to reflect traditional cultural heritage and the religious transformations within their society.</w:t>
      </w:r>
    </w:p>
    <w:p w14:paraId="3824A531" w14:textId="77777777" w:rsidR="009A5DA9" w:rsidRPr="009A5DA9" w:rsidRDefault="009A5DA9" w:rsidP="009A5DA9">
      <w:pPr>
        <w:ind w:firstLine="426"/>
        <w:jc w:val="both"/>
        <w:rPr>
          <w:rFonts w:asciiTheme="majorHAnsi" w:hAnsiTheme="majorHAnsi" w:cstheme="majorHAnsi"/>
          <w:sz w:val="20"/>
          <w:szCs w:val="20"/>
        </w:rPr>
      </w:pP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1438"/>
        <w:gridCol w:w="2432"/>
        <w:gridCol w:w="2835"/>
      </w:tblGrid>
      <w:tr w:rsidR="009A5DA9" w:rsidRPr="009A5DA9" w14:paraId="3809FC88" w14:textId="77777777" w:rsidTr="009A5DA9">
        <w:trPr>
          <w:trHeight w:val="283"/>
          <w:jc w:val="center"/>
        </w:trPr>
        <w:tc>
          <w:tcPr>
            <w:tcW w:w="7124" w:type="dxa"/>
            <w:gridSpan w:val="4"/>
            <w:tcBorders>
              <w:bottom w:val="single" w:sz="4" w:space="0" w:color="auto"/>
            </w:tcBorders>
            <w:shd w:val="clear" w:color="auto" w:fill="auto"/>
          </w:tcPr>
          <w:p w14:paraId="0284B46A" w14:textId="4AD57465" w:rsidR="009A5DA9" w:rsidRPr="009A5DA9" w:rsidRDefault="009A5DA9" w:rsidP="0049102C">
            <w:pPr>
              <w:jc w:val="center"/>
              <w:rPr>
                <w:rFonts w:asciiTheme="majorHAnsi" w:hAnsiTheme="majorHAnsi" w:cstheme="majorHAnsi"/>
                <w:b/>
                <w:bCs/>
                <w:color w:val="000000" w:themeColor="text1"/>
                <w:sz w:val="16"/>
                <w:szCs w:val="16"/>
              </w:rPr>
            </w:pPr>
            <w:r w:rsidRPr="009A5DA9">
              <w:rPr>
                <w:rFonts w:asciiTheme="majorHAnsi" w:hAnsiTheme="majorHAnsi" w:cstheme="majorHAnsi"/>
                <w:sz w:val="16"/>
                <w:szCs w:val="16"/>
              </w:rPr>
              <w:t xml:space="preserve">Table 3. Types of Motifs in Jatti </w:t>
            </w:r>
            <w:proofErr w:type="spellStart"/>
            <w:r w:rsidRPr="009A5DA9">
              <w:rPr>
                <w:rFonts w:asciiTheme="majorHAnsi" w:hAnsiTheme="majorHAnsi" w:cstheme="majorHAnsi"/>
                <w:sz w:val="16"/>
                <w:szCs w:val="16"/>
              </w:rPr>
              <w:t>Miriek</w:t>
            </w:r>
            <w:proofErr w:type="spellEnd"/>
            <w:r w:rsidRPr="009A5DA9">
              <w:rPr>
                <w:rFonts w:asciiTheme="majorHAnsi" w:hAnsiTheme="majorHAnsi" w:cstheme="majorHAnsi"/>
                <w:sz w:val="16"/>
                <w:szCs w:val="16"/>
              </w:rPr>
              <w:t xml:space="preserve"> Grave Markers</w:t>
            </w:r>
          </w:p>
        </w:tc>
      </w:tr>
      <w:tr w:rsidR="009A5DA9" w:rsidRPr="009A5DA9" w14:paraId="1AC15C9D" w14:textId="77777777" w:rsidTr="009A5DA9">
        <w:trPr>
          <w:jc w:val="center"/>
        </w:trPr>
        <w:tc>
          <w:tcPr>
            <w:tcW w:w="419" w:type="dxa"/>
            <w:tcBorders>
              <w:top w:val="single" w:sz="4" w:space="0" w:color="auto"/>
              <w:bottom w:val="single" w:sz="4" w:space="0" w:color="auto"/>
            </w:tcBorders>
            <w:shd w:val="clear" w:color="auto" w:fill="auto"/>
          </w:tcPr>
          <w:p w14:paraId="287D1AE9" w14:textId="77777777" w:rsidR="009A5DA9" w:rsidRPr="009A5DA9" w:rsidRDefault="009A5DA9" w:rsidP="0049102C">
            <w:pPr>
              <w:ind w:right="-99" w:hanging="90"/>
              <w:jc w:val="center"/>
              <w:rPr>
                <w:rFonts w:asciiTheme="majorHAnsi" w:hAnsiTheme="majorHAnsi" w:cstheme="majorHAnsi"/>
                <w:b/>
                <w:bCs/>
                <w:color w:val="000000" w:themeColor="text1"/>
                <w:sz w:val="16"/>
                <w:szCs w:val="16"/>
              </w:rPr>
            </w:pPr>
            <w:r w:rsidRPr="009A5DA9">
              <w:rPr>
                <w:rFonts w:asciiTheme="majorHAnsi" w:hAnsiTheme="majorHAnsi" w:cstheme="majorHAnsi"/>
                <w:b/>
                <w:bCs/>
                <w:color w:val="000000" w:themeColor="text1"/>
                <w:sz w:val="16"/>
                <w:szCs w:val="16"/>
              </w:rPr>
              <w:t>No</w:t>
            </w:r>
          </w:p>
        </w:tc>
        <w:tc>
          <w:tcPr>
            <w:tcW w:w="1438" w:type="dxa"/>
            <w:tcBorders>
              <w:top w:val="single" w:sz="4" w:space="0" w:color="auto"/>
              <w:bottom w:val="single" w:sz="4" w:space="0" w:color="auto"/>
            </w:tcBorders>
            <w:shd w:val="clear" w:color="auto" w:fill="auto"/>
          </w:tcPr>
          <w:p w14:paraId="627E30CA" w14:textId="77777777" w:rsidR="009A5DA9" w:rsidRPr="009A5DA9" w:rsidRDefault="009A5DA9" w:rsidP="0049102C">
            <w:pPr>
              <w:jc w:val="center"/>
              <w:rPr>
                <w:rFonts w:asciiTheme="majorHAnsi" w:hAnsiTheme="majorHAnsi" w:cstheme="majorHAnsi"/>
                <w:b/>
                <w:bCs/>
                <w:color w:val="000000" w:themeColor="text1"/>
                <w:sz w:val="16"/>
                <w:szCs w:val="16"/>
              </w:rPr>
            </w:pPr>
            <w:r w:rsidRPr="009A5DA9">
              <w:rPr>
                <w:rFonts w:asciiTheme="majorHAnsi" w:hAnsiTheme="majorHAnsi" w:cstheme="majorHAnsi"/>
                <w:b/>
                <w:bCs/>
                <w:color w:val="000000" w:themeColor="text1"/>
                <w:sz w:val="16"/>
                <w:szCs w:val="16"/>
              </w:rPr>
              <w:t>Motif</w:t>
            </w:r>
          </w:p>
        </w:tc>
        <w:tc>
          <w:tcPr>
            <w:tcW w:w="2432" w:type="dxa"/>
            <w:tcBorders>
              <w:top w:val="single" w:sz="4" w:space="0" w:color="auto"/>
              <w:bottom w:val="single" w:sz="4" w:space="0" w:color="auto"/>
            </w:tcBorders>
            <w:shd w:val="clear" w:color="auto" w:fill="auto"/>
          </w:tcPr>
          <w:p w14:paraId="1E228E8D" w14:textId="77777777" w:rsidR="009A5DA9" w:rsidRPr="009A5DA9" w:rsidRDefault="009A5DA9" w:rsidP="0049102C">
            <w:pPr>
              <w:jc w:val="center"/>
              <w:rPr>
                <w:rFonts w:asciiTheme="majorHAnsi" w:hAnsiTheme="majorHAnsi" w:cstheme="majorHAnsi"/>
                <w:b/>
                <w:bCs/>
                <w:color w:val="000000" w:themeColor="text1"/>
                <w:sz w:val="16"/>
                <w:szCs w:val="16"/>
              </w:rPr>
            </w:pPr>
            <w:r w:rsidRPr="009A5DA9">
              <w:rPr>
                <w:rFonts w:asciiTheme="majorHAnsi" w:hAnsiTheme="majorHAnsi" w:cstheme="majorHAnsi"/>
                <w:b/>
                <w:bCs/>
                <w:color w:val="000000" w:themeColor="text1"/>
                <w:sz w:val="16"/>
                <w:szCs w:val="16"/>
              </w:rPr>
              <w:t>Carved Images</w:t>
            </w:r>
          </w:p>
        </w:tc>
        <w:tc>
          <w:tcPr>
            <w:tcW w:w="2835" w:type="dxa"/>
            <w:tcBorders>
              <w:top w:val="single" w:sz="4" w:space="0" w:color="auto"/>
              <w:bottom w:val="single" w:sz="4" w:space="0" w:color="auto"/>
            </w:tcBorders>
            <w:shd w:val="clear" w:color="auto" w:fill="auto"/>
          </w:tcPr>
          <w:p w14:paraId="2EC3708B" w14:textId="77777777" w:rsidR="009A5DA9" w:rsidRPr="009A5DA9" w:rsidRDefault="009A5DA9" w:rsidP="0049102C">
            <w:pPr>
              <w:jc w:val="center"/>
              <w:rPr>
                <w:rFonts w:asciiTheme="majorHAnsi" w:hAnsiTheme="majorHAnsi" w:cstheme="majorHAnsi"/>
                <w:b/>
                <w:bCs/>
                <w:color w:val="000000" w:themeColor="text1"/>
                <w:sz w:val="16"/>
                <w:szCs w:val="16"/>
              </w:rPr>
            </w:pPr>
            <w:r w:rsidRPr="009A5DA9">
              <w:rPr>
                <w:rFonts w:asciiTheme="majorHAnsi" w:hAnsiTheme="majorHAnsi" w:cstheme="majorHAnsi"/>
                <w:b/>
                <w:bCs/>
                <w:color w:val="000000" w:themeColor="text1"/>
                <w:sz w:val="16"/>
                <w:szCs w:val="16"/>
              </w:rPr>
              <w:t>Burial Sites</w:t>
            </w:r>
          </w:p>
        </w:tc>
      </w:tr>
      <w:tr w:rsidR="009A5DA9" w:rsidRPr="009A5DA9" w14:paraId="6A80EB3A" w14:textId="77777777" w:rsidTr="009A5DA9">
        <w:trPr>
          <w:jc w:val="center"/>
        </w:trPr>
        <w:tc>
          <w:tcPr>
            <w:tcW w:w="419" w:type="dxa"/>
            <w:tcBorders>
              <w:top w:val="single" w:sz="4" w:space="0" w:color="auto"/>
              <w:bottom w:val="dashSmallGap" w:sz="4" w:space="0" w:color="auto"/>
            </w:tcBorders>
            <w:shd w:val="clear" w:color="auto" w:fill="auto"/>
          </w:tcPr>
          <w:p w14:paraId="070ABDE4"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1</w:t>
            </w:r>
          </w:p>
        </w:tc>
        <w:tc>
          <w:tcPr>
            <w:tcW w:w="1438" w:type="dxa"/>
            <w:tcBorders>
              <w:top w:val="single" w:sz="4" w:space="0" w:color="auto"/>
              <w:bottom w:val="dashSmallGap" w:sz="4" w:space="0" w:color="auto"/>
            </w:tcBorders>
            <w:shd w:val="clear" w:color="auto" w:fill="auto"/>
          </w:tcPr>
          <w:p w14:paraId="422398EA" w14:textId="77777777" w:rsidR="009A5DA9" w:rsidRPr="009A5DA9" w:rsidRDefault="009A5DA9" w:rsidP="0049102C">
            <w:pPr>
              <w:jc w:val="both"/>
              <w:rPr>
                <w:rFonts w:asciiTheme="majorHAnsi" w:hAnsiTheme="majorHAnsi" w:cstheme="majorHAnsi"/>
                <w:sz w:val="16"/>
                <w:szCs w:val="16"/>
              </w:rPr>
            </w:pPr>
            <w:r w:rsidRPr="009A5DA9">
              <w:rPr>
                <w:rFonts w:asciiTheme="majorHAnsi" w:hAnsiTheme="majorHAnsi" w:cstheme="majorHAnsi"/>
                <w:sz w:val="16"/>
                <w:szCs w:val="16"/>
              </w:rPr>
              <w:t>Corner Flower</w:t>
            </w:r>
          </w:p>
          <w:p w14:paraId="6AAE0E9D"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34756134" wp14:editId="161EE9D3">
                  <wp:extent cx="614045" cy="476250"/>
                  <wp:effectExtent l="0" t="0" r="0" b="0"/>
                  <wp:docPr id="1768546231" name="Image 1" descr="A close-up of a symbol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up of a symbol  Description automatically generated"/>
                          <pic:cNvPicPr/>
                        </pic:nvPicPr>
                        <pic:blipFill>
                          <a:blip r:embed="rId24" cstate="print">
                            <a:extLst>
                              <a:ext uri="{BEBA8EAE-BF5A-486C-A8C5-ECC9F3942E4B}">
                                <a14:imgProps xmlns:a14="http://schemas.microsoft.com/office/drawing/2010/main">
                                  <a14:imgLayer r:embed="rId25">
                                    <a14:imgEffect>
                                      <a14:sharpenSoften amount="50000"/>
                                    </a14:imgEffect>
                                    <a14:imgEffect>
                                      <a14:saturation sat="0"/>
                                    </a14:imgEffect>
                                  </a14:imgLayer>
                                </a14:imgProps>
                              </a:ext>
                            </a:extLst>
                          </a:blip>
                          <a:stretch>
                            <a:fillRect/>
                          </a:stretch>
                        </pic:blipFill>
                        <pic:spPr>
                          <a:xfrm>
                            <a:off x="0" y="0"/>
                            <a:ext cx="614139" cy="476323"/>
                          </a:xfrm>
                          <a:prstGeom prst="rect">
                            <a:avLst/>
                          </a:prstGeom>
                        </pic:spPr>
                      </pic:pic>
                    </a:graphicData>
                  </a:graphic>
                </wp:inline>
              </w:drawing>
            </w:r>
          </w:p>
        </w:tc>
        <w:tc>
          <w:tcPr>
            <w:tcW w:w="2432" w:type="dxa"/>
            <w:tcBorders>
              <w:top w:val="single" w:sz="4" w:space="0" w:color="auto"/>
              <w:bottom w:val="dashSmallGap" w:sz="4" w:space="0" w:color="auto"/>
            </w:tcBorders>
            <w:shd w:val="clear" w:color="auto" w:fill="auto"/>
          </w:tcPr>
          <w:p w14:paraId="3273936C"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3AFD06A4" wp14:editId="17F483E4">
                  <wp:extent cx="607038" cy="647700"/>
                  <wp:effectExtent l="0" t="0" r="3175" b="0"/>
                  <wp:docPr id="1299646526" name="Image 3" descr="A black and white drawing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54210" name="Image 3" descr="A black and white drawing of a flower&#10;&#10;Description automatically generated"/>
                          <pic:cNvPicPr/>
                        </pic:nvPicPr>
                        <pic:blipFill>
                          <a:blip r:embed="rId26" cstate="print"/>
                          <a:stretch>
                            <a:fillRect/>
                          </a:stretch>
                        </pic:blipFill>
                        <pic:spPr>
                          <a:xfrm>
                            <a:off x="0" y="0"/>
                            <a:ext cx="612513" cy="653541"/>
                          </a:xfrm>
                          <a:prstGeom prst="rect">
                            <a:avLst/>
                          </a:prstGeom>
                        </pic:spPr>
                      </pic:pic>
                    </a:graphicData>
                  </a:graphic>
                </wp:inline>
              </w:drawing>
            </w:r>
          </w:p>
        </w:tc>
        <w:tc>
          <w:tcPr>
            <w:tcW w:w="2835" w:type="dxa"/>
            <w:tcBorders>
              <w:top w:val="single" w:sz="4" w:space="0" w:color="auto"/>
              <w:bottom w:val="dashSmallGap" w:sz="4" w:space="0" w:color="auto"/>
            </w:tcBorders>
            <w:shd w:val="clear" w:color="auto" w:fill="auto"/>
          </w:tcPr>
          <w:p w14:paraId="16EB6FC7" w14:textId="77777777" w:rsidR="009A5DA9" w:rsidRPr="009A5DA9" w:rsidRDefault="009A5DA9" w:rsidP="0049102C">
            <w:pPr>
              <w:rPr>
                <w:rFonts w:asciiTheme="majorHAnsi" w:hAnsiTheme="majorHAnsi" w:cstheme="majorHAnsi"/>
                <w:color w:val="000000" w:themeColor="text1"/>
                <w:sz w:val="16"/>
                <w:szCs w:val="16"/>
              </w:rPr>
            </w:pPr>
          </w:p>
          <w:p w14:paraId="04240117" w14:textId="77777777" w:rsid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 xml:space="preserve">Bakam, </w:t>
            </w:r>
            <w:proofErr w:type="spellStart"/>
            <w:r w:rsidRPr="009A5DA9">
              <w:rPr>
                <w:rFonts w:asciiTheme="majorHAnsi" w:hAnsiTheme="majorHAnsi" w:cstheme="majorHAnsi"/>
                <w:color w:val="000000" w:themeColor="text1"/>
                <w:sz w:val="16"/>
                <w:szCs w:val="16"/>
              </w:rPr>
              <w:t>Tabsinak</w:t>
            </w:r>
            <w:proofErr w:type="spellEnd"/>
            <w:r w:rsidRPr="009A5DA9">
              <w:rPr>
                <w:rFonts w:asciiTheme="majorHAnsi" w:hAnsiTheme="majorHAnsi" w:cstheme="majorHAnsi"/>
                <w:color w:val="000000" w:themeColor="text1"/>
                <w:sz w:val="16"/>
                <w:szCs w:val="16"/>
              </w:rPr>
              <w:t xml:space="preserve">, </w:t>
            </w:r>
            <w:proofErr w:type="spellStart"/>
            <w:r w:rsidRPr="009A5DA9">
              <w:rPr>
                <w:rFonts w:asciiTheme="majorHAnsi" w:hAnsiTheme="majorHAnsi" w:cstheme="majorHAnsi"/>
                <w:color w:val="000000" w:themeColor="text1"/>
                <w:sz w:val="16"/>
                <w:szCs w:val="16"/>
              </w:rPr>
              <w:t>Siwakjaya</w:t>
            </w:r>
            <w:proofErr w:type="spellEnd"/>
            <w:r w:rsidRPr="009A5DA9">
              <w:rPr>
                <w:rFonts w:asciiTheme="majorHAnsi" w:hAnsiTheme="majorHAnsi" w:cstheme="majorHAnsi"/>
                <w:color w:val="000000" w:themeColor="text1"/>
                <w:sz w:val="16"/>
                <w:szCs w:val="16"/>
              </w:rPr>
              <w:t xml:space="preserve">, </w:t>
            </w:r>
            <w:proofErr w:type="spellStart"/>
            <w:r w:rsidRPr="009A5DA9">
              <w:rPr>
                <w:rFonts w:asciiTheme="majorHAnsi" w:hAnsiTheme="majorHAnsi" w:cstheme="majorHAnsi"/>
                <w:color w:val="000000" w:themeColor="text1"/>
                <w:sz w:val="16"/>
                <w:szCs w:val="16"/>
              </w:rPr>
              <w:t>Babutan</w:t>
            </w:r>
            <w:proofErr w:type="spellEnd"/>
            <w:r w:rsidRPr="009A5DA9">
              <w:rPr>
                <w:rFonts w:asciiTheme="majorHAnsi" w:hAnsiTheme="majorHAnsi" w:cstheme="majorHAnsi"/>
                <w:color w:val="000000" w:themeColor="text1"/>
                <w:sz w:val="16"/>
                <w:szCs w:val="16"/>
              </w:rPr>
              <w:t xml:space="preserve">, </w:t>
            </w:r>
            <w:proofErr w:type="spellStart"/>
            <w:r w:rsidRPr="009A5DA9">
              <w:rPr>
                <w:rFonts w:asciiTheme="majorHAnsi" w:hAnsiTheme="majorHAnsi" w:cstheme="majorHAnsi"/>
                <w:color w:val="000000" w:themeColor="text1"/>
                <w:sz w:val="16"/>
                <w:szCs w:val="16"/>
              </w:rPr>
              <w:t>Merafak</w:t>
            </w:r>
            <w:proofErr w:type="spellEnd"/>
            <w:r w:rsidRPr="009A5DA9">
              <w:rPr>
                <w:rFonts w:asciiTheme="majorHAnsi" w:hAnsiTheme="majorHAnsi" w:cstheme="majorHAnsi"/>
                <w:color w:val="000000" w:themeColor="text1"/>
                <w:sz w:val="16"/>
                <w:szCs w:val="16"/>
              </w:rPr>
              <w:t>.</w:t>
            </w:r>
          </w:p>
          <w:p w14:paraId="669E98AC" w14:textId="77777777" w:rsidR="009A5DA9" w:rsidRDefault="009A5DA9" w:rsidP="0049102C">
            <w:pPr>
              <w:rPr>
                <w:rFonts w:asciiTheme="majorHAnsi" w:hAnsiTheme="majorHAnsi" w:cstheme="majorHAnsi"/>
                <w:color w:val="000000" w:themeColor="text1"/>
                <w:sz w:val="16"/>
                <w:szCs w:val="16"/>
              </w:rPr>
            </w:pPr>
          </w:p>
          <w:p w14:paraId="49EB7CC8" w14:textId="77777777" w:rsidR="009A5DA9" w:rsidRDefault="009A5DA9" w:rsidP="0049102C">
            <w:pPr>
              <w:rPr>
                <w:rFonts w:asciiTheme="majorHAnsi" w:hAnsiTheme="majorHAnsi" w:cstheme="majorHAnsi"/>
                <w:color w:val="000000" w:themeColor="text1"/>
                <w:sz w:val="16"/>
                <w:szCs w:val="16"/>
              </w:rPr>
            </w:pPr>
          </w:p>
          <w:p w14:paraId="612BDB17" w14:textId="77777777" w:rsidR="009A5DA9" w:rsidRPr="009A5DA9" w:rsidRDefault="009A5DA9" w:rsidP="0049102C">
            <w:pPr>
              <w:rPr>
                <w:rFonts w:asciiTheme="majorHAnsi" w:hAnsiTheme="majorHAnsi" w:cstheme="majorHAnsi"/>
                <w:noProof/>
                <w:sz w:val="16"/>
                <w:szCs w:val="16"/>
              </w:rPr>
            </w:pPr>
          </w:p>
        </w:tc>
      </w:tr>
      <w:tr w:rsidR="009A5DA9" w:rsidRPr="009A5DA9" w14:paraId="0A772A84" w14:textId="77777777" w:rsidTr="009A5DA9">
        <w:trPr>
          <w:jc w:val="center"/>
        </w:trPr>
        <w:tc>
          <w:tcPr>
            <w:tcW w:w="419" w:type="dxa"/>
            <w:tcBorders>
              <w:top w:val="dashSmallGap" w:sz="4" w:space="0" w:color="auto"/>
              <w:bottom w:val="dashSmallGap" w:sz="4" w:space="0" w:color="auto"/>
            </w:tcBorders>
            <w:shd w:val="clear" w:color="auto" w:fill="auto"/>
          </w:tcPr>
          <w:p w14:paraId="6ECD0328"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2</w:t>
            </w:r>
          </w:p>
        </w:tc>
        <w:tc>
          <w:tcPr>
            <w:tcW w:w="1438" w:type="dxa"/>
            <w:tcBorders>
              <w:top w:val="dashSmallGap" w:sz="4" w:space="0" w:color="auto"/>
              <w:bottom w:val="dashSmallGap" w:sz="4" w:space="0" w:color="auto"/>
            </w:tcBorders>
            <w:shd w:val="clear" w:color="auto" w:fill="auto"/>
          </w:tcPr>
          <w:p w14:paraId="49FF15BC" w14:textId="77777777" w:rsidR="009A5DA9" w:rsidRP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White Clover</w:t>
            </w:r>
          </w:p>
          <w:p w14:paraId="59F19F0B"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position w:val="8"/>
                <w:sz w:val="16"/>
                <w:szCs w:val="16"/>
              </w:rPr>
              <w:drawing>
                <wp:inline distT="0" distB="0" distL="0" distR="0" wp14:anchorId="1A749227" wp14:editId="0517B139">
                  <wp:extent cx="665367" cy="463550"/>
                  <wp:effectExtent l="0" t="0" r="1905" b="0"/>
                  <wp:docPr id="714003510" name="Image 25" descr="Kenapa Semanggi Berdaun Empat Sulit Ditemukan? #AkuBacaAkuTahu - Semua  Halaman - Bo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descr="Kenapa Semanggi Berdaun Empat Sulit Ditemukan? #AkuBacaAkuTahu - Semua  Halaman - Bobo"/>
                          <pic:cNvPicPr/>
                        </pic:nvPicPr>
                        <pic:blipFill>
                          <a:blip r:embed="rId27" cstate="print">
                            <a:extLst>
                              <a:ext uri="{BEBA8EAE-BF5A-486C-A8C5-ECC9F3942E4B}">
                                <a14:imgProps xmlns:a14="http://schemas.microsoft.com/office/drawing/2010/main">
                                  <a14:imgLayer r:embed="rId28">
                                    <a14:imgEffect>
                                      <a14:sharpenSoften amount="50000"/>
                                    </a14:imgEffect>
                                    <a14:imgEffect>
                                      <a14:saturation sat="0"/>
                                    </a14:imgEffect>
                                    <a14:imgEffect>
                                      <a14:brightnessContrast bright="40000" contrast="20000"/>
                                    </a14:imgEffect>
                                  </a14:imgLayer>
                                </a14:imgProps>
                              </a:ext>
                            </a:extLst>
                          </a:blip>
                          <a:stretch>
                            <a:fillRect/>
                          </a:stretch>
                        </pic:blipFill>
                        <pic:spPr>
                          <a:xfrm>
                            <a:off x="0" y="0"/>
                            <a:ext cx="667784" cy="465234"/>
                          </a:xfrm>
                          <a:prstGeom prst="rect">
                            <a:avLst/>
                          </a:prstGeom>
                        </pic:spPr>
                      </pic:pic>
                    </a:graphicData>
                  </a:graphic>
                </wp:inline>
              </w:drawing>
            </w:r>
          </w:p>
        </w:tc>
        <w:tc>
          <w:tcPr>
            <w:tcW w:w="2432" w:type="dxa"/>
            <w:tcBorders>
              <w:top w:val="dashSmallGap" w:sz="4" w:space="0" w:color="auto"/>
              <w:bottom w:val="dashSmallGap" w:sz="4" w:space="0" w:color="auto"/>
            </w:tcBorders>
            <w:shd w:val="clear" w:color="auto" w:fill="auto"/>
          </w:tcPr>
          <w:p w14:paraId="256F495B" w14:textId="77777777" w:rsidR="009A5DA9" w:rsidRPr="009A5DA9" w:rsidRDefault="009A5DA9" w:rsidP="0049102C">
            <w:pPr>
              <w:jc w:val="both"/>
              <w:rPr>
                <w:rFonts w:asciiTheme="majorHAnsi" w:hAnsiTheme="majorHAnsi" w:cstheme="majorHAnsi"/>
                <w:color w:val="000000" w:themeColor="text1"/>
                <w:sz w:val="16"/>
                <w:szCs w:val="16"/>
              </w:rPr>
            </w:pPr>
          </w:p>
          <w:p w14:paraId="395DF22A"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78F67D05" wp14:editId="23271431">
                  <wp:extent cx="736600" cy="501650"/>
                  <wp:effectExtent l="0" t="0" r="6350" b="0"/>
                  <wp:docPr id="1315843338" name="Image 33" descr="A black and white drawing of a cros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A black and white drawing of a cross  Description automatically generated"/>
                          <pic:cNvPicPr/>
                        </pic:nvPicPr>
                        <pic:blipFill>
                          <a:blip r:embed="rId29" cstate="print">
                            <a:extLst>
                              <a:ext uri="{BEBA8EAE-BF5A-486C-A8C5-ECC9F3942E4B}">
                                <a14:imgProps xmlns:a14="http://schemas.microsoft.com/office/drawing/2010/main">
                                  <a14:imgLayer r:embed="rId30">
                                    <a14:imgEffect>
                                      <a14:sharpenSoften amount="50000"/>
                                    </a14:imgEffect>
                                    <a14:imgEffect>
                                      <a14:brightnessContrast bright="20000" contrast="-40000"/>
                                    </a14:imgEffect>
                                  </a14:imgLayer>
                                </a14:imgProps>
                              </a:ext>
                            </a:extLst>
                          </a:blip>
                          <a:stretch>
                            <a:fillRect/>
                          </a:stretch>
                        </pic:blipFill>
                        <pic:spPr>
                          <a:xfrm>
                            <a:off x="0" y="0"/>
                            <a:ext cx="745526" cy="507729"/>
                          </a:xfrm>
                          <a:prstGeom prst="rect">
                            <a:avLst/>
                          </a:prstGeom>
                        </pic:spPr>
                      </pic:pic>
                    </a:graphicData>
                  </a:graphic>
                </wp:inline>
              </w:drawing>
            </w:r>
          </w:p>
        </w:tc>
        <w:tc>
          <w:tcPr>
            <w:tcW w:w="2835" w:type="dxa"/>
            <w:tcBorders>
              <w:top w:val="dashSmallGap" w:sz="4" w:space="0" w:color="auto"/>
              <w:bottom w:val="dashSmallGap" w:sz="4" w:space="0" w:color="auto"/>
            </w:tcBorders>
            <w:shd w:val="clear" w:color="auto" w:fill="auto"/>
          </w:tcPr>
          <w:p w14:paraId="64200162" w14:textId="77777777" w:rsidR="009A5DA9" w:rsidRPr="009A5DA9" w:rsidRDefault="009A5DA9" w:rsidP="0049102C">
            <w:pPr>
              <w:jc w:val="both"/>
              <w:rPr>
                <w:rFonts w:asciiTheme="majorHAnsi" w:hAnsiTheme="majorHAnsi" w:cstheme="majorHAnsi"/>
                <w:color w:val="000000" w:themeColor="text1"/>
                <w:sz w:val="16"/>
                <w:szCs w:val="16"/>
              </w:rPr>
            </w:pPr>
          </w:p>
          <w:p w14:paraId="3EF3ECAB" w14:textId="77777777" w:rsid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 xml:space="preserve">Bakam, </w:t>
            </w:r>
            <w:proofErr w:type="spellStart"/>
            <w:r w:rsidRPr="009A5DA9">
              <w:rPr>
                <w:rFonts w:asciiTheme="majorHAnsi" w:hAnsiTheme="majorHAnsi" w:cstheme="majorHAnsi"/>
                <w:color w:val="000000" w:themeColor="text1"/>
                <w:sz w:val="16"/>
                <w:szCs w:val="16"/>
              </w:rPr>
              <w:t>Siwakjaya</w:t>
            </w:r>
            <w:proofErr w:type="spellEnd"/>
            <w:r w:rsidRPr="009A5DA9">
              <w:rPr>
                <w:rFonts w:asciiTheme="majorHAnsi" w:hAnsiTheme="majorHAnsi" w:cstheme="majorHAnsi"/>
                <w:color w:val="000000" w:themeColor="text1"/>
                <w:sz w:val="16"/>
                <w:szCs w:val="16"/>
              </w:rPr>
              <w:t xml:space="preserve">, </w:t>
            </w:r>
            <w:proofErr w:type="spellStart"/>
            <w:r w:rsidRPr="009A5DA9">
              <w:rPr>
                <w:rFonts w:asciiTheme="majorHAnsi" w:hAnsiTheme="majorHAnsi" w:cstheme="majorHAnsi"/>
                <w:color w:val="000000" w:themeColor="text1"/>
                <w:sz w:val="16"/>
                <w:szCs w:val="16"/>
              </w:rPr>
              <w:t>Babutan</w:t>
            </w:r>
            <w:proofErr w:type="spellEnd"/>
            <w:r w:rsidRPr="009A5DA9">
              <w:rPr>
                <w:rFonts w:asciiTheme="majorHAnsi" w:hAnsiTheme="majorHAnsi" w:cstheme="majorHAnsi"/>
                <w:color w:val="000000" w:themeColor="text1"/>
                <w:sz w:val="16"/>
                <w:szCs w:val="16"/>
              </w:rPr>
              <w:t xml:space="preserve">, </w:t>
            </w:r>
            <w:proofErr w:type="spellStart"/>
            <w:r w:rsidRPr="009A5DA9">
              <w:rPr>
                <w:rFonts w:asciiTheme="majorHAnsi" w:hAnsiTheme="majorHAnsi" w:cstheme="majorHAnsi"/>
                <w:color w:val="000000" w:themeColor="text1"/>
                <w:sz w:val="16"/>
                <w:szCs w:val="16"/>
              </w:rPr>
              <w:t>Merafak</w:t>
            </w:r>
            <w:proofErr w:type="spellEnd"/>
          </w:p>
          <w:p w14:paraId="45662A17" w14:textId="77777777" w:rsidR="009A5DA9" w:rsidRDefault="009A5DA9" w:rsidP="0049102C">
            <w:pPr>
              <w:jc w:val="both"/>
              <w:rPr>
                <w:rFonts w:asciiTheme="majorHAnsi" w:hAnsiTheme="majorHAnsi" w:cstheme="majorHAnsi"/>
                <w:color w:val="000000" w:themeColor="text1"/>
                <w:sz w:val="16"/>
                <w:szCs w:val="16"/>
              </w:rPr>
            </w:pPr>
          </w:p>
          <w:p w14:paraId="1BC5E2BC" w14:textId="77777777" w:rsidR="009A5DA9" w:rsidRDefault="009A5DA9" w:rsidP="0049102C">
            <w:pPr>
              <w:jc w:val="both"/>
              <w:rPr>
                <w:rFonts w:asciiTheme="majorHAnsi" w:hAnsiTheme="majorHAnsi" w:cstheme="majorHAnsi"/>
                <w:color w:val="000000" w:themeColor="text1"/>
                <w:sz w:val="16"/>
                <w:szCs w:val="16"/>
              </w:rPr>
            </w:pPr>
          </w:p>
          <w:p w14:paraId="10B75730" w14:textId="77777777" w:rsidR="009A5DA9" w:rsidRDefault="009A5DA9" w:rsidP="0049102C">
            <w:pPr>
              <w:jc w:val="both"/>
              <w:rPr>
                <w:rFonts w:asciiTheme="majorHAnsi" w:hAnsiTheme="majorHAnsi" w:cstheme="majorHAnsi"/>
                <w:color w:val="000000" w:themeColor="text1"/>
                <w:sz w:val="16"/>
                <w:szCs w:val="16"/>
              </w:rPr>
            </w:pPr>
          </w:p>
          <w:p w14:paraId="3AE1FB6C" w14:textId="77777777" w:rsidR="009A5DA9" w:rsidRPr="009A5DA9" w:rsidRDefault="009A5DA9" w:rsidP="0049102C">
            <w:pPr>
              <w:jc w:val="both"/>
              <w:rPr>
                <w:rFonts w:asciiTheme="majorHAnsi" w:hAnsiTheme="majorHAnsi" w:cstheme="majorHAnsi"/>
                <w:color w:val="000000" w:themeColor="text1"/>
                <w:sz w:val="16"/>
                <w:szCs w:val="16"/>
              </w:rPr>
            </w:pPr>
          </w:p>
        </w:tc>
      </w:tr>
      <w:tr w:rsidR="009A5DA9" w:rsidRPr="009A5DA9" w14:paraId="32DA3760" w14:textId="77777777" w:rsidTr="009A5DA9">
        <w:trPr>
          <w:jc w:val="center"/>
        </w:trPr>
        <w:tc>
          <w:tcPr>
            <w:tcW w:w="419" w:type="dxa"/>
            <w:tcBorders>
              <w:top w:val="dashSmallGap" w:sz="4" w:space="0" w:color="auto"/>
              <w:bottom w:val="dashSmallGap" w:sz="4" w:space="0" w:color="auto"/>
            </w:tcBorders>
            <w:shd w:val="clear" w:color="auto" w:fill="auto"/>
          </w:tcPr>
          <w:p w14:paraId="18A6B9FC"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3</w:t>
            </w:r>
          </w:p>
        </w:tc>
        <w:tc>
          <w:tcPr>
            <w:tcW w:w="1438" w:type="dxa"/>
            <w:tcBorders>
              <w:top w:val="dashSmallGap" w:sz="4" w:space="0" w:color="auto"/>
              <w:bottom w:val="dashSmallGap" w:sz="4" w:space="0" w:color="auto"/>
            </w:tcBorders>
            <w:shd w:val="clear" w:color="auto" w:fill="auto"/>
          </w:tcPr>
          <w:p w14:paraId="4F39BC95" w14:textId="77777777" w:rsidR="009A5DA9" w:rsidRPr="009A5DA9" w:rsidRDefault="009A5DA9" w:rsidP="0049102C">
            <w:pPr>
              <w:jc w:val="both"/>
              <w:rPr>
                <w:rFonts w:asciiTheme="majorHAnsi" w:hAnsiTheme="majorHAnsi" w:cstheme="majorHAnsi"/>
                <w:spacing w:val="-4"/>
                <w:sz w:val="16"/>
                <w:szCs w:val="16"/>
              </w:rPr>
            </w:pPr>
            <w:r w:rsidRPr="009A5DA9">
              <w:rPr>
                <w:rFonts w:asciiTheme="majorHAnsi" w:hAnsiTheme="majorHAnsi" w:cstheme="majorHAnsi"/>
                <w:spacing w:val="-4"/>
                <w:sz w:val="16"/>
                <w:szCs w:val="16"/>
              </w:rPr>
              <w:t>Pumpkin</w:t>
            </w:r>
          </w:p>
          <w:p w14:paraId="75047745"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2D3E5A84" wp14:editId="4C235511">
                  <wp:extent cx="533400" cy="380440"/>
                  <wp:effectExtent l="0" t="0" r="0" b="635"/>
                  <wp:docPr id="959588733" name="Image 40" descr="Labu Kuning: Banyak Juga Khasiatnya – Dunia Ani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40" descr="Labu Kuning: Banyak Juga Khasiatnya – Dunia Anissa…"/>
                          <pic:cNvPicPr/>
                        </pic:nvPicPr>
                        <pic:blipFill>
                          <a:blip r:embed="rId31" cstate="print">
                            <a:extLst>
                              <a:ext uri="{BEBA8EAE-BF5A-486C-A8C5-ECC9F3942E4B}">
                                <a14:imgProps xmlns:a14="http://schemas.microsoft.com/office/drawing/2010/main">
                                  <a14:imgLayer r:embed="rId32">
                                    <a14:imgEffect>
                                      <a14:sharpenSoften amount="50000"/>
                                    </a14:imgEffect>
                                    <a14:imgEffect>
                                      <a14:saturation sat="0"/>
                                    </a14:imgEffect>
                                  </a14:imgLayer>
                                </a14:imgProps>
                              </a:ext>
                            </a:extLst>
                          </a:blip>
                          <a:stretch>
                            <a:fillRect/>
                          </a:stretch>
                        </pic:blipFill>
                        <pic:spPr>
                          <a:xfrm>
                            <a:off x="0" y="0"/>
                            <a:ext cx="545225" cy="388874"/>
                          </a:xfrm>
                          <a:prstGeom prst="rect">
                            <a:avLst/>
                          </a:prstGeom>
                        </pic:spPr>
                      </pic:pic>
                    </a:graphicData>
                  </a:graphic>
                </wp:inline>
              </w:drawing>
            </w:r>
          </w:p>
        </w:tc>
        <w:tc>
          <w:tcPr>
            <w:tcW w:w="2432" w:type="dxa"/>
            <w:tcBorders>
              <w:top w:val="dashSmallGap" w:sz="4" w:space="0" w:color="auto"/>
              <w:bottom w:val="dashSmallGap" w:sz="4" w:space="0" w:color="auto"/>
            </w:tcBorders>
            <w:shd w:val="clear" w:color="auto" w:fill="auto"/>
          </w:tcPr>
          <w:p w14:paraId="4760756C" w14:textId="77777777" w:rsidR="009A5DA9" w:rsidRPr="009A5DA9" w:rsidRDefault="009A5DA9" w:rsidP="0049102C">
            <w:pPr>
              <w:jc w:val="center"/>
              <w:rPr>
                <w:rFonts w:asciiTheme="majorHAnsi" w:hAnsiTheme="majorHAnsi" w:cstheme="majorHAnsi"/>
                <w:color w:val="000000" w:themeColor="text1"/>
                <w:sz w:val="16"/>
                <w:szCs w:val="16"/>
              </w:rPr>
            </w:pPr>
          </w:p>
          <w:p w14:paraId="5A8584AD"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02834239" wp14:editId="00903E68">
                  <wp:extent cx="519304" cy="349250"/>
                  <wp:effectExtent l="0" t="0" r="0" b="0"/>
                  <wp:docPr id="2047878972" name="Image 44" descr="A drawing of a chess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descr="A drawing of a chess piece&#10;&#10;Description automatically generated"/>
                          <pic:cNvPicPr/>
                        </pic:nvPicPr>
                        <pic:blipFill>
                          <a:blip r:embed="rId33" cstate="print"/>
                          <a:stretch>
                            <a:fillRect/>
                          </a:stretch>
                        </pic:blipFill>
                        <pic:spPr>
                          <a:xfrm>
                            <a:off x="0" y="0"/>
                            <a:ext cx="526767" cy="354269"/>
                          </a:xfrm>
                          <a:prstGeom prst="rect">
                            <a:avLst/>
                          </a:prstGeom>
                        </pic:spPr>
                      </pic:pic>
                    </a:graphicData>
                  </a:graphic>
                </wp:inline>
              </w:drawing>
            </w:r>
          </w:p>
        </w:tc>
        <w:tc>
          <w:tcPr>
            <w:tcW w:w="2835" w:type="dxa"/>
            <w:tcBorders>
              <w:top w:val="dashSmallGap" w:sz="4" w:space="0" w:color="auto"/>
              <w:bottom w:val="dashSmallGap" w:sz="4" w:space="0" w:color="auto"/>
            </w:tcBorders>
            <w:shd w:val="clear" w:color="auto" w:fill="auto"/>
          </w:tcPr>
          <w:p w14:paraId="4F3FD5E3" w14:textId="77777777" w:rsidR="009A5DA9" w:rsidRPr="009A5DA9" w:rsidRDefault="009A5DA9" w:rsidP="0049102C">
            <w:pPr>
              <w:rPr>
                <w:rFonts w:asciiTheme="majorHAnsi" w:hAnsiTheme="majorHAnsi" w:cstheme="majorHAnsi"/>
                <w:color w:val="000000" w:themeColor="text1"/>
                <w:sz w:val="16"/>
                <w:szCs w:val="16"/>
              </w:rPr>
            </w:pPr>
          </w:p>
          <w:p w14:paraId="3B4970B5" w14:textId="77777777" w:rsidR="009A5DA9" w:rsidRDefault="009A5DA9" w:rsidP="0049102C">
            <w:pPr>
              <w:rPr>
                <w:rFonts w:asciiTheme="majorHAnsi" w:hAnsiTheme="majorHAnsi" w:cstheme="majorHAnsi"/>
                <w:color w:val="000000" w:themeColor="text1"/>
                <w:sz w:val="16"/>
                <w:szCs w:val="16"/>
              </w:rPr>
            </w:pPr>
            <w:proofErr w:type="spellStart"/>
            <w:r w:rsidRPr="009A5DA9">
              <w:rPr>
                <w:rFonts w:asciiTheme="majorHAnsi" w:hAnsiTheme="majorHAnsi" w:cstheme="majorHAnsi"/>
                <w:color w:val="000000" w:themeColor="text1"/>
                <w:sz w:val="16"/>
                <w:szCs w:val="16"/>
              </w:rPr>
              <w:t>Merafak</w:t>
            </w:r>
            <w:proofErr w:type="spellEnd"/>
            <w:r w:rsidRPr="009A5DA9">
              <w:rPr>
                <w:rFonts w:asciiTheme="majorHAnsi" w:hAnsiTheme="majorHAnsi" w:cstheme="majorHAnsi"/>
                <w:color w:val="000000" w:themeColor="text1"/>
                <w:sz w:val="16"/>
                <w:szCs w:val="16"/>
              </w:rPr>
              <w:t xml:space="preserve">, Bakam, </w:t>
            </w:r>
            <w:proofErr w:type="spellStart"/>
            <w:r w:rsidRPr="009A5DA9">
              <w:rPr>
                <w:rFonts w:asciiTheme="majorHAnsi" w:hAnsiTheme="majorHAnsi" w:cstheme="majorHAnsi"/>
                <w:color w:val="000000" w:themeColor="text1"/>
                <w:sz w:val="16"/>
                <w:szCs w:val="16"/>
              </w:rPr>
              <w:t>Katong</w:t>
            </w:r>
            <w:proofErr w:type="spellEnd"/>
          </w:p>
          <w:p w14:paraId="4AAC3774" w14:textId="77777777" w:rsidR="009A5DA9" w:rsidRDefault="009A5DA9" w:rsidP="0049102C">
            <w:pPr>
              <w:rPr>
                <w:rFonts w:asciiTheme="majorHAnsi" w:hAnsiTheme="majorHAnsi" w:cstheme="majorHAnsi"/>
                <w:color w:val="000000" w:themeColor="text1"/>
                <w:sz w:val="16"/>
                <w:szCs w:val="16"/>
              </w:rPr>
            </w:pPr>
          </w:p>
          <w:p w14:paraId="388F951B" w14:textId="77777777" w:rsidR="009A5DA9" w:rsidRDefault="009A5DA9" w:rsidP="0049102C">
            <w:pPr>
              <w:rPr>
                <w:rFonts w:asciiTheme="majorHAnsi" w:hAnsiTheme="majorHAnsi" w:cstheme="majorHAnsi"/>
                <w:color w:val="000000" w:themeColor="text1"/>
                <w:sz w:val="16"/>
                <w:szCs w:val="16"/>
              </w:rPr>
            </w:pPr>
          </w:p>
          <w:p w14:paraId="5EFD34AA" w14:textId="77777777" w:rsidR="009A5DA9" w:rsidRPr="009A5DA9" w:rsidRDefault="009A5DA9" w:rsidP="0049102C">
            <w:pPr>
              <w:rPr>
                <w:rFonts w:asciiTheme="majorHAnsi" w:hAnsiTheme="majorHAnsi" w:cstheme="majorHAnsi"/>
                <w:color w:val="000000" w:themeColor="text1"/>
                <w:sz w:val="16"/>
                <w:szCs w:val="16"/>
              </w:rPr>
            </w:pPr>
          </w:p>
        </w:tc>
      </w:tr>
      <w:tr w:rsidR="009A5DA9" w:rsidRPr="009A5DA9" w14:paraId="195E11F6" w14:textId="77777777" w:rsidTr="009A5DA9">
        <w:trPr>
          <w:jc w:val="center"/>
        </w:trPr>
        <w:tc>
          <w:tcPr>
            <w:tcW w:w="419" w:type="dxa"/>
            <w:tcBorders>
              <w:top w:val="dashSmallGap" w:sz="4" w:space="0" w:color="auto"/>
              <w:bottom w:val="dashSmallGap" w:sz="4" w:space="0" w:color="auto"/>
            </w:tcBorders>
            <w:shd w:val="clear" w:color="auto" w:fill="auto"/>
          </w:tcPr>
          <w:p w14:paraId="788B1AA4"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4</w:t>
            </w:r>
          </w:p>
        </w:tc>
        <w:tc>
          <w:tcPr>
            <w:tcW w:w="1438" w:type="dxa"/>
            <w:tcBorders>
              <w:top w:val="dashSmallGap" w:sz="4" w:space="0" w:color="auto"/>
              <w:bottom w:val="dashSmallGap" w:sz="4" w:space="0" w:color="auto"/>
            </w:tcBorders>
            <w:shd w:val="clear" w:color="auto" w:fill="auto"/>
          </w:tcPr>
          <w:p w14:paraId="0B89EB56" w14:textId="77777777" w:rsidR="009A5DA9" w:rsidRPr="009A5DA9" w:rsidRDefault="009A5DA9" w:rsidP="0049102C">
            <w:pPr>
              <w:rPr>
                <w:rFonts w:asciiTheme="majorHAnsi" w:hAnsiTheme="majorHAnsi" w:cstheme="majorHAnsi"/>
                <w:spacing w:val="-2"/>
                <w:sz w:val="16"/>
                <w:szCs w:val="16"/>
              </w:rPr>
            </w:pPr>
            <w:r w:rsidRPr="009A5DA9">
              <w:rPr>
                <w:rFonts w:asciiTheme="majorHAnsi" w:hAnsiTheme="majorHAnsi" w:cstheme="majorHAnsi"/>
                <w:spacing w:val="-2"/>
                <w:sz w:val="16"/>
                <w:szCs w:val="16"/>
              </w:rPr>
              <w:t>Lotus</w:t>
            </w:r>
          </w:p>
          <w:p w14:paraId="4515E921"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pacing w:val="70"/>
                <w:sz w:val="16"/>
                <w:szCs w:val="16"/>
              </w:rPr>
              <w:drawing>
                <wp:inline distT="0" distB="0" distL="0" distR="0" wp14:anchorId="38B6CA04" wp14:editId="5770C8B2">
                  <wp:extent cx="552450" cy="469900"/>
                  <wp:effectExtent l="0" t="0" r="0" b="6350"/>
                  <wp:docPr id="527505410" name="Image 48" descr="Poster beautiful pink lotus or water lily in pond - PIXERS.NET.A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Poster beautiful pink lotus or water lily in pond - PIXERS.NET.AU"/>
                          <pic:cNvPicPr/>
                        </pic:nvPicPr>
                        <pic:blipFill>
                          <a:blip r:embed="rId34" cstate="print">
                            <a:extLst>
                              <a:ext uri="{BEBA8EAE-BF5A-486C-A8C5-ECC9F3942E4B}">
                                <a14:imgProps xmlns:a14="http://schemas.microsoft.com/office/drawing/2010/main">
                                  <a14:imgLayer r:embed="rId35">
                                    <a14:imgEffect>
                                      <a14:sharpenSoften amount="50000"/>
                                    </a14:imgEffect>
                                    <a14:imgEffect>
                                      <a14:saturation sat="0"/>
                                    </a14:imgEffect>
                                    <a14:imgEffect>
                                      <a14:brightnessContrast bright="20000" contrast="-20000"/>
                                    </a14:imgEffect>
                                  </a14:imgLayer>
                                </a14:imgProps>
                              </a:ext>
                            </a:extLst>
                          </a:blip>
                          <a:stretch>
                            <a:fillRect/>
                          </a:stretch>
                        </pic:blipFill>
                        <pic:spPr>
                          <a:xfrm>
                            <a:off x="0" y="0"/>
                            <a:ext cx="558381" cy="474945"/>
                          </a:xfrm>
                          <a:prstGeom prst="rect">
                            <a:avLst/>
                          </a:prstGeom>
                        </pic:spPr>
                      </pic:pic>
                    </a:graphicData>
                  </a:graphic>
                </wp:inline>
              </w:drawing>
            </w:r>
          </w:p>
        </w:tc>
        <w:tc>
          <w:tcPr>
            <w:tcW w:w="2432" w:type="dxa"/>
            <w:tcBorders>
              <w:top w:val="dashSmallGap" w:sz="4" w:space="0" w:color="auto"/>
              <w:bottom w:val="dashSmallGap" w:sz="4" w:space="0" w:color="auto"/>
            </w:tcBorders>
            <w:shd w:val="clear" w:color="auto" w:fill="auto"/>
          </w:tcPr>
          <w:p w14:paraId="749D7B3D" w14:textId="77777777" w:rsidR="009A5DA9" w:rsidRPr="009A5DA9" w:rsidRDefault="009A5DA9" w:rsidP="0049102C">
            <w:pPr>
              <w:jc w:val="center"/>
              <w:rPr>
                <w:rFonts w:asciiTheme="majorHAnsi" w:hAnsiTheme="majorHAnsi" w:cstheme="majorHAnsi"/>
                <w:color w:val="000000" w:themeColor="text1"/>
                <w:sz w:val="16"/>
                <w:szCs w:val="16"/>
              </w:rPr>
            </w:pPr>
          </w:p>
          <w:p w14:paraId="588DD4B6"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1CD04C2D" wp14:editId="7E072952">
                  <wp:extent cx="635000" cy="457200"/>
                  <wp:effectExtent l="0" t="0" r="0" b="0"/>
                  <wp:docPr id="648990108" name="Image 55" descr="A drawing of a flow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A drawing of a flower&#10;&#10;Description automatically generated"/>
                          <pic:cNvPicPr/>
                        </pic:nvPicPr>
                        <pic:blipFill>
                          <a:blip r:embed="rId36" cstate="print"/>
                          <a:stretch>
                            <a:fillRect/>
                          </a:stretch>
                        </pic:blipFill>
                        <pic:spPr>
                          <a:xfrm>
                            <a:off x="0" y="0"/>
                            <a:ext cx="641643" cy="461983"/>
                          </a:xfrm>
                          <a:prstGeom prst="rect">
                            <a:avLst/>
                          </a:prstGeom>
                        </pic:spPr>
                      </pic:pic>
                    </a:graphicData>
                  </a:graphic>
                </wp:inline>
              </w:drawing>
            </w:r>
          </w:p>
        </w:tc>
        <w:tc>
          <w:tcPr>
            <w:tcW w:w="2835" w:type="dxa"/>
            <w:tcBorders>
              <w:top w:val="dashSmallGap" w:sz="4" w:space="0" w:color="auto"/>
              <w:bottom w:val="dashSmallGap" w:sz="4" w:space="0" w:color="auto"/>
            </w:tcBorders>
            <w:shd w:val="clear" w:color="auto" w:fill="auto"/>
          </w:tcPr>
          <w:p w14:paraId="54262634" w14:textId="77777777" w:rsidR="009A5DA9" w:rsidRPr="009A5DA9" w:rsidRDefault="009A5DA9" w:rsidP="0049102C">
            <w:pPr>
              <w:rPr>
                <w:rFonts w:asciiTheme="majorHAnsi" w:hAnsiTheme="majorHAnsi" w:cstheme="majorHAnsi"/>
                <w:color w:val="000000" w:themeColor="text1"/>
                <w:sz w:val="16"/>
                <w:szCs w:val="16"/>
              </w:rPr>
            </w:pPr>
          </w:p>
          <w:p w14:paraId="78F6404E" w14:textId="77777777" w:rsidR="009A5DA9" w:rsidRDefault="009A5DA9" w:rsidP="0049102C">
            <w:pPr>
              <w:rPr>
                <w:rFonts w:asciiTheme="majorHAnsi" w:hAnsiTheme="majorHAnsi" w:cstheme="majorHAnsi"/>
                <w:color w:val="000000" w:themeColor="text1"/>
                <w:sz w:val="16"/>
                <w:szCs w:val="16"/>
              </w:rPr>
            </w:pPr>
            <w:proofErr w:type="spellStart"/>
            <w:r w:rsidRPr="009A5DA9">
              <w:rPr>
                <w:rFonts w:asciiTheme="majorHAnsi" w:hAnsiTheme="majorHAnsi" w:cstheme="majorHAnsi"/>
                <w:color w:val="000000" w:themeColor="text1"/>
                <w:sz w:val="16"/>
                <w:szCs w:val="16"/>
              </w:rPr>
              <w:t>Merafak</w:t>
            </w:r>
            <w:proofErr w:type="spellEnd"/>
            <w:r w:rsidRPr="009A5DA9">
              <w:rPr>
                <w:rFonts w:asciiTheme="majorHAnsi" w:hAnsiTheme="majorHAnsi" w:cstheme="majorHAnsi"/>
                <w:color w:val="000000" w:themeColor="text1"/>
                <w:sz w:val="16"/>
                <w:szCs w:val="16"/>
              </w:rPr>
              <w:t xml:space="preserve">, Bakam, </w:t>
            </w:r>
            <w:proofErr w:type="spellStart"/>
            <w:r w:rsidRPr="009A5DA9">
              <w:rPr>
                <w:rFonts w:asciiTheme="majorHAnsi" w:hAnsiTheme="majorHAnsi" w:cstheme="majorHAnsi"/>
                <w:color w:val="000000" w:themeColor="text1"/>
                <w:sz w:val="16"/>
                <w:szCs w:val="16"/>
              </w:rPr>
              <w:t>Katong</w:t>
            </w:r>
            <w:proofErr w:type="spellEnd"/>
            <w:r w:rsidRPr="009A5DA9">
              <w:rPr>
                <w:rFonts w:asciiTheme="majorHAnsi" w:hAnsiTheme="majorHAnsi" w:cstheme="majorHAnsi"/>
                <w:color w:val="000000" w:themeColor="text1"/>
                <w:sz w:val="16"/>
                <w:szCs w:val="16"/>
              </w:rPr>
              <w:t>, Pelapi</w:t>
            </w:r>
          </w:p>
          <w:p w14:paraId="24D4643E" w14:textId="77777777" w:rsidR="009A5DA9" w:rsidRDefault="009A5DA9" w:rsidP="0049102C">
            <w:pPr>
              <w:rPr>
                <w:rFonts w:asciiTheme="majorHAnsi" w:hAnsiTheme="majorHAnsi" w:cstheme="majorHAnsi"/>
                <w:color w:val="000000" w:themeColor="text1"/>
                <w:sz w:val="16"/>
                <w:szCs w:val="16"/>
              </w:rPr>
            </w:pPr>
          </w:p>
          <w:p w14:paraId="0D375A70" w14:textId="77777777" w:rsidR="009A5DA9" w:rsidRDefault="009A5DA9" w:rsidP="0049102C">
            <w:pPr>
              <w:rPr>
                <w:rFonts w:asciiTheme="majorHAnsi" w:hAnsiTheme="majorHAnsi" w:cstheme="majorHAnsi"/>
                <w:color w:val="000000" w:themeColor="text1"/>
                <w:sz w:val="16"/>
                <w:szCs w:val="16"/>
              </w:rPr>
            </w:pPr>
          </w:p>
          <w:p w14:paraId="56947BCB" w14:textId="77777777" w:rsidR="009A5DA9" w:rsidRPr="009A5DA9" w:rsidRDefault="009A5DA9" w:rsidP="0049102C">
            <w:pPr>
              <w:rPr>
                <w:rFonts w:asciiTheme="majorHAnsi" w:hAnsiTheme="majorHAnsi" w:cstheme="majorHAnsi"/>
                <w:color w:val="000000" w:themeColor="text1"/>
                <w:sz w:val="16"/>
                <w:szCs w:val="16"/>
              </w:rPr>
            </w:pPr>
          </w:p>
        </w:tc>
      </w:tr>
      <w:tr w:rsidR="009A5DA9" w:rsidRPr="009A5DA9" w14:paraId="2E205192" w14:textId="77777777" w:rsidTr="009A5DA9">
        <w:trPr>
          <w:jc w:val="center"/>
        </w:trPr>
        <w:tc>
          <w:tcPr>
            <w:tcW w:w="419" w:type="dxa"/>
            <w:tcBorders>
              <w:top w:val="dashSmallGap" w:sz="4" w:space="0" w:color="auto"/>
              <w:bottom w:val="dashSmallGap" w:sz="4" w:space="0" w:color="auto"/>
            </w:tcBorders>
            <w:shd w:val="clear" w:color="auto" w:fill="auto"/>
          </w:tcPr>
          <w:p w14:paraId="48E3BD78"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5</w:t>
            </w:r>
          </w:p>
        </w:tc>
        <w:tc>
          <w:tcPr>
            <w:tcW w:w="1438" w:type="dxa"/>
            <w:tcBorders>
              <w:top w:val="dashSmallGap" w:sz="4" w:space="0" w:color="auto"/>
              <w:bottom w:val="dashSmallGap" w:sz="4" w:space="0" w:color="auto"/>
            </w:tcBorders>
            <w:shd w:val="clear" w:color="auto" w:fill="auto"/>
          </w:tcPr>
          <w:p w14:paraId="63E879C9"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Bean Vine Leaves</w:t>
            </w:r>
          </w:p>
          <w:p w14:paraId="68950203"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position w:val="10"/>
                <w:sz w:val="16"/>
                <w:szCs w:val="16"/>
              </w:rPr>
              <w:drawing>
                <wp:inline distT="0" distB="0" distL="0" distR="0" wp14:anchorId="73C919DC" wp14:editId="04F1FC7E">
                  <wp:extent cx="576943" cy="413657"/>
                  <wp:effectExtent l="0" t="0" r="0" b="0"/>
                  <wp:docPr id="1420937340" name="Image 64" descr="Close-up of a vine with leav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Close-up of a vine with leaves&#10;&#10;Description automatically generated"/>
                          <pic:cNvPicPr/>
                        </pic:nvPicPr>
                        <pic:blipFill>
                          <a:blip r:embed="rId37" cstate="print">
                            <a:extLst>
                              <a:ext uri="{BEBA8EAE-BF5A-486C-A8C5-ECC9F3942E4B}">
                                <a14:imgProps xmlns:a14="http://schemas.microsoft.com/office/drawing/2010/main">
                                  <a14:imgLayer r:embed="rId38">
                                    <a14:imgEffect>
                                      <a14:sharpenSoften amount="50000"/>
                                    </a14:imgEffect>
                                    <a14:imgEffect>
                                      <a14:saturation sat="0"/>
                                    </a14:imgEffect>
                                  </a14:imgLayer>
                                </a14:imgProps>
                              </a:ext>
                            </a:extLst>
                          </a:blip>
                          <a:stretch>
                            <a:fillRect/>
                          </a:stretch>
                        </pic:blipFill>
                        <pic:spPr>
                          <a:xfrm>
                            <a:off x="0" y="0"/>
                            <a:ext cx="590292" cy="423228"/>
                          </a:xfrm>
                          <a:prstGeom prst="rect">
                            <a:avLst/>
                          </a:prstGeom>
                        </pic:spPr>
                      </pic:pic>
                    </a:graphicData>
                  </a:graphic>
                </wp:inline>
              </w:drawing>
            </w:r>
          </w:p>
        </w:tc>
        <w:tc>
          <w:tcPr>
            <w:tcW w:w="2432" w:type="dxa"/>
            <w:tcBorders>
              <w:top w:val="dashSmallGap" w:sz="4" w:space="0" w:color="auto"/>
              <w:bottom w:val="dashSmallGap" w:sz="4" w:space="0" w:color="auto"/>
            </w:tcBorders>
            <w:shd w:val="clear" w:color="auto" w:fill="auto"/>
          </w:tcPr>
          <w:p w14:paraId="377B1FCE"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52703315" wp14:editId="35648725">
                  <wp:extent cx="488950" cy="755650"/>
                  <wp:effectExtent l="0" t="0" r="6350" b="6350"/>
                  <wp:docPr id="263690723" name="Image 68" descr="A black and white drawing of a de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A black and white drawing of a design&#10;&#10;Description automatically generated"/>
                          <pic:cNvPicPr/>
                        </pic:nvPicPr>
                        <pic:blipFill>
                          <a:blip r:embed="rId39" cstate="print"/>
                          <a:stretch>
                            <a:fillRect/>
                          </a:stretch>
                        </pic:blipFill>
                        <pic:spPr>
                          <a:xfrm>
                            <a:off x="0" y="0"/>
                            <a:ext cx="491893" cy="760199"/>
                          </a:xfrm>
                          <a:prstGeom prst="rect">
                            <a:avLst/>
                          </a:prstGeom>
                        </pic:spPr>
                      </pic:pic>
                    </a:graphicData>
                  </a:graphic>
                </wp:inline>
              </w:drawing>
            </w:r>
          </w:p>
        </w:tc>
        <w:tc>
          <w:tcPr>
            <w:tcW w:w="2835" w:type="dxa"/>
            <w:tcBorders>
              <w:top w:val="dashSmallGap" w:sz="4" w:space="0" w:color="auto"/>
              <w:bottom w:val="dashSmallGap" w:sz="4" w:space="0" w:color="auto"/>
            </w:tcBorders>
            <w:shd w:val="clear" w:color="auto" w:fill="auto"/>
          </w:tcPr>
          <w:p w14:paraId="097FFF33" w14:textId="77777777" w:rsidR="009A5DA9" w:rsidRPr="009A5DA9" w:rsidRDefault="009A5DA9" w:rsidP="0049102C">
            <w:pPr>
              <w:rPr>
                <w:rFonts w:asciiTheme="majorHAnsi" w:hAnsiTheme="majorHAnsi" w:cstheme="majorHAnsi"/>
                <w:noProof/>
                <w:sz w:val="16"/>
                <w:szCs w:val="16"/>
              </w:rPr>
            </w:pPr>
          </w:p>
          <w:p w14:paraId="7AF12E65" w14:textId="77777777" w:rsidR="009A5DA9" w:rsidRDefault="009A5DA9" w:rsidP="0049102C">
            <w:pPr>
              <w:rPr>
                <w:rFonts w:asciiTheme="majorHAnsi" w:hAnsiTheme="majorHAnsi" w:cstheme="majorHAnsi"/>
                <w:noProof/>
                <w:sz w:val="16"/>
                <w:szCs w:val="16"/>
              </w:rPr>
            </w:pPr>
            <w:r w:rsidRPr="009A5DA9">
              <w:rPr>
                <w:rFonts w:asciiTheme="majorHAnsi" w:hAnsiTheme="majorHAnsi" w:cstheme="majorHAnsi"/>
                <w:noProof/>
                <w:sz w:val="16"/>
                <w:szCs w:val="16"/>
              </w:rPr>
              <w:t>Bakam, Siwakjaya, Merafak</w:t>
            </w:r>
          </w:p>
          <w:p w14:paraId="077C3553" w14:textId="77777777" w:rsidR="009A5DA9" w:rsidRDefault="009A5DA9" w:rsidP="0049102C">
            <w:pPr>
              <w:rPr>
                <w:rFonts w:asciiTheme="majorHAnsi" w:hAnsiTheme="majorHAnsi" w:cstheme="majorHAnsi"/>
                <w:noProof/>
                <w:sz w:val="16"/>
                <w:szCs w:val="16"/>
              </w:rPr>
            </w:pPr>
          </w:p>
          <w:p w14:paraId="4D9AE099" w14:textId="77777777" w:rsidR="009A5DA9" w:rsidRDefault="009A5DA9" w:rsidP="0049102C">
            <w:pPr>
              <w:rPr>
                <w:rFonts w:asciiTheme="majorHAnsi" w:hAnsiTheme="majorHAnsi" w:cstheme="majorHAnsi"/>
                <w:noProof/>
                <w:sz w:val="16"/>
                <w:szCs w:val="16"/>
              </w:rPr>
            </w:pPr>
          </w:p>
          <w:p w14:paraId="2EBF7377" w14:textId="77777777" w:rsidR="009A5DA9" w:rsidRDefault="009A5DA9" w:rsidP="0049102C">
            <w:pPr>
              <w:rPr>
                <w:rFonts w:asciiTheme="majorHAnsi" w:hAnsiTheme="majorHAnsi" w:cstheme="majorHAnsi"/>
                <w:noProof/>
                <w:sz w:val="16"/>
                <w:szCs w:val="16"/>
              </w:rPr>
            </w:pPr>
          </w:p>
          <w:p w14:paraId="5A989708" w14:textId="77777777" w:rsidR="009A5DA9" w:rsidRDefault="009A5DA9" w:rsidP="0049102C">
            <w:pPr>
              <w:rPr>
                <w:rFonts w:asciiTheme="majorHAnsi" w:hAnsiTheme="majorHAnsi" w:cstheme="majorHAnsi"/>
                <w:noProof/>
                <w:sz w:val="16"/>
                <w:szCs w:val="16"/>
              </w:rPr>
            </w:pPr>
          </w:p>
          <w:p w14:paraId="0E6E0772" w14:textId="55FDCCB4" w:rsidR="009A5DA9" w:rsidRPr="009A5DA9" w:rsidRDefault="009A5DA9" w:rsidP="0049102C">
            <w:pPr>
              <w:rPr>
                <w:rFonts w:asciiTheme="majorHAnsi" w:hAnsiTheme="majorHAnsi" w:cstheme="majorHAnsi"/>
                <w:noProof/>
                <w:sz w:val="16"/>
                <w:szCs w:val="16"/>
              </w:rPr>
            </w:pPr>
          </w:p>
        </w:tc>
      </w:tr>
      <w:tr w:rsidR="009A5DA9" w:rsidRPr="009A5DA9" w14:paraId="7B947AA4" w14:textId="77777777" w:rsidTr="009A5DA9">
        <w:trPr>
          <w:jc w:val="center"/>
        </w:trPr>
        <w:tc>
          <w:tcPr>
            <w:tcW w:w="419" w:type="dxa"/>
            <w:tcBorders>
              <w:top w:val="dashSmallGap" w:sz="4" w:space="0" w:color="auto"/>
              <w:bottom w:val="dashSmallGap" w:sz="4" w:space="0" w:color="auto"/>
            </w:tcBorders>
            <w:shd w:val="clear" w:color="auto" w:fill="auto"/>
          </w:tcPr>
          <w:p w14:paraId="28E60783"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6</w:t>
            </w:r>
          </w:p>
        </w:tc>
        <w:tc>
          <w:tcPr>
            <w:tcW w:w="1438" w:type="dxa"/>
            <w:tcBorders>
              <w:top w:val="dashSmallGap" w:sz="4" w:space="0" w:color="auto"/>
              <w:bottom w:val="dashSmallGap" w:sz="4" w:space="0" w:color="auto"/>
            </w:tcBorders>
            <w:shd w:val="clear" w:color="auto" w:fill="auto"/>
          </w:tcPr>
          <w:p w14:paraId="1BBAEC48" w14:textId="77777777" w:rsidR="009A5DA9" w:rsidRP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Turmeric Flower</w:t>
            </w:r>
          </w:p>
          <w:p w14:paraId="6D0748C4"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6CA15A19" wp14:editId="050A721D">
                  <wp:extent cx="576943" cy="669873"/>
                  <wp:effectExtent l="0" t="0" r="0" b="0"/>
                  <wp:docPr id="2123851977" name="Image 83" descr="Temulawak – Urban Biodiversity Initiative (U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83" descr="Temulawak – Urban Biodiversity Initiative (UBI)"/>
                          <pic:cNvPicPr/>
                        </pic:nvPicPr>
                        <pic:blipFill>
                          <a:blip r:embed="rId40" cstate="print">
                            <a:extLst>
                              <a:ext uri="{BEBA8EAE-BF5A-486C-A8C5-ECC9F3942E4B}">
                                <a14:imgProps xmlns:a14="http://schemas.microsoft.com/office/drawing/2010/main">
                                  <a14:imgLayer r:embed="rId41">
                                    <a14:imgEffect>
                                      <a14:sharpenSoften amount="50000"/>
                                    </a14:imgEffect>
                                    <a14:imgEffect>
                                      <a14:saturation sat="0"/>
                                    </a14:imgEffect>
                                    <a14:imgEffect>
                                      <a14:brightnessContrast bright="40000" contrast="-40000"/>
                                    </a14:imgEffect>
                                  </a14:imgLayer>
                                </a14:imgProps>
                              </a:ext>
                            </a:extLst>
                          </a:blip>
                          <a:stretch>
                            <a:fillRect/>
                          </a:stretch>
                        </pic:blipFill>
                        <pic:spPr>
                          <a:xfrm>
                            <a:off x="0" y="0"/>
                            <a:ext cx="581896" cy="675624"/>
                          </a:xfrm>
                          <a:prstGeom prst="rect">
                            <a:avLst/>
                          </a:prstGeom>
                        </pic:spPr>
                      </pic:pic>
                    </a:graphicData>
                  </a:graphic>
                </wp:inline>
              </w:drawing>
            </w:r>
          </w:p>
        </w:tc>
        <w:tc>
          <w:tcPr>
            <w:tcW w:w="2432" w:type="dxa"/>
            <w:tcBorders>
              <w:top w:val="dashSmallGap" w:sz="4" w:space="0" w:color="auto"/>
              <w:bottom w:val="dashSmallGap" w:sz="4" w:space="0" w:color="auto"/>
            </w:tcBorders>
            <w:shd w:val="clear" w:color="auto" w:fill="auto"/>
          </w:tcPr>
          <w:p w14:paraId="4B7F7366"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7CC86DEA" wp14:editId="302DB0BB">
                  <wp:extent cx="450850" cy="977900"/>
                  <wp:effectExtent l="0" t="0" r="6350" b="0"/>
                  <wp:docPr id="429125329" name="Image 84" descr="A black and white drawing of a plan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A black and white drawing of a plant&#10;&#10;Description automatically generated"/>
                          <pic:cNvPicPr/>
                        </pic:nvPicPr>
                        <pic:blipFill>
                          <a:blip r:embed="rId42" cstate="print"/>
                          <a:stretch>
                            <a:fillRect/>
                          </a:stretch>
                        </pic:blipFill>
                        <pic:spPr>
                          <a:xfrm>
                            <a:off x="0" y="0"/>
                            <a:ext cx="458391" cy="994257"/>
                          </a:xfrm>
                          <a:prstGeom prst="rect">
                            <a:avLst/>
                          </a:prstGeom>
                        </pic:spPr>
                      </pic:pic>
                    </a:graphicData>
                  </a:graphic>
                </wp:inline>
              </w:drawing>
            </w:r>
          </w:p>
        </w:tc>
        <w:tc>
          <w:tcPr>
            <w:tcW w:w="2835" w:type="dxa"/>
            <w:tcBorders>
              <w:top w:val="dashSmallGap" w:sz="4" w:space="0" w:color="auto"/>
              <w:bottom w:val="dashSmallGap" w:sz="4" w:space="0" w:color="auto"/>
            </w:tcBorders>
            <w:shd w:val="clear" w:color="auto" w:fill="auto"/>
          </w:tcPr>
          <w:p w14:paraId="737AF4FB" w14:textId="77777777" w:rsidR="009A5DA9" w:rsidRPr="009A5DA9" w:rsidRDefault="009A5DA9" w:rsidP="0049102C">
            <w:pPr>
              <w:rPr>
                <w:rFonts w:asciiTheme="majorHAnsi" w:hAnsiTheme="majorHAnsi" w:cstheme="majorHAnsi"/>
                <w:noProof/>
                <w:sz w:val="16"/>
                <w:szCs w:val="16"/>
              </w:rPr>
            </w:pPr>
          </w:p>
          <w:p w14:paraId="016AFB89" w14:textId="77777777" w:rsidR="009A5DA9" w:rsidRDefault="009A5DA9" w:rsidP="0049102C">
            <w:pPr>
              <w:rPr>
                <w:rFonts w:asciiTheme="majorHAnsi" w:hAnsiTheme="majorHAnsi" w:cstheme="majorHAnsi"/>
                <w:noProof/>
                <w:sz w:val="16"/>
                <w:szCs w:val="16"/>
              </w:rPr>
            </w:pPr>
            <w:r w:rsidRPr="009A5DA9">
              <w:rPr>
                <w:rFonts w:asciiTheme="majorHAnsi" w:hAnsiTheme="majorHAnsi" w:cstheme="majorHAnsi"/>
                <w:noProof/>
                <w:sz w:val="16"/>
                <w:szCs w:val="16"/>
              </w:rPr>
              <w:t>Merafak, Tanjung Lubang, Bakam, Babutan</w:t>
            </w:r>
          </w:p>
          <w:p w14:paraId="43F93063" w14:textId="77777777" w:rsidR="009A5DA9" w:rsidRDefault="009A5DA9" w:rsidP="0049102C">
            <w:pPr>
              <w:rPr>
                <w:rFonts w:asciiTheme="majorHAnsi" w:hAnsiTheme="majorHAnsi" w:cstheme="majorHAnsi"/>
                <w:noProof/>
                <w:sz w:val="16"/>
                <w:szCs w:val="16"/>
              </w:rPr>
            </w:pPr>
          </w:p>
          <w:p w14:paraId="34978E7E" w14:textId="77777777" w:rsidR="009A5DA9" w:rsidRDefault="009A5DA9" w:rsidP="0049102C">
            <w:pPr>
              <w:rPr>
                <w:rFonts w:asciiTheme="majorHAnsi" w:hAnsiTheme="majorHAnsi" w:cstheme="majorHAnsi"/>
                <w:noProof/>
                <w:sz w:val="16"/>
                <w:szCs w:val="16"/>
              </w:rPr>
            </w:pPr>
          </w:p>
          <w:p w14:paraId="4C8F6237" w14:textId="77777777" w:rsidR="009A5DA9" w:rsidRDefault="009A5DA9" w:rsidP="0049102C">
            <w:pPr>
              <w:rPr>
                <w:rFonts w:asciiTheme="majorHAnsi" w:hAnsiTheme="majorHAnsi" w:cstheme="majorHAnsi"/>
                <w:noProof/>
                <w:sz w:val="16"/>
                <w:szCs w:val="16"/>
              </w:rPr>
            </w:pPr>
          </w:p>
          <w:p w14:paraId="29AEF125" w14:textId="77777777" w:rsidR="009A5DA9" w:rsidRDefault="009A5DA9" w:rsidP="0049102C">
            <w:pPr>
              <w:rPr>
                <w:rFonts w:asciiTheme="majorHAnsi" w:hAnsiTheme="majorHAnsi" w:cstheme="majorHAnsi"/>
                <w:noProof/>
                <w:sz w:val="16"/>
                <w:szCs w:val="16"/>
              </w:rPr>
            </w:pPr>
          </w:p>
          <w:p w14:paraId="4F1534B9" w14:textId="77777777" w:rsidR="009A5DA9" w:rsidRPr="009A5DA9" w:rsidRDefault="009A5DA9" w:rsidP="0049102C">
            <w:pPr>
              <w:rPr>
                <w:rFonts w:asciiTheme="majorHAnsi" w:hAnsiTheme="majorHAnsi" w:cstheme="majorHAnsi"/>
                <w:noProof/>
                <w:sz w:val="16"/>
                <w:szCs w:val="16"/>
              </w:rPr>
            </w:pPr>
          </w:p>
        </w:tc>
      </w:tr>
      <w:tr w:rsidR="009A5DA9" w:rsidRPr="009A5DA9" w14:paraId="63979783" w14:textId="77777777" w:rsidTr="009A5DA9">
        <w:trPr>
          <w:jc w:val="center"/>
        </w:trPr>
        <w:tc>
          <w:tcPr>
            <w:tcW w:w="419" w:type="dxa"/>
            <w:tcBorders>
              <w:top w:val="dashSmallGap" w:sz="4" w:space="0" w:color="auto"/>
              <w:bottom w:val="dashSmallGap" w:sz="4" w:space="0" w:color="auto"/>
            </w:tcBorders>
            <w:shd w:val="clear" w:color="auto" w:fill="auto"/>
          </w:tcPr>
          <w:p w14:paraId="0A31D2D4"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lastRenderedPageBreak/>
              <w:t>7</w:t>
            </w:r>
          </w:p>
        </w:tc>
        <w:tc>
          <w:tcPr>
            <w:tcW w:w="1438" w:type="dxa"/>
            <w:tcBorders>
              <w:top w:val="dashSmallGap" w:sz="4" w:space="0" w:color="auto"/>
              <w:bottom w:val="dashSmallGap" w:sz="4" w:space="0" w:color="auto"/>
            </w:tcBorders>
            <w:shd w:val="clear" w:color="auto" w:fill="auto"/>
          </w:tcPr>
          <w:p w14:paraId="3471BC33" w14:textId="77777777" w:rsidR="009A5DA9" w:rsidRP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Jasmin Flower tendrils</w:t>
            </w:r>
          </w:p>
          <w:p w14:paraId="0A4DB850" w14:textId="77777777" w:rsidR="009A5DA9" w:rsidRPr="009A5DA9" w:rsidRDefault="009A5DA9" w:rsidP="0049102C">
            <w:pPr>
              <w:jc w:val="center"/>
              <w:rPr>
                <w:rFonts w:asciiTheme="majorHAnsi" w:hAnsiTheme="majorHAnsi" w:cstheme="majorHAnsi"/>
                <w:color w:val="000000" w:themeColor="text1"/>
                <w:sz w:val="16"/>
                <w:szCs w:val="16"/>
              </w:rPr>
            </w:pPr>
            <w:r w:rsidRPr="009A5DA9">
              <w:rPr>
                <w:rFonts w:asciiTheme="majorHAnsi" w:hAnsiTheme="majorHAnsi" w:cstheme="majorHAnsi"/>
                <w:noProof/>
                <w:color w:val="000000" w:themeColor="text1"/>
                <w:sz w:val="16"/>
                <w:szCs w:val="16"/>
              </w:rPr>
              <w:drawing>
                <wp:inline distT="0" distB="0" distL="0" distR="0" wp14:anchorId="63E1C030" wp14:editId="6696CB80">
                  <wp:extent cx="458377" cy="620486"/>
                  <wp:effectExtent l="0" t="0" r="0" b="0"/>
                  <wp:docPr id="1085602530" name="Picture 1" descr="A red corner with a de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97091" name="Picture 1" descr="A red corner with a design&#10;&#10;Description automatically generated with medium confidence"/>
                          <pic:cNvPicPr/>
                        </pic:nvPicPr>
                        <pic:blipFill>
                          <a:blip r:embed="rId43">
                            <a:extLst>
                              <a:ext uri="{BEBA8EAE-BF5A-486C-A8C5-ECC9F3942E4B}">
                                <a14:imgProps xmlns:a14="http://schemas.microsoft.com/office/drawing/2010/main">
                                  <a14:imgLayer r:embed="rId44">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a:xfrm flipH="1">
                            <a:off x="0" y="0"/>
                            <a:ext cx="486404" cy="658425"/>
                          </a:xfrm>
                          <a:prstGeom prst="rect">
                            <a:avLst/>
                          </a:prstGeom>
                        </pic:spPr>
                      </pic:pic>
                    </a:graphicData>
                  </a:graphic>
                </wp:inline>
              </w:drawing>
            </w:r>
          </w:p>
        </w:tc>
        <w:tc>
          <w:tcPr>
            <w:tcW w:w="2432" w:type="dxa"/>
            <w:tcBorders>
              <w:top w:val="dashSmallGap" w:sz="4" w:space="0" w:color="auto"/>
              <w:bottom w:val="dashSmallGap" w:sz="4" w:space="0" w:color="auto"/>
            </w:tcBorders>
            <w:shd w:val="clear" w:color="auto" w:fill="auto"/>
          </w:tcPr>
          <w:p w14:paraId="62A488FC" w14:textId="77777777" w:rsidR="009A5DA9" w:rsidRPr="009A5DA9" w:rsidRDefault="009A5DA9" w:rsidP="0049102C">
            <w:pPr>
              <w:jc w:val="center"/>
              <w:rPr>
                <w:rFonts w:asciiTheme="majorHAnsi" w:hAnsiTheme="majorHAnsi" w:cstheme="majorHAnsi"/>
                <w:noProof/>
                <w:sz w:val="16"/>
                <w:szCs w:val="16"/>
              </w:rPr>
            </w:pPr>
            <w:r w:rsidRPr="009A5DA9">
              <w:rPr>
                <w:rFonts w:asciiTheme="majorHAnsi" w:hAnsiTheme="majorHAnsi" w:cstheme="majorHAnsi"/>
                <w:noProof/>
                <w:sz w:val="16"/>
                <w:szCs w:val="16"/>
              </w:rPr>
              <w:drawing>
                <wp:inline distT="0" distB="0" distL="0" distR="0" wp14:anchorId="4209D414" wp14:editId="0E19D04C">
                  <wp:extent cx="482600" cy="806450"/>
                  <wp:effectExtent l="0" t="0" r="0" b="0"/>
                  <wp:docPr id="793417184" name="Image 103" descr="A drawing of a decorative object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descr="A drawing of a decorative object  Description automatically generated with medium confidence"/>
                          <pic:cNvPicPr/>
                        </pic:nvPicPr>
                        <pic:blipFill>
                          <a:blip r:embed="rId45" cstate="print"/>
                          <a:stretch>
                            <a:fillRect/>
                          </a:stretch>
                        </pic:blipFill>
                        <pic:spPr>
                          <a:xfrm>
                            <a:off x="0" y="0"/>
                            <a:ext cx="489165" cy="817421"/>
                          </a:xfrm>
                          <a:prstGeom prst="rect">
                            <a:avLst/>
                          </a:prstGeom>
                        </pic:spPr>
                      </pic:pic>
                    </a:graphicData>
                  </a:graphic>
                </wp:inline>
              </w:drawing>
            </w:r>
          </w:p>
        </w:tc>
        <w:tc>
          <w:tcPr>
            <w:tcW w:w="2835" w:type="dxa"/>
            <w:tcBorders>
              <w:top w:val="dashSmallGap" w:sz="4" w:space="0" w:color="auto"/>
              <w:bottom w:val="dashSmallGap" w:sz="4" w:space="0" w:color="auto"/>
            </w:tcBorders>
            <w:shd w:val="clear" w:color="auto" w:fill="auto"/>
          </w:tcPr>
          <w:p w14:paraId="5D282707" w14:textId="77777777" w:rsidR="009A5DA9" w:rsidRPr="009A5DA9" w:rsidRDefault="009A5DA9" w:rsidP="0049102C">
            <w:pPr>
              <w:rPr>
                <w:rFonts w:asciiTheme="majorHAnsi" w:hAnsiTheme="majorHAnsi" w:cstheme="majorHAnsi"/>
                <w:noProof/>
                <w:sz w:val="16"/>
                <w:szCs w:val="16"/>
              </w:rPr>
            </w:pPr>
          </w:p>
          <w:p w14:paraId="1BFD2689" w14:textId="77777777" w:rsidR="009A5DA9" w:rsidRDefault="009A5DA9" w:rsidP="0049102C">
            <w:pPr>
              <w:rPr>
                <w:rFonts w:asciiTheme="majorHAnsi" w:hAnsiTheme="majorHAnsi" w:cstheme="majorHAnsi"/>
                <w:noProof/>
                <w:sz w:val="16"/>
                <w:szCs w:val="16"/>
              </w:rPr>
            </w:pPr>
            <w:r w:rsidRPr="009A5DA9">
              <w:rPr>
                <w:rFonts w:asciiTheme="majorHAnsi" w:hAnsiTheme="majorHAnsi" w:cstheme="majorHAnsi"/>
                <w:noProof/>
                <w:sz w:val="16"/>
                <w:szCs w:val="16"/>
              </w:rPr>
              <w:t>Bakam</w:t>
            </w:r>
          </w:p>
          <w:p w14:paraId="1DE9857E" w14:textId="77777777" w:rsidR="009A5DA9" w:rsidRDefault="009A5DA9" w:rsidP="0049102C">
            <w:pPr>
              <w:rPr>
                <w:rFonts w:asciiTheme="majorHAnsi" w:hAnsiTheme="majorHAnsi" w:cstheme="majorHAnsi"/>
                <w:noProof/>
                <w:sz w:val="16"/>
                <w:szCs w:val="16"/>
              </w:rPr>
            </w:pPr>
          </w:p>
          <w:p w14:paraId="45C4A513" w14:textId="77777777" w:rsidR="009A5DA9" w:rsidRDefault="009A5DA9" w:rsidP="0049102C">
            <w:pPr>
              <w:rPr>
                <w:rFonts w:asciiTheme="majorHAnsi" w:hAnsiTheme="majorHAnsi" w:cstheme="majorHAnsi"/>
                <w:noProof/>
                <w:sz w:val="16"/>
                <w:szCs w:val="16"/>
              </w:rPr>
            </w:pPr>
          </w:p>
          <w:p w14:paraId="5570F6D5" w14:textId="77777777" w:rsidR="009A5DA9" w:rsidRDefault="009A5DA9" w:rsidP="0049102C">
            <w:pPr>
              <w:rPr>
                <w:rFonts w:asciiTheme="majorHAnsi" w:hAnsiTheme="majorHAnsi" w:cstheme="majorHAnsi"/>
                <w:noProof/>
                <w:sz w:val="16"/>
                <w:szCs w:val="16"/>
              </w:rPr>
            </w:pPr>
          </w:p>
          <w:p w14:paraId="24B22F58" w14:textId="77777777" w:rsidR="009A5DA9" w:rsidRDefault="009A5DA9" w:rsidP="0049102C">
            <w:pPr>
              <w:rPr>
                <w:rFonts w:asciiTheme="majorHAnsi" w:hAnsiTheme="majorHAnsi" w:cstheme="majorHAnsi"/>
                <w:noProof/>
                <w:sz w:val="16"/>
                <w:szCs w:val="16"/>
              </w:rPr>
            </w:pPr>
          </w:p>
          <w:p w14:paraId="3E1E080B" w14:textId="77777777" w:rsidR="009A5DA9" w:rsidRDefault="009A5DA9" w:rsidP="0049102C">
            <w:pPr>
              <w:rPr>
                <w:rFonts w:asciiTheme="majorHAnsi" w:hAnsiTheme="majorHAnsi" w:cstheme="majorHAnsi"/>
                <w:noProof/>
                <w:sz w:val="16"/>
                <w:szCs w:val="16"/>
              </w:rPr>
            </w:pPr>
          </w:p>
          <w:p w14:paraId="686E1E91" w14:textId="77777777" w:rsidR="009A5DA9" w:rsidRPr="009A5DA9" w:rsidRDefault="009A5DA9" w:rsidP="0049102C">
            <w:pPr>
              <w:rPr>
                <w:rFonts w:asciiTheme="majorHAnsi" w:hAnsiTheme="majorHAnsi" w:cstheme="majorHAnsi"/>
                <w:noProof/>
                <w:sz w:val="16"/>
                <w:szCs w:val="16"/>
              </w:rPr>
            </w:pPr>
          </w:p>
        </w:tc>
      </w:tr>
      <w:tr w:rsidR="009A5DA9" w:rsidRPr="009A5DA9" w14:paraId="22DE5F7A" w14:textId="77777777" w:rsidTr="009A5DA9">
        <w:trPr>
          <w:jc w:val="center"/>
        </w:trPr>
        <w:tc>
          <w:tcPr>
            <w:tcW w:w="419" w:type="dxa"/>
            <w:tcBorders>
              <w:top w:val="dashSmallGap" w:sz="4" w:space="0" w:color="auto"/>
              <w:bottom w:val="dashSmallGap" w:sz="4" w:space="0" w:color="auto"/>
            </w:tcBorders>
            <w:shd w:val="clear" w:color="auto" w:fill="auto"/>
          </w:tcPr>
          <w:p w14:paraId="499C5993"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8</w:t>
            </w:r>
          </w:p>
        </w:tc>
        <w:tc>
          <w:tcPr>
            <w:tcW w:w="1438" w:type="dxa"/>
            <w:tcBorders>
              <w:top w:val="dashSmallGap" w:sz="4" w:space="0" w:color="auto"/>
              <w:bottom w:val="dashSmallGap" w:sz="4" w:space="0" w:color="auto"/>
            </w:tcBorders>
            <w:shd w:val="clear" w:color="auto" w:fill="auto"/>
          </w:tcPr>
          <w:p w14:paraId="0E254634" w14:textId="77777777" w:rsidR="009A5DA9" w:rsidRP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Leaves and Shoots</w:t>
            </w:r>
          </w:p>
          <w:p w14:paraId="4702FEA6" w14:textId="77777777" w:rsidR="009A5DA9" w:rsidRP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 xml:space="preserve">    </w:t>
            </w:r>
            <w:r w:rsidRPr="009A5DA9">
              <w:rPr>
                <w:rFonts w:asciiTheme="majorHAnsi" w:hAnsiTheme="majorHAnsi" w:cstheme="majorHAnsi"/>
                <w:noProof/>
                <w:spacing w:val="145"/>
                <w:position w:val="20"/>
                <w:sz w:val="16"/>
                <w:szCs w:val="16"/>
              </w:rPr>
              <w:drawing>
                <wp:inline distT="0" distB="0" distL="0" distR="0" wp14:anchorId="0F589C99" wp14:editId="557C5AC5">
                  <wp:extent cx="653143" cy="293915"/>
                  <wp:effectExtent l="0" t="0" r="0" b="0"/>
                  <wp:docPr id="480745721" name="Image 78" descr="A red and white design&#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A red and white design&#10;&#10;Description automatically generated with medium confidence"/>
                          <pic:cNvPicPr/>
                        </pic:nvPicPr>
                        <pic:blipFill>
                          <a:blip r:embed="rId46" cstate="print">
                            <a:extLst>
                              <a:ext uri="{BEBA8EAE-BF5A-486C-A8C5-ECC9F3942E4B}">
                                <a14:imgProps xmlns:a14="http://schemas.microsoft.com/office/drawing/2010/main">
                                  <a14:imgLayer r:embed="rId47">
                                    <a14:imgEffect>
                                      <a14:sharpenSoften amount="50000"/>
                                    </a14:imgEffect>
                                    <a14:imgEffect>
                                      <a14:saturation sat="0"/>
                                    </a14:imgEffect>
                                  </a14:imgLayer>
                                </a14:imgProps>
                              </a:ext>
                            </a:extLst>
                          </a:blip>
                          <a:stretch>
                            <a:fillRect/>
                          </a:stretch>
                        </pic:blipFill>
                        <pic:spPr>
                          <a:xfrm>
                            <a:off x="0" y="0"/>
                            <a:ext cx="708839" cy="318978"/>
                          </a:xfrm>
                          <a:prstGeom prst="rect">
                            <a:avLst/>
                          </a:prstGeom>
                        </pic:spPr>
                      </pic:pic>
                    </a:graphicData>
                  </a:graphic>
                </wp:inline>
              </w:drawing>
            </w:r>
            <w:r w:rsidRPr="009A5DA9">
              <w:rPr>
                <w:rFonts w:asciiTheme="majorHAnsi" w:hAnsiTheme="majorHAnsi" w:cstheme="majorHAnsi"/>
                <w:color w:val="000000" w:themeColor="text1"/>
                <w:sz w:val="16"/>
                <w:szCs w:val="16"/>
              </w:rPr>
              <w:t xml:space="preserve"> </w:t>
            </w:r>
          </w:p>
        </w:tc>
        <w:tc>
          <w:tcPr>
            <w:tcW w:w="2432" w:type="dxa"/>
            <w:tcBorders>
              <w:top w:val="dashSmallGap" w:sz="4" w:space="0" w:color="auto"/>
              <w:bottom w:val="dashSmallGap" w:sz="4" w:space="0" w:color="auto"/>
            </w:tcBorders>
            <w:shd w:val="clear" w:color="auto" w:fill="auto"/>
          </w:tcPr>
          <w:p w14:paraId="58F00443" w14:textId="77777777" w:rsidR="009A5DA9" w:rsidRPr="009A5DA9" w:rsidRDefault="009A5DA9" w:rsidP="0049102C">
            <w:pPr>
              <w:jc w:val="center"/>
              <w:rPr>
                <w:rFonts w:asciiTheme="majorHAnsi" w:hAnsiTheme="majorHAnsi" w:cstheme="majorHAnsi"/>
                <w:noProof/>
                <w:sz w:val="16"/>
                <w:szCs w:val="16"/>
              </w:rPr>
            </w:pPr>
            <w:r w:rsidRPr="009A5DA9">
              <w:rPr>
                <w:rFonts w:asciiTheme="majorHAnsi" w:hAnsiTheme="majorHAnsi" w:cstheme="majorHAnsi"/>
                <w:noProof/>
                <w:sz w:val="16"/>
                <w:szCs w:val="16"/>
              </w:rPr>
              <w:drawing>
                <wp:inline distT="0" distB="0" distL="0" distR="0" wp14:anchorId="1EB31275" wp14:editId="56D7D2A4">
                  <wp:extent cx="412750" cy="812800"/>
                  <wp:effectExtent l="0" t="0" r="6350" b="6350"/>
                  <wp:docPr id="145733225" name="Image 79" descr="A black and white drawing of a de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A black and white drawing of a design&#10;&#10;Description automatically generated"/>
                          <pic:cNvPicPr/>
                        </pic:nvPicPr>
                        <pic:blipFill>
                          <a:blip r:embed="rId48" cstate="print"/>
                          <a:stretch>
                            <a:fillRect/>
                          </a:stretch>
                        </pic:blipFill>
                        <pic:spPr>
                          <a:xfrm>
                            <a:off x="0" y="0"/>
                            <a:ext cx="419987" cy="827051"/>
                          </a:xfrm>
                          <a:prstGeom prst="rect">
                            <a:avLst/>
                          </a:prstGeom>
                        </pic:spPr>
                      </pic:pic>
                    </a:graphicData>
                  </a:graphic>
                </wp:inline>
              </w:drawing>
            </w:r>
          </w:p>
        </w:tc>
        <w:tc>
          <w:tcPr>
            <w:tcW w:w="2835" w:type="dxa"/>
            <w:tcBorders>
              <w:top w:val="dashSmallGap" w:sz="4" w:space="0" w:color="auto"/>
              <w:bottom w:val="dashSmallGap" w:sz="4" w:space="0" w:color="auto"/>
            </w:tcBorders>
            <w:shd w:val="clear" w:color="auto" w:fill="auto"/>
          </w:tcPr>
          <w:p w14:paraId="0AE07601" w14:textId="77777777" w:rsidR="009A5DA9" w:rsidRPr="009A5DA9" w:rsidRDefault="009A5DA9" w:rsidP="0049102C">
            <w:pPr>
              <w:rPr>
                <w:rFonts w:asciiTheme="majorHAnsi" w:hAnsiTheme="majorHAnsi" w:cstheme="majorHAnsi"/>
                <w:noProof/>
                <w:sz w:val="16"/>
                <w:szCs w:val="16"/>
              </w:rPr>
            </w:pPr>
          </w:p>
          <w:p w14:paraId="3B8BF1F3" w14:textId="77777777" w:rsidR="009A5DA9" w:rsidRDefault="009A5DA9" w:rsidP="0049102C">
            <w:pPr>
              <w:rPr>
                <w:rFonts w:asciiTheme="majorHAnsi" w:hAnsiTheme="majorHAnsi" w:cstheme="majorHAnsi"/>
                <w:noProof/>
                <w:sz w:val="16"/>
                <w:szCs w:val="16"/>
              </w:rPr>
            </w:pPr>
            <w:r w:rsidRPr="009A5DA9">
              <w:rPr>
                <w:rFonts w:asciiTheme="majorHAnsi" w:hAnsiTheme="majorHAnsi" w:cstheme="majorHAnsi"/>
                <w:noProof/>
                <w:sz w:val="16"/>
                <w:szCs w:val="16"/>
              </w:rPr>
              <w:t>Merafak, Bakam, Tab Sinak</w:t>
            </w:r>
          </w:p>
          <w:p w14:paraId="2EB9681B" w14:textId="77777777" w:rsidR="009A5DA9" w:rsidRDefault="009A5DA9" w:rsidP="0049102C">
            <w:pPr>
              <w:rPr>
                <w:rFonts w:asciiTheme="majorHAnsi" w:hAnsiTheme="majorHAnsi" w:cstheme="majorHAnsi"/>
                <w:noProof/>
                <w:sz w:val="16"/>
                <w:szCs w:val="16"/>
              </w:rPr>
            </w:pPr>
          </w:p>
          <w:p w14:paraId="16C7D9DA" w14:textId="77777777" w:rsidR="009A5DA9" w:rsidRDefault="009A5DA9" w:rsidP="0049102C">
            <w:pPr>
              <w:rPr>
                <w:rFonts w:asciiTheme="majorHAnsi" w:hAnsiTheme="majorHAnsi" w:cstheme="majorHAnsi"/>
                <w:noProof/>
                <w:sz w:val="16"/>
                <w:szCs w:val="16"/>
              </w:rPr>
            </w:pPr>
          </w:p>
          <w:p w14:paraId="0C9CF4AF" w14:textId="77777777" w:rsidR="009A5DA9" w:rsidRDefault="009A5DA9" w:rsidP="0049102C">
            <w:pPr>
              <w:rPr>
                <w:rFonts w:asciiTheme="majorHAnsi" w:hAnsiTheme="majorHAnsi" w:cstheme="majorHAnsi"/>
                <w:noProof/>
                <w:sz w:val="16"/>
                <w:szCs w:val="16"/>
              </w:rPr>
            </w:pPr>
          </w:p>
          <w:p w14:paraId="1466FE63" w14:textId="77777777" w:rsidR="009A5DA9" w:rsidRDefault="009A5DA9" w:rsidP="0049102C">
            <w:pPr>
              <w:rPr>
                <w:rFonts w:asciiTheme="majorHAnsi" w:hAnsiTheme="majorHAnsi" w:cstheme="majorHAnsi"/>
                <w:noProof/>
                <w:sz w:val="16"/>
                <w:szCs w:val="16"/>
              </w:rPr>
            </w:pPr>
          </w:p>
          <w:p w14:paraId="601BBAE9" w14:textId="77777777" w:rsidR="009A5DA9" w:rsidRPr="009A5DA9" w:rsidRDefault="009A5DA9" w:rsidP="0049102C">
            <w:pPr>
              <w:rPr>
                <w:rFonts w:asciiTheme="majorHAnsi" w:hAnsiTheme="majorHAnsi" w:cstheme="majorHAnsi"/>
                <w:noProof/>
                <w:sz w:val="16"/>
                <w:szCs w:val="16"/>
              </w:rPr>
            </w:pPr>
          </w:p>
        </w:tc>
      </w:tr>
      <w:tr w:rsidR="009A5DA9" w:rsidRPr="009A5DA9" w14:paraId="757F8025" w14:textId="77777777" w:rsidTr="009A5DA9">
        <w:trPr>
          <w:jc w:val="center"/>
        </w:trPr>
        <w:tc>
          <w:tcPr>
            <w:tcW w:w="419" w:type="dxa"/>
            <w:tcBorders>
              <w:top w:val="dashSmallGap" w:sz="4" w:space="0" w:color="auto"/>
              <w:bottom w:val="dashSmallGap" w:sz="4" w:space="0" w:color="auto"/>
            </w:tcBorders>
            <w:shd w:val="clear" w:color="auto" w:fill="auto"/>
          </w:tcPr>
          <w:p w14:paraId="48019533"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9</w:t>
            </w:r>
          </w:p>
        </w:tc>
        <w:tc>
          <w:tcPr>
            <w:tcW w:w="1438" w:type="dxa"/>
            <w:tcBorders>
              <w:top w:val="dashSmallGap" w:sz="4" w:space="0" w:color="auto"/>
              <w:bottom w:val="dashSmallGap" w:sz="4" w:space="0" w:color="auto"/>
            </w:tcBorders>
            <w:shd w:val="clear" w:color="auto" w:fill="auto"/>
          </w:tcPr>
          <w:p w14:paraId="7FC5A31C" w14:textId="77777777" w:rsidR="009A5DA9" w:rsidRPr="009A5DA9" w:rsidRDefault="009A5DA9" w:rsidP="0049102C">
            <w:pPr>
              <w:rPr>
                <w:rFonts w:asciiTheme="majorHAnsi" w:hAnsiTheme="majorHAnsi" w:cstheme="majorHAnsi"/>
                <w:sz w:val="16"/>
                <w:szCs w:val="16"/>
              </w:rPr>
            </w:pPr>
            <w:r w:rsidRPr="009A5DA9">
              <w:rPr>
                <w:rFonts w:asciiTheme="majorHAnsi" w:hAnsiTheme="majorHAnsi" w:cstheme="majorHAnsi"/>
                <w:sz w:val="16"/>
                <w:szCs w:val="16"/>
              </w:rPr>
              <w:t>Rotating Rope</w:t>
            </w:r>
          </w:p>
          <w:p w14:paraId="5C0F645A" w14:textId="77777777" w:rsidR="009A5DA9" w:rsidRP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30B8CA00" wp14:editId="3C2A3578">
                  <wp:extent cx="721995" cy="388766"/>
                  <wp:effectExtent l="0" t="0" r="0" b="0"/>
                  <wp:docPr id="1772402591" name="Picture 1" descr="vertical coil of flax rope slowly rotating on black background 24547898  Stock Video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tical coil of flax rope slowly rotating on black background 24547898  Stock Video at Vecteezy"/>
                          <pic:cNvPicPr>
                            <a:picLocks noChangeAspect="1" noChangeArrowheads="1"/>
                          </pic:cNvPicPr>
                        </pic:nvPicPr>
                        <pic:blipFill rotWithShape="1">
                          <a:blip r:embed="rId49" cstate="print">
                            <a:extLst>
                              <a:ext uri="{BEBA8EAE-BF5A-486C-A8C5-ECC9F3942E4B}">
                                <a14:imgProps xmlns:a14="http://schemas.microsoft.com/office/drawing/2010/main">
                                  <a14:imgLayer r:embed="rId50">
                                    <a14:imgEffect>
                                      <a14:saturation sat="0"/>
                                    </a14:imgEffect>
                                  </a14:imgLayer>
                                </a14:imgProps>
                              </a:ext>
                              <a:ext uri="{28A0092B-C50C-407E-A947-70E740481C1C}">
                                <a14:useLocalDpi xmlns:a14="http://schemas.microsoft.com/office/drawing/2010/main" val="0"/>
                              </a:ext>
                            </a:extLst>
                          </a:blip>
                          <a:srcRect l="39457" r="21838" b="62901"/>
                          <a:stretch/>
                        </pic:blipFill>
                        <pic:spPr bwMode="auto">
                          <a:xfrm>
                            <a:off x="0" y="0"/>
                            <a:ext cx="744077" cy="4006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32" w:type="dxa"/>
            <w:tcBorders>
              <w:top w:val="dashSmallGap" w:sz="4" w:space="0" w:color="auto"/>
              <w:bottom w:val="dashSmallGap" w:sz="4" w:space="0" w:color="auto"/>
            </w:tcBorders>
            <w:shd w:val="clear" w:color="auto" w:fill="auto"/>
          </w:tcPr>
          <w:p w14:paraId="5589C236" w14:textId="77777777" w:rsidR="009A5DA9" w:rsidRPr="009A5DA9" w:rsidRDefault="009A5DA9" w:rsidP="0049102C">
            <w:pPr>
              <w:jc w:val="center"/>
              <w:rPr>
                <w:rFonts w:asciiTheme="majorHAnsi" w:hAnsiTheme="majorHAnsi" w:cstheme="majorHAnsi"/>
                <w:color w:val="000000" w:themeColor="text1"/>
                <w:sz w:val="16"/>
                <w:szCs w:val="16"/>
              </w:rPr>
            </w:pPr>
          </w:p>
          <w:p w14:paraId="20EC7294" w14:textId="77777777" w:rsidR="009A5DA9" w:rsidRPr="009A5DA9" w:rsidRDefault="009A5DA9" w:rsidP="0049102C">
            <w:pPr>
              <w:jc w:val="center"/>
              <w:rPr>
                <w:rFonts w:asciiTheme="majorHAnsi" w:hAnsiTheme="majorHAnsi" w:cstheme="majorHAnsi"/>
                <w:noProof/>
                <w:sz w:val="16"/>
                <w:szCs w:val="16"/>
              </w:rPr>
            </w:pPr>
            <w:r w:rsidRPr="009A5DA9">
              <w:rPr>
                <w:rFonts w:asciiTheme="majorHAnsi" w:hAnsiTheme="majorHAnsi" w:cstheme="majorHAnsi"/>
                <w:noProof/>
                <w:sz w:val="16"/>
                <w:szCs w:val="16"/>
              </w:rPr>
              <w:drawing>
                <wp:inline distT="0" distB="0" distL="0" distR="0" wp14:anchorId="3A5223C5" wp14:editId="7C331AF9">
                  <wp:extent cx="859971" cy="304800"/>
                  <wp:effectExtent l="0" t="0" r="0" b="0"/>
                  <wp:docPr id="1438407541" name="Image 109" descr="A black and white drawing of a flow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descr="A black and white drawing of a flower  Description automatically generated"/>
                          <pic:cNvPicPr/>
                        </pic:nvPicPr>
                        <pic:blipFill>
                          <a:blip r:embed="rId51" cstate="print"/>
                          <a:stretch>
                            <a:fillRect/>
                          </a:stretch>
                        </pic:blipFill>
                        <pic:spPr>
                          <a:xfrm>
                            <a:off x="0" y="0"/>
                            <a:ext cx="893711" cy="316759"/>
                          </a:xfrm>
                          <a:prstGeom prst="rect">
                            <a:avLst/>
                          </a:prstGeom>
                        </pic:spPr>
                      </pic:pic>
                    </a:graphicData>
                  </a:graphic>
                </wp:inline>
              </w:drawing>
            </w:r>
          </w:p>
        </w:tc>
        <w:tc>
          <w:tcPr>
            <w:tcW w:w="2835" w:type="dxa"/>
            <w:tcBorders>
              <w:top w:val="dashSmallGap" w:sz="4" w:space="0" w:color="auto"/>
              <w:bottom w:val="dashSmallGap" w:sz="4" w:space="0" w:color="auto"/>
            </w:tcBorders>
            <w:shd w:val="clear" w:color="auto" w:fill="auto"/>
          </w:tcPr>
          <w:p w14:paraId="29F44CE4" w14:textId="77777777" w:rsidR="009A5DA9" w:rsidRPr="009A5DA9" w:rsidRDefault="009A5DA9" w:rsidP="0049102C">
            <w:pPr>
              <w:rPr>
                <w:rFonts w:asciiTheme="majorHAnsi" w:hAnsiTheme="majorHAnsi" w:cstheme="majorHAnsi"/>
                <w:color w:val="000000" w:themeColor="text1"/>
                <w:sz w:val="16"/>
                <w:szCs w:val="16"/>
              </w:rPr>
            </w:pPr>
          </w:p>
          <w:p w14:paraId="6923670C" w14:textId="77777777" w:rsid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Tanjung Lubang</w:t>
            </w:r>
          </w:p>
          <w:p w14:paraId="25DBB7F3" w14:textId="77777777" w:rsidR="009A5DA9" w:rsidRDefault="009A5DA9" w:rsidP="0049102C">
            <w:pPr>
              <w:rPr>
                <w:rFonts w:asciiTheme="majorHAnsi" w:hAnsiTheme="majorHAnsi" w:cstheme="majorHAnsi"/>
                <w:noProof/>
                <w:color w:val="000000" w:themeColor="text1"/>
                <w:sz w:val="16"/>
                <w:szCs w:val="16"/>
              </w:rPr>
            </w:pPr>
          </w:p>
          <w:p w14:paraId="429EAB3D" w14:textId="77777777" w:rsidR="009A5DA9" w:rsidRDefault="009A5DA9" w:rsidP="0049102C">
            <w:pPr>
              <w:rPr>
                <w:rFonts w:asciiTheme="majorHAnsi" w:hAnsiTheme="majorHAnsi" w:cstheme="majorHAnsi"/>
                <w:noProof/>
                <w:color w:val="000000" w:themeColor="text1"/>
                <w:sz w:val="16"/>
                <w:szCs w:val="16"/>
              </w:rPr>
            </w:pPr>
          </w:p>
          <w:p w14:paraId="1C36985A" w14:textId="77777777" w:rsidR="009A5DA9" w:rsidRPr="009A5DA9" w:rsidRDefault="009A5DA9" w:rsidP="0049102C">
            <w:pPr>
              <w:rPr>
                <w:rFonts w:asciiTheme="majorHAnsi" w:hAnsiTheme="majorHAnsi" w:cstheme="majorHAnsi"/>
                <w:noProof/>
                <w:sz w:val="16"/>
                <w:szCs w:val="16"/>
              </w:rPr>
            </w:pPr>
          </w:p>
        </w:tc>
      </w:tr>
      <w:tr w:rsidR="009A5DA9" w:rsidRPr="009A5DA9" w14:paraId="48A527B6" w14:textId="77777777" w:rsidTr="009A5DA9">
        <w:trPr>
          <w:jc w:val="center"/>
        </w:trPr>
        <w:tc>
          <w:tcPr>
            <w:tcW w:w="419" w:type="dxa"/>
            <w:tcBorders>
              <w:top w:val="dashSmallGap" w:sz="4" w:space="0" w:color="auto"/>
              <w:bottom w:val="dashSmallGap" w:sz="4" w:space="0" w:color="auto"/>
            </w:tcBorders>
            <w:shd w:val="clear" w:color="auto" w:fill="auto"/>
          </w:tcPr>
          <w:p w14:paraId="37640846"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10</w:t>
            </w:r>
          </w:p>
        </w:tc>
        <w:tc>
          <w:tcPr>
            <w:tcW w:w="1438" w:type="dxa"/>
            <w:tcBorders>
              <w:top w:val="dashSmallGap" w:sz="4" w:space="0" w:color="auto"/>
              <w:bottom w:val="dashSmallGap" w:sz="4" w:space="0" w:color="auto"/>
            </w:tcBorders>
            <w:shd w:val="clear" w:color="auto" w:fill="auto"/>
          </w:tcPr>
          <w:p w14:paraId="139E3096" w14:textId="77777777" w:rsidR="009A5DA9" w:rsidRPr="009A5DA9" w:rsidRDefault="009A5DA9" w:rsidP="0049102C">
            <w:pPr>
              <w:pStyle w:val="TableParagraph"/>
              <w:spacing w:before="11"/>
              <w:rPr>
                <w:rFonts w:asciiTheme="majorHAnsi" w:hAnsiTheme="majorHAnsi" w:cstheme="majorHAnsi"/>
                <w:sz w:val="16"/>
                <w:szCs w:val="16"/>
              </w:rPr>
            </w:pPr>
            <w:r w:rsidRPr="009A5DA9">
              <w:rPr>
                <w:rFonts w:asciiTheme="majorHAnsi" w:hAnsiTheme="majorHAnsi" w:cstheme="majorHAnsi"/>
                <w:sz w:val="16"/>
                <w:szCs w:val="16"/>
              </w:rPr>
              <w:t>Star Anise</w:t>
            </w:r>
          </w:p>
          <w:p w14:paraId="36BAA516" w14:textId="77777777" w:rsidR="009A5DA9" w:rsidRPr="009A5DA9" w:rsidRDefault="009A5DA9" w:rsidP="0049102C">
            <w:pPr>
              <w:pStyle w:val="TableParagraph"/>
              <w:jc w:val="center"/>
              <w:rPr>
                <w:rFonts w:asciiTheme="majorHAnsi" w:hAnsiTheme="majorHAnsi" w:cstheme="majorHAnsi"/>
                <w:sz w:val="16"/>
                <w:szCs w:val="16"/>
              </w:rPr>
            </w:pPr>
            <w:r w:rsidRPr="009A5DA9">
              <w:rPr>
                <w:rFonts w:asciiTheme="majorHAnsi" w:hAnsiTheme="majorHAnsi" w:cstheme="majorHAnsi"/>
                <w:noProof/>
                <w:sz w:val="16"/>
                <w:szCs w:val="16"/>
                <w:lang w:val="en-US"/>
              </w:rPr>
              <w:drawing>
                <wp:inline distT="0" distB="0" distL="0" distR="0" wp14:anchorId="4F9EBD90" wp14:editId="17DB27F0">
                  <wp:extent cx="457200" cy="511629"/>
                  <wp:effectExtent l="0" t="0" r="0" b="0"/>
                  <wp:docPr id="46381600" name="Image 112" descr="Bunga Lawang Dan 8 Khasiat Terbaik Untuk Tubuh - NEUROVERSIT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descr="Bunga Lawang Dan 8 Khasiat Terbaik Untuk Tubuh - NEUROVERSITI"/>
                          <pic:cNvPicPr/>
                        </pic:nvPicPr>
                        <pic:blipFill>
                          <a:blip r:embed="rId52" cstate="print">
                            <a:extLst>
                              <a:ext uri="{BEBA8EAE-BF5A-486C-A8C5-ECC9F3942E4B}">
                                <a14:imgProps xmlns:a14="http://schemas.microsoft.com/office/drawing/2010/main">
                                  <a14:imgLayer r:embed="rId53">
                                    <a14:imgEffect>
                                      <a14:saturation sat="0"/>
                                    </a14:imgEffect>
                                    <a14:imgEffect>
                                      <a14:brightnessContrast bright="40000" contrast="-40000"/>
                                    </a14:imgEffect>
                                  </a14:imgLayer>
                                </a14:imgProps>
                              </a:ext>
                            </a:extLst>
                          </a:blip>
                          <a:stretch>
                            <a:fillRect/>
                          </a:stretch>
                        </pic:blipFill>
                        <pic:spPr>
                          <a:xfrm>
                            <a:off x="0" y="0"/>
                            <a:ext cx="468597" cy="524382"/>
                          </a:xfrm>
                          <a:prstGeom prst="rect">
                            <a:avLst/>
                          </a:prstGeom>
                        </pic:spPr>
                      </pic:pic>
                    </a:graphicData>
                  </a:graphic>
                </wp:inline>
              </w:drawing>
            </w:r>
          </w:p>
        </w:tc>
        <w:tc>
          <w:tcPr>
            <w:tcW w:w="2432" w:type="dxa"/>
            <w:tcBorders>
              <w:top w:val="dashSmallGap" w:sz="4" w:space="0" w:color="auto"/>
              <w:bottom w:val="dashSmallGap" w:sz="4" w:space="0" w:color="auto"/>
            </w:tcBorders>
            <w:shd w:val="clear" w:color="auto" w:fill="auto"/>
          </w:tcPr>
          <w:p w14:paraId="315C187B" w14:textId="77777777" w:rsidR="009A5DA9" w:rsidRPr="009A5DA9" w:rsidRDefault="009A5DA9" w:rsidP="0049102C">
            <w:pPr>
              <w:rPr>
                <w:rFonts w:asciiTheme="majorHAnsi" w:hAnsiTheme="majorHAnsi" w:cstheme="majorHAnsi"/>
                <w:color w:val="000000" w:themeColor="text1"/>
                <w:sz w:val="16"/>
                <w:szCs w:val="16"/>
              </w:rPr>
            </w:pPr>
          </w:p>
          <w:p w14:paraId="3523F835" w14:textId="77777777" w:rsidR="009A5DA9" w:rsidRPr="009A5DA9" w:rsidRDefault="009A5DA9" w:rsidP="0049102C">
            <w:pPr>
              <w:jc w:val="center"/>
              <w:rPr>
                <w:rFonts w:asciiTheme="majorHAnsi" w:hAnsiTheme="majorHAnsi" w:cstheme="majorHAnsi"/>
                <w:noProof/>
                <w:sz w:val="16"/>
                <w:szCs w:val="16"/>
              </w:rPr>
            </w:pPr>
            <w:r w:rsidRPr="009A5DA9">
              <w:rPr>
                <w:rFonts w:asciiTheme="majorHAnsi" w:hAnsiTheme="majorHAnsi" w:cstheme="majorHAnsi"/>
                <w:noProof/>
                <w:sz w:val="16"/>
                <w:szCs w:val="16"/>
              </w:rPr>
              <w:drawing>
                <wp:inline distT="0" distB="0" distL="0" distR="0" wp14:anchorId="4D97E7DF" wp14:editId="57A72D01">
                  <wp:extent cx="546100" cy="450850"/>
                  <wp:effectExtent l="0" t="0" r="6350" b="6350"/>
                  <wp:docPr id="1052074804" name="Image 113" descr="A drawing of a de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descr="A drawing of a design&#10;&#10;Description automatically generated"/>
                          <pic:cNvPicPr/>
                        </pic:nvPicPr>
                        <pic:blipFill rotWithShape="1">
                          <a:blip r:embed="rId54" cstate="print"/>
                          <a:srcRect b="59677"/>
                          <a:stretch/>
                        </pic:blipFill>
                        <pic:spPr bwMode="auto">
                          <a:xfrm>
                            <a:off x="0" y="0"/>
                            <a:ext cx="555310" cy="458454"/>
                          </a:xfrm>
                          <a:prstGeom prst="rect">
                            <a:avLst/>
                          </a:prstGeom>
                          <a:ln>
                            <a:noFill/>
                          </a:ln>
                          <a:extLst>
                            <a:ext uri="{53640926-AAD7-44D8-BBD7-CCE9431645EC}">
                              <a14:shadowObscured xmlns:a14="http://schemas.microsoft.com/office/drawing/2010/main"/>
                            </a:ext>
                          </a:extLst>
                        </pic:spPr>
                      </pic:pic>
                    </a:graphicData>
                  </a:graphic>
                </wp:inline>
              </w:drawing>
            </w:r>
          </w:p>
        </w:tc>
        <w:tc>
          <w:tcPr>
            <w:tcW w:w="2835" w:type="dxa"/>
            <w:tcBorders>
              <w:top w:val="dashSmallGap" w:sz="4" w:space="0" w:color="auto"/>
              <w:bottom w:val="dashSmallGap" w:sz="4" w:space="0" w:color="auto"/>
            </w:tcBorders>
            <w:shd w:val="clear" w:color="auto" w:fill="auto"/>
          </w:tcPr>
          <w:p w14:paraId="3FF5D4B5" w14:textId="77777777" w:rsidR="009A5DA9" w:rsidRPr="009A5DA9" w:rsidRDefault="009A5DA9" w:rsidP="0049102C">
            <w:pPr>
              <w:rPr>
                <w:rFonts w:asciiTheme="majorHAnsi" w:hAnsiTheme="majorHAnsi" w:cstheme="majorHAnsi"/>
                <w:color w:val="000000" w:themeColor="text1"/>
                <w:sz w:val="16"/>
                <w:szCs w:val="16"/>
              </w:rPr>
            </w:pPr>
          </w:p>
          <w:p w14:paraId="41A6FD15" w14:textId="77777777" w:rsidR="009A5DA9" w:rsidRDefault="009A5DA9" w:rsidP="0049102C">
            <w:pPr>
              <w:rPr>
                <w:rFonts w:asciiTheme="majorHAnsi" w:hAnsiTheme="majorHAnsi" w:cstheme="majorHAnsi"/>
                <w:color w:val="000000" w:themeColor="text1"/>
                <w:sz w:val="16"/>
                <w:szCs w:val="16"/>
              </w:rPr>
            </w:pPr>
            <w:proofErr w:type="spellStart"/>
            <w:r w:rsidRPr="009A5DA9">
              <w:rPr>
                <w:rFonts w:asciiTheme="majorHAnsi" w:hAnsiTheme="majorHAnsi" w:cstheme="majorHAnsi"/>
                <w:color w:val="000000" w:themeColor="text1"/>
                <w:sz w:val="16"/>
                <w:szCs w:val="16"/>
              </w:rPr>
              <w:t>Merafak</w:t>
            </w:r>
            <w:proofErr w:type="spellEnd"/>
            <w:r w:rsidRPr="009A5DA9">
              <w:rPr>
                <w:rFonts w:asciiTheme="majorHAnsi" w:hAnsiTheme="majorHAnsi" w:cstheme="majorHAnsi"/>
                <w:color w:val="000000" w:themeColor="text1"/>
                <w:sz w:val="16"/>
                <w:szCs w:val="16"/>
              </w:rPr>
              <w:t>, Bakam</w:t>
            </w:r>
          </w:p>
          <w:p w14:paraId="65105366" w14:textId="77777777" w:rsidR="009A5DA9" w:rsidRDefault="009A5DA9" w:rsidP="0049102C">
            <w:pPr>
              <w:rPr>
                <w:rFonts w:asciiTheme="majorHAnsi" w:hAnsiTheme="majorHAnsi" w:cstheme="majorHAnsi"/>
                <w:noProof/>
                <w:color w:val="000000" w:themeColor="text1"/>
                <w:sz w:val="16"/>
                <w:szCs w:val="16"/>
              </w:rPr>
            </w:pPr>
          </w:p>
          <w:p w14:paraId="75A586B2" w14:textId="77777777" w:rsidR="009A5DA9" w:rsidRDefault="009A5DA9" w:rsidP="0049102C">
            <w:pPr>
              <w:rPr>
                <w:rFonts w:asciiTheme="majorHAnsi" w:hAnsiTheme="majorHAnsi" w:cstheme="majorHAnsi"/>
                <w:noProof/>
                <w:color w:val="000000" w:themeColor="text1"/>
                <w:sz w:val="16"/>
                <w:szCs w:val="16"/>
              </w:rPr>
            </w:pPr>
          </w:p>
          <w:p w14:paraId="54EDFA38" w14:textId="77777777" w:rsidR="009A5DA9" w:rsidRPr="009A5DA9" w:rsidRDefault="009A5DA9" w:rsidP="0049102C">
            <w:pPr>
              <w:rPr>
                <w:rFonts w:asciiTheme="majorHAnsi" w:hAnsiTheme="majorHAnsi" w:cstheme="majorHAnsi"/>
                <w:noProof/>
                <w:sz w:val="16"/>
                <w:szCs w:val="16"/>
              </w:rPr>
            </w:pPr>
          </w:p>
        </w:tc>
      </w:tr>
      <w:tr w:rsidR="009A5DA9" w:rsidRPr="009A5DA9" w14:paraId="104D9428" w14:textId="77777777" w:rsidTr="009A5DA9">
        <w:trPr>
          <w:jc w:val="center"/>
        </w:trPr>
        <w:tc>
          <w:tcPr>
            <w:tcW w:w="419" w:type="dxa"/>
            <w:tcBorders>
              <w:top w:val="dashSmallGap" w:sz="4" w:space="0" w:color="auto"/>
              <w:bottom w:val="dashSmallGap" w:sz="4" w:space="0" w:color="auto"/>
            </w:tcBorders>
            <w:shd w:val="clear" w:color="auto" w:fill="auto"/>
          </w:tcPr>
          <w:p w14:paraId="02F14424"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11</w:t>
            </w:r>
          </w:p>
        </w:tc>
        <w:tc>
          <w:tcPr>
            <w:tcW w:w="1438" w:type="dxa"/>
            <w:tcBorders>
              <w:top w:val="dashSmallGap" w:sz="4" w:space="0" w:color="auto"/>
              <w:bottom w:val="dashSmallGap" w:sz="4" w:space="0" w:color="auto"/>
            </w:tcBorders>
            <w:shd w:val="clear" w:color="auto" w:fill="auto"/>
          </w:tcPr>
          <w:p w14:paraId="7CCFD671" w14:textId="77777777" w:rsidR="009A5DA9" w:rsidRPr="009A5DA9" w:rsidRDefault="009A5DA9" w:rsidP="0049102C">
            <w:pPr>
              <w:pStyle w:val="TableParagraph"/>
              <w:rPr>
                <w:rFonts w:asciiTheme="majorHAnsi" w:hAnsiTheme="majorHAnsi" w:cstheme="majorHAnsi"/>
                <w:sz w:val="16"/>
                <w:szCs w:val="16"/>
              </w:rPr>
            </w:pPr>
            <w:r w:rsidRPr="009A5DA9">
              <w:rPr>
                <w:rFonts w:asciiTheme="majorHAnsi" w:hAnsiTheme="majorHAnsi" w:cstheme="majorHAnsi"/>
                <w:sz w:val="16"/>
                <w:szCs w:val="16"/>
              </w:rPr>
              <w:t>Geometry</w:t>
            </w:r>
          </w:p>
          <w:p w14:paraId="4C62A430" w14:textId="77777777" w:rsidR="009A5DA9" w:rsidRP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437654C8" wp14:editId="2D9F5932">
                  <wp:extent cx="641350" cy="314862"/>
                  <wp:effectExtent l="0" t="0" r="6350" b="9525"/>
                  <wp:docPr id="1899836494" name="Picture 1899836494" descr="A black and white checkere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checkered pattern&#10;&#10;Description automatically generated"/>
                          <pic:cNvPicPr>
                            <a:picLocks noChangeAspect="1" noChangeArrowheads="1"/>
                          </pic:cNvPicPr>
                        </pic:nvPicPr>
                        <pic:blipFill rotWithShape="1">
                          <a:blip r:embed="rId55">
                            <a:extLst>
                              <a:ext uri="{28A0092B-C50C-407E-A947-70E740481C1C}">
                                <a14:useLocalDpi xmlns:a14="http://schemas.microsoft.com/office/drawing/2010/main" val="0"/>
                              </a:ext>
                            </a:extLst>
                          </a:blip>
                          <a:srcRect t="74670" r="31870" b="372"/>
                          <a:stretch/>
                        </pic:blipFill>
                        <pic:spPr bwMode="auto">
                          <a:xfrm>
                            <a:off x="0" y="0"/>
                            <a:ext cx="660269" cy="3241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32" w:type="dxa"/>
            <w:tcBorders>
              <w:top w:val="dashSmallGap" w:sz="4" w:space="0" w:color="auto"/>
              <w:bottom w:val="dashSmallGap" w:sz="4" w:space="0" w:color="auto"/>
            </w:tcBorders>
            <w:shd w:val="clear" w:color="auto" w:fill="auto"/>
          </w:tcPr>
          <w:p w14:paraId="7F41AF02" w14:textId="77777777" w:rsidR="009A5DA9" w:rsidRPr="009A5DA9" w:rsidRDefault="009A5DA9" w:rsidP="0049102C">
            <w:pPr>
              <w:jc w:val="both"/>
              <w:rPr>
                <w:rFonts w:asciiTheme="majorHAnsi" w:hAnsiTheme="majorHAnsi" w:cstheme="majorHAnsi"/>
                <w:noProof/>
                <w:sz w:val="16"/>
                <w:szCs w:val="16"/>
              </w:rPr>
            </w:pPr>
          </w:p>
          <w:p w14:paraId="15E3DD4F" w14:textId="77777777" w:rsidR="009A5DA9" w:rsidRPr="009A5DA9" w:rsidRDefault="009A5DA9" w:rsidP="0049102C">
            <w:pPr>
              <w:jc w:val="center"/>
              <w:rPr>
                <w:rFonts w:asciiTheme="majorHAnsi" w:hAnsiTheme="majorHAnsi" w:cstheme="majorHAnsi"/>
                <w:noProof/>
                <w:sz w:val="16"/>
                <w:szCs w:val="16"/>
              </w:rPr>
            </w:pPr>
            <w:r w:rsidRPr="009A5DA9">
              <w:rPr>
                <w:rFonts w:asciiTheme="majorHAnsi" w:hAnsiTheme="majorHAnsi" w:cstheme="majorHAnsi"/>
                <w:noProof/>
                <w:sz w:val="16"/>
                <w:szCs w:val="16"/>
              </w:rPr>
              <w:drawing>
                <wp:inline distT="0" distB="0" distL="0" distR="0" wp14:anchorId="552D9327" wp14:editId="50731DA7">
                  <wp:extent cx="805543" cy="310164"/>
                  <wp:effectExtent l="0" t="0" r="0" b="0"/>
                  <wp:docPr id="620655268" name="Image 119" descr="A drawing of a decorative objec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A drawing of a decorative object  Description automatically generated"/>
                          <pic:cNvPicPr/>
                        </pic:nvPicPr>
                        <pic:blipFill>
                          <a:blip r:embed="rId56" cstate="print">
                            <a:extLst>
                              <a:ext uri="{BEBA8EAE-BF5A-486C-A8C5-ECC9F3942E4B}">
                                <a14:imgProps xmlns:a14="http://schemas.microsoft.com/office/drawing/2010/main">
                                  <a14:imgLayer r:embed="rId57">
                                    <a14:imgEffect>
                                      <a14:sharpenSoften amount="50000"/>
                                    </a14:imgEffect>
                                    <a14:imgEffect>
                                      <a14:brightnessContrast bright="20000" contrast="-40000"/>
                                    </a14:imgEffect>
                                  </a14:imgLayer>
                                </a14:imgProps>
                              </a:ext>
                            </a:extLst>
                          </a:blip>
                          <a:stretch>
                            <a:fillRect/>
                          </a:stretch>
                        </pic:blipFill>
                        <pic:spPr>
                          <a:xfrm>
                            <a:off x="0" y="0"/>
                            <a:ext cx="818278" cy="315067"/>
                          </a:xfrm>
                          <a:prstGeom prst="rect">
                            <a:avLst/>
                          </a:prstGeom>
                        </pic:spPr>
                      </pic:pic>
                    </a:graphicData>
                  </a:graphic>
                </wp:inline>
              </w:drawing>
            </w:r>
          </w:p>
        </w:tc>
        <w:tc>
          <w:tcPr>
            <w:tcW w:w="2835" w:type="dxa"/>
            <w:tcBorders>
              <w:top w:val="dashSmallGap" w:sz="4" w:space="0" w:color="auto"/>
              <w:bottom w:val="dashSmallGap" w:sz="4" w:space="0" w:color="auto"/>
            </w:tcBorders>
            <w:shd w:val="clear" w:color="auto" w:fill="auto"/>
          </w:tcPr>
          <w:p w14:paraId="61ADE3A8" w14:textId="77777777" w:rsidR="009A5DA9" w:rsidRPr="009A5DA9" w:rsidRDefault="009A5DA9" w:rsidP="0049102C">
            <w:pPr>
              <w:jc w:val="both"/>
              <w:rPr>
                <w:rFonts w:asciiTheme="majorHAnsi" w:hAnsiTheme="majorHAnsi" w:cstheme="majorHAnsi"/>
                <w:noProof/>
                <w:sz w:val="16"/>
                <w:szCs w:val="16"/>
              </w:rPr>
            </w:pPr>
          </w:p>
          <w:p w14:paraId="53225F6D" w14:textId="77777777" w:rsidR="009A5DA9" w:rsidRDefault="009A5DA9" w:rsidP="0049102C">
            <w:pPr>
              <w:rPr>
                <w:rFonts w:asciiTheme="majorHAnsi" w:hAnsiTheme="majorHAnsi" w:cstheme="majorHAnsi"/>
                <w:noProof/>
                <w:sz w:val="16"/>
                <w:szCs w:val="16"/>
              </w:rPr>
            </w:pPr>
            <w:r w:rsidRPr="009A5DA9">
              <w:rPr>
                <w:rFonts w:asciiTheme="majorHAnsi" w:hAnsiTheme="majorHAnsi" w:cstheme="majorHAnsi"/>
                <w:noProof/>
                <w:sz w:val="16"/>
                <w:szCs w:val="16"/>
              </w:rPr>
              <w:t>Merafak, Bakam</w:t>
            </w:r>
          </w:p>
          <w:p w14:paraId="501C2C82" w14:textId="77777777" w:rsidR="009A5DA9" w:rsidRDefault="009A5DA9" w:rsidP="0049102C">
            <w:pPr>
              <w:rPr>
                <w:rFonts w:asciiTheme="majorHAnsi" w:hAnsiTheme="majorHAnsi" w:cstheme="majorHAnsi"/>
                <w:noProof/>
                <w:sz w:val="16"/>
                <w:szCs w:val="16"/>
              </w:rPr>
            </w:pPr>
          </w:p>
          <w:p w14:paraId="67039A91" w14:textId="77777777" w:rsidR="009A5DA9" w:rsidRPr="009A5DA9" w:rsidRDefault="009A5DA9" w:rsidP="0049102C">
            <w:pPr>
              <w:rPr>
                <w:rFonts w:asciiTheme="majorHAnsi" w:hAnsiTheme="majorHAnsi" w:cstheme="majorHAnsi"/>
                <w:noProof/>
                <w:sz w:val="16"/>
                <w:szCs w:val="16"/>
              </w:rPr>
            </w:pPr>
          </w:p>
        </w:tc>
      </w:tr>
      <w:tr w:rsidR="009A5DA9" w:rsidRPr="009A5DA9" w14:paraId="2A3B1CA5" w14:textId="77777777" w:rsidTr="009A5DA9">
        <w:trPr>
          <w:trHeight w:val="1513"/>
          <w:jc w:val="center"/>
        </w:trPr>
        <w:tc>
          <w:tcPr>
            <w:tcW w:w="419" w:type="dxa"/>
            <w:tcBorders>
              <w:top w:val="dashSmallGap" w:sz="4" w:space="0" w:color="auto"/>
              <w:bottom w:val="single" w:sz="4" w:space="0" w:color="auto"/>
            </w:tcBorders>
            <w:shd w:val="clear" w:color="auto" w:fill="auto"/>
          </w:tcPr>
          <w:p w14:paraId="0B397017" w14:textId="77777777" w:rsidR="009A5DA9" w:rsidRPr="009A5DA9" w:rsidRDefault="009A5DA9" w:rsidP="0049102C">
            <w:pPr>
              <w:jc w:val="both"/>
              <w:rPr>
                <w:rFonts w:asciiTheme="majorHAnsi" w:hAnsiTheme="majorHAnsi" w:cstheme="majorHAnsi"/>
                <w:color w:val="000000" w:themeColor="text1"/>
                <w:sz w:val="16"/>
                <w:szCs w:val="16"/>
              </w:rPr>
            </w:pPr>
            <w:r w:rsidRPr="009A5DA9">
              <w:rPr>
                <w:rFonts w:asciiTheme="majorHAnsi" w:hAnsiTheme="majorHAnsi" w:cstheme="majorHAnsi"/>
                <w:color w:val="000000" w:themeColor="text1"/>
                <w:sz w:val="16"/>
                <w:szCs w:val="16"/>
              </w:rPr>
              <w:t>12</w:t>
            </w:r>
          </w:p>
        </w:tc>
        <w:tc>
          <w:tcPr>
            <w:tcW w:w="1438" w:type="dxa"/>
            <w:tcBorders>
              <w:top w:val="dashSmallGap" w:sz="4" w:space="0" w:color="auto"/>
              <w:bottom w:val="single" w:sz="4" w:space="0" w:color="auto"/>
            </w:tcBorders>
            <w:shd w:val="clear" w:color="auto" w:fill="auto"/>
          </w:tcPr>
          <w:p w14:paraId="358DE69E" w14:textId="77777777" w:rsidR="009A5DA9" w:rsidRPr="009A5DA9" w:rsidRDefault="009A5DA9" w:rsidP="0049102C">
            <w:pPr>
              <w:pStyle w:val="TableParagraph"/>
              <w:rPr>
                <w:rFonts w:asciiTheme="majorHAnsi" w:hAnsiTheme="majorHAnsi" w:cstheme="majorHAnsi"/>
                <w:sz w:val="16"/>
                <w:szCs w:val="16"/>
              </w:rPr>
            </w:pPr>
            <w:r w:rsidRPr="009A5DA9">
              <w:rPr>
                <w:rFonts w:asciiTheme="majorHAnsi" w:hAnsiTheme="majorHAnsi" w:cstheme="majorHAnsi"/>
                <w:sz w:val="16"/>
                <w:szCs w:val="16"/>
              </w:rPr>
              <w:t>Pineapple</w:t>
            </w:r>
          </w:p>
          <w:p w14:paraId="1FD50116" w14:textId="77777777" w:rsidR="009A5DA9" w:rsidRPr="009A5DA9" w:rsidRDefault="009A5DA9" w:rsidP="0049102C">
            <w:pPr>
              <w:pStyle w:val="TableParagraph"/>
              <w:rPr>
                <w:rFonts w:asciiTheme="majorHAnsi" w:hAnsiTheme="majorHAnsi" w:cstheme="majorHAnsi"/>
                <w:sz w:val="16"/>
                <w:szCs w:val="16"/>
              </w:rPr>
            </w:pPr>
          </w:p>
          <w:p w14:paraId="4997599F" w14:textId="77777777" w:rsidR="009A5DA9" w:rsidRPr="009A5DA9" w:rsidRDefault="009A5DA9" w:rsidP="0049102C">
            <w:pPr>
              <w:rPr>
                <w:rFonts w:asciiTheme="majorHAnsi" w:hAnsiTheme="majorHAnsi" w:cstheme="majorHAnsi"/>
                <w:color w:val="000000" w:themeColor="text1"/>
                <w:sz w:val="16"/>
                <w:szCs w:val="16"/>
              </w:rPr>
            </w:pPr>
            <w:r w:rsidRPr="009A5DA9">
              <w:rPr>
                <w:rFonts w:asciiTheme="majorHAnsi" w:hAnsiTheme="majorHAnsi" w:cstheme="majorHAnsi"/>
                <w:noProof/>
                <w:sz w:val="16"/>
                <w:szCs w:val="16"/>
              </w:rPr>
              <w:drawing>
                <wp:inline distT="0" distB="0" distL="0" distR="0" wp14:anchorId="6B456B61" wp14:editId="61354EAA">
                  <wp:extent cx="622300" cy="536275"/>
                  <wp:effectExtent l="0" t="0" r="6350" b="0"/>
                  <wp:docPr id="932193257" name="Picture 1" descr="A black and white image of a door and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9745" name="Picture 1" descr="A black and white image of a door and a window&#10;&#10;Description automatically generated"/>
                          <pic:cNvPicPr/>
                        </pic:nvPicPr>
                        <pic:blipFill rotWithShape="1">
                          <a:blip r:embed="rId58">
                            <a:extLst>
                              <a:ext uri="{BEBA8EAE-BF5A-486C-A8C5-ECC9F3942E4B}">
                                <a14:imgProps xmlns:a14="http://schemas.microsoft.com/office/drawing/2010/main">
                                  <a14:imgLayer r:embed="rId59">
                                    <a14:imgEffect>
                                      <a14:sharpenSoften amount="50000"/>
                                    </a14:imgEffect>
                                    <a14:imgEffect>
                                      <a14:saturation sat="0"/>
                                    </a14:imgEffect>
                                  </a14:imgLayer>
                                </a14:imgProps>
                              </a:ext>
                            </a:extLst>
                          </a:blip>
                          <a:srcRect l="6623" t="57354" r="75737" b="19431"/>
                          <a:stretch/>
                        </pic:blipFill>
                        <pic:spPr bwMode="auto">
                          <a:xfrm>
                            <a:off x="0" y="0"/>
                            <a:ext cx="629988" cy="542900"/>
                          </a:xfrm>
                          <a:prstGeom prst="rect">
                            <a:avLst/>
                          </a:prstGeom>
                          <a:ln>
                            <a:noFill/>
                          </a:ln>
                          <a:extLst>
                            <a:ext uri="{53640926-AAD7-44D8-BBD7-CCE9431645EC}">
                              <a14:shadowObscured xmlns:a14="http://schemas.microsoft.com/office/drawing/2010/main"/>
                            </a:ext>
                          </a:extLst>
                        </pic:spPr>
                      </pic:pic>
                    </a:graphicData>
                  </a:graphic>
                </wp:inline>
              </w:drawing>
            </w:r>
          </w:p>
        </w:tc>
        <w:tc>
          <w:tcPr>
            <w:tcW w:w="2432" w:type="dxa"/>
            <w:tcBorders>
              <w:top w:val="dashSmallGap" w:sz="4" w:space="0" w:color="auto"/>
              <w:bottom w:val="single" w:sz="4" w:space="0" w:color="auto"/>
            </w:tcBorders>
            <w:shd w:val="clear" w:color="auto" w:fill="auto"/>
          </w:tcPr>
          <w:p w14:paraId="4E55FE2E" w14:textId="77777777" w:rsidR="009A5DA9" w:rsidRPr="009A5DA9" w:rsidRDefault="009A5DA9" w:rsidP="0049102C">
            <w:pPr>
              <w:jc w:val="center"/>
              <w:rPr>
                <w:rFonts w:asciiTheme="majorHAnsi" w:hAnsiTheme="majorHAnsi" w:cstheme="majorHAnsi"/>
                <w:noProof/>
                <w:sz w:val="16"/>
                <w:szCs w:val="16"/>
              </w:rPr>
            </w:pPr>
            <w:r w:rsidRPr="009A5DA9">
              <w:rPr>
                <w:rFonts w:asciiTheme="majorHAnsi" w:hAnsiTheme="majorHAnsi" w:cstheme="majorHAnsi"/>
                <w:noProof/>
                <w:color w:val="000000" w:themeColor="text1"/>
                <w:sz w:val="16"/>
                <w:szCs w:val="16"/>
              </w:rPr>
              <w:drawing>
                <wp:inline distT="0" distB="0" distL="0" distR="0" wp14:anchorId="5517B549" wp14:editId="09929015">
                  <wp:extent cx="331995" cy="825500"/>
                  <wp:effectExtent l="0" t="0" r="0" b="0"/>
                  <wp:docPr id="431464894" name="Picture 1" descr="A drawing of a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163" name="Picture 1" descr="A drawing of a design&#10;&#10;Description automatically generated"/>
                          <pic:cNvPicPr/>
                        </pic:nvPicPr>
                        <pic:blipFill rotWithShape="1">
                          <a:blip r:embed="rId60">
                            <a:extLst>
                              <a:ext uri="{BEBA8EAE-BF5A-486C-A8C5-ECC9F3942E4B}">
                                <a14:imgProps xmlns:a14="http://schemas.microsoft.com/office/drawing/2010/main">
                                  <a14:imgLayer r:embed="rId61">
                                    <a14:imgEffect>
                                      <a14:sharpenSoften amount="50000"/>
                                    </a14:imgEffect>
                                  </a14:imgLayer>
                                </a14:imgProps>
                              </a:ext>
                            </a:extLst>
                          </a:blip>
                          <a:srcRect l="22675" t="3830" r="20973" b="4532"/>
                          <a:stretch/>
                        </pic:blipFill>
                        <pic:spPr bwMode="auto">
                          <a:xfrm rot="10800000" flipV="1">
                            <a:off x="0" y="0"/>
                            <a:ext cx="340828" cy="847463"/>
                          </a:xfrm>
                          <a:prstGeom prst="rect">
                            <a:avLst/>
                          </a:prstGeom>
                          <a:ln>
                            <a:noFill/>
                          </a:ln>
                          <a:extLst>
                            <a:ext uri="{53640926-AAD7-44D8-BBD7-CCE9431645EC}">
                              <a14:shadowObscured xmlns:a14="http://schemas.microsoft.com/office/drawing/2010/main"/>
                            </a:ext>
                          </a:extLst>
                        </pic:spPr>
                      </pic:pic>
                    </a:graphicData>
                  </a:graphic>
                </wp:inline>
              </w:drawing>
            </w:r>
          </w:p>
        </w:tc>
        <w:tc>
          <w:tcPr>
            <w:tcW w:w="2835" w:type="dxa"/>
            <w:tcBorders>
              <w:top w:val="dashSmallGap" w:sz="4" w:space="0" w:color="auto"/>
              <w:bottom w:val="single" w:sz="4" w:space="0" w:color="auto"/>
            </w:tcBorders>
            <w:shd w:val="clear" w:color="auto" w:fill="auto"/>
          </w:tcPr>
          <w:p w14:paraId="5405073F" w14:textId="77777777" w:rsidR="009A5DA9" w:rsidRPr="009A5DA9" w:rsidRDefault="009A5DA9" w:rsidP="0049102C">
            <w:pPr>
              <w:rPr>
                <w:rFonts w:asciiTheme="majorHAnsi" w:hAnsiTheme="majorHAnsi" w:cstheme="majorHAnsi"/>
                <w:noProof/>
                <w:sz w:val="16"/>
                <w:szCs w:val="16"/>
              </w:rPr>
            </w:pPr>
          </w:p>
          <w:p w14:paraId="5FF3E23D" w14:textId="77777777" w:rsidR="009A5DA9" w:rsidRPr="009A5DA9" w:rsidRDefault="009A5DA9" w:rsidP="0049102C">
            <w:pPr>
              <w:rPr>
                <w:rFonts w:asciiTheme="majorHAnsi" w:hAnsiTheme="majorHAnsi" w:cstheme="majorHAnsi"/>
                <w:noProof/>
                <w:sz w:val="16"/>
                <w:szCs w:val="16"/>
              </w:rPr>
            </w:pPr>
            <w:r w:rsidRPr="009A5DA9">
              <w:rPr>
                <w:rFonts w:asciiTheme="majorHAnsi" w:hAnsiTheme="majorHAnsi" w:cstheme="majorHAnsi"/>
                <w:noProof/>
                <w:sz w:val="16"/>
                <w:szCs w:val="16"/>
              </w:rPr>
              <w:t>Merafak</w:t>
            </w:r>
          </w:p>
        </w:tc>
      </w:tr>
    </w:tbl>
    <w:p w14:paraId="3BCA76D7" w14:textId="77777777" w:rsidR="009A5DA9" w:rsidRPr="009A5DA9" w:rsidRDefault="009A5DA9" w:rsidP="009A5DA9">
      <w:pPr>
        <w:jc w:val="both"/>
        <w:rPr>
          <w:rFonts w:asciiTheme="majorHAnsi" w:hAnsiTheme="majorHAnsi" w:cstheme="majorHAnsi"/>
          <w:b/>
          <w:bCs/>
          <w:sz w:val="20"/>
          <w:szCs w:val="20"/>
        </w:rPr>
      </w:pPr>
    </w:p>
    <w:p w14:paraId="2071771C" w14:textId="42FD5073" w:rsidR="009A5DA9" w:rsidRPr="009A5DA9" w:rsidRDefault="009A5DA9" w:rsidP="009A5DA9">
      <w:pPr>
        <w:pStyle w:val="ListParagraph"/>
        <w:numPr>
          <w:ilvl w:val="0"/>
          <w:numId w:val="14"/>
        </w:numPr>
        <w:ind w:left="567" w:hanging="283"/>
        <w:jc w:val="both"/>
        <w:rPr>
          <w:rFonts w:asciiTheme="majorHAnsi" w:hAnsiTheme="majorHAnsi" w:cstheme="majorHAnsi"/>
          <w:b/>
          <w:sz w:val="20"/>
          <w:szCs w:val="20"/>
        </w:rPr>
      </w:pPr>
      <w:r w:rsidRPr="009A5DA9">
        <w:rPr>
          <w:rFonts w:asciiTheme="majorHAnsi" w:hAnsiTheme="majorHAnsi" w:cstheme="majorHAnsi"/>
          <w:b/>
          <w:sz w:val="20"/>
          <w:szCs w:val="20"/>
        </w:rPr>
        <w:t xml:space="preserve">A COMPARATIVE ANALYSIS OF </w:t>
      </w:r>
      <w:r w:rsidRPr="005C28E2">
        <w:rPr>
          <w:rFonts w:asciiTheme="majorHAnsi" w:hAnsiTheme="majorHAnsi" w:cstheme="majorHAnsi"/>
          <w:b/>
          <w:i/>
          <w:iCs/>
          <w:sz w:val="20"/>
          <w:szCs w:val="20"/>
        </w:rPr>
        <w:t>BATU ACEH</w:t>
      </w:r>
      <w:r w:rsidRPr="009A5DA9">
        <w:rPr>
          <w:rFonts w:asciiTheme="majorHAnsi" w:hAnsiTheme="majorHAnsi" w:cstheme="majorHAnsi"/>
          <w:b/>
          <w:sz w:val="20"/>
          <w:szCs w:val="20"/>
        </w:rPr>
        <w:t xml:space="preserve"> AND JATTI MIRIEK GRAVE MARKERS</w:t>
      </w:r>
      <w:r w:rsidRPr="009A5DA9">
        <w:rPr>
          <w:rFonts w:asciiTheme="majorHAnsi" w:hAnsiTheme="majorHAnsi" w:cstheme="majorHAnsi"/>
          <w:b/>
          <w:sz w:val="20"/>
          <w:szCs w:val="20"/>
        </w:rPr>
        <w:t xml:space="preserve"> </w:t>
      </w:r>
    </w:p>
    <w:p w14:paraId="1EC91C45"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Based on how the grave marker was constructed, the structure of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may be split into five segments: peak, head, shoulder, body, and base [14]. The structure of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likewise exhibits a similar segmentation. Both grave markers of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and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have been compared according to their structural segments, as shown in Figure 12 and 13.</w:t>
      </w:r>
    </w:p>
    <w:p w14:paraId="244E4D79" w14:textId="77777777" w:rsidR="009A5DA9" w:rsidRPr="009A5DA9" w:rsidRDefault="009A5DA9" w:rsidP="009A5DA9">
      <w:pPr>
        <w:ind w:left="284" w:firstLine="283"/>
        <w:jc w:val="both"/>
        <w:rPr>
          <w:rFonts w:asciiTheme="majorHAnsi" w:hAnsiTheme="majorHAnsi" w:cstheme="majorHAnsi"/>
          <w:sz w:val="20"/>
          <w:szCs w:val="20"/>
        </w:rPr>
      </w:pPr>
    </w:p>
    <w:p w14:paraId="6AFEDC98" w14:textId="77777777" w:rsidR="009A5DA9" w:rsidRDefault="009A5DA9" w:rsidP="009A5DA9">
      <w:pPr>
        <w:ind w:left="284" w:firstLine="283"/>
        <w:jc w:val="center"/>
        <w:rPr>
          <w:rFonts w:asciiTheme="majorHAnsi" w:hAnsiTheme="majorHAnsi" w:cstheme="majorHAnsi"/>
          <w:sz w:val="20"/>
          <w:szCs w:val="20"/>
        </w:rPr>
      </w:pPr>
      <w:r w:rsidRPr="009A5DA9">
        <w:rPr>
          <w:rFonts w:asciiTheme="majorHAnsi" w:hAnsiTheme="majorHAnsi" w:cstheme="majorHAnsi"/>
          <w:noProof/>
          <w:sz w:val="20"/>
          <w:szCs w:val="20"/>
        </w:rPr>
        <w:drawing>
          <wp:inline distT="0" distB="0" distL="0" distR="0" wp14:anchorId="141246C5" wp14:editId="64C2AF94">
            <wp:extent cx="4186225" cy="2305878"/>
            <wp:effectExtent l="0" t="0" r="5080" b="0"/>
            <wp:docPr id="15526575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57567" name="Picture 1552657567"/>
                    <pic:cNvPicPr/>
                  </pic:nvPicPr>
                  <pic:blipFill>
                    <a:blip r:embed="rId62">
                      <a:extLst>
                        <a:ext uri="{28A0092B-C50C-407E-A947-70E740481C1C}">
                          <a14:useLocalDpi xmlns:a14="http://schemas.microsoft.com/office/drawing/2010/main" val="0"/>
                        </a:ext>
                      </a:extLst>
                    </a:blip>
                    <a:stretch>
                      <a:fillRect/>
                    </a:stretch>
                  </pic:blipFill>
                  <pic:spPr>
                    <a:xfrm>
                      <a:off x="0" y="0"/>
                      <a:ext cx="4217677" cy="2323202"/>
                    </a:xfrm>
                    <a:prstGeom prst="rect">
                      <a:avLst/>
                    </a:prstGeom>
                  </pic:spPr>
                </pic:pic>
              </a:graphicData>
            </a:graphic>
          </wp:inline>
        </w:drawing>
      </w:r>
    </w:p>
    <w:p w14:paraId="03316F63" w14:textId="77777777" w:rsidR="009A5DA9" w:rsidRPr="009A5DA9" w:rsidRDefault="009A5DA9" w:rsidP="009A5DA9">
      <w:pPr>
        <w:ind w:left="284" w:firstLine="283"/>
        <w:jc w:val="center"/>
        <w:rPr>
          <w:rFonts w:asciiTheme="majorHAnsi" w:hAnsiTheme="majorHAnsi" w:cstheme="majorHAnsi"/>
          <w:sz w:val="20"/>
          <w:szCs w:val="20"/>
        </w:rPr>
      </w:pPr>
    </w:p>
    <w:p w14:paraId="4E61918E" w14:textId="77777777" w:rsidR="009A5DA9" w:rsidRPr="009A5DA9" w:rsidRDefault="009A5DA9" w:rsidP="009A5DA9">
      <w:pPr>
        <w:ind w:left="284" w:firstLine="283"/>
        <w:jc w:val="center"/>
        <w:rPr>
          <w:rFonts w:asciiTheme="majorHAnsi" w:hAnsiTheme="majorHAnsi" w:cstheme="majorHAnsi"/>
          <w:sz w:val="16"/>
          <w:szCs w:val="16"/>
        </w:rPr>
      </w:pPr>
      <w:r w:rsidRPr="009A5DA9">
        <w:rPr>
          <w:rFonts w:asciiTheme="majorHAnsi" w:hAnsiTheme="majorHAnsi" w:cstheme="majorHAnsi"/>
          <w:sz w:val="16"/>
          <w:szCs w:val="16"/>
        </w:rPr>
        <w:t xml:space="preserve">Figure 12. </w:t>
      </w:r>
      <w:r w:rsidRPr="009A5DA9">
        <w:rPr>
          <w:rFonts w:asciiTheme="majorHAnsi" w:hAnsiTheme="majorHAnsi" w:cstheme="majorHAnsi"/>
          <w:i/>
          <w:iCs/>
          <w:sz w:val="16"/>
          <w:szCs w:val="16"/>
        </w:rPr>
        <w:t>Batu Aceh</w:t>
      </w:r>
      <w:r w:rsidRPr="009A5DA9">
        <w:rPr>
          <w:rFonts w:asciiTheme="majorHAnsi" w:hAnsiTheme="majorHAnsi" w:cstheme="majorHAnsi"/>
          <w:sz w:val="16"/>
          <w:szCs w:val="16"/>
        </w:rPr>
        <w:t xml:space="preserve"> construction according to segments</w:t>
      </w:r>
    </w:p>
    <w:p w14:paraId="1019C271" w14:textId="77777777" w:rsidR="009A5DA9" w:rsidRPr="009A5DA9" w:rsidRDefault="009A5DA9" w:rsidP="009A5DA9">
      <w:pPr>
        <w:ind w:left="284" w:firstLine="283"/>
        <w:jc w:val="center"/>
        <w:rPr>
          <w:rFonts w:asciiTheme="majorHAnsi" w:hAnsiTheme="majorHAnsi" w:cstheme="majorHAnsi"/>
          <w:sz w:val="20"/>
          <w:szCs w:val="20"/>
        </w:rPr>
      </w:pPr>
    </w:p>
    <w:p w14:paraId="474511F6" w14:textId="77777777" w:rsidR="009A5DA9" w:rsidRDefault="009A5DA9" w:rsidP="009A5DA9">
      <w:pPr>
        <w:ind w:left="284" w:firstLine="283"/>
        <w:jc w:val="center"/>
        <w:rPr>
          <w:rFonts w:asciiTheme="majorHAnsi" w:hAnsiTheme="majorHAnsi" w:cstheme="majorHAnsi"/>
          <w:sz w:val="20"/>
          <w:szCs w:val="20"/>
        </w:rPr>
      </w:pPr>
      <w:r w:rsidRPr="009A5DA9">
        <w:rPr>
          <w:rFonts w:asciiTheme="majorHAnsi" w:hAnsiTheme="majorHAnsi" w:cstheme="majorHAnsi"/>
          <w:noProof/>
          <w:sz w:val="20"/>
          <w:szCs w:val="20"/>
        </w:rPr>
        <w:lastRenderedPageBreak/>
        <w:drawing>
          <wp:inline distT="0" distB="0" distL="0" distR="0" wp14:anchorId="3804A11E" wp14:editId="1C648934">
            <wp:extent cx="3064852" cy="2390775"/>
            <wp:effectExtent l="0" t="0" r="2540" b="0"/>
            <wp:docPr id="4759415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41595" name="Picture 475941595"/>
                    <pic:cNvPicPr/>
                  </pic:nvPicPr>
                  <pic:blipFill>
                    <a:blip r:embed="rId63">
                      <a:extLst>
                        <a:ext uri="{28A0092B-C50C-407E-A947-70E740481C1C}">
                          <a14:useLocalDpi xmlns:a14="http://schemas.microsoft.com/office/drawing/2010/main" val="0"/>
                        </a:ext>
                      </a:extLst>
                    </a:blip>
                    <a:stretch>
                      <a:fillRect/>
                    </a:stretch>
                  </pic:blipFill>
                  <pic:spPr>
                    <a:xfrm>
                      <a:off x="0" y="0"/>
                      <a:ext cx="3129519" cy="2441219"/>
                    </a:xfrm>
                    <a:prstGeom prst="rect">
                      <a:avLst/>
                    </a:prstGeom>
                  </pic:spPr>
                </pic:pic>
              </a:graphicData>
            </a:graphic>
          </wp:inline>
        </w:drawing>
      </w:r>
    </w:p>
    <w:p w14:paraId="592F8FA4" w14:textId="77777777" w:rsidR="009A5DA9" w:rsidRPr="009A5DA9" w:rsidRDefault="009A5DA9" w:rsidP="009A5DA9">
      <w:pPr>
        <w:ind w:left="284" w:firstLine="283"/>
        <w:jc w:val="center"/>
        <w:rPr>
          <w:rFonts w:asciiTheme="majorHAnsi" w:hAnsiTheme="majorHAnsi" w:cstheme="majorHAnsi"/>
          <w:sz w:val="20"/>
          <w:szCs w:val="20"/>
        </w:rPr>
      </w:pPr>
    </w:p>
    <w:p w14:paraId="3FCEEAF3" w14:textId="77777777" w:rsidR="009A5DA9" w:rsidRPr="009A5DA9" w:rsidRDefault="009A5DA9" w:rsidP="009A5DA9">
      <w:pPr>
        <w:ind w:left="284" w:firstLine="283"/>
        <w:jc w:val="center"/>
        <w:rPr>
          <w:rFonts w:asciiTheme="majorHAnsi" w:hAnsiTheme="majorHAnsi" w:cstheme="majorHAnsi"/>
          <w:sz w:val="16"/>
          <w:szCs w:val="16"/>
        </w:rPr>
      </w:pPr>
      <w:r w:rsidRPr="009A5DA9">
        <w:rPr>
          <w:rFonts w:asciiTheme="majorHAnsi" w:hAnsiTheme="majorHAnsi" w:cstheme="majorHAnsi"/>
          <w:sz w:val="16"/>
          <w:szCs w:val="16"/>
        </w:rPr>
        <w:t xml:space="preserve">Figure 13. </w:t>
      </w:r>
      <w:proofErr w:type="spellStart"/>
      <w:r w:rsidRPr="009A5DA9">
        <w:rPr>
          <w:rFonts w:asciiTheme="majorHAnsi" w:hAnsiTheme="majorHAnsi" w:cstheme="majorHAnsi"/>
          <w:sz w:val="16"/>
          <w:szCs w:val="16"/>
        </w:rPr>
        <w:t>Miriek</w:t>
      </w:r>
      <w:proofErr w:type="spellEnd"/>
      <w:r w:rsidRPr="009A5DA9">
        <w:rPr>
          <w:rFonts w:asciiTheme="majorHAnsi" w:hAnsiTheme="majorHAnsi" w:cstheme="majorHAnsi"/>
          <w:sz w:val="16"/>
          <w:szCs w:val="16"/>
        </w:rPr>
        <w:t xml:space="preserve"> grave marker construction according to segments.</w:t>
      </w:r>
    </w:p>
    <w:p w14:paraId="16209983" w14:textId="77777777" w:rsidR="005C28E2" w:rsidRDefault="005C28E2" w:rsidP="009A5DA9">
      <w:pPr>
        <w:ind w:left="284" w:firstLine="283"/>
        <w:jc w:val="both"/>
        <w:rPr>
          <w:rFonts w:asciiTheme="majorHAnsi" w:hAnsiTheme="majorHAnsi" w:cstheme="majorHAnsi"/>
          <w:sz w:val="20"/>
          <w:szCs w:val="20"/>
        </w:rPr>
      </w:pPr>
    </w:p>
    <w:p w14:paraId="3F0D15A6" w14:textId="1BD6AFBD" w:rsid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The comparison shows that the two grave monuments have the same basic structure—Peak, Head, Shoulder, Body, and Base—despite having different ornamental styles and purposes. This implies that the two grave markers could belong to the same system or category, like architectural features or customary markings within a society. A critical comparison of the two gravestones is provided in the Table 4. </w:t>
      </w:r>
    </w:p>
    <w:p w14:paraId="38FB5723" w14:textId="77777777" w:rsidR="009A5DA9" w:rsidRPr="009A5DA9" w:rsidRDefault="009A5DA9" w:rsidP="009A5DA9">
      <w:pPr>
        <w:ind w:left="284" w:firstLine="283"/>
        <w:jc w:val="both"/>
        <w:rPr>
          <w:rFonts w:asciiTheme="majorHAnsi" w:hAnsiTheme="majorHAnsi" w:cstheme="majorHAnsi"/>
          <w:sz w:val="20"/>
          <w:szCs w:val="20"/>
        </w:rPr>
      </w:pPr>
    </w:p>
    <w:tbl>
      <w:tblPr>
        <w:tblW w:w="8080" w:type="dxa"/>
        <w:jc w:val="center"/>
        <w:tblLayout w:type="fixed"/>
        <w:tblLook w:val="0000" w:firstRow="0" w:lastRow="0" w:firstColumn="0" w:lastColumn="0" w:noHBand="0" w:noVBand="0"/>
      </w:tblPr>
      <w:tblGrid>
        <w:gridCol w:w="1134"/>
        <w:gridCol w:w="3261"/>
        <w:gridCol w:w="3685"/>
      </w:tblGrid>
      <w:tr w:rsidR="009A5DA9" w:rsidRPr="009A5DA9" w14:paraId="63B9B5D0" w14:textId="77777777" w:rsidTr="00EC37A5">
        <w:trPr>
          <w:trHeight w:val="284"/>
          <w:jc w:val="center"/>
        </w:trPr>
        <w:tc>
          <w:tcPr>
            <w:tcW w:w="8080" w:type="dxa"/>
            <w:gridSpan w:val="3"/>
          </w:tcPr>
          <w:p w14:paraId="74044AE2" w14:textId="77777777" w:rsidR="009A5DA9" w:rsidRPr="009A5DA9" w:rsidRDefault="009A5DA9" w:rsidP="009A5DA9">
            <w:pPr>
              <w:pStyle w:val="Table"/>
              <w:ind w:left="284" w:firstLine="283"/>
              <w:jc w:val="center"/>
              <w:rPr>
                <w:rFonts w:asciiTheme="majorHAnsi" w:hAnsiTheme="majorHAnsi" w:cstheme="majorHAnsi"/>
                <w:bCs/>
                <w:sz w:val="16"/>
                <w:szCs w:val="16"/>
                <w:lang w:val="id-ID"/>
              </w:rPr>
            </w:pPr>
            <w:r w:rsidRPr="009A5DA9">
              <w:rPr>
                <w:rFonts w:asciiTheme="majorHAnsi" w:hAnsiTheme="majorHAnsi" w:cstheme="majorHAnsi"/>
                <w:bCs/>
                <w:sz w:val="16"/>
                <w:szCs w:val="16"/>
              </w:rPr>
              <w:t xml:space="preserve">Table 4. </w:t>
            </w:r>
            <w:r w:rsidRPr="009A5DA9">
              <w:rPr>
                <w:rStyle w:val="Strong"/>
                <w:rFonts w:asciiTheme="majorHAnsi" w:hAnsiTheme="majorHAnsi" w:cstheme="majorHAnsi"/>
                <w:b w:val="0"/>
                <w:color w:val="000000" w:themeColor="text1"/>
                <w:sz w:val="16"/>
                <w:szCs w:val="16"/>
                <w:bdr w:val="none" w:sz="0" w:space="0" w:color="auto" w:frame="1"/>
              </w:rPr>
              <w:t xml:space="preserve">Comparison Segment between </w:t>
            </w:r>
            <w:r w:rsidRPr="009A5DA9">
              <w:rPr>
                <w:rStyle w:val="Strong"/>
                <w:rFonts w:asciiTheme="majorHAnsi" w:hAnsiTheme="majorHAnsi" w:cstheme="majorHAnsi"/>
                <w:b w:val="0"/>
                <w:i/>
                <w:iCs/>
                <w:color w:val="000000" w:themeColor="text1"/>
                <w:sz w:val="16"/>
                <w:szCs w:val="16"/>
                <w:bdr w:val="none" w:sz="0" w:space="0" w:color="auto" w:frame="1"/>
              </w:rPr>
              <w:t>Batu Aceh</w:t>
            </w:r>
            <w:r w:rsidRPr="009A5DA9">
              <w:rPr>
                <w:rStyle w:val="Strong"/>
                <w:rFonts w:asciiTheme="majorHAnsi" w:hAnsiTheme="majorHAnsi" w:cstheme="majorHAnsi"/>
                <w:b w:val="0"/>
                <w:color w:val="000000" w:themeColor="text1"/>
                <w:sz w:val="16"/>
                <w:szCs w:val="16"/>
                <w:bdr w:val="none" w:sz="0" w:space="0" w:color="auto" w:frame="1"/>
              </w:rPr>
              <w:t xml:space="preserve"> and Nisan Jatti </w:t>
            </w:r>
            <w:proofErr w:type="spellStart"/>
            <w:r w:rsidRPr="009A5DA9">
              <w:rPr>
                <w:rStyle w:val="Strong"/>
                <w:rFonts w:asciiTheme="majorHAnsi" w:hAnsiTheme="majorHAnsi" w:cstheme="majorHAnsi"/>
                <w:b w:val="0"/>
                <w:color w:val="000000" w:themeColor="text1"/>
                <w:sz w:val="16"/>
                <w:szCs w:val="16"/>
                <w:bdr w:val="none" w:sz="0" w:space="0" w:color="auto" w:frame="1"/>
              </w:rPr>
              <w:t>Miriek</w:t>
            </w:r>
            <w:proofErr w:type="spellEnd"/>
            <w:r w:rsidRPr="009A5DA9">
              <w:rPr>
                <w:rStyle w:val="Strong"/>
                <w:rFonts w:asciiTheme="majorHAnsi" w:hAnsiTheme="majorHAnsi" w:cstheme="majorHAnsi"/>
                <w:b w:val="0"/>
                <w:color w:val="000000" w:themeColor="text1"/>
                <w:sz w:val="16"/>
                <w:szCs w:val="16"/>
                <w:bdr w:val="none" w:sz="0" w:space="0" w:color="auto" w:frame="1"/>
              </w:rPr>
              <w:t>.</w:t>
            </w:r>
          </w:p>
        </w:tc>
      </w:tr>
      <w:tr w:rsidR="009A5DA9" w:rsidRPr="009A5DA9" w14:paraId="2B7038FF" w14:textId="77777777" w:rsidTr="00EC37A5">
        <w:trPr>
          <w:trHeight w:val="85"/>
          <w:jc w:val="center"/>
        </w:trPr>
        <w:tc>
          <w:tcPr>
            <w:tcW w:w="1134" w:type="dxa"/>
            <w:tcBorders>
              <w:top w:val="single" w:sz="4" w:space="0" w:color="auto"/>
              <w:left w:val="nil"/>
              <w:bottom w:val="nil"/>
              <w:right w:val="nil"/>
            </w:tcBorders>
          </w:tcPr>
          <w:p w14:paraId="6680D430" w14:textId="77777777" w:rsidR="009A5DA9" w:rsidRPr="009A5DA9" w:rsidRDefault="009A5DA9" w:rsidP="009A5DA9">
            <w:pPr>
              <w:spacing w:line="264" w:lineRule="auto"/>
              <w:ind w:left="-52" w:firstLine="283"/>
              <w:jc w:val="both"/>
              <w:rPr>
                <w:rFonts w:asciiTheme="majorHAnsi" w:hAnsiTheme="majorHAnsi" w:cstheme="majorHAnsi"/>
                <w:bCs/>
                <w:sz w:val="16"/>
                <w:szCs w:val="16"/>
              </w:rPr>
            </w:pPr>
            <w:r w:rsidRPr="009A5DA9">
              <w:rPr>
                <w:rFonts w:asciiTheme="majorHAnsi" w:hAnsiTheme="majorHAnsi" w:cstheme="majorHAnsi"/>
                <w:bCs/>
                <w:sz w:val="16"/>
                <w:szCs w:val="16"/>
              </w:rPr>
              <w:t>Segment</w:t>
            </w:r>
          </w:p>
        </w:tc>
        <w:tc>
          <w:tcPr>
            <w:tcW w:w="3261" w:type="dxa"/>
            <w:tcBorders>
              <w:top w:val="single" w:sz="4" w:space="0" w:color="auto"/>
              <w:left w:val="nil"/>
              <w:bottom w:val="nil"/>
              <w:right w:val="nil"/>
            </w:tcBorders>
          </w:tcPr>
          <w:p w14:paraId="7759174A" w14:textId="77777777" w:rsidR="009A5DA9" w:rsidRPr="009A5DA9" w:rsidRDefault="009A5DA9" w:rsidP="009A5DA9">
            <w:pPr>
              <w:spacing w:line="264" w:lineRule="auto"/>
              <w:ind w:left="284" w:firstLine="283"/>
              <w:jc w:val="center"/>
              <w:rPr>
                <w:rFonts w:asciiTheme="majorHAnsi" w:hAnsiTheme="majorHAnsi" w:cstheme="majorHAnsi"/>
                <w:bCs/>
                <w:sz w:val="16"/>
                <w:szCs w:val="16"/>
              </w:rPr>
            </w:pPr>
            <w:r w:rsidRPr="009A5DA9">
              <w:rPr>
                <w:rFonts w:asciiTheme="majorHAnsi" w:hAnsiTheme="majorHAnsi" w:cstheme="majorHAnsi"/>
                <w:bCs/>
                <w:i/>
                <w:iCs/>
                <w:sz w:val="16"/>
                <w:szCs w:val="16"/>
              </w:rPr>
              <w:t>Batu Aceh</w:t>
            </w:r>
          </w:p>
        </w:tc>
        <w:tc>
          <w:tcPr>
            <w:tcW w:w="3685" w:type="dxa"/>
            <w:tcBorders>
              <w:top w:val="single" w:sz="4" w:space="0" w:color="auto"/>
              <w:left w:val="nil"/>
              <w:bottom w:val="nil"/>
              <w:right w:val="nil"/>
            </w:tcBorders>
          </w:tcPr>
          <w:p w14:paraId="2FDF7AA1" w14:textId="77777777" w:rsidR="009A5DA9" w:rsidRPr="009A5DA9" w:rsidRDefault="009A5DA9" w:rsidP="009A5DA9">
            <w:pPr>
              <w:spacing w:line="264" w:lineRule="auto"/>
              <w:ind w:left="284" w:firstLine="283"/>
              <w:jc w:val="center"/>
              <w:rPr>
                <w:rFonts w:asciiTheme="majorHAnsi" w:hAnsiTheme="majorHAnsi" w:cstheme="majorHAnsi"/>
                <w:bCs/>
                <w:sz w:val="16"/>
                <w:szCs w:val="16"/>
              </w:rPr>
            </w:pPr>
            <w:r w:rsidRPr="009A5DA9">
              <w:rPr>
                <w:rFonts w:asciiTheme="majorHAnsi" w:hAnsiTheme="majorHAnsi" w:cstheme="majorHAnsi"/>
                <w:bCs/>
                <w:sz w:val="16"/>
                <w:szCs w:val="16"/>
              </w:rPr>
              <w:t xml:space="preserve">Jatti </w:t>
            </w:r>
            <w:proofErr w:type="spellStart"/>
            <w:r w:rsidRPr="009A5DA9">
              <w:rPr>
                <w:rFonts w:asciiTheme="majorHAnsi" w:hAnsiTheme="majorHAnsi" w:cstheme="majorHAnsi"/>
                <w:bCs/>
                <w:sz w:val="16"/>
                <w:szCs w:val="16"/>
              </w:rPr>
              <w:t>Miriek</w:t>
            </w:r>
            <w:proofErr w:type="spellEnd"/>
          </w:p>
        </w:tc>
      </w:tr>
      <w:tr w:rsidR="009A5DA9" w:rsidRPr="009A5DA9" w14:paraId="4A68E0FC" w14:textId="77777777" w:rsidTr="00EC37A5">
        <w:trPr>
          <w:cantSplit/>
          <w:jc w:val="center"/>
        </w:trPr>
        <w:tc>
          <w:tcPr>
            <w:tcW w:w="1134" w:type="dxa"/>
            <w:tcBorders>
              <w:top w:val="single" w:sz="4" w:space="0" w:color="auto"/>
              <w:left w:val="nil"/>
              <w:bottom w:val="nil"/>
              <w:right w:val="nil"/>
            </w:tcBorders>
          </w:tcPr>
          <w:p w14:paraId="0B47658F" w14:textId="77777777" w:rsidR="009A5DA9" w:rsidRPr="009A5DA9" w:rsidRDefault="009A5DA9" w:rsidP="009A5DA9">
            <w:pPr>
              <w:spacing w:line="264" w:lineRule="auto"/>
              <w:ind w:left="-52" w:right="-90" w:firstLine="283"/>
              <w:jc w:val="both"/>
              <w:rPr>
                <w:rFonts w:asciiTheme="majorHAnsi" w:hAnsiTheme="majorHAnsi" w:cstheme="majorHAnsi"/>
                <w:bCs/>
                <w:sz w:val="16"/>
                <w:szCs w:val="16"/>
              </w:rPr>
            </w:pPr>
            <w:r w:rsidRPr="009A5DA9">
              <w:rPr>
                <w:rFonts w:asciiTheme="majorHAnsi" w:hAnsiTheme="majorHAnsi" w:cstheme="majorHAnsi"/>
                <w:bCs/>
                <w:sz w:val="16"/>
                <w:szCs w:val="16"/>
                <w:lang w:val="en-GB"/>
              </w:rPr>
              <w:t>Peak</w:t>
            </w:r>
          </w:p>
        </w:tc>
        <w:tc>
          <w:tcPr>
            <w:tcW w:w="3261" w:type="dxa"/>
            <w:tcBorders>
              <w:top w:val="single" w:sz="4" w:space="0" w:color="auto"/>
              <w:left w:val="nil"/>
              <w:bottom w:val="nil"/>
              <w:right w:val="nil"/>
            </w:tcBorders>
          </w:tcPr>
          <w:p w14:paraId="4D0FC709" w14:textId="30441681" w:rsidR="009A5DA9" w:rsidRPr="009A5DA9" w:rsidRDefault="009A5DA9" w:rsidP="009A5DA9">
            <w:pPr>
              <w:pStyle w:val="ListParagraph"/>
              <w:numPr>
                <w:ilvl w:val="0"/>
                <w:numId w:val="15"/>
              </w:numPr>
              <w:ind w:left="323" w:hanging="284"/>
              <w:jc w:val="both"/>
              <w:rPr>
                <w:rFonts w:asciiTheme="majorHAnsi" w:hAnsiTheme="majorHAnsi" w:cstheme="majorHAnsi"/>
                <w:bCs/>
                <w:sz w:val="16"/>
                <w:szCs w:val="16"/>
              </w:rPr>
            </w:pPr>
            <w:r w:rsidRPr="009A5DA9">
              <w:rPr>
                <w:rFonts w:asciiTheme="majorHAnsi" w:hAnsiTheme="majorHAnsi" w:cstheme="majorHAnsi"/>
                <w:bCs/>
                <w:sz w:val="16"/>
                <w:szCs w:val="16"/>
              </w:rPr>
              <w:t>As the highest point of the grave marker, its summit is decorated with small, delicate pieces that give the impression of being a crown.</w:t>
            </w:r>
          </w:p>
          <w:p w14:paraId="715384ED" w14:textId="77777777" w:rsidR="009A5DA9" w:rsidRPr="009A5DA9" w:rsidRDefault="009A5DA9" w:rsidP="009A5DA9">
            <w:pPr>
              <w:ind w:left="323" w:hanging="284"/>
              <w:jc w:val="both"/>
              <w:rPr>
                <w:rFonts w:asciiTheme="majorHAnsi" w:hAnsiTheme="majorHAnsi" w:cstheme="majorHAnsi"/>
                <w:bCs/>
                <w:sz w:val="16"/>
                <w:szCs w:val="16"/>
              </w:rPr>
            </w:pPr>
          </w:p>
        </w:tc>
        <w:tc>
          <w:tcPr>
            <w:tcW w:w="3685" w:type="dxa"/>
            <w:tcBorders>
              <w:top w:val="single" w:sz="4" w:space="0" w:color="auto"/>
              <w:left w:val="nil"/>
              <w:bottom w:val="nil"/>
              <w:right w:val="nil"/>
            </w:tcBorders>
          </w:tcPr>
          <w:p w14:paraId="2C1F5E14" w14:textId="77777777" w:rsidR="009A5DA9" w:rsidRPr="009A5DA9" w:rsidRDefault="009A5DA9" w:rsidP="009A5DA9">
            <w:pPr>
              <w:pStyle w:val="ListParagraph"/>
              <w:numPr>
                <w:ilvl w:val="0"/>
                <w:numId w:val="15"/>
              </w:numPr>
              <w:ind w:left="323" w:right="30" w:hanging="284"/>
              <w:jc w:val="both"/>
              <w:rPr>
                <w:rFonts w:asciiTheme="majorHAnsi" w:hAnsiTheme="majorHAnsi" w:cstheme="majorHAnsi"/>
                <w:bCs/>
                <w:sz w:val="16"/>
                <w:szCs w:val="16"/>
              </w:rPr>
            </w:pPr>
            <w:r w:rsidRPr="009A5DA9">
              <w:rPr>
                <w:rFonts w:asciiTheme="majorHAnsi" w:hAnsiTheme="majorHAnsi" w:cstheme="majorHAnsi"/>
                <w:bCs/>
                <w:sz w:val="16"/>
                <w:szCs w:val="16"/>
              </w:rPr>
              <w:t>The peak, which resembles a fruit crest or leaf tip, is more heavily influenced by floral patterns.</w:t>
            </w:r>
          </w:p>
        </w:tc>
      </w:tr>
      <w:tr w:rsidR="009A5DA9" w:rsidRPr="009A5DA9" w14:paraId="6AB2A45A" w14:textId="77777777" w:rsidTr="00EC37A5">
        <w:trPr>
          <w:jc w:val="center"/>
        </w:trPr>
        <w:tc>
          <w:tcPr>
            <w:tcW w:w="1134" w:type="dxa"/>
          </w:tcPr>
          <w:p w14:paraId="348BF478" w14:textId="77777777" w:rsidR="009A5DA9" w:rsidRPr="009A5DA9" w:rsidRDefault="009A5DA9" w:rsidP="009A5DA9">
            <w:pPr>
              <w:spacing w:line="264" w:lineRule="auto"/>
              <w:ind w:left="-52" w:firstLine="283"/>
              <w:jc w:val="both"/>
              <w:rPr>
                <w:rFonts w:asciiTheme="majorHAnsi" w:hAnsiTheme="majorHAnsi" w:cstheme="majorHAnsi"/>
                <w:bCs/>
                <w:sz w:val="16"/>
                <w:szCs w:val="16"/>
              </w:rPr>
            </w:pPr>
            <w:r w:rsidRPr="009A5DA9">
              <w:rPr>
                <w:rFonts w:asciiTheme="majorHAnsi" w:hAnsiTheme="majorHAnsi" w:cstheme="majorHAnsi"/>
                <w:bCs/>
                <w:sz w:val="16"/>
                <w:szCs w:val="16"/>
              </w:rPr>
              <w:t>Head</w:t>
            </w:r>
          </w:p>
        </w:tc>
        <w:tc>
          <w:tcPr>
            <w:tcW w:w="3261" w:type="dxa"/>
          </w:tcPr>
          <w:p w14:paraId="782E8006" w14:textId="77777777" w:rsidR="009A5DA9" w:rsidRPr="009A5DA9" w:rsidRDefault="009A5DA9" w:rsidP="009A5DA9">
            <w:pPr>
              <w:pStyle w:val="ListParagraph"/>
              <w:numPr>
                <w:ilvl w:val="0"/>
                <w:numId w:val="15"/>
              </w:numPr>
              <w:ind w:left="323" w:hanging="284"/>
              <w:jc w:val="both"/>
              <w:rPr>
                <w:rFonts w:asciiTheme="majorHAnsi" w:hAnsiTheme="majorHAnsi" w:cstheme="majorHAnsi"/>
                <w:bCs/>
                <w:sz w:val="16"/>
                <w:szCs w:val="16"/>
              </w:rPr>
            </w:pPr>
            <w:r w:rsidRPr="009A5DA9">
              <w:rPr>
                <w:rFonts w:asciiTheme="majorHAnsi" w:hAnsiTheme="majorHAnsi" w:cstheme="majorHAnsi"/>
                <w:bCs/>
                <w:sz w:val="16"/>
                <w:szCs w:val="16"/>
              </w:rPr>
              <w:t>This portion of the grave marker acts as a cover and is situated over the main body. Its intricate decoration shows the influence of Islamic culture with calligraphic motifs.</w:t>
            </w:r>
          </w:p>
          <w:p w14:paraId="2AF25D9E" w14:textId="77777777" w:rsidR="009A5DA9" w:rsidRPr="009A5DA9" w:rsidRDefault="009A5DA9" w:rsidP="009A5DA9">
            <w:pPr>
              <w:ind w:left="323" w:hanging="284"/>
              <w:jc w:val="both"/>
              <w:rPr>
                <w:rFonts w:asciiTheme="majorHAnsi" w:hAnsiTheme="majorHAnsi" w:cstheme="majorHAnsi"/>
                <w:bCs/>
                <w:sz w:val="16"/>
                <w:szCs w:val="16"/>
              </w:rPr>
            </w:pPr>
          </w:p>
        </w:tc>
        <w:tc>
          <w:tcPr>
            <w:tcW w:w="3685" w:type="dxa"/>
          </w:tcPr>
          <w:p w14:paraId="2EFE3E8E" w14:textId="77777777" w:rsidR="009A5DA9" w:rsidRPr="009A5DA9" w:rsidRDefault="009A5DA9" w:rsidP="009A5DA9">
            <w:pPr>
              <w:pStyle w:val="ListParagraph"/>
              <w:numPr>
                <w:ilvl w:val="0"/>
                <w:numId w:val="15"/>
              </w:numPr>
              <w:ind w:left="323" w:right="-21" w:hanging="284"/>
              <w:jc w:val="both"/>
              <w:rPr>
                <w:rFonts w:asciiTheme="majorHAnsi" w:hAnsiTheme="majorHAnsi" w:cstheme="majorHAnsi"/>
                <w:bCs/>
                <w:sz w:val="16"/>
                <w:szCs w:val="16"/>
              </w:rPr>
            </w:pPr>
            <w:r w:rsidRPr="009A5DA9">
              <w:rPr>
                <w:rFonts w:asciiTheme="majorHAnsi" w:hAnsiTheme="majorHAnsi" w:cstheme="majorHAnsi"/>
                <w:bCs/>
                <w:sz w:val="16"/>
                <w:szCs w:val="16"/>
              </w:rPr>
              <w:t>Despite the absence of calligraphy, the headstone, in this instance, is nonetheless beautifully and intricately decorated.</w:t>
            </w:r>
          </w:p>
        </w:tc>
      </w:tr>
      <w:tr w:rsidR="009A5DA9" w:rsidRPr="009A5DA9" w14:paraId="609C2B8E" w14:textId="77777777" w:rsidTr="00EC37A5">
        <w:trPr>
          <w:jc w:val="center"/>
        </w:trPr>
        <w:tc>
          <w:tcPr>
            <w:tcW w:w="1134" w:type="dxa"/>
          </w:tcPr>
          <w:p w14:paraId="6257F792" w14:textId="77777777" w:rsidR="009A5DA9" w:rsidRPr="009A5DA9" w:rsidRDefault="009A5DA9" w:rsidP="009A5DA9">
            <w:pPr>
              <w:spacing w:line="264" w:lineRule="auto"/>
              <w:ind w:left="-52" w:firstLine="283"/>
              <w:jc w:val="both"/>
              <w:rPr>
                <w:rFonts w:asciiTheme="majorHAnsi" w:hAnsiTheme="majorHAnsi" w:cstheme="majorHAnsi"/>
                <w:bCs/>
                <w:sz w:val="16"/>
                <w:szCs w:val="16"/>
              </w:rPr>
            </w:pPr>
            <w:r w:rsidRPr="009A5DA9">
              <w:rPr>
                <w:rFonts w:asciiTheme="majorHAnsi" w:hAnsiTheme="majorHAnsi" w:cstheme="majorHAnsi"/>
                <w:bCs/>
                <w:sz w:val="16"/>
                <w:szCs w:val="16"/>
              </w:rPr>
              <w:t>Shoulder</w:t>
            </w:r>
          </w:p>
        </w:tc>
        <w:tc>
          <w:tcPr>
            <w:tcW w:w="3261" w:type="dxa"/>
          </w:tcPr>
          <w:p w14:paraId="63C184F0" w14:textId="77777777" w:rsidR="009A5DA9" w:rsidRPr="009A5DA9" w:rsidRDefault="009A5DA9" w:rsidP="009A5DA9">
            <w:pPr>
              <w:pStyle w:val="ListParagraph"/>
              <w:numPr>
                <w:ilvl w:val="0"/>
                <w:numId w:val="15"/>
              </w:numPr>
              <w:ind w:left="323" w:hanging="284"/>
              <w:jc w:val="both"/>
              <w:rPr>
                <w:rFonts w:asciiTheme="majorHAnsi" w:hAnsiTheme="majorHAnsi" w:cstheme="majorHAnsi"/>
                <w:bCs/>
                <w:sz w:val="16"/>
                <w:szCs w:val="16"/>
              </w:rPr>
            </w:pPr>
            <w:r w:rsidRPr="009A5DA9">
              <w:rPr>
                <w:rFonts w:asciiTheme="majorHAnsi" w:hAnsiTheme="majorHAnsi" w:cstheme="majorHAnsi"/>
                <w:bCs/>
                <w:sz w:val="16"/>
                <w:szCs w:val="16"/>
              </w:rPr>
              <w:t>In this section, the ornaments are less noticeable as they connect the head to the body of the grave marker.</w:t>
            </w:r>
          </w:p>
          <w:p w14:paraId="1215D06B" w14:textId="77777777" w:rsidR="009A5DA9" w:rsidRPr="009A5DA9" w:rsidRDefault="009A5DA9" w:rsidP="009A5DA9">
            <w:pPr>
              <w:spacing w:line="264" w:lineRule="auto"/>
              <w:ind w:left="323" w:hanging="284"/>
              <w:jc w:val="center"/>
              <w:rPr>
                <w:rFonts w:asciiTheme="majorHAnsi" w:hAnsiTheme="majorHAnsi" w:cstheme="majorHAnsi"/>
                <w:bCs/>
                <w:sz w:val="16"/>
                <w:szCs w:val="16"/>
              </w:rPr>
            </w:pPr>
          </w:p>
        </w:tc>
        <w:tc>
          <w:tcPr>
            <w:tcW w:w="3685" w:type="dxa"/>
          </w:tcPr>
          <w:p w14:paraId="69E95B8E" w14:textId="77777777" w:rsidR="009A5DA9" w:rsidRPr="009A5DA9" w:rsidRDefault="009A5DA9" w:rsidP="009A5DA9">
            <w:pPr>
              <w:pStyle w:val="ListParagraph"/>
              <w:numPr>
                <w:ilvl w:val="0"/>
                <w:numId w:val="15"/>
              </w:numPr>
              <w:ind w:left="323" w:right="-21" w:hanging="284"/>
              <w:jc w:val="both"/>
              <w:rPr>
                <w:rFonts w:asciiTheme="majorHAnsi" w:hAnsiTheme="majorHAnsi" w:cstheme="majorHAnsi"/>
                <w:bCs/>
                <w:sz w:val="16"/>
                <w:szCs w:val="16"/>
              </w:rPr>
            </w:pPr>
            <w:r w:rsidRPr="009A5DA9">
              <w:rPr>
                <w:rFonts w:asciiTheme="majorHAnsi" w:hAnsiTheme="majorHAnsi" w:cstheme="majorHAnsi"/>
                <w:bCs/>
                <w:sz w:val="16"/>
                <w:szCs w:val="16"/>
              </w:rPr>
              <w:t xml:space="preserve">In contrast to the gravestones of </w:t>
            </w:r>
            <w:r w:rsidRPr="009A5DA9">
              <w:rPr>
                <w:rFonts w:asciiTheme="majorHAnsi" w:hAnsiTheme="majorHAnsi" w:cstheme="majorHAnsi"/>
                <w:bCs/>
                <w:i/>
                <w:iCs/>
                <w:sz w:val="16"/>
                <w:szCs w:val="16"/>
              </w:rPr>
              <w:t>Batu Aceh</w:t>
            </w:r>
            <w:r w:rsidRPr="009A5DA9">
              <w:rPr>
                <w:rFonts w:asciiTheme="majorHAnsi" w:hAnsiTheme="majorHAnsi" w:cstheme="majorHAnsi"/>
                <w:bCs/>
                <w:sz w:val="16"/>
                <w:szCs w:val="16"/>
              </w:rPr>
              <w:t xml:space="preserve">, which have richer embellishments, the shoulders of the Jatti </w:t>
            </w:r>
            <w:proofErr w:type="spellStart"/>
            <w:r w:rsidRPr="009A5DA9">
              <w:rPr>
                <w:rFonts w:asciiTheme="majorHAnsi" w:hAnsiTheme="majorHAnsi" w:cstheme="majorHAnsi"/>
                <w:bCs/>
                <w:sz w:val="16"/>
                <w:szCs w:val="16"/>
              </w:rPr>
              <w:t>Miriek</w:t>
            </w:r>
            <w:proofErr w:type="spellEnd"/>
            <w:r w:rsidRPr="009A5DA9">
              <w:rPr>
                <w:rFonts w:asciiTheme="majorHAnsi" w:hAnsiTheme="majorHAnsi" w:cstheme="majorHAnsi"/>
                <w:bCs/>
                <w:sz w:val="16"/>
                <w:szCs w:val="16"/>
              </w:rPr>
              <w:t xml:space="preserve"> grave markers are simpler.</w:t>
            </w:r>
          </w:p>
          <w:p w14:paraId="386A49C0" w14:textId="77777777" w:rsidR="009A5DA9" w:rsidRPr="009A5DA9" w:rsidRDefault="009A5DA9" w:rsidP="009A5DA9">
            <w:pPr>
              <w:ind w:left="323" w:right="-21" w:hanging="284"/>
              <w:jc w:val="both"/>
              <w:rPr>
                <w:rFonts w:asciiTheme="majorHAnsi" w:hAnsiTheme="majorHAnsi" w:cstheme="majorHAnsi"/>
                <w:bCs/>
                <w:sz w:val="16"/>
                <w:szCs w:val="16"/>
              </w:rPr>
            </w:pPr>
          </w:p>
        </w:tc>
      </w:tr>
      <w:tr w:rsidR="009A5DA9" w:rsidRPr="009A5DA9" w14:paraId="152235EB" w14:textId="77777777" w:rsidTr="00EC37A5">
        <w:trPr>
          <w:jc w:val="center"/>
        </w:trPr>
        <w:tc>
          <w:tcPr>
            <w:tcW w:w="1134" w:type="dxa"/>
            <w:tcBorders>
              <w:top w:val="nil"/>
              <w:left w:val="nil"/>
              <w:bottom w:val="single" w:sz="4" w:space="0" w:color="auto"/>
              <w:right w:val="nil"/>
            </w:tcBorders>
          </w:tcPr>
          <w:p w14:paraId="623FDA80" w14:textId="77777777" w:rsidR="009A5DA9" w:rsidRPr="009A5DA9" w:rsidRDefault="009A5DA9" w:rsidP="009A5DA9">
            <w:pPr>
              <w:spacing w:line="264" w:lineRule="auto"/>
              <w:ind w:left="-52" w:firstLine="283"/>
              <w:jc w:val="both"/>
              <w:rPr>
                <w:rFonts w:asciiTheme="majorHAnsi" w:hAnsiTheme="majorHAnsi" w:cstheme="majorHAnsi"/>
                <w:bCs/>
                <w:sz w:val="16"/>
                <w:szCs w:val="16"/>
              </w:rPr>
            </w:pPr>
            <w:r w:rsidRPr="009A5DA9">
              <w:rPr>
                <w:rFonts w:asciiTheme="majorHAnsi" w:hAnsiTheme="majorHAnsi" w:cstheme="majorHAnsi"/>
                <w:bCs/>
                <w:sz w:val="16"/>
                <w:szCs w:val="16"/>
              </w:rPr>
              <w:t>Body</w:t>
            </w:r>
          </w:p>
          <w:p w14:paraId="46AE3A44" w14:textId="77777777" w:rsidR="009A5DA9" w:rsidRPr="009A5DA9" w:rsidRDefault="009A5DA9" w:rsidP="009A5DA9">
            <w:pPr>
              <w:spacing w:line="264" w:lineRule="auto"/>
              <w:ind w:left="-52" w:firstLine="283"/>
              <w:jc w:val="both"/>
              <w:rPr>
                <w:rFonts w:asciiTheme="majorHAnsi" w:hAnsiTheme="majorHAnsi" w:cstheme="majorHAnsi"/>
                <w:bCs/>
                <w:sz w:val="16"/>
                <w:szCs w:val="16"/>
              </w:rPr>
            </w:pPr>
          </w:p>
          <w:p w14:paraId="24FE0D69" w14:textId="77777777" w:rsidR="009A5DA9" w:rsidRPr="009A5DA9" w:rsidRDefault="009A5DA9" w:rsidP="009A5DA9">
            <w:pPr>
              <w:spacing w:line="264" w:lineRule="auto"/>
              <w:ind w:left="-52" w:firstLine="283"/>
              <w:jc w:val="both"/>
              <w:rPr>
                <w:rFonts w:asciiTheme="majorHAnsi" w:hAnsiTheme="majorHAnsi" w:cstheme="majorHAnsi"/>
                <w:bCs/>
                <w:sz w:val="16"/>
                <w:szCs w:val="16"/>
              </w:rPr>
            </w:pPr>
          </w:p>
          <w:p w14:paraId="41552C4B" w14:textId="77777777" w:rsidR="009A5DA9" w:rsidRPr="009A5DA9" w:rsidRDefault="009A5DA9" w:rsidP="009A5DA9">
            <w:pPr>
              <w:spacing w:line="264" w:lineRule="auto"/>
              <w:ind w:left="-52" w:firstLine="283"/>
              <w:jc w:val="both"/>
              <w:rPr>
                <w:rFonts w:asciiTheme="majorHAnsi" w:hAnsiTheme="majorHAnsi" w:cstheme="majorHAnsi"/>
                <w:bCs/>
                <w:sz w:val="16"/>
                <w:szCs w:val="16"/>
              </w:rPr>
            </w:pPr>
          </w:p>
          <w:p w14:paraId="7B910718" w14:textId="77777777" w:rsidR="009A5DA9" w:rsidRPr="009A5DA9" w:rsidRDefault="009A5DA9" w:rsidP="009A5DA9">
            <w:pPr>
              <w:spacing w:line="264" w:lineRule="auto"/>
              <w:ind w:left="-52" w:firstLine="283"/>
              <w:jc w:val="both"/>
              <w:rPr>
                <w:rFonts w:asciiTheme="majorHAnsi" w:hAnsiTheme="majorHAnsi" w:cstheme="majorHAnsi"/>
                <w:bCs/>
                <w:sz w:val="16"/>
                <w:szCs w:val="16"/>
              </w:rPr>
            </w:pPr>
            <w:r w:rsidRPr="009A5DA9">
              <w:rPr>
                <w:rFonts w:asciiTheme="majorHAnsi" w:hAnsiTheme="majorHAnsi" w:cstheme="majorHAnsi"/>
                <w:bCs/>
                <w:sz w:val="16"/>
                <w:szCs w:val="16"/>
              </w:rPr>
              <w:t>Base</w:t>
            </w:r>
          </w:p>
          <w:p w14:paraId="05CA195C" w14:textId="77777777" w:rsidR="009A5DA9" w:rsidRPr="009A5DA9" w:rsidRDefault="009A5DA9" w:rsidP="009A5DA9">
            <w:pPr>
              <w:spacing w:line="264" w:lineRule="auto"/>
              <w:ind w:left="-52" w:firstLine="283"/>
              <w:jc w:val="right"/>
              <w:rPr>
                <w:rFonts w:asciiTheme="majorHAnsi" w:hAnsiTheme="majorHAnsi" w:cstheme="majorHAnsi"/>
                <w:bCs/>
                <w:sz w:val="16"/>
                <w:szCs w:val="16"/>
              </w:rPr>
            </w:pPr>
          </w:p>
        </w:tc>
        <w:tc>
          <w:tcPr>
            <w:tcW w:w="3261" w:type="dxa"/>
            <w:tcBorders>
              <w:top w:val="nil"/>
              <w:left w:val="nil"/>
              <w:bottom w:val="single" w:sz="4" w:space="0" w:color="auto"/>
              <w:right w:val="nil"/>
            </w:tcBorders>
          </w:tcPr>
          <w:p w14:paraId="353B98CB" w14:textId="77777777" w:rsidR="009A5DA9" w:rsidRPr="009A5DA9" w:rsidRDefault="009A5DA9" w:rsidP="009A5DA9">
            <w:pPr>
              <w:pStyle w:val="ListParagraph"/>
              <w:numPr>
                <w:ilvl w:val="0"/>
                <w:numId w:val="15"/>
              </w:numPr>
              <w:ind w:left="323" w:hanging="284"/>
              <w:jc w:val="both"/>
              <w:rPr>
                <w:rFonts w:asciiTheme="majorHAnsi" w:hAnsiTheme="majorHAnsi" w:cstheme="majorHAnsi"/>
                <w:bCs/>
                <w:sz w:val="16"/>
                <w:szCs w:val="16"/>
              </w:rPr>
            </w:pPr>
            <w:r w:rsidRPr="009A5DA9">
              <w:rPr>
                <w:rFonts w:asciiTheme="majorHAnsi" w:hAnsiTheme="majorHAnsi" w:cstheme="majorHAnsi"/>
                <w:bCs/>
                <w:sz w:val="16"/>
                <w:szCs w:val="16"/>
              </w:rPr>
              <w:t>This is the grave marker's primary portion, which typically details the person interred there. There appear to be carved ornamentation and even inscriptions in this image.</w:t>
            </w:r>
          </w:p>
          <w:p w14:paraId="4A616A54" w14:textId="77777777" w:rsidR="009A5DA9" w:rsidRPr="009A5DA9" w:rsidRDefault="009A5DA9" w:rsidP="009A5DA9">
            <w:pPr>
              <w:ind w:left="323" w:hanging="284"/>
              <w:jc w:val="both"/>
              <w:rPr>
                <w:rFonts w:asciiTheme="majorHAnsi" w:hAnsiTheme="majorHAnsi" w:cstheme="majorHAnsi"/>
                <w:bCs/>
                <w:sz w:val="16"/>
                <w:szCs w:val="16"/>
              </w:rPr>
            </w:pPr>
          </w:p>
          <w:p w14:paraId="1638F667" w14:textId="77777777" w:rsidR="009A5DA9" w:rsidRPr="009A5DA9" w:rsidRDefault="009A5DA9" w:rsidP="009A5DA9">
            <w:pPr>
              <w:pStyle w:val="ListParagraph"/>
              <w:numPr>
                <w:ilvl w:val="0"/>
                <w:numId w:val="15"/>
              </w:numPr>
              <w:ind w:left="323" w:hanging="284"/>
              <w:jc w:val="both"/>
              <w:rPr>
                <w:rFonts w:asciiTheme="majorHAnsi" w:hAnsiTheme="majorHAnsi" w:cstheme="majorHAnsi"/>
                <w:bCs/>
                <w:sz w:val="16"/>
                <w:szCs w:val="16"/>
              </w:rPr>
            </w:pPr>
            <w:r w:rsidRPr="009A5DA9">
              <w:rPr>
                <w:rFonts w:asciiTheme="majorHAnsi" w:hAnsiTheme="majorHAnsi" w:cstheme="majorHAnsi"/>
                <w:bCs/>
                <w:sz w:val="16"/>
                <w:szCs w:val="16"/>
              </w:rPr>
              <w:t>This grave marker's lower portion serves as a weight support. It has a straightforward but useful design.</w:t>
            </w:r>
          </w:p>
        </w:tc>
        <w:tc>
          <w:tcPr>
            <w:tcW w:w="3685" w:type="dxa"/>
            <w:tcBorders>
              <w:top w:val="nil"/>
              <w:left w:val="nil"/>
              <w:bottom w:val="single" w:sz="4" w:space="0" w:color="auto"/>
              <w:right w:val="nil"/>
            </w:tcBorders>
          </w:tcPr>
          <w:p w14:paraId="225197C0" w14:textId="77777777" w:rsidR="009A5DA9" w:rsidRPr="009A5DA9" w:rsidRDefault="009A5DA9" w:rsidP="009A5DA9">
            <w:pPr>
              <w:pStyle w:val="ListParagraph"/>
              <w:numPr>
                <w:ilvl w:val="0"/>
                <w:numId w:val="15"/>
              </w:numPr>
              <w:ind w:left="323" w:hanging="284"/>
              <w:jc w:val="both"/>
              <w:rPr>
                <w:rFonts w:asciiTheme="majorHAnsi" w:hAnsiTheme="majorHAnsi" w:cstheme="majorHAnsi"/>
                <w:bCs/>
                <w:sz w:val="16"/>
                <w:szCs w:val="16"/>
              </w:rPr>
            </w:pPr>
            <w:r w:rsidRPr="009A5DA9">
              <w:rPr>
                <w:rFonts w:asciiTheme="majorHAnsi" w:hAnsiTheme="majorHAnsi" w:cstheme="majorHAnsi"/>
                <w:bCs/>
                <w:sz w:val="16"/>
                <w:szCs w:val="16"/>
              </w:rPr>
              <w:t>The grave marker's body is embellished with symmetrical and elaborate embellishments that give the impression of being elegant and well-organized.</w:t>
            </w:r>
          </w:p>
          <w:p w14:paraId="2F375B6C" w14:textId="77777777" w:rsidR="009A5DA9" w:rsidRPr="009A5DA9" w:rsidRDefault="009A5DA9" w:rsidP="009A5DA9">
            <w:pPr>
              <w:ind w:left="323" w:hanging="284"/>
              <w:jc w:val="both"/>
              <w:rPr>
                <w:rFonts w:asciiTheme="majorHAnsi" w:hAnsiTheme="majorHAnsi" w:cstheme="majorHAnsi"/>
                <w:bCs/>
                <w:sz w:val="16"/>
                <w:szCs w:val="16"/>
              </w:rPr>
            </w:pPr>
          </w:p>
          <w:p w14:paraId="79BAFA53" w14:textId="77777777" w:rsidR="009A5DA9" w:rsidRPr="009A5DA9" w:rsidRDefault="009A5DA9" w:rsidP="009A5DA9">
            <w:pPr>
              <w:pStyle w:val="ListParagraph"/>
              <w:numPr>
                <w:ilvl w:val="0"/>
                <w:numId w:val="15"/>
              </w:numPr>
              <w:ind w:left="323" w:hanging="284"/>
              <w:jc w:val="both"/>
              <w:rPr>
                <w:rFonts w:asciiTheme="majorHAnsi" w:hAnsiTheme="majorHAnsi" w:cstheme="majorHAnsi"/>
                <w:bCs/>
                <w:sz w:val="16"/>
                <w:szCs w:val="16"/>
              </w:rPr>
            </w:pPr>
            <w:r w:rsidRPr="009A5DA9">
              <w:rPr>
                <w:rFonts w:asciiTheme="majorHAnsi" w:hAnsiTheme="majorHAnsi" w:cstheme="majorHAnsi"/>
                <w:bCs/>
                <w:sz w:val="16"/>
                <w:szCs w:val="16"/>
              </w:rPr>
              <w:t>This gravestone's base is likewise well carved, showcasing the artistry of the craftsmanship.</w:t>
            </w:r>
          </w:p>
        </w:tc>
      </w:tr>
    </w:tbl>
    <w:p w14:paraId="5C7B4446" w14:textId="77777777" w:rsidR="009A5DA9" w:rsidRPr="009A5DA9" w:rsidRDefault="009A5DA9" w:rsidP="009A5DA9">
      <w:pPr>
        <w:ind w:left="284" w:firstLine="283"/>
        <w:jc w:val="both"/>
        <w:rPr>
          <w:rFonts w:asciiTheme="majorHAnsi" w:hAnsiTheme="majorHAnsi" w:cstheme="majorHAnsi"/>
          <w:sz w:val="20"/>
          <w:szCs w:val="20"/>
        </w:rPr>
      </w:pPr>
    </w:p>
    <w:p w14:paraId="7FF70B57"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Based on the description above, the differences and similarities between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and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wooden grave markers can be summarized in Table 5 and 6. </w:t>
      </w:r>
    </w:p>
    <w:p w14:paraId="437B079C" w14:textId="77777777" w:rsidR="009A5DA9" w:rsidRPr="009A5DA9" w:rsidRDefault="009A5DA9" w:rsidP="009A5DA9">
      <w:pPr>
        <w:ind w:left="284" w:firstLine="283"/>
        <w:jc w:val="center"/>
        <w:rPr>
          <w:rFonts w:asciiTheme="majorHAnsi" w:hAnsiTheme="majorHAnsi" w:cstheme="majorHAnsi"/>
          <w:sz w:val="20"/>
          <w:szCs w:val="20"/>
        </w:rPr>
      </w:pPr>
    </w:p>
    <w:tbl>
      <w:tblPr>
        <w:tblW w:w="0" w:type="auto"/>
        <w:jc w:val="center"/>
        <w:tblLayout w:type="fixed"/>
        <w:tblLook w:val="0000" w:firstRow="0" w:lastRow="0" w:firstColumn="0" w:lastColumn="0" w:noHBand="0" w:noVBand="0"/>
      </w:tblPr>
      <w:tblGrid>
        <w:gridCol w:w="1701"/>
        <w:gridCol w:w="6521"/>
      </w:tblGrid>
      <w:tr w:rsidR="009A5DA9" w:rsidRPr="005E66A5" w14:paraId="0A84373A" w14:textId="77777777" w:rsidTr="00EC37A5">
        <w:trPr>
          <w:trHeight w:val="284"/>
          <w:jc w:val="center"/>
        </w:trPr>
        <w:tc>
          <w:tcPr>
            <w:tcW w:w="8222" w:type="dxa"/>
            <w:gridSpan w:val="2"/>
          </w:tcPr>
          <w:p w14:paraId="61CCD7EB" w14:textId="50EBEF82" w:rsidR="009A5DA9" w:rsidRPr="005E66A5" w:rsidRDefault="009A5DA9" w:rsidP="0049102C">
            <w:pPr>
              <w:spacing w:line="264" w:lineRule="auto"/>
              <w:jc w:val="center"/>
              <w:rPr>
                <w:rFonts w:asciiTheme="majorHAnsi" w:hAnsiTheme="majorHAnsi" w:cstheme="majorHAnsi"/>
                <w:bCs/>
                <w:sz w:val="16"/>
                <w:szCs w:val="16"/>
                <w:lang w:val="id-ID"/>
              </w:rPr>
            </w:pPr>
            <w:r>
              <w:rPr>
                <w:rFonts w:asciiTheme="majorHAnsi" w:hAnsiTheme="majorHAnsi" w:cstheme="majorHAnsi"/>
                <w:bCs/>
                <w:sz w:val="16"/>
                <w:szCs w:val="16"/>
              </w:rPr>
              <w:t>Ta</w:t>
            </w:r>
            <w:r w:rsidRPr="009A5DA9">
              <w:rPr>
                <w:rFonts w:asciiTheme="majorHAnsi" w:hAnsiTheme="majorHAnsi" w:cstheme="majorHAnsi"/>
                <w:bCs/>
                <w:sz w:val="16"/>
                <w:szCs w:val="16"/>
              </w:rPr>
              <w:t xml:space="preserve">ble 5. The differences between Batu Aceh and Jatti </w:t>
            </w:r>
            <w:proofErr w:type="spellStart"/>
            <w:r w:rsidRPr="009A5DA9">
              <w:rPr>
                <w:rFonts w:asciiTheme="majorHAnsi" w:hAnsiTheme="majorHAnsi" w:cstheme="majorHAnsi"/>
                <w:bCs/>
                <w:sz w:val="16"/>
                <w:szCs w:val="16"/>
              </w:rPr>
              <w:t>Miriek</w:t>
            </w:r>
            <w:proofErr w:type="spellEnd"/>
            <w:r w:rsidRPr="009A5DA9">
              <w:rPr>
                <w:rFonts w:asciiTheme="majorHAnsi" w:hAnsiTheme="majorHAnsi" w:cstheme="majorHAnsi"/>
                <w:bCs/>
                <w:sz w:val="16"/>
                <w:szCs w:val="16"/>
              </w:rPr>
              <w:t xml:space="preserve"> grave markers.</w:t>
            </w:r>
          </w:p>
        </w:tc>
      </w:tr>
      <w:tr w:rsidR="009A5DA9" w:rsidRPr="005E66A5" w14:paraId="2AA05677" w14:textId="77777777" w:rsidTr="00EC37A5">
        <w:trPr>
          <w:trHeight w:val="85"/>
          <w:jc w:val="center"/>
        </w:trPr>
        <w:tc>
          <w:tcPr>
            <w:tcW w:w="8222" w:type="dxa"/>
            <w:gridSpan w:val="2"/>
            <w:tcBorders>
              <w:top w:val="single" w:sz="4" w:space="0" w:color="auto"/>
              <w:left w:val="nil"/>
              <w:bottom w:val="nil"/>
              <w:right w:val="nil"/>
            </w:tcBorders>
          </w:tcPr>
          <w:p w14:paraId="08F7EF34" w14:textId="0C506633" w:rsidR="009A5DA9" w:rsidRPr="005E66A5" w:rsidRDefault="009A5DA9" w:rsidP="00EC37A5">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Differences</w:t>
            </w:r>
          </w:p>
        </w:tc>
      </w:tr>
      <w:tr w:rsidR="009A5DA9" w:rsidRPr="005E66A5" w14:paraId="439F9039" w14:textId="77777777" w:rsidTr="00EC37A5">
        <w:trPr>
          <w:cantSplit/>
          <w:jc w:val="center"/>
        </w:trPr>
        <w:tc>
          <w:tcPr>
            <w:tcW w:w="1701" w:type="dxa"/>
            <w:tcBorders>
              <w:top w:val="single" w:sz="4" w:space="0" w:color="auto"/>
              <w:left w:val="nil"/>
              <w:bottom w:val="nil"/>
              <w:right w:val="nil"/>
            </w:tcBorders>
          </w:tcPr>
          <w:p w14:paraId="6421CC06" w14:textId="165DC9A6" w:rsidR="009A5DA9" w:rsidRPr="005E66A5" w:rsidRDefault="009A5DA9" w:rsidP="0049102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Design and Decoration</w:t>
            </w:r>
          </w:p>
        </w:tc>
        <w:tc>
          <w:tcPr>
            <w:tcW w:w="6521" w:type="dxa"/>
            <w:tcBorders>
              <w:top w:val="single" w:sz="4" w:space="0" w:color="auto"/>
              <w:left w:val="nil"/>
              <w:bottom w:val="nil"/>
              <w:right w:val="nil"/>
            </w:tcBorders>
          </w:tcPr>
          <w:p w14:paraId="7F9CF63D" w14:textId="47FBEEBB" w:rsidR="009A5DA9" w:rsidRPr="005E66A5" w:rsidRDefault="009A5DA9" w:rsidP="0049102C">
            <w:pPr>
              <w:spacing w:line="264" w:lineRule="auto"/>
              <w:jc w:val="center"/>
              <w:rPr>
                <w:rFonts w:asciiTheme="majorHAnsi" w:hAnsiTheme="majorHAnsi" w:cstheme="majorHAnsi"/>
                <w:bCs/>
                <w:sz w:val="16"/>
                <w:szCs w:val="16"/>
              </w:rPr>
            </w:pPr>
            <w:r w:rsidRPr="00EC37A5">
              <w:rPr>
                <w:rFonts w:asciiTheme="majorHAnsi" w:hAnsiTheme="majorHAnsi" w:cstheme="majorHAnsi"/>
                <w:bCs/>
                <w:i/>
                <w:iCs/>
                <w:sz w:val="16"/>
                <w:szCs w:val="16"/>
              </w:rPr>
              <w:t>Batu Aceh</w:t>
            </w:r>
            <w:r>
              <w:rPr>
                <w:rFonts w:asciiTheme="majorHAnsi" w:hAnsiTheme="majorHAnsi" w:cstheme="majorHAnsi"/>
                <w:bCs/>
                <w:sz w:val="16"/>
                <w:szCs w:val="16"/>
              </w:rPr>
              <w:t xml:space="preserve"> has a more geometric and structured design, while Jatti </w:t>
            </w:r>
            <w:proofErr w:type="spellStart"/>
            <w:r>
              <w:rPr>
                <w:rFonts w:asciiTheme="majorHAnsi" w:hAnsiTheme="majorHAnsi" w:cstheme="majorHAnsi"/>
                <w:bCs/>
                <w:sz w:val="16"/>
                <w:szCs w:val="16"/>
              </w:rPr>
              <w:t>Miriek</w:t>
            </w:r>
            <w:proofErr w:type="spellEnd"/>
            <w:r>
              <w:rPr>
                <w:rFonts w:asciiTheme="majorHAnsi" w:hAnsiTheme="majorHAnsi" w:cstheme="majorHAnsi"/>
                <w:bCs/>
                <w:sz w:val="16"/>
                <w:szCs w:val="16"/>
              </w:rPr>
              <w:t xml:space="preserve"> grave markers are more organic and naturalistic</w:t>
            </w:r>
          </w:p>
        </w:tc>
      </w:tr>
      <w:tr w:rsidR="009A5DA9" w:rsidRPr="005E66A5" w14:paraId="76F064ED" w14:textId="77777777" w:rsidTr="00EC37A5">
        <w:trPr>
          <w:jc w:val="center"/>
        </w:trPr>
        <w:tc>
          <w:tcPr>
            <w:tcW w:w="1701" w:type="dxa"/>
          </w:tcPr>
          <w:p w14:paraId="5B6CC388" w14:textId="69042C5C" w:rsidR="009A5DA9" w:rsidRPr="005E66A5" w:rsidRDefault="00EC37A5" w:rsidP="0049102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Aesthetic Focus</w:t>
            </w:r>
          </w:p>
        </w:tc>
        <w:tc>
          <w:tcPr>
            <w:tcW w:w="6521" w:type="dxa"/>
          </w:tcPr>
          <w:p w14:paraId="769616AA" w14:textId="1B96B3C8" w:rsidR="009A5DA9" w:rsidRPr="005E66A5" w:rsidRDefault="00EC37A5" w:rsidP="0049102C">
            <w:pPr>
              <w:spacing w:line="264" w:lineRule="auto"/>
              <w:jc w:val="center"/>
              <w:rPr>
                <w:rFonts w:asciiTheme="majorHAnsi" w:hAnsiTheme="majorHAnsi" w:cstheme="majorHAnsi"/>
                <w:bCs/>
                <w:sz w:val="16"/>
                <w:szCs w:val="16"/>
              </w:rPr>
            </w:pPr>
            <w:r w:rsidRPr="00EC37A5">
              <w:rPr>
                <w:rFonts w:asciiTheme="majorHAnsi" w:hAnsiTheme="majorHAnsi" w:cstheme="majorHAnsi"/>
                <w:bCs/>
                <w:i/>
                <w:iCs/>
                <w:sz w:val="16"/>
                <w:szCs w:val="16"/>
              </w:rPr>
              <w:t>Batu Aceh</w:t>
            </w:r>
            <w:r w:rsidRPr="00EC37A5">
              <w:rPr>
                <w:rFonts w:asciiTheme="majorHAnsi" w:hAnsiTheme="majorHAnsi" w:cstheme="majorHAnsi"/>
                <w:bCs/>
                <w:sz w:val="16"/>
                <w:szCs w:val="16"/>
              </w:rPr>
              <w:t xml:space="preserve"> shows a focus on function with decoration more </w:t>
            </w:r>
            <w:proofErr w:type="spellStart"/>
            <w:r w:rsidRPr="00EC37A5">
              <w:rPr>
                <w:rFonts w:asciiTheme="majorHAnsi" w:hAnsiTheme="majorHAnsi" w:cstheme="majorHAnsi"/>
                <w:bCs/>
                <w:sz w:val="16"/>
                <w:szCs w:val="16"/>
              </w:rPr>
              <w:t>centered</w:t>
            </w:r>
            <w:proofErr w:type="spellEnd"/>
            <w:r w:rsidRPr="00EC37A5">
              <w:rPr>
                <w:rFonts w:asciiTheme="majorHAnsi" w:hAnsiTheme="majorHAnsi" w:cstheme="majorHAnsi"/>
                <w:bCs/>
                <w:sz w:val="16"/>
                <w:szCs w:val="16"/>
              </w:rPr>
              <w:t xml:space="preserve"> on the top, while Jatti </w:t>
            </w:r>
            <w:proofErr w:type="spellStart"/>
            <w:r w:rsidRPr="00EC37A5">
              <w:rPr>
                <w:rFonts w:asciiTheme="majorHAnsi" w:hAnsiTheme="majorHAnsi" w:cstheme="majorHAnsi"/>
                <w:bCs/>
                <w:sz w:val="16"/>
                <w:szCs w:val="16"/>
              </w:rPr>
              <w:t>Miriek</w:t>
            </w:r>
            <w:proofErr w:type="spellEnd"/>
            <w:r w:rsidRPr="00EC37A5">
              <w:rPr>
                <w:rFonts w:asciiTheme="majorHAnsi" w:hAnsiTheme="majorHAnsi" w:cstheme="majorHAnsi"/>
                <w:bCs/>
                <w:sz w:val="16"/>
                <w:szCs w:val="16"/>
              </w:rPr>
              <w:t xml:space="preserve"> gravestones have complex decoration throughou</w:t>
            </w:r>
            <w:r>
              <w:rPr>
                <w:rFonts w:asciiTheme="majorHAnsi" w:hAnsiTheme="majorHAnsi" w:cstheme="majorHAnsi"/>
                <w:bCs/>
                <w:sz w:val="16"/>
                <w:szCs w:val="16"/>
              </w:rPr>
              <w:t>t</w:t>
            </w:r>
          </w:p>
        </w:tc>
      </w:tr>
      <w:tr w:rsidR="009A5DA9" w:rsidRPr="005E66A5" w14:paraId="16EB79BE" w14:textId="77777777" w:rsidTr="00EC37A5">
        <w:trPr>
          <w:jc w:val="center"/>
        </w:trPr>
        <w:tc>
          <w:tcPr>
            <w:tcW w:w="1701" w:type="dxa"/>
            <w:tcBorders>
              <w:bottom w:val="single" w:sz="4" w:space="0" w:color="auto"/>
            </w:tcBorders>
          </w:tcPr>
          <w:p w14:paraId="7F5CCAF6" w14:textId="53D7290B" w:rsidR="009A5DA9" w:rsidRPr="005E66A5" w:rsidRDefault="00EC37A5" w:rsidP="0049102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Shape and Proportion</w:t>
            </w:r>
          </w:p>
        </w:tc>
        <w:tc>
          <w:tcPr>
            <w:tcW w:w="6521" w:type="dxa"/>
            <w:tcBorders>
              <w:bottom w:val="single" w:sz="4" w:space="0" w:color="auto"/>
            </w:tcBorders>
          </w:tcPr>
          <w:p w14:paraId="25E32ABE" w14:textId="790A360F" w:rsidR="009A5DA9" w:rsidRPr="005E66A5" w:rsidRDefault="00EC37A5" w:rsidP="0049102C">
            <w:pPr>
              <w:spacing w:line="264" w:lineRule="auto"/>
              <w:jc w:val="center"/>
              <w:rPr>
                <w:rFonts w:asciiTheme="majorHAnsi" w:hAnsiTheme="majorHAnsi" w:cstheme="majorHAnsi"/>
                <w:bCs/>
                <w:sz w:val="16"/>
                <w:szCs w:val="16"/>
              </w:rPr>
            </w:pPr>
            <w:r w:rsidRPr="00EC37A5">
              <w:rPr>
                <w:rFonts w:asciiTheme="majorHAnsi" w:hAnsiTheme="majorHAnsi" w:cstheme="majorHAnsi"/>
                <w:bCs/>
                <w:sz w:val="16"/>
                <w:szCs w:val="16"/>
              </w:rPr>
              <w:t xml:space="preserve">The proportions between the elements in the Jatti </w:t>
            </w:r>
            <w:proofErr w:type="spellStart"/>
            <w:r w:rsidRPr="00EC37A5">
              <w:rPr>
                <w:rFonts w:asciiTheme="majorHAnsi" w:hAnsiTheme="majorHAnsi" w:cstheme="majorHAnsi"/>
                <w:bCs/>
                <w:sz w:val="16"/>
                <w:szCs w:val="16"/>
              </w:rPr>
              <w:t>Miriek</w:t>
            </w:r>
            <w:proofErr w:type="spellEnd"/>
            <w:r w:rsidRPr="00EC37A5">
              <w:rPr>
                <w:rFonts w:asciiTheme="majorHAnsi" w:hAnsiTheme="majorHAnsi" w:cstheme="majorHAnsi"/>
                <w:bCs/>
                <w:sz w:val="16"/>
                <w:szCs w:val="16"/>
              </w:rPr>
              <w:t xml:space="preserve"> grave markers appear more </w:t>
            </w:r>
            <w:proofErr w:type="spellStart"/>
            <w:r w:rsidRPr="00EC37A5">
              <w:rPr>
                <w:rFonts w:asciiTheme="majorHAnsi" w:hAnsiTheme="majorHAnsi" w:cstheme="majorHAnsi"/>
                <w:bCs/>
                <w:sz w:val="16"/>
                <w:szCs w:val="16"/>
              </w:rPr>
              <w:t>harmonions</w:t>
            </w:r>
            <w:proofErr w:type="spellEnd"/>
            <w:r w:rsidRPr="00EC37A5">
              <w:rPr>
                <w:rFonts w:asciiTheme="majorHAnsi" w:hAnsiTheme="majorHAnsi" w:cstheme="majorHAnsi"/>
                <w:bCs/>
                <w:sz w:val="16"/>
                <w:szCs w:val="16"/>
              </w:rPr>
              <w:t xml:space="preserve"> and integrated, compared to Batu Aceh which emphasizes the contrast between the top and bottom</w:t>
            </w:r>
          </w:p>
        </w:tc>
      </w:tr>
      <w:tr w:rsidR="00EC37A5" w:rsidRPr="005E66A5" w14:paraId="12CC43B6" w14:textId="77777777" w:rsidTr="00EC37A5">
        <w:trPr>
          <w:trHeight w:val="284"/>
          <w:jc w:val="center"/>
        </w:trPr>
        <w:tc>
          <w:tcPr>
            <w:tcW w:w="8222" w:type="dxa"/>
            <w:gridSpan w:val="2"/>
          </w:tcPr>
          <w:p w14:paraId="0CB4E545" w14:textId="24DBEEB9" w:rsidR="00EC37A5" w:rsidRPr="005E66A5" w:rsidRDefault="00EC37A5" w:rsidP="0049102C">
            <w:pPr>
              <w:spacing w:line="264" w:lineRule="auto"/>
              <w:jc w:val="center"/>
              <w:rPr>
                <w:rFonts w:asciiTheme="majorHAnsi" w:hAnsiTheme="majorHAnsi" w:cstheme="majorHAnsi"/>
                <w:bCs/>
                <w:sz w:val="16"/>
                <w:szCs w:val="16"/>
                <w:lang w:val="id-ID"/>
              </w:rPr>
            </w:pPr>
            <w:r>
              <w:rPr>
                <w:rFonts w:asciiTheme="majorHAnsi" w:hAnsiTheme="majorHAnsi" w:cstheme="majorHAnsi"/>
                <w:bCs/>
                <w:sz w:val="16"/>
                <w:szCs w:val="16"/>
              </w:rPr>
              <w:lastRenderedPageBreak/>
              <w:t>Ta</w:t>
            </w:r>
            <w:r w:rsidRPr="009A5DA9">
              <w:rPr>
                <w:rFonts w:asciiTheme="majorHAnsi" w:hAnsiTheme="majorHAnsi" w:cstheme="majorHAnsi"/>
                <w:bCs/>
                <w:sz w:val="16"/>
                <w:szCs w:val="16"/>
              </w:rPr>
              <w:t xml:space="preserve">ble </w:t>
            </w:r>
            <w:r>
              <w:rPr>
                <w:rFonts w:asciiTheme="majorHAnsi" w:hAnsiTheme="majorHAnsi" w:cstheme="majorHAnsi"/>
                <w:bCs/>
                <w:sz w:val="16"/>
                <w:szCs w:val="16"/>
              </w:rPr>
              <w:t>6</w:t>
            </w:r>
            <w:r w:rsidRPr="009A5DA9">
              <w:rPr>
                <w:rFonts w:asciiTheme="majorHAnsi" w:hAnsiTheme="majorHAnsi" w:cstheme="majorHAnsi"/>
                <w:bCs/>
                <w:sz w:val="16"/>
                <w:szCs w:val="16"/>
              </w:rPr>
              <w:t xml:space="preserve">. </w:t>
            </w:r>
            <w:r w:rsidRPr="00EC37A5">
              <w:rPr>
                <w:rFonts w:asciiTheme="majorHAnsi" w:hAnsiTheme="majorHAnsi" w:cstheme="majorHAnsi"/>
                <w:bCs/>
                <w:sz w:val="16"/>
                <w:szCs w:val="16"/>
              </w:rPr>
              <w:t xml:space="preserve">The similarities between Batu Aceh and Jatti </w:t>
            </w:r>
            <w:proofErr w:type="spellStart"/>
            <w:r w:rsidRPr="00EC37A5">
              <w:rPr>
                <w:rFonts w:asciiTheme="majorHAnsi" w:hAnsiTheme="majorHAnsi" w:cstheme="majorHAnsi"/>
                <w:bCs/>
                <w:sz w:val="16"/>
                <w:szCs w:val="16"/>
              </w:rPr>
              <w:t>Miriek</w:t>
            </w:r>
            <w:proofErr w:type="spellEnd"/>
            <w:r w:rsidRPr="00EC37A5">
              <w:rPr>
                <w:rFonts w:asciiTheme="majorHAnsi" w:hAnsiTheme="majorHAnsi" w:cstheme="majorHAnsi"/>
                <w:bCs/>
                <w:sz w:val="16"/>
                <w:szCs w:val="16"/>
              </w:rPr>
              <w:t xml:space="preserve"> grave markers</w:t>
            </w:r>
            <w:r w:rsidRPr="009A5DA9">
              <w:rPr>
                <w:rFonts w:asciiTheme="majorHAnsi" w:hAnsiTheme="majorHAnsi" w:cstheme="majorHAnsi"/>
                <w:bCs/>
                <w:sz w:val="16"/>
                <w:szCs w:val="16"/>
              </w:rPr>
              <w:t>.</w:t>
            </w:r>
          </w:p>
        </w:tc>
      </w:tr>
      <w:tr w:rsidR="00EC37A5" w:rsidRPr="005E66A5" w14:paraId="77D50217" w14:textId="77777777" w:rsidTr="00EC37A5">
        <w:trPr>
          <w:trHeight w:val="85"/>
          <w:jc w:val="center"/>
        </w:trPr>
        <w:tc>
          <w:tcPr>
            <w:tcW w:w="8222" w:type="dxa"/>
            <w:gridSpan w:val="2"/>
            <w:tcBorders>
              <w:top w:val="single" w:sz="4" w:space="0" w:color="auto"/>
              <w:left w:val="nil"/>
              <w:bottom w:val="nil"/>
              <w:right w:val="nil"/>
            </w:tcBorders>
          </w:tcPr>
          <w:p w14:paraId="414E6712" w14:textId="7DB57AAA" w:rsidR="00EC37A5" w:rsidRPr="005E66A5" w:rsidRDefault="00EC37A5" w:rsidP="00EC37A5">
            <w:pPr>
              <w:spacing w:line="264" w:lineRule="auto"/>
              <w:ind w:right="181"/>
              <w:jc w:val="center"/>
              <w:rPr>
                <w:rFonts w:asciiTheme="majorHAnsi" w:hAnsiTheme="majorHAnsi" w:cstheme="majorHAnsi"/>
                <w:bCs/>
                <w:sz w:val="16"/>
                <w:szCs w:val="16"/>
              </w:rPr>
            </w:pPr>
            <w:r>
              <w:rPr>
                <w:rFonts w:asciiTheme="majorHAnsi" w:hAnsiTheme="majorHAnsi" w:cstheme="majorHAnsi"/>
                <w:bCs/>
                <w:sz w:val="16"/>
                <w:szCs w:val="16"/>
              </w:rPr>
              <w:t>Similarities</w:t>
            </w:r>
          </w:p>
        </w:tc>
      </w:tr>
      <w:tr w:rsidR="00EC37A5" w:rsidRPr="005E66A5" w14:paraId="5730855C" w14:textId="77777777" w:rsidTr="00EC37A5">
        <w:trPr>
          <w:cantSplit/>
          <w:jc w:val="center"/>
        </w:trPr>
        <w:tc>
          <w:tcPr>
            <w:tcW w:w="1701" w:type="dxa"/>
            <w:tcBorders>
              <w:top w:val="single" w:sz="4" w:space="0" w:color="auto"/>
              <w:left w:val="nil"/>
              <w:bottom w:val="nil"/>
              <w:right w:val="nil"/>
            </w:tcBorders>
          </w:tcPr>
          <w:p w14:paraId="41BE236B" w14:textId="4176069B" w:rsidR="00EC37A5" w:rsidRPr="005E66A5" w:rsidRDefault="00EC37A5" w:rsidP="0049102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Structure</w:t>
            </w:r>
          </w:p>
        </w:tc>
        <w:tc>
          <w:tcPr>
            <w:tcW w:w="6521" w:type="dxa"/>
            <w:tcBorders>
              <w:top w:val="single" w:sz="4" w:space="0" w:color="auto"/>
              <w:left w:val="nil"/>
              <w:bottom w:val="nil"/>
              <w:right w:val="nil"/>
            </w:tcBorders>
          </w:tcPr>
          <w:p w14:paraId="36618B7A" w14:textId="10F4A44A" w:rsidR="00EC37A5" w:rsidRPr="005E66A5" w:rsidRDefault="00EC37A5" w:rsidP="0049102C">
            <w:pPr>
              <w:spacing w:line="264" w:lineRule="auto"/>
              <w:jc w:val="center"/>
              <w:rPr>
                <w:rFonts w:asciiTheme="majorHAnsi" w:hAnsiTheme="majorHAnsi" w:cstheme="majorHAnsi"/>
                <w:bCs/>
                <w:sz w:val="16"/>
                <w:szCs w:val="16"/>
              </w:rPr>
            </w:pPr>
            <w:r w:rsidRPr="00EC37A5">
              <w:rPr>
                <w:rFonts w:asciiTheme="majorHAnsi" w:hAnsiTheme="majorHAnsi" w:cstheme="majorHAnsi"/>
                <w:bCs/>
                <w:sz w:val="16"/>
                <w:szCs w:val="16"/>
              </w:rPr>
              <w:t xml:space="preserve">Both objects have the same structure, with five main parts specified. </w:t>
            </w:r>
          </w:p>
        </w:tc>
      </w:tr>
      <w:tr w:rsidR="00EC37A5" w:rsidRPr="005E66A5" w14:paraId="013B2E54" w14:textId="77777777" w:rsidTr="00EC37A5">
        <w:trPr>
          <w:jc w:val="center"/>
        </w:trPr>
        <w:tc>
          <w:tcPr>
            <w:tcW w:w="1701" w:type="dxa"/>
          </w:tcPr>
          <w:p w14:paraId="7B79038B" w14:textId="390C5E9D" w:rsidR="00EC37A5" w:rsidRPr="005E66A5" w:rsidRDefault="00EC37A5" w:rsidP="0049102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Stability</w:t>
            </w:r>
          </w:p>
        </w:tc>
        <w:tc>
          <w:tcPr>
            <w:tcW w:w="6521" w:type="dxa"/>
          </w:tcPr>
          <w:p w14:paraId="6C89E5A0" w14:textId="27C5A8DB" w:rsidR="00EC37A5" w:rsidRPr="005E66A5" w:rsidRDefault="00EC37A5" w:rsidP="0049102C">
            <w:pPr>
              <w:spacing w:line="264" w:lineRule="auto"/>
              <w:jc w:val="center"/>
              <w:rPr>
                <w:rFonts w:asciiTheme="majorHAnsi" w:hAnsiTheme="majorHAnsi" w:cstheme="majorHAnsi"/>
                <w:bCs/>
                <w:sz w:val="16"/>
                <w:szCs w:val="16"/>
              </w:rPr>
            </w:pPr>
            <w:r w:rsidRPr="00EC37A5">
              <w:rPr>
                <w:rFonts w:asciiTheme="majorHAnsi" w:hAnsiTheme="majorHAnsi" w:cstheme="majorHAnsi"/>
                <w:bCs/>
                <w:sz w:val="16"/>
                <w:szCs w:val="16"/>
              </w:rPr>
              <w:t xml:space="preserve">Both designs feature a solid base to support a more detailed top. </w:t>
            </w:r>
          </w:p>
        </w:tc>
      </w:tr>
      <w:tr w:rsidR="00EC37A5" w:rsidRPr="005E66A5" w14:paraId="2E9DB1B5" w14:textId="77777777" w:rsidTr="00EC37A5">
        <w:trPr>
          <w:jc w:val="center"/>
        </w:trPr>
        <w:tc>
          <w:tcPr>
            <w:tcW w:w="1701" w:type="dxa"/>
          </w:tcPr>
          <w:p w14:paraId="566D0217" w14:textId="26737207" w:rsidR="00EC37A5" w:rsidRPr="005E66A5" w:rsidRDefault="00EC37A5" w:rsidP="0049102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Function</w:t>
            </w:r>
          </w:p>
        </w:tc>
        <w:tc>
          <w:tcPr>
            <w:tcW w:w="6521" w:type="dxa"/>
          </w:tcPr>
          <w:p w14:paraId="2EF60154" w14:textId="206A30B6" w:rsidR="00EC37A5" w:rsidRPr="005E66A5" w:rsidRDefault="00EC37A5" w:rsidP="0049102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B</w:t>
            </w:r>
            <w:r w:rsidRPr="00EC37A5">
              <w:rPr>
                <w:rFonts w:asciiTheme="majorHAnsi" w:hAnsiTheme="majorHAnsi" w:cstheme="majorHAnsi"/>
                <w:bCs/>
                <w:sz w:val="16"/>
                <w:szCs w:val="16"/>
              </w:rPr>
              <w:t>oth objects have the same function but represent a specific culture or architecture</w:t>
            </w:r>
            <w:r>
              <w:rPr>
                <w:rFonts w:asciiTheme="majorHAnsi" w:hAnsiTheme="majorHAnsi" w:cstheme="majorHAnsi"/>
                <w:bCs/>
                <w:sz w:val="16"/>
                <w:szCs w:val="16"/>
              </w:rPr>
              <w:t>.</w:t>
            </w:r>
          </w:p>
        </w:tc>
      </w:tr>
      <w:tr w:rsidR="00EC37A5" w:rsidRPr="005E66A5" w14:paraId="22580D4C" w14:textId="77777777" w:rsidTr="00EC37A5">
        <w:trPr>
          <w:jc w:val="center"/>
        </w:trPr>
        <w:tc>
          <w:tcPr>
            <w:tcW w:w="1701" w:type="dxa"/>
            <w:tcBorders>
              <w:bottom w:val="single" w:sz="4" w:space="0" w:color="auto"/>
            </w:tcBorders>
          </w:tcPr>
          <w:p w14:paraId="51588CF9" w14:textId="1A71C171" w:rsidR="00EC37A5" w:rsidRDefault="00EC37A5" w:rsidP="0049102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Basic shape</w:t>
            </w:r>
          </w:p>
        </w:tc>
        <w:tc>
          <w:tcPr>
            <w:tcW w:w="6521" w:type="dxa"/>
            <w:tcBorders>
              <w:bottom w:val="single" w:sz="4" w:space="0" w:color="auto"/>
            </w:tcBorders>
          </w:tcPr>
          <w:p w14:paraId="4D251309" w14:textId="24DB6925" w:rsidR="00EC37A5" w:rsidRPr="00EC37A5" w:rsidRDefault="00EC37A5" w:rsidP="0049102C">
            <w:pPr>
              <w:spacing w:line="264" w:lineRule="auto"/>
              <w:jc w:val="center"/>
              <w:rPr>
                <w:rFonts w:asciiTheme="majorHAnsi" w:hAnsiTheme="majorHAnsi" w:cstheme="majorHAnsi"/>
                <w:bCs/>
                <w:sz w:val="16"/>
                <w:szCs w:val="16"/>
              </w:rPr>
            </w:pPr>
            <w:r w:rsidRPr="00EC37A5">
              <w:rPr>
                <w:rFonts w:asciiTheme="majorHAnsi" w:hAnsiTheme="majorHAnsi" w:cstheme="majorHAnsi"/>
                <w:bCs/>
                <w:sz w:val="16"/>
                <w:szCs w:val="16"/>
              </w:rPr>
              <w:t>Both forms of grave markers are based on gender; flat shape for women and cylinder for men</w:t>
            </w:r>
            <w:r>
              <w:rPr>
                <w:rFonts w:asciiTheme="majorHAnsi" w:hAnsiTheme="majorHAnsi" w:cstheme="majorHAnsi"/>
                <w:bCs/>
                <w:sz w:val="16"/>
                <w:szCs w:val="16"/>
              </w:rPr>
              <w:t>.</w:t>
            </w:r>
          </w:p>
        </w:tc>
      </w:tr>
    </w:tbl>
    <w:p w14:paraId="11D3BEA8" w14:textId="77777777" w:rsidR="00EC37A5" w:rsidRDefault="00EC37A5" w:rsidP="009A5DA9">
      <w:pPr>
        <w:ind w:left="284" w:firstLine="283"/>
        <w:jc w:val="center"/>
        <w:rPr>
          <w:rFonts w:asciiTheme="majorHAnsi" w:hAnsiTheme="majorHAnsi" w:cstheme="majorHAnsi"/>
          <w:sz w:val="20"/>
          <w:szCs w:val="20"/>
        </w:rPr>
      </w:pPr>
    </w:p>
    <w:p w14:paraId="3359B8C6" w14:textId="77777777" w:rsidR="009A5DA9" w:rsidRPr="009A5DA9" w:rsidRDefault="009A5DA9" w:rsidP="009A5DA9">
      <w:pPr>
        <w:ind w:left="284" w:firstLine="283"/>
        <w:jc w:val="both"/>
        <w:rPr>
          <w:rFonts w:asciiTheme="majorHAnsi" w:hAnsiTheme="majorHAnsi" w:cstheme="majorHAnsi"/>
          <w:sz w:val="20"/>
          <w:szCs w:val="20"/>
        </w:rPr>
      </w:pPr>
      <w:r w:rsidRPr="009A5DA9">
        <w:rPr>
          <w:rFonts w:asciiTheme="majorHAnsi" w:hAnsiTheme="majorHAnsi" w:cstheme="majorHAnsi"/>
          <w:sz w:val="20"/>
          <w:szCs w:val="20"/>
        </w:rPr>
        <w:t xml:space="preserve">Both styles of grave markers have superb carving and intricate ornamentation. The fundamental distinction is in the decorative style and probable cultural influences portrayed in their designs. The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xml:space="preserve"> stones appear to have Islamic influences, as seen by their unique lettering and design aspects. Meanwhile, the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may depict a more generic style with natural inspirations, such as flora. Overall, both grave markers are stunning examples of the art of grave carving as it has evolved across cultures, emphasizing symbolism that may reflect the beliefs or social standing of the people buried beneath them. This comparison shows that, while both objects differ in style and design features, they may serve a comparable function in different environments. Furthermore, this comparison indicates that Jatti </w:t>
      </w:r>
      <w:proofErr w:type="spellStart"/>
      <w:r w:rsidRPr="009A5DA9">
        <w:rPr>
          <w:rFonts w:asciiTheme="majorHAnsi" w:hAnsiTheme="majorHAnsi" w:cstheme="majorHAnsi"/>
          <w:sz w:val="20"/>
          <w:szCs w:val="20"/>
        </w:rPr>
        <w:t>Miriek</w:t>
      </w:r>
      <w:proofErr w:type="spellEnd"/>
      <w:r w:rsidRPr="009A5DA9">
        <w:rPr>
          <w:rFonts w:asciiTheme="majorHAnsi" w:hAnsiTheme="majorHAnsi" w:cstheme="majorHAnsi"/>
          <w:sz w:val="20"/>
          <w:szCs w:val="20"/>
        </w:rPr>
        <w:t xml:space="preserve"> grave markers share many traits with </w:t>
      </w:r>
      <w:r w:rsidRPr="009A5DA9">
        <w:rPr>
          <w:rFonts w:asciiTheme="majorHAnsi" w:hAnsiTheme="majorHAnsi" w:cstheme="majorHAnsi"/>
          <w:i/>
          <w:iCs/>
          <w:sz w:val="20"/>
          <w:szCs w:val="20"/>
        </w:rPr>
        <w:t>Batu Aceh</w:t>
      </w:r>
      <w:r w:rsidRPr="009A5DA9">
        <w:rPr>
          <w:rFonts w:asciiTheme="majorHAnsi" w:hAnsiTheme="majorHAnsi" w:cstheme="majorHAnsi"/>
          <w:sz w:val="20"/>
          <w:szCs w:val="20"/>
        </w:rPr>
        <w:t>, particularly concerning architectural structure.</w:t>
      </w:r>
    </w:p>
    <w:p w14:paraId="7211BDAB" w14:textId="77777777" w:rsidR="009A5DA9" w:rsidRDefault="009A5DA9" w:rsidP="009A5DA9">
      <w:pPr>
        <w:jc w:val="both"/>
        <w:rPr>
          <w:rFonts w:asciiTheme="majorHAnsi" w:hAnsiTheme="majorHAnsi" w:cstheme="majorHAnsi"/>
          <w:sz w:val="20"/>
          <w:szCs w:val="20"/>
        </w:rPr>
      </w:pPr>
    </w:p>
    <w:p w14:paraId="7540FBD0" w14:textId="23CAC7A6" w:rsidR="00EC37A5" w:rsidRPr="009A5DA9" w:rsidRDefault="00EC37A5" w:rsidP="00EC37A5">
      <w:pPr>
        <w:pStyle w:val="ListParagraph"/>
        <w:numPr>
          <w:ilvl w:val="0"/>
          <w:numId w:val="14"/>
        </w:numPr>
        <w:ind w:left="567" w:hanging="283"/>
        <w:jc w:val="both"/>
        <w:rPr>
          <w:rFonts w:asciiTheme="majorHAnsi" w:hAnsiTheme="majorHAnsi" w:cstheme="majorHAnsi"/>
          <w:b/>
          <w:sz w:val="20"/>
          <w:szCs w:val="20"/>
        </w:rPr>
      </w:pPr>
      <w:r w:rsidRPr="00EC37A5">
        <w:rPr>
          <w:rFonts w:asciiTheme="majorHAnsi" w:hAnsiTheme="majorHAnsi" w:cstheme="majorHAnsi"/>
          <w:b/>
          <w:sz w:val="20"/>
          <w:szCs w:val="20"/>
        </w:rPr>
        <w:t xml:space="preserve">COMPARATIVE ANALYSIS OF BAJAU </w:t>
      </w:r>
      <w:r w:rsidRPr="00EC37A5">
        <w:rPr>
          <w:rFonts w:asciiTheme="majorHAnsi" w:hAnsiTheme="majorHAnsi" w:cstheme="majorHAnsi"/>
          <w:b/>
          <w:i/>
          <w:iCs/>
          <w:sz w:val="20"/>
          <w:szCs w:val="20"/>
        </w:rPr>
        <w:t xml:space="preserve">SUNDUK </w:t>
      </w:r>
      <w:r w:rsidRPr="00EC37A5">
        <w:rPr>
          <w:rFonts w:asciiTheme="majorHAnsi" w:hAnsiTheme="majorHAnsi" w:cstheme="majorHAnsi"/>
          <w:b/>
          <w:sz w:val="20"/>
          <w:szCs w:val="20"/>
        </w:rPr>
        <w:t>AND JATTI MIRIEK GRAVE MARKERS.</w:t>
      </w:r>
    </w:p>
    <w:p w14:paraId="12F31268" w14:textId="77777777" w:rsidR="00EC37A5" w:rsidRPr="00EC37A5" w:rsidRDefault="00EC37A5" w:rsidP="00EC37A5">
      <w:pPr>
        <w:ind w:left="284" w:firstLine="283"/>
        <w:jc w:val="both"/>
        <w:rPr>
          <w:rFonts w:asciiTheme="majorHAnsi" w:hAnsiTheme="majorHAnsi" w:cstheme="majorHAnsi"/>
          <w:sz w:val="20"/>
          <w:szCs w:val="20"/>
        </w:rPr>
      </w:pPr>
      <w:r w:rsidRPr="00EC37A5">
        <w:rPr>
          <w:rFonts w:asciiTheme="majorHAnsi" w:hAnsiTheme="majorHAnsi" w:cstheme="majorHAnsi"/>
          <w:sz w:val="20"/>
          <w:szCs w:val="20"/>
        </w:rPr>
        <w:t xml:space="preserve">A comparison of Bajau and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markings reveals that the Bajau grave marker, also known as </w:t>
      </w:r>
      <w:proofErr w:type="spellStart"/>
      <w:r w:rsidRPr="00EC37A5">
        <w:rPr>
          <w:rFonts w:asciiTheme="majorHAnsi" w:hAnsiTheme="majorHAnsi" w:cstheme="majorHAnsi"/>
          <w:i/>
          <w:iCs/>
          <w:sz w:val="20"/>
          <w:szCs w:val="20"/>
        </w:rPr>
        <w:t>Sunduk</w:t>
      </w:r>
      <w:proofErr w:type="spellEnd"/>
      <w:r w:rsidRPr="00EC37A5">
        <w:rPr>
          <w:rFonts w:asciiTheme="majorHAnsi" w:hAnsiTheme="majorHAnsi" w:cstheme="majorHAnsi"/>
          <w:sz w:val="20"/>
          <w:szCs w:val="20"/>
        </w:rPr>
        <w:t xml:space="preserve">, is a carving art from the Philippines' Sulu Archipelago. The floral and geometric themes employed in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and </w:t>
      </w:r>
      <w:proofErr w:type="spellStart"/>
      <w:r w:rsidRPr="00EC37A5">
        <w:rPr>
          <w:rFonts w:asciiTheme="majorHAnsi" w:hAnsiTheme="majorHAnsi" w:cstheme="majorHAnsi"/>
          <w:i/>
          <w:iCs/>
          <w:sz w:val="20"/>
          <w:szCs w:val="20"/>
        </w:rPr>
        <w:t>Sunduk</w:t>
      </w:r>
      <w:proofErr w:type="spellEnd"/>
      <w:r w:rsidRPr="00EC37A5">
        <w:rPr>
          <w:rFonts w:asciiTheme="majorHAnsi" w:hAnsiTheme="majorHAnsi" w:cstheme="majorHAnsi"/>
          <w:sz w:val="20"/>
          <w:szCs w:val="20"/>
        </w:rPr>
        <w:t xml:space="preserve"> woodcarving crafts, notably for women's tomb markers, are comparable. This could point to a previous cultural influence or art interaction between these two places that has yet to be explained entirely.</w:t>
      </w:r>
    </w:p>
    <w:p w14:paraId="1215EB16" w14:textId="77777777" w:rsidR="00EC37A5" w:rsidRPr="00EC37A5" w:rsidRDefault="00EC37A5" w:rsidP="00EC37A5">
      <w:pPr>
        <w:ind w:left="284" w:firstLine="283"/>
        <w:jc w:val="both"/>
        <w:rPr>
          <w:rFonts w:asciiTheme="majorHAnsi" w:hAnsiTheme="majorHAnsi" w:cstheme="majorHAnsi"/>
          <w:sz w:val="20"/>
          <w:szCs w:val="20"/>
        </w:rPr>
      </w:pPr>
    </w:p>
    <w:p w14:paraId="6DE87385" w14:textId="77777777" w:rsidR="00EC37A5" w:rsidRPr="00EC37A5" w:rsidRDefault="00EC37A5" w:rsidP="00EC37A5">
      <w:pPr>
        <w:ind w:left="284" w:firstLine="283"/>
        <w:jc w:val="center"/>
        <w:rPr>
          <w:rFonts w:asciiTheme="majorHAnsi" w:hAnsiTheme="majorHAnsi" w:cstheme="majorHAnsi"/>
          <w:sz w:val="20"/>
          <w:szCs w:val="20"/>
        </w:rPr>
      </w:pPr>
      <w:r w:rsidRPr="00EC37A5">
        <w:rPr>
          <w:rFonts w:asciiTheme="majorHAnsi" w:hAnsiTheme="majorHAnsi" w:cstheme="majorHAnsi"/>
          <w:noProof/>
          <w:sz w:val="20"/>
          <w:szCs w:val="20"/>
        </w:rPr>
        <w:drawing>
          <wp:inline distT="0" distB="0" distL="0" distR="0" wp14:anchorId="04E3DAC9" wp14:editId="43AA27E4">
            <wp:extent cx="4304620" cy="3257550"/>
            <wp:effectExtent l="0" t="0" r="1270" b="0"/>
            <wp:docPr id="659267435" name="Picture 10" descr="A collage of images of a carve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67435" name="Picture 10" descr="A collage of images of a carved object&#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4327507" cy="3274870"/>
                    </a:xfrm>
                    <a:prstGeom prst="rect">
                      <a:avLst/>
                    </a:prstGeom>
                  </pic:spPr>
                </pic:pic>
              </a:graphicData>
            </a:graphic>
          </wp:inline>
        </w:drawing>
      </w:r>
    </w:p>
    <w:p w14:paraId="121D2985" w14:textId="77777777" w:rsidR="00EC37A5" w:rsidRDefault="00EC37A5" w:rsidP="00EC37A5">
      <w:pPr>
        <w:ind w:left="284" w:firstLine="283"/>
        <w:jc w:val="center"/>
        <w:rPr>
          <w:rFonts w:asciiTheme="majorHAnsi" w:hAnsiTheme="majorHAnsi" w:cstheme="majorHAnsi"/>
          <w:sz w:val="20"/>
          <w:szCs w:val="20"/>
        </w:rPr>
      </w:pPr>
    </w:p>
    <w:p w14:paraId="09A4AEEE" w14:textId="49C7D402" w:rsidR="00EC37A5" w:rsidRPr="00EC37A5" w:rsidRDefault="00EC37A5" w:rsidP="00EC37A5">
      <w:pPr>
        <w:ind w:left="284" w:firstLine="283"/>
        <w:jc w:val="center"/>
        <w:rPr>
          <w:rFonts w:asciiTheme="majorHAnsi" w:hAnsiTheme="majorHAnsi" w:cstheme="majorHAnsi"/>
          <w:sz w:val="16"/>
          <w:szCs w:val="16"/>
        </w:rPr>
      </w:pPr>
      <w:r w:rsidRPr="00EC37A5">
        <w:rPr>
          <w:rFonts w:asciiTheme="majorHAnsi" w:hAnsiTheme="majorHAnsi" w:cstheme="majorHAnsi"/>
          <w:sz w:val="16"/>
          <w:szCs w:val="16"/>
        </w:rPr>
        <w:t xml:space="preserve">Figure 14. A physical comparison study between Bajau </w:t>
      </w:r>
      <w:proofErr w:type="spellStart"/>
      <w:r w:rsidRPr="00EC37A5">
        <w:rPr>
          <w:rFonts w:asciiTheme="majorHAnsi" w:hAnsiTheme="majorHAnsi" w:cstheme="majorHAnsi"/>
          <w:sz w:val="16"/>
          <w:szCs w:val="16"/>
        </w:rPr>
        <w:t>gravemarkers</w:t>
      </w:r>
      <w:proofErr w:type="spellEnd"/>
      <w:r w:rsidRPr="00EC37A5">
        <w:rPr>
          <w:rFonts w:asciiTheme="majorHAnsi" w:hAnsiTheme="majorHAnsi" w:cstheme="majorHAnsi"/>
          <w:sz w:val="16"/>
          <w:szCs w:val="16"/>
        </w:rPr>
        <w:t xml:space="preserve"> known as </w:t>
      </w:r>
      <w:proofErr w:type="spellStart"/>
      <w:r w:rsidRPr="00EC37A5">
        <w:rPr>
          <w:rFonts w:asciiTheme="majorHAnsi" w:hAnsiTheme="majorHAnsi" w:cstheme="majorHAnsi"/>
          <w:i/>
          <w:iCs/>
          <w:sz w:val="16"/>
          <w:szCs w:val="16"/>
        </w:rPr>
        <w:t>Sunduk</w:t>
      </w:r>
      <w:proofErr w:type="spellEnd"/>
      <w:r w:rsidRPr="00EC37A5">
        <w:rPr>
          <w:rFonts w:asciiTheme="majorHAnsi" w:hAnsiTheme="majorHAnsi" w:cstheme="majorHAnsi"/>
          <w:sz w:val="16"/>
          <w:szCs w:val="16"/>
        </w:rPr>
        <w:t xml:space="preserve"> and Jatti </w:t>
      </w:r>
      <w:proofErr w:type="spellStart"/>
      <w:r w:rsidRPr="00EC37A5">
        <w:rPr>
          <w:rFonts w:asciiTheme="majorHAnsi" w:hAnsiTheme="majorHAnsi" w:cstheme="majorHAnsi"/>
          <w:sz w:val="16"/>
          <w:szCs w:val="16"/>
        </w:rPr>
        <w:t>Miriek</w:t>
      </w:r>
      <w:proofErr w:type="spellEnd"/>
      <w:r w:rsidRPr="00EC37A5">
        <w:rPr>
          <w:rFonts w:asciiTheme="majorHAnsi" w:hAnsiTheme="majorHAnsi" w:cstheme="majorHAnsi"/>
          <w:sz w:val="16"/>
          <w:szCs w:val="16"/>
        </w:rPr>
        <w:t xml:space="preserve"> </w:t>
      </w:r>
      <w:proofErr w:type="spellStart"/>
      <w:r w:rsidRPr="00EC37A5">
        <w:rPr>
          <w:rFonts w:asciiTheme="majorHAnsi" w:hAnsiTheme="majorHAnsi" w:cstheme="majorHAnsi"/>
          <w:sz w:val="16"/>
          <w:szCs w:val="16"/>
        </w:rPr>
        <w:t>gravemarkers</w:t>
      </w:r>
      <w:proofErr w:type="spellEnd"/>
      <w:r w:rsidRPr="00EC37A5">
        <w:rPr>
          <w:rFonts w:asciiTheme="majorHAnsi" w:hAnsiTheme="majorHAnsi" w:cstheme="majorHAnsi"/>
          <w:sz w:val="16"/>
          <w:szCs w:val="16"/>
        </w:rPr>
        <w:t>.</w:t>
      </w:r>
    </w:p>
    <w:p w14:paraId="0DD78C72" w14:textId="77777777" w:rsidR="00EC37A5" w:rsidRPr="00EC37A5" w:rsidRDefault="00EC37A5" w:rsidP="00EC37A5">
      <w:pPr>
        <w:ind w:left="284" w:firstLine="283"/>
        <w:jc w:val="both"/>
        <w:rPr>
          <w:rFonts w:asciiTheme="majorHAnsi" w:eastAsia="Times New Roman" w:hAnsiTheme="majorHAnsi" w:cstheme="majorHAnsi"/>
          <w:sz w:val="20"/>
          <w:szCs w:val="20"/>
          <w:lang w:val="id-ID" w:eastAsia="ko-KR"/>
        </w:rPr>
      </w:pPr>
    </w:p>
    <w:p w14:paraId="2133BCCB" w14:textId="77777777" w:rsidR="00EC37A5" w:rsidRPr="00EC37A5" w:rsidRDefault="00EC37A5" w:rsidP="00EC37A5">
      <w:pPr>
        <w:ind w:left="284" w:firstLine="283"/>
        <w:jc w:val="both"/>
        <w:rPr>
          <w:rFonts w:asciiTheme="majorHAnsi" w:eastAsia="Times New Roman" w:hAnsiTheme="majorHAnsi" w:cstheme="majorHAnsi"/>
          <w:sz w:val="20"/>
          <w:szCs w:val="20"/>
          <w:lang w:val="id-ID" w:eastAsia="ko-KR"/>
        </w:rPr>
      </w:pPr>
      <w:r w:rsidRPr="00EC37A5">
        <w:rPr>
          <w:rFonts w:asciiTheme="majorHAnsi" w:eastAsia="Times New Roman" w:hAnsiTheme="majorHAnsi" w:cstheme="majorHAnsi"/>
          <w:sz w:val="20"/>
          <w:szCs w:val="20"/>
          <w:lang w:val="id-ID" w:eastAsia="ko-KR"/>
        </w:rPr>
        <w:t xml:space="preserve">When comparing the </w:t>
      </w:r>
      <w:r w:rsidRPr="00EC37A5">
        <w:rPr>
          <w:rFonts w:asciiTheme="majorHAnsi" w:eastAsia="Times New Roman" w:hAnsiTheme="majorHAnsi" w:cstheme="majorHAnsi"/>
          <w:i/>
          <w:iCs/>
          <w:sz w:val="20"/>
          <w:szCs w:val="20"/>
          <w:lang w:eastAsia="ko-KR"/>
        </w:rPr>
        <w:t>S</w:t>
      </w:r>
      <w:r w:rsidRPr="00EC37A5">
        <w:rPr>
          <w:rFonts w:asciiTheme="majorHAnsi" w:eastAsia="Times New Roman" w:hAnsiTheme="majorHAnsi" w:cstheme="majorHAnsi"/>
          <w:i/>
          <w:iCs/>
          <w:sz w:val="20"/>
          <w:szCs w:val="20"/>
          <w:lang w:val="id-ID" w:eastAsia="ko-KR"/>
        </w:rPr>
        <w:t>unduk</w:t>
      </w:r>
      <w:r w:rsidRPr="00EC37A5">
        <w:rPr>
          <w:rFonts w:asciiTheme="majorHAnsi" w:eastAsia="Times New Roman" w:hAnsiTheme="majorHAnsi" w:cstheme="majorHAnsi"/>
          <w:sz w:val="20"/>
          <w:szCs w:val="20"/>
          <w:lang w:val="id-ID" w:eastAsia="ko-KR"/>
        </w:rPr>
        <w:t xml:space="preserve"> and Jatti Miriek grave markers (figure 14), it is clear that the </w:t>
      </w:r>
      <w:r w:rsidRPr="00EC37A5">
        <w:rPr>
          <w:rFonts w:asciiTheme="majorHAnsi" w:eastAsia="Times New Roman" w:hAnsiTheme="majorHAnsi" w:cstheme="majorHAnsi"/>
          <w:i/>
          <w:iCs/>
          <w:sz w:val="20"/>
          <w:szCs w:val="20"/>
          <w:lang w:val="id-ID" w:eastAsia="ko-KR"/>
        </w:rPr>
        <w:t>Sunduk</w:t>
      </w:r>
      <w:r w:rsidRPr="00EC37A5">
        <w:rPr>
          <w:rFonts w:asciiTheme="majorHAnsi" w:eastAsia="Times New Roman" w:hAnsiTheme="majorHAnsi" w:cstheme="majorHAnsi"/>
          <w:sz w:val="20"/>
          <w:szCs w:val="20"/>
          <w:lang w:val="id-ID" w:eastAsia="ko-KR"/>
        </w:rPr>
        <w:t xml:space="preserve"> design impacts the Jatti Miriek grave markers, especially in their comparable patterns and motifs. </w:t>
      </w:r>
      <w:r w:rsidRPr="00EC37A5">
        <w:rPr>
          <w:rFonts w:asciiTheme="majorHAnsi" w:eastAsia="Times New Roman" w:hAnsiTheme="majorHAnsi" w:cstheme="majorHAnsi"/>
          <w:i/>
          <w:iCs/>
          <w:sz w:val="20"/>
          <w:szCs w:val="20"/>
          <w:lang w:val="id-ID" w:eastAsia="ko-KR"/>
        </w:rPr>
        <w:t>Sunduk</w:t>
      </w:r>
      <w:r w:rsidRPr="00EC37A5">
        <w:rPr>
          <w:rFonts w:asciiTheme="majorHAnsi" w:eastAsia="Times New Roman" w:hAnsiTheme="majorHAnsi" w:cstheme="majorHAnsi"/>
          <w:sz w:val="20"/>
          <w:szCs w:val="20"/>
          <w:lang w:val="id-ID" w:eastAsia="ko-KR"/>
        </w:rPr>
        <w:t xml:space="preserve"> has a sophisticated and complicated pattern with floral motifs, which could indicate natural influences. Furthermore, the inclusion of hairbrush motifs at the head area emphasizes its significance in Bajau women's lives. These themes are symmetrical and interconnect elaborately, resulting in balanced compositions. Jatti Miriek grave markers, which also feature floral designs, have a slightly different style that is more geometric and structural. Jatti Miriek's designs, in contrast to </w:t>
      </w:r>
      <w:r w:rsidRPr="00EC37A5">
        <w:rPr>
          <w:rFonts w:asciiTheme="majorHAnsi" w:eastAsia="Times New Roman" w:hAnsiTheme="majorHAnsi" w:cstheme="majorHAnsi"/>
          <w:i/>
          <w:iCs/>
          <w:sz w:val="20"/>
          <w:szCs w:val="20"/>
          <w:lang w:val="id-ID" w:eastAsia="ko-KR"/>
        </w:rPr>
        <w:t>Sunduk</w:t>
      </w:r>
      <w:r w:rsidRPr="00EC37A5">
        <w:rPr>
          <w:rFonts w:asciiTheme="majorHAnsi" w:eastAsia="Times New Roman" w:hAnsiTheme="majorHAnsi" w:cstheme="majorHAnsi"/>
          <w:sz w:val="20"/>
          <w:szCs w:val="20"/>
          <w:lang w:val="id-ID" w:eastAsia="ko-KR"/>
        </w:rPr>
        <w:t>'s, are more symbolic, maybe employing specific symbols with special or spiritual connotations. The following is a summary of the comparison:</w:t>
      </w:r>
    </w:p>
    <w:p w14:paraId="58DE873E" w14:textId="2B5E2562" w:rsidR="00EC37A5" w:rsidRPr="00EC37A5" w:rsidRDefault="00EC37A5" w:rsidP="00EC37A5">
      <w:pPr>
        <w:pStyle w:val="ListParagraph"/>
        <w:numPr>
          <w:ilvl w:val="3"/>
          <w:numId w:val="1"/>
        </w:numPr>
        <w:ind w:left="567" w:hanging="283"/>
        <w:jc w:val="both"/>
        <w:rPr>
          <w:rFonts w:asciiTheme="majorHAnsi" w:eastAsia="Times New Roman" w:hAnsiTheme="majorHAnsi" w:cstheme="majorHAnsi"/>
          <w:sz w:val="20"/>
          <w:szCs w:val="20"/>
          <w:lang w:val="id-ID" w:eastAsia="ko-KR"/>
        </w:rPr>
      </w:pPr>
      <w:r w:rsidRPr="00EC37A5">
        <w:rPr>
          <w:rFonts w:asciiTheme="majorHAnsi" w:eastAsia="Times New Roman" w:hAnsiTheme="majorHAnsi" w:cstheme="majorHAnsi"/>
          <w:sz w:val="20"/>
          <w:szCs w:val="20"/>
          <w:lang w:val="id-ID" w:eastAsia="ko-KR"/>
        </w:rPr>
        <w:lastRenderedPageBreak/>
        <w:t xml:space="preserve">Style: </w:t>
      </w:r>
      <w:r w:rsidRPr="00EC37A5">
        <w:rPr>
          <w:rFonts w:asciiTheme="majorHAnsi" w:eastAsia="Times New Roman" w:hAnsiTheme="majorHAnsi" w:cstheme="majorHAnsi"/>
          <w:i/>
          <w:iCs/>
          <w:sz w:val="20"/>
          <w:szCs w:val="20"/>
          <w:lang w:val="id-ID" w:eastAsia="ko-KR"/>
        </w:rPr>
        <w:t>Sunduk</w:t>
      </w:r>
      <w:r w:rsidRPr="00EC37A5">
        <w:rPr>
          <w:rFonts w:asciiTheme="majorHAnsi" w:eastAsia="Times New Roman" w:hAnsiTheme="majorHAnsi" w:cstheme="majorHAnsi"/>
          <w:sz w:val="20"/>
          <w:szCs w:val="20"/>
          <w:lang w:val="id-ID" w:eastAsia="ko-KR"/>
        </w:rPr>
        <w:t>'s style is more organic and natural, whereas the Jatti Miriek grave marker is more symbolic and geometric.</w:t>
      </w:r>
    </w:p>
    <w:p w14:paraId="6BF74B02" w14:textId="20A65274" w:rsidR="00EC37A5" w:rsidRPr="00EC37A5" w:rsidRDefault="00EC37A5" w:rsidP="00EC37A5">
      <w:pPr>
        <w:pStyle w:val="ListParagraph"/>
        <w:numPr>
          <w:ilvl w:val="3"/>
          <w:numId w:val="1"/>
        </w:numPr>
        <w:ind w:left="567" w:hanging="283"/>
        <w:jc w:val="both"/>
        <w:rPr>
          <w:rFonts w:asciiTheme="majorHAnsi" w:eastAsia="Times New Roman" w:hAnsiTheme="majorHAnsi" w:cstheme="majorHAnsi"/>
          <w:sz w:val="20"/>
          <w:szCs w:val="20"/>
          <w:lang w:val="id-ID" w:eastAsia="ko-KR"/>
        </w:rPr>
      </w:pPr>
      <w:r w:rsidRPr="00EC37A5">
        <w:rPr>
          <w:rFonts w:asciiTheme="majorHAnsi" w:eastAsia="Times New Roman" w:hAnsiTheme="majorHAnsi" w:cstheme="majorHAnsi"/>
          <w:sz w:val="20"/>
          <w:szCs w:val="20"/>
          <w:lang w:val="id-ID" w:eastAsia="ko-KR"/>
        </w:rPr>
        <w:t xml:space="preserve">Motifs: Both objects feature floral motifs but are presented in very different ways. </w:t>
      </w:r>
      <w:r w:rsidRPr="00EC37A5">
        <w:rPr>
          <w:rFonts w:asciiTheme="majorHAnsi" w:eastAsia="Times New Roman" w:hAnsiTheme="majorHAnsi" w:cstheme="majorHAnsi"/>
          <w:i/>
          <w:iCs/>
          <w:sz w:val="20"/>
          <w:szCs w:val="20"/>
          <w:lang w:val="id-ID" w:eastAsia="ko-KR"/>
        </w:rPr>
        <w:t>Sunduk</w:t>
      </w:r>
      <w:r w:rsidRPr="00EC37A5">
        <w:rPr>
          <w:rFonts w:asciiTheme="majorHAnsi" w:eastAsia="Times New Roman" w:hAnsiTheme="majorHAnsi" w:cstheme="majorHAnsi"/>
          <w:sz w:val="20"/>
          <w:szCs w:val="20"/>
          <w:lang w:val="id-ID" w:eastAsia="ko-KR"/>
        </w:rPr>
        <w:t>'s grave marker emphasizes flowing and natural shapes, whereas Jatti Miriek grave marker uses more stylish and orderly shapes.</w:t>
      </w:r>
    </w:p>
    <w:p w14:paraId="090584BD" w14:textId="77D63E8A" w:rsidR="00EC37A5" w:rsidRPr="00EC37A5" w:rsidRDefault="00EC37A5" w:rsidP="00EC37A5">
      <w:pPr>
        <w:pStyle w:val="ListParagraph"/>
        <w:numPr>
          <w:ilvl w:val="3"/>
          <w:numId w:val="1"/>
        </w:numPr>
        <w:ind w:left="567" w:hanging="283"/>
        <w:jc w:val="both"/>
        <w:rPr>
          <w:rFonts w:asciiTheme="majorHAnsi" w:eastAsia="Times New Roman" w:hAnsiTheme="majorHAnsi" w:cstheme="majorHAnsi"/>
          <w:sz w:val="20"/>
          <w:szCs w:val="20"/>
          <w:lang w:val="id-ID" w:eastAsia="ko-KR"/>
        </w:rPr>
      </w:pPr>
      <w:r w:rsidRPr="00EC37A5">
        <w:rPr>
          <w:rFonts w:asciiTheme="majorHAnsi" w:eastAsia="Times New Roman" w:hAnsiTheme="majorHAnsi" w:cstheme="majorHAnsi"/>
          <w:sz w:val="20"/>
          <w:szCs w:val="20"/>
          <w:lang w:val="id-ID" w:eastAsia="ko-KR"/>
        </w:rPr>
        <w:t xml:space="preserve">Design: </w:t>
      </w:r>
      <w:r w:rsidRPr="00EC37A5">
        <w:rPr>
          <w:rFonts w:asciiTheme="majorHAnsi" w:eastAsia="Times New Roman" w:hAnsiTheme="majorHAnsi" w:cstheme="majorHAnsi"/>
          <w:i/>
          <w:iCs/>
          <w:sz w:val="20"/>
          <w:szCs w:val="20"/>
          <w:lang w:val="id-ID" w:eastAsia="ko-KR"/>
        </w:rPr>
        <w:t>Sunduk</w:t>
      </w:r>
      <w:r w:rsidRPr="00EC37A5">
        <w:rPr>
          <w:rFonts w:asciiTheme="majorHAnsi" w:eastAsia="Times New Roman" w:hAnsiTheme="majorHAnsi" w:cstheme="majorHAnsi"/>
          <w:sz w:val="20"/>
          <w:szCs w:val="20"/>
          <w:lang w:val="id-ID" w:eastAsia="ko-KR"/>
        </w:rPr>
        <w:t>'s design is more complicated and detailed, with many decorations resembling plants and natural elements. On the other hand, Jatti Miriek grave marker is more symbolic, with more regular use of space and emphasizing form and clear lines.</w:t>
      </w:r>
    </w:p>
    <w:p w14:paraId="33C207A0" w14:textId="77777777" w:rsidR="00EC37A5" w:rsidRPr="00EC37A5" w:rsidRDefault="00EC37A5" w:rsidP="00EC37A5">
      <w:pPr>
        <w:ind w:left="284" w:firstLine="283"/>
        <w:jc w:val="both"/>
        <w:rPr>
          <w:rFonts w:asciiTheme="majorHAnsi" w:eastAsia="Times New Roman" w:hAnsiTheme="majorHAnsi" w:cstheme="majorHAnsi"/>
          <w:sz w:val="20"/>
          <w:szCs w:val="20"/>
          <w:lang w:val="id-ID" w:eastAsia="ko-KR"/>
        </w:rPr>
      </w:pPr>
      <w:r w:rsidRPr="00EC37A5">
        <w:rPr>
          <w:rFonts w:asciiTheme="majorHAnsi" w:eastAsia="Times New Roman" w:hAnsiTheme="majorHAnsi" w:cstheme="majorHAnsi"/>
          <w:sz w:val="20"/>
          <w:szCs w:val="20"/>
          <w:lang w:val="id-ID" w:eastAsia="ko-KR"/>
        </w:rPr>
        <w:t xml:space="preserve">The analysis of the grave markers—Jatti Miriek nisan, </w:t>
      </w:r>
      <w:r w:rsidRPr="00EC37A5">
        <w:rPr>
          <w:rFonts w:asciiTheme="majorHAnsi" w:eastAsia="Times New Roman" w:hAnsiTheme="majorHAnsi" w:cstheme="majorHAnsi"/>
          <w:i/>
          <w:iCs/>
          <w:sz w:val="20"/>
          <w:szCs w:val="20"/>
          <w:lang w:val="id-ID" w:eastAsia="ko-KR"/>
        </w:rPr>
        <w:t>Batu Aceh</w:t>
      </w:r>
      <w:r w:rsidRPr="00EC37A5">
        <w:rPr>
          <w:rFonts w:asciiTheme="majorHAnsi" w:eastAsia="Times New Roman" w:hAnsiTheme="majorHAnsi" w:cstheme="majorHAnsi"/>
          <w:sz w:val="20"/>
          <w:szCs w:val="20"/>
          <w:lang w:val="id-ID" w:eastAsia="ko-KR"/>
        </w:rPr>
        <w:t xml:space="preserve">, and Bajau </w:t>
      </w:r>
      <w:r w:rsidRPr="00EC37A5">
        <w:rPr>
          <w:rFonts w:asciiTheme="majorHAnsi" w:eastAsia="Times New Roman" w:hAnsiTheme="majorHAnsi" w:cstheme="majorHAnsi"/>
          <w:i/>
          <w:iCs/>
          <w:sz w:val="20"/>
          <w:szCs w:val="20"/>
          <w:lang w:eastAsia="ko-KR"/>
        </w:rPr>
        <w:t>S</w:t>
      </w:r>
      <w:r w:rsidRPr="00EC37A5">
        <w:rPr>
          <w:rFonts w:asciiTheme="majorHAnsi" w:eastAsia="Times New Roman" w:hAnsiTheme="majorHAnsi" w:cstheme="majorHAnsi"/>
          <w:i/>
          <w:iCs/>
          <w:sz w:val="20"/>
          <w:szCs w:val="20"/>
          <w:lang w:val="id-ID" w:eastAsia="ko-KR"/>
        </w:rPr>
        <w:t>unduk</w:t>
      </w:r>
      <w:r w:rsidRPr="00EC37A5">
        <w:rPr>
          <w:rFonts w:asciiTheme="majorHAnsi" w:eastAsia="Times New Roman" w:hAnsiTheme="majorHAnsi" w:cstheme="majorHAnsi"/>
          <w:sz w:val="20"/>
          <w:szCs w:val="20"/>
          <w:lang w:val="id-ID" w:eastAsia="ko-KR"/>
        </w:rPr>
        <w:t>—begins with a visual examination of their design elements as depicted in the images provided in the document. Though serving a similar commemorative function, these markers exhibit distinct cultural and artistic characteristics.</w:t>
      </w:r>
    </w:p>
    <w:p w14:paraId="35AB4B1C" w14:textId="77777777" w:rsidR="00EC37A5" w:rsidRPr="00EC37A5" w:rsidRDefault="00EC37A5" w:rsidP="00EC37A5">
      <w:pPr>
        <w:ind w:left="284" w:firstLine="283"/>
        <w:jc w:val="both"/>
        <w:rPr>
          <w:rFonts w:asciiTheme="majorHAnsi" w:eastAsia="Times New Roman" w:hAnsiTheme="majorHAnsi" w:cstheme="majorHAnsi"/>
          <w:sz w:val="20"/>
          <w:szCs w:val="20"/>
          <w:lang w:val="id-ID" w:eastAsia="ko-KR"/>
        </w:rPr>
      </w:pPr>
      <w:r w:rsidRPr="00EC37A5">
        <w:rPr>
          <w:rFonts w:asciiTheme="majorHAnsi" w:eastAsia="Times New Roman" w:hAnsiTheme="majorHAnsi" w:cstheme="majorHAnsi"/>
          <w:sz w:val="20"/>
          <w:szCs w:val="20"/>
          <w:lang w:val="id-ID" w:eastAsia="ko-KR"/>
        </w:rPr>
        <w:t xml:space="preserve">The Jatti Miriek grave marker is noted for its intricate carvings and symbolic motifs, which often reflect the natural environment and religious beliefs of the Jatti Miriek people. The designs are deeply rooted in their cultural narratives and exhibit a harmonious blend of indigenous and Islamic influences. In contrast, Indonesia's </w:t>
      </w:r>
      <w:r w:rsidRPr="00EC37A5">
        <w:rPr>
          <w:rFonts w:asciiTheme="majorHAnsi" w:eastAsia="Times New Roman" w:hAnsiTheme="majorHAnsi" w:cstheme="majorHAnsi"/>
          <w:i/>
          <w:sz w:val="20"/>
          <w:szCs w:val="20"/>
          <w:lang w:val="id-ID" w:eastAsia="ko-KR"/>
        </w:rPr>
        <w:t>Batu Aceh</w:t>
      </w:r>
      <w:r w:rsidRPr="00EC37A5">
        <w:rPr>
          <w:rFonts w:asciiTheme="majorHAnsi" w:eastAsia="Times New Roman" w:hAnsiTheme="majorHAnsi" w:cstheme="majorHAnsi"/>
          <w:sz w:val="20"/>
          <w:szCs w:val="20"/>
          <w:lang w:val="id-ID" w:eastAsia="ko-KR"/>
        </w:rPr>
        <w:t xml:space="preserve"> grave markers display a more pronounced Islamic influence, with a prevalence of calligraphic inscriptions and geometric patterns. These markers are emblematic of the Islamic artistic tradition, merging religious symbolism with local cultural motifs.</w:t>
      </w:r>
    </w:p>
    <w:p w14:paraId="076D3DAD" w14:textId="77777777" w:rsidR="00EC37A5" w:rsidRDefault="00EC37A5" w:rsidP="00EC37A5">
      <w:pPr>
        <w:ind w:left="284" w:firstLine="283"/>
        <w:jc w:val="both"/>
        <w:rPr>
          <w:rFonts w:asciiTheme="majorHAnsi" w:eastAsia="Times New Roman" w:hAnsiTheme="majorHAnsi" w:cstheme="majorHAnsi"/>
          <w:sz w:val="20"/>
          <w:szCs w:val="20"/>
          <w:lang w:val="id-ID" w:eastAsia="ko-KR"/>
        </w:rPr>
      </w:pPr>
      <w:r w:rsidRPr="00EC37A5">
        <w:rPr>
          <w:rFonts w:asciiTheme="majorHAnsi" w:eastAsia="Times New Roman" w:hAnsiTheme="majorHAnsi" w:cstheme="majorHAnsi"/>
          <w:sz w:val="20"/>
          <w:szCs w:val="20"/>
          <w:lang w:val="id-ID" w:eastAsia="ko-KR"/>
        </w:rPr>
        <w:t xml:space="preserve">The Bajau </w:t>
      </w:r>
      <w:r w:rsidRPr="00EC37A5">
        <w:rPr>
          <w:rFonts w:asciiTheme="majorHAnsi" w:eastAsia="Times New Roman" w:hAnsiTheme="majorHAnsi" w:cstheme="majorHAnsi"/>
          <w:i/>
          <w:iCs/>
          <w:sz w:val="20"/>
          <w:szCs w:val="20"/>
          <w:lang w:eastAsia="ko-KR"/>
        </w:rPr>
        <w:t>S</w:t>
      </w:r>
      <w:r w:rsidRPr="00EC37A5">
        <w:rPr>
          <w:rFonts w:asciiTheme="majorHAnsi" w:eastAsia="Times New Roman" w:hAnsiTheme="majorHAnsi" w:cstheme="majorHAnsi"/>
          <w:i/>
          <w:iCs/>
          <w:sz w:val="20"/>
          <w:szCs w:val="20"/>
          <w:lang w:val="id-ID" w:eastAsia="ko-KR"/>
        </w:rPr>
        <w:t>unduk</w:t>
      </w:r>
      <w:r w:rsidRPr="00EC37A5">
        <w:rPr>
          <w:rFonts w:asciiTheme="majorHAnsi" w:eastAsia="Times New Roman" w:hAnsiTheme="majorHAnsi" w:cstheme="majorHAnsi"/>
          <w:sz w:val="20"/>
          <w:szCs w:val="20"/>
          <w:lang w:val="id-ID" w:eastAsia="ko-KR"/>
        </w:rPr>
        <w:t xml:space="preserve">, on the other hand, tends to be more simplistic in design, focusing on practicality and functionality. The </w:t>
      </w:r>
      <w:r w:rsidRPr="00EC37A5">
        <w:rPr>
          <w:rFonts w:asciiTheme="majorHAnsi" w:eastAsia="Times New Roman" w:hAnsiTheme="majorHAnsi" w:cstheme="majorHAnsi"/>
          <w:i/>
          <w:iCs/>
          <w:sz w:val="20"/>
          <w:szCs w:val="20"/>
          <w:lang w:eastAsia="ko-KR"/>
        </w:rPr>
        <w:t>S</w:t>
      </w:r>
      <w:r w:rsidRPr="00EC37A5">
        <w:rPr>
          <w:rFonts w:asciiTheme="majorHAnsi" w:eastAsia="Times New Roman" w:hAnsiTheme="majorHAnsi" w:cstheme="majorHAnsi"/>
          <w:i/>
          <w:iCs/>
          <w:sz w:val="20"/>
          <w:szCs w:val="20"/>
          <w:lang w:val="id-ID" w:eastAsia="ko-KR"/>
        </w:rPr>
        <w:t>unduk</w:t>
      </w:r>
      <w:r w:rsidRPr="00EC37A5">
        <w:rPr>
          <w:rFonts w:asciiTheme="majorHAnsi" w:eastAsia="Times New Roman" w:hAnsiTheme="majorHAnsi" w:cstheme="majorHAnsi"/>
          <w:sz w:val="20"/>
          <w:szCs w:val="20"/>
          <w:lang w:val="id-ID" w:eastAsia="ko-KR"/>
        </w:rPr>
        <w:t>, primarily used by the Bajau sea nomads, reflects their transient lifestyle and its impermanence. The design is less ornate, focusing more on the utilitarian aspect of marking graves.</w:t>
      </w:r>
    </w:p>
    <w:p w14:paraId="34071913" w14:textId="77777777" w:rsidR="005C28E2" w:rsidRPr="00EC37A5" w:rsidRDefault="005C28E2" w:rsidP="00EC37A5">
      <w:pPr>
        <w:ind w:left="284" w:firstLine="283"/>
        <w:jc w:val="both"/>
        <w:rPr>
          <w:rFonts w:asciiTheme="majorHAnsi" w:eastAsia="Times New Roman" w:hAnsiTheme="majorHAnsi" w:cstheme="majorHAnsi"/>
          <w:sz w:val="20"/>
          <w:szCs w:val="20"/>
          <w:lang w:val="id-ID" w:eastAsia="ko-KR"/>
        </w:rPr>
      </w:pPr>
    </w:p>
    <w:p w14:paraId="41118573" w14:textId="59F75E39" w:rsidR="00EC37A5" w:rsidRPr="009A5DA9" w:rsidRDefault="00EC37A5" w:rsidP="00EC37A5">
      <w:pPr>
        <w:pStyle w:val="ListParagraph"/>
        <w:numPr>
          <w:ilvl w:val="0"/>
          <w:numId w:val="14"/>
        </w:numPr>
        <w:ind w:left="567" w:hanging="283"/>
        <w:jc w:val="both"/>
        <w:rPr>
          <w:rFonts w:asciiTheme="majorHAnsi" w:hAnsiTheme="majorHAnsi" w:cstheme="majorHAnsi"/>
          <w:b/>
          <w:sz w:val="20"/>
          <w:szCs w:val="20"/>
        </w:rPr>
      </w:pPr>
      <w:r>
        <w:rPr>
          <w:rFonts w:asciiTheme="majorHAnsi" w:hAnsiTheme="majorHAnsi" w:cstheme="majorHAnsi"/>
          <w:b/>
          <w:sz w:val="20"/>
          <w:szCs w:val="20"/>
        </w:rPr>
        <w:t>FINDINGS</w:t>
      </w:r>
    </w:p>
    <w:p w14:paraId="5E9067F9" w14:textId="77777777" w:rsidR="00EC37A5" w:rsidRPr="00EC37A5" w:rsidRDefault="00EC37A5" w:rsidP="00EC37A5">
      <w:pPr>
        <w:ind w:left="284" w:firstLine="283"/>
        <w:jc w:val="both"/>
        <w:rPr>
          <w:rFonts w:asciiTheme="majorHAnsi" w:hAnsiTheme="majorHAnsi" w:cstheme="majorHAnsi"/>
          <w:sz w:val="20"/>
          <w:szCs w:val="20"/>
        </w:rPr>
      </w:pPr>
      <w:r w:rsidRPr="00EC37A5">
        <w:rPr>
          <w:rFonts w:asciiTheme="majorHAnsi" w:hAnsiTheme="majorHAnsi" w:cstheme="majorHAnsi"/>
          <w:sz w:val="20"/>
          <w:szCs w:val="20"/>
        </w:rPr>
        <w:t xml:space="preserve">The comparison of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Batu Aceh, and </w:t>
      </w:r>
      <w:proofErr w:type="spellStart"/>
      <w:r w:rsidRPr="00EC37A5">
        <w:rPr>
          <w:rFonts w:asciiTheme="majorHAnsi" w:hAnsiTheme="majorHAnsi" w:cstheme="majorHAnsi"/>
          <w:sz w:val="20"/>
          <w:szCs w:val="20"/>
        </w:rPr>
        <w:t>Sunduk</w:t>
      </w:r>
      <w:proofErr w:type="spellEnd"/>
      <w:r w:rsidRPr="00EC37A5">
        <w:rPr>
          <w:rFonts w:asciiTheme="majorHAnsi" w:hAnsiTheme="majorHAnsi" w:cstheme="majorHAnsi"/>
          <w:sz w:val="20"/>
          <w:szCs w:val="20"/>
        </w:rPr>
        <w:t xml:space="preserve"> grave markers reveals significant insights into the evolution and design approach of these grave markers. While displaying distinct Indigenous characteristics,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marker also bears the influence of Batu Aceh and </w:t>
      </w:r>
      <w:proofErr w:type="spellStart"/>
      <w:r w:rsidRPr="00EC37A5">
        <w:rPr>
          <w:rFonts w:asciiTheme="majorHAnsi" w:hAnsiTheme="majorHAnsi" w:cstheme="majorHAnsi"/>
          <w:sz w:val="20"/>
          <w:szCs w:val="20"/>
        </w:rPr>
        <w:t>Sunduk</w:t>
      </w:r>
      <w:proofErr w:type="spellEnd"/>
      <w:r w:rsidRPr="00EC37A5">
        <w:rPr>
          <w:rFonts w:asciiTheme="majorHAnsi" w:hAnsiTheme="majorHAnsi" w:cstheme="majorHAnsi"/>
          <w:sz w:val="20"/>
          <w:szCs w:val="20"/>
        </w:rPr>
        <w:t xml:space="preserve"> in its design, indicating a cultural and artistic dialogue between these communities. The comparison of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Batu Aceh, and </w:t>
      </w:r>
      <w:proofErr w:type="spellStart"/>
      <w:r w:rsidRPr="00EC37A5">
        <w:rPr>
          <w:rFonts w:asciiTheme="majorHAnsi" w:hAnsiTheme="majorHAnsi" w:cstheme="majorHAnsi"/>
          <w:sz w:val="20"/>
          <w:szCs w:val="20"/>
        </w:rPr>
        <w:t>Sunduk</w:t>
      </w:r>
      <w:proofErr w:type="spellEnd"/>
      <w:r w:rsidRPr="00EC37A5">
        <w:rPr>
          <w:rFonts w:asciiTheme="majorHAnsi" w:hAnsiTheme="majorHAnsi" w:cstheme="majorHAnsi"/>
          <w:sz w:val="20"/>
          <w:szCs w:val="20"/>
        </w:rPr>
        <w:t xml:space="preserve"> grave markers reveals significant insights into the evolution and design approach of these grave markers. While displaying distinct indigenous characteristics,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marker also bears the influence of Batu Aceh and </w:t>
      </w:r>
      <w:proofErr w:type="spellStart"/>
      <w:r w:rsidRPr="00EC37A5">
        <w:rPr>
          <w:rFonts w:asciiTheme="majorHAnsi" w:hAnsiTheme="majorHAnsi" w:cstheme="majorHAnsi"/>
          <w:sz w:val="20"/>
          <w:szCs w:val="20"/>
        </w:rPr>
        <w:t>Sunduk</w:t>
      </w:r>
      <w:proofErr w:type="spellEnd"/>
      <w:r w:rsidRPr="00EC37A5">
        <w:rPr>
          <w:rFonts w:asciiTheme="majorHAnsi" w:hAnsiTheme="majorHAnsi" w:cstheme="majorHAnsi"/>
          <w:sz w:val="20"/>
          <w:szCs w:val="20"/>
        </w:rPr>
        <w:t xml:space="preserve"> in its design, indicating a cultural and artistic dialogue between these communities.</w:t>
      </w:r>
    </w:p>
    <w:p w14:paraId="64F1B570" w14:textId="77777777" w:rsidR="00EC37A5" w:rsidRPr="00EC37A5" w:rsidRDefault="00EC37A5" w:rsidP="00EC37A5">
      <w:pPr>
        <w:ind w:left="284" w:firstLine="283"/>
        <w:jc w:val="both"/>
        <w:rPr>
          <w:rFonts w:asciiTheme="majorHAnsi" w:hAnsiTheme="majorHAnsi" w:cstheme="majorHAnsi"/>
          <w:sz w:val="20"/>
          <w:szCs w:val="20"/>
        </w:rPr>
      </w:pPr>
      <w:r w:rsidRPr="00EC37A5">
        <w:rPr>
          <w:rFonts w:asciiTheme="majorHAnsi" w:hAnsiTheme="majorHAnsi" w:cstheme="majorHAnsi"/>
          <w:sz w:val="20"/>
          <w:szCs w:val="20"/>
        </w:rPr>
        <w:t xml:space="preserve">The use of floral, Islamic motifs and geometric patterns on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marker demonstrates the influence of Batu Aceh. This integration suggests a historical period of significant cultural exchange, most likely facilitated by trade and religious interactions. On the other hand,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marker incorporates these influences into its cultural context, blending them with local artistic traditions. Similarly, </w:t>
      </w:r>
      <w:proofErr w:type="spellStart"/>
      <w:r w:rsidRPr="00EC37A5">
        <w:rPr>
          <w:rFonts w:asciiTheme="majorHAnsi" w:hAnsiTheme="majorHAnsi" w:cstheme="majorHAnsi"/>
          <w:sz w:val="20"/>
          <w:szCs w:val="20"/>
        </w:rPr>
        <w:t>Sunduk's</w:t>
      </w:r>
      <w:proofErr w:type="spellEnd"/>
      <w:r w:rsidRPr="00EC37A5">
        <w:rPr>
          <w:rFonts w:asciiTheme="majorHAnsi" w:hAnsiTheme="majorHAnsi" w:cstheme="majorHAnsi"/>
          <w:sz w:val="20"/>
          <w:szCs w:val="20"/>
        </w:rPr>
        <w:t xml:space="preserve"> influence can be seen in the functional aspects of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marker. The </w:t>
      </w:r>
      <w:proofErr w:type="spellStart"/>
      <w:r w:rsidRPr="00EC37A5">
        <w:rPr>
          <w:rFonts w:asciiTheme="majorHAnsi" w:hAnsiTheme="majorHAnsi" w:cstheme="majorHAnsi"/>
          <w:sz w:val="20"/>
          <w:szCs w:val="20"/>
        </w:rPr>
        <w:t>Sunduk's</w:t>
      </w:r>
      <w:proofErr w:type="spellEnd"/>
      <w:r w:rsidRPr="00EC37A5">
        <w:rPr>
          <w:rFonts w:asciiTheme="majorHAnsi" w:hAnsiTheme="majorHAnsi" w:cstheme="majorHAnsi"/>
          <w:sz w:val="20"/>
          <w:szCs w:val="20"/>
        </w:rPr>
        <w:t xml:space="preserve"> simpler, more practical design reflects the nomadic lifestyle of the Bajau, implying that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marker incorporated these elements to meet their environmental and social needs.</w:t>
      </w:r>
    </w:p>
    <w:p w14:paraId="27CA7ECD" w14:textId="77777777" w:rsidR="00EC37A5" w:rsidRPr="00EC37A5" w:rsidRDefault="00EC37A5" w:rsidP="00EC37A5">
      <w:pPr>
        <w:ind w:left="284" w:firstLine="283"/>
        <w:jc w:val="both"/>
        <w:rPr>
          <w:rFonts w:asciiTheme="majorHAnsi" w:hAnsiTheme="majorHAnsi" w:cstheme="majorHAnsi"/>
          <w:sz w:val="20"/>
          <w:szCs w:val="20"/>
        </w:rPr>
      </w:pPr>
      <w:r w:rsidRPr="00EC37A5">
        <w:rPr>
          <w:rFonts w:asciiTheme="majorHAnsi" w:hAnsiTheme="majorHAnsi" w:cstheme="majorHAnsi"/>
          <w:sz w:val="20"/>
          <w:szCs w:val="20"/>
        </w:rPr>
        <w:t xml:space="preserve">These observations' synthesis reveals similarities and differences in the grave markers.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marker and Batu Aceh share a common Islamic influence in their designs. Yet, the former integrates more indigenous elements, making it a unique blend of two cultural worlds. The Bajau </w:t>
      </w:r>
      <w:proofErr w:type="spellStart"/>
      <w:r w:rsidRPr="00EC37A5">
        <w:rPr>
          <w:rFonts w:asciiTheme="majorHAnsi" w:hAnsiTheme="majorHAnsi" w:cstheme="majorHAnsi"/>
          <w:sz w:val="20"/>
          <w:szCs w:val="20"/>
        </w:rPr>
        <w:t>Sunduk</w:t>
      </w:r>
      <w:proofErr w:type="spellEnd"/>
      <w:r w:rsidRPr="00EC37A5">
        <w:rPr>
          <w:rFonts w:asciiTheme="majorHAnsi" w:hAnsiTheme="majorHAnsi" w:cstheme="majorHAnsi"/>
          <w:sz w:val="20"/>
          <w:szCs w:val="20"/>
        </w:rPr>
        <w:t>, while distinct in its simplicity and function, underscores the diversity in the cultural practices surrounding death and commemoration in Southeast Asia.</w:t>
      </w:r>
    </w:p>
    <w:p w14:paraId="1E6F54A4" w14:textId="77777777" w:rsidR="00EC37A5" w:rsidRPr="00EC37A5" w:rsidRDefault="00EC37A5" w:rsidP="00EC37A5">
      <w:pPr>
        <w:ind w:left="284" w:firstLine="283"/>
        <w:jc w:val="both"/>
        <w:rPr>
          <w:rFonts w:asciiTheme="majorHAnsi" w:hAnsiTheme="majorHAnsi" w:cstheme="majorHAnsi"/>
          <w:sz w:val="20"/>
          <w:szCs w:val="20"/>
        </w:rPr>
      </w:pPr>
      <w:r w:rsidRPr="00EC37A5">
        <w:rPr>
          <w:rFonts w:asciiTheme="majorHAnsi" w:hAnsiTheme="majorHAnsi" w:cstheme="majorHAnsi"/>
          <w:sz w:val="20"/>
          <w:szCs w:val="20"/>
        </w:rPr>
        <w:t xml:space="preserve">Critically discussing these markers, it becomes evident that each type serves as a cultural artifact, encapsulating the beliefs, traditions, and artistic expressions of their respective communities. The grave markers not only signify the final resting places of individuals but also stand as enduring symbols of the cultural and historical narratives of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ethnic, the Aceh Muslim communities, and the Bajau sea nomads.</w:t>
      </w:r>
    </w:p>
    <w:p w14:paraId="300EED13" w14:textId="77777777" w:rsidR="00EC37A5" w:rsidRPr="00EC37A5" w:rsidRDefault="00EC37A5" w:rsidP="00EC37A5">
      <w:pPr>
        <w:ind w:left="284" w:firstLine="283"/>
        <w:jc w:val="both"/>
        <w:rPr>
          <w:rFonts w:asciiTheme="majorHAnsi" w:hAnsiTheme="majorHAnsi" w:cstheme="majorHAnsi"/>
          <w:sz w:val="20"/>
          <w:szCs w:val="20"/>
        </w:rPr>
      </w:pPr>
      <w:r w:rsidRPr="00EC37A5">
        <w:rPr>
          <w:rFonts w:asciiTheme="majorHAnsi" w:hAnsiTheme="majorHAnsi" w:cstheme="majorHAnsi"/>
          <w:sz w:val="20"/>
          <w:szCs w:val="20"/>
        </w:rPr>
        <w:t xml:space="preserve">Floral motifs are fundamental in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markers art, encompassing elements like leaves, stems, roots, shoots, and flowers, typically symmetrical and intertwining upwards. The three basic phases of motif development include elements and dotted lines, motif shapes, and motif arrangement, evident in Jatti </w:t>
      </w:r>
      <w:proofErr w:type="spellStart"/>
      <w:r w:rsidRPr="00EC37A5">
        <w:rPr>
          <w:rFonts w:asciiTheme="majorHAnsi" w:hAnsiTheme="majorHAnsi" w:cstheme="majorHAnsi"/>
          <w:sz w:val="20"/>
          <w:szCs w:val="20"/>
        </w:rPr>
        <w:t>Miriek's</w:t>
      </w:r>
      <w:proofErr w:type="spellEnd"/>
      <w:r w:rsidRPr="00EC37A5">
        <w:rPr>
          <w:rFonts w:asciiTheme="majorHAnsi" w:hAnsiTheme="majorHAnsi" w:cstheme="majorHAnsi"/>
          <w:sz w:val="20"/>
          <w:szCs w:val="20"/>
        </w:rPr>
        <w:t xml:space="preserve"> grave marker carvings. In contrast, geometric motifs are less prevalent, especially on men's cylindrical gravestones, while women's gravestones offer more detailed carvings due to their plankboard structure. </w:t>
      </w:r>
    </w:p>
    <w:p w14:paraId="093CA1E3" w14:textId="53AD1B3A" w:rsidR="009A5DA9" w:rsidRDefault="00EC37A5" w:rsidP="00EC37A5">
      <w:pPr>
        <w:ind w:left="284" w:firstLine="283"/>
        <w:jc w:val="both"/>
        <w:rPr>
          <w:rFonts w:asciiTheme="majorHAnsi" w:hAnsiTheme="majorHAnsi" w:cstheme="majorHAnsi"/>
          <w:sz w:val="20"/>
          <w:szCs w:val="20"/>
        </w:rPr>
      </w:pPr>
      <w:r w:rsidRPr="00EC37A5">
        <w:rPr>
          <w:rFonts w:asciiTheme="majorHAnsi" w:hAnsiTheme="majorHAnsi" w:cstheme="majorHAnsi"/>
          <w:sz w:val="20"/>
          <w:szCs w:val="20"/>
        </w:rPr>
        <w:t xml:space="preserve">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grave marker is a one-of-a-kind cultural artifact that combines indigenous, Islamic, and regional artistic elements. It exemplifies the ever-changing nature of cultural heritage, in which art forms evolve and adapt, borrowing and incorporating elements from </w:t>
      </w:r>
      <w:proofErr w:type="spellStart"/>
      <w:r w:rsidRPr="00EC37A5">
        <w:rPr>
          <w:rFonts w:asciiTheme="majorHAnsi" w:hAnsiTheme="majorHAnsi" w:cstheme="majorHAnsi"/>
          <w:sz w:val="20"/>
          <w:szCs w:val="20"/>
        </w:rPr>
        <w:t>neighboring</w:t>
      </w:r>
      <w:proofErr w:type="spellEnd"/>
      <w:r w:rsidRPr="00EC37A5">
        <w:rPr>
          <w:rFonts w:asciiTheme="majorHAnsi" w:hAnsiTheme="majorHAnsi" w:cstheme="majorHAnsi"/>
          <w:sz w:val="20"/>
          <w:szCs w:val="20"/>
        </w:rPr>
        <w:t xml:space="preserve"> cultures while retaining their distinct identity</w:t>
      </w:r>
      <w:r>
        <w:rPr>
          <w:rFonts w:asciiTheme="majorHAnsi" w:hAnsiTheme="majorHAnsi" w:cstheme="majorHAnsi"/>
          <w:sz w:val="20"/>
          <w:szCs w:val="20"/>
        </w:rPr>
        <w:t>.</w:t>
      </w:r>
    </w:p>
    <w:p w14:paraId="006DAB6D" w14:textId="77777777" w:rsidR="005C28E2" w:rsidRDefault="005C28E2" w:rsidP="00EC37A5">
      <w:pPr>
        <w:ind w:left="284" w:firstLine="283"/>
        <w:jc w:val="both"/>
        <w:rPr>
          <w:rFonts w:asciiTheme="majorHAnsi" w:hAnsiTheme="majorHAnsi" w:cstheme="majorHAnsi"/>
          <w:sz w:val="20"/>
          <w:szCs w:val="20"/>
        </w:rPr>
      </w:pPr>
    </w:p>
    <w:p w14:paraId="267FF040" w14:textId="77777777" w:rsidR="005C28E2" w:rsidRPr="00D132AE" w:rsidRDefault="005C28E2" w:rsidP="00EC37A5">
      <w:pPr>
        <w:ind w:left="284" w:firstLine="283"/>
        <w:jc w:val="both"/>
        <w:rPr>
          <w:rFonts w:asciiTheme="majorHAnsi" w:hAnsiTheme="majorHAnsi" w:cstheme="majorHAnsi"/>
          <w:sz w:val="20"/>
          <w:szCs w:val="20"/>
          <w:lang w:val="id-ID"/>
        </w:rPr>
      </w:pPr>
    </w:p>
    <w:p w14:paraId="218B9966" w14:textId="77777777" w:rsidR="009A5DA9" w:rsidRDefault="009A5DA9" w:rsidP="009A5DA9">
      <w:pPr>
        <w:ind w:left="284" w:firstLine="283"/>
        <w:jc w:val="both"/>
        <w:rPr>
          <w:rFonts w:asciiTheme="majorHAnsi" w:hAnsiTheme="majorHAnsi" w:cstheme="majorHAnsi"/>
          <w:sz w:val="20"/>
          <w:szCs w:val="20"/>
        </w:rPr>
      </w:pPr>
    </w:p>
    <w:p w14:paraId="4397BC75" w14:textId="2B60FB12" w:rsidR="0079305C" w:rsidRDefault="0079305C" w:rsidP="00EC37A5">
      <w:pPr>
        <w:pStyle w:val="ListParagraph"/>
        <w:numPr>
          <w:ilvl w:val="3"/>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1E16B758" w14:textId="77777777" w:rsidR="00EC37A5" w:rsidRPr="00EC37A5" w:rsidRDefault="00EC37A5" w:rsidP="005C28E2">
      <w:pPr>
        <w:spacing w:before="20" w:after="20"/>
        <w:ind w:firstLine="283"/>
        <w:jc w:val="both"/>
        <w:rPr>
          <w:rFonts w:asciiTheme="majorHAnsi" w:hAnsiTheme="majorHAnsi" w:cstheme="majorHAnsi"/>
          <w:bCs/>
          <w:iCs/>
          <w:sz w:val="20"/>
          <w:szCs w:val="20"/>
          <w:lang w:val="id-ID"/>
        </w:rPr>
      </w:pPr>
      <w:r w:rsidRPr="00EC37A5">
        <w:rPr>
          <w:rFonts w:asciiTheme="majorHAnsi" w:hAnsiTheme="majorHAnsi" w:cstheme="majorHAnsi"/>
          <w:bCs/>
          <w:iCs/>
          <w:sz w:val="20"/>
          <w:szCs w:val="20"/>
          <w:lang w:val="id-ID"/>
        </w:rPr>
        <w:t xml:space="preserve">The parallels between the Jatti Miriek grave markers and the </w:t>
      </w:r>
      <w:r w:rsidRPr="00EC37A5">
        <w:rPr>
          <w:rFonts w:asciiTheme="majorHAnsi" w:hAnsiTheme="majorHAnsi" w:cstheme="majorHAnsi"/>
          <w:bCs/>
          <w:i/>
          <w:sz w:val="20"/>
          <w:szCs w:val="20"/>
          <w:lang w:val="id-ID"/>
        </w:rPr>
        <w:t>Batu Aceh</w:t>
      </w:r>
      <w:r w:rsidRPr="00EC37A5">
        <w:rPr>
          <w:rFonts w:asciiTheme="majorHAnsi" w:hAnsiTheme="majorHAnsi" w:cstheme="majorHAnsi"/>
          <w:bCs/>
          <w:iCs/>
          <w:sz w:val="20"/>
          <w:szCs w:val="20"/>
          <w:lang w:val="id-ID"/>
        </w:rPr>
        <w:t xml:space="preserve"> were noted at the outset of the discussion, suggesting that the </w:t>
      </w:r>
      <w:r w:rsidRPr="00EC37A5">
        <w:rPr>
          <w:rFonts w:asciiTheme="majorHAnsi" w:hAnsiTheme="majorHAnsi" w:cstheme="majorHAnsi"/>
          <w:bCs/>
          <w:i/>
          <w:sz w:val="20"/>
          <w:szCs w:val="20"/>
          <w:lang w:val="id-ID"/>
        </w:rPr>
        <w:t>Batu Aceh</w:t>
      </w:r>
      <w:r w:rsidRPr="00EC37A5">
        <w:rPr>
          <w:rFonts w:asciiTheme="majorHAnsi" w:hAnsiTheme="majorHAnsi" w:cstheme="majorHAnsi"/>
          <w:bCs/>
          <w:iCs/>
          <w:sz w:val="20"/>
          <w:szCs w:val="20"/>
          <w:lang w:val="id-ID"/>
        </w:rPr>
        <w:t xml:space="preserve"> may have had an early effect on design circa 1800 AD. Moreover, it is thought that over the 19</w:t>
      </w:r>
      <w:r w:rsidRPr="00EC37A5">
        <w:rPr>
          <w:rFonts w:asciiTheme="majorHAnsi" w:hAnsiTheme="majorHAnsi" w:cstheme="majorHAnsi"/>
          <w:bCs/>
          <w:iCs/>
          <w:sz w:val="20"/>
          <w:szCs w:val="20"/>
          <w:vertAlign w:val="superscript"/>
          <w:lang w:val="id-ID"/>
        </w:rPr>
        <w:t>th</w:t>
      </w:r>
      <w:r w:rsidRPr="00EC37A5">
        <w:rPr>
          <w:rFonts w:asciiTheme="majorHAnsi" w:hAnsiTheme="majorHAnsi" w:cstheme="majorHAnsi"/>
          <w:bCs/>
          <w:iCs/>
          <w:sz w:val="20"/>
          <w:szCs w:val="20"/>
          <w:lang w:val="id-ID"/>
        </w:rPr>
        <w:t xml:space="preserve"> and 20</w:t>
      </w:r>
      <w:r w:rsidRPr="00EC37A5">
        <w:rPr>
          <w:rFonts w:asciiTheme="majorHAnsi" w:hAnsiTheme="majorHAnsi" w:cstheme="majorHAnsi"/>
          <w:bCs/>
          <w:iCs/>
          <w:sz w:val="20"/>
          <w:szCs w:val="20"/>
          <w:vertAlign w:val="superscript"/>
          <w:lang w:val="id-ID"/>
        </w:rPr>
        <w:t>th</w:t>
      </w:r>
      <w:r w:rsidRPr="00EC37A5">
        <w:rPr>
          <w:rFonts w:asciiTheme="majorHAnsi" w:hAnsiTheme="majorHAnsi" w:cstheme="majorHAnsi"/>
          <w:bCs/>
          <w:iCs/>
          <w:sz w:val="20"/>
          <w:szCs w:val="20"/>
          <w:lang w:val="id-ID"/>
        </w:rPr>
        <w:t xml:space="preserve"> centuries, grave marker designs changed throughout the Malay Archipelago to suit the local environment and culture better. These changes included modifications to the motifs and choice of materials. The Malay Peninsula, </w:t>
      </w:r>
      <w:r w:rsidRPr="00EC37A5">
        <w:rPr>
          <w:rFonts w:asciiTheme="majorHAnsi" w:hAnsiTheme="majorHAnsi" w:cstheme="majorHAnsi"/>
          <w:bCs/>
          <w:iCs/>
          <w:sz w:val="20"/>
          <w:szCs w:val="20"/>
        </w:rPr>
        <w:t>S</w:t>
      </w:r>
      <w:r w:rsidRPr="00EC37A5">
        <w:rPr>
          <w:rFonts w:asciiTheme="majorHAnsi" w:hAnsiTheme="majorHAnsi" w:cstheme="majorHAnsi"/>
          <w:bCs/>
          <w:iCs/>
          <w:sz w:val="20"/>
          <w:szCs w:val="20"/>
          <w:lang w:val="id-ID"/>
        </w:rPr>
        <w:t xml:space="preserve">outhern Thailand, the Borneo islands, and the </w:t>
      </w:r>
      <w:r w:rsidRPr="00EC37A5">
        <w:rPr>
          <w:rFonts w:asciiTheme="majorHAnsi" w:hAnsiTheme="majorHAnsi" w:cstheme="majorHAnsi"/>
          <w:bCs/>
          <w:iCs/>
          <w:sz w:val="20"/>
          <w:szCs w:val="20"/>
        </w:rPr>
        <w:t>S</w:t>
      </w:r>
      <w:r w:rsidRPr="00EC37A5">
        <w:rPr>
          <w:rFonts w:asciiTheme="majorHAnsi" w:hAnsiTheme="majorHAnsi" w:cstheme="majorHAnsi"/>
          <w:bCs/>
          <w:iCs/>
          <w:sz w:val="20"/>
          <w:szCs w:val="20"/>
          <w:lang w:val="id-ID"/>
        </w:rPr>
        <w:t xml:space="preserve">outhern Philippines have all been observed to be affected by this effect. Of special note is the change from stone to wood, such as </w:t>
      </w:r>
      <w:r w:rsidRPr="00EC37A5">
        <w:rPr>
          <w:rFonts w:asciiTheme="majorHAnsi" w:hAnsiTheme="majorHAnsi" w:cstheme="majorHAnsi"/>
          <w:bCs/>
          <w:i/>
          <w:sz w:val="20"/>
          <w:szCs w:val="20"/>
          <w:lang w:val="id-ID"/>
        </w:rPr>
        <w:t>belian</w:t>
      </w:r>
      <w:r w:rsidRPr="00EC37A5">
        <w:rPr>
          <w:rFonts w:asciiTheme="majorHAnsi" w:hAnsiTheme="majorHAnsi" w:cstheme="majorHAnsi"/>
          <w:bCs/>
          <w:iCs/>
          <w:sz w:val="20"/>
          <w:szCs w:val="20"/>
          <w:lang w:val="id-ID"/>
        </w:rPr>
        <w:t xml:space="preserve"> wood, for grave markers. </w:t>
      </w:r>
    </w:p>
    <w:p w14:paraId="688470CD" w14:textId="77777777" w:rsidR="00EC37A5" w:rsidRPr="00EC37A5" w:rsidRDefault="00EC37A5" w:rsidP="005C28E2">
      <w:pPr>
        <w:spacing w:before="20" w:after="20"/>
        <w:ind w:firstLine="283"/>
        <w:jc w:val="both"/>
        <w:rPr>
          <w:rFonts w:asciiTheme="majorHAnsi" w:hAnsiTheme="majorHAnsi" w:cstheme="majorHAnsi"/>
          <w:bCs/>
          <w:iCs/>
          <w:sz w:val="20"/>
          <w:szCs w:val="20"/>
          <w:lang w:val="id-ID"/>
        </w:rPr>
      </w:pPr>
      <w:r w:rsidRPr="00EC37A5">
        <w:rPr>
          <w:rFonts w:asciiTheme="majorHAnsi" w:hAnsiTheme="majorHAnsi" w:cstheme="majorHAnsi"/>
          <w:bCs/>
          <w:iCs/>
          <w:sz w:val="20"/>
          <w:szCs w:val="20"/>
          <w:lang w:val="id-ID"/>
        </w:rPr>
        <w:t xml:space="preserve">The discussion then explores the intricate relationship between floral and geometric motifs in the wood carving art of Jatti Miriek community gravestones and their beliefs, Islam, and cultural identity. Firstly, these motifs reflect the community's beliefs and spirituality, emphasizing their close connection with nature and the symbolic significance of flora as representations of life, beauty, and spiritual growth. Secondly, the influence of Islam is evident in the gravestone carvings, with motifs portraying Islamic concepts like unity, harmony, and the eternal aspects of God, reflecting the community's adherence to Islamic teachings regarding order and respect for nature. </w:t>
      </w:r>
    </w:p>
    <w:p w14:paraId="3BE84D67" w14:textId="77777777" w:rsidR="00EC37A5" w:rsidRPr="00EC37A5" w:rsidRDefault="00EC37A5" w:rsidP="005C28E2">
      <w:pPr>
        <w:spacing w:before="20" w:after="20"/>
        <w:ind w:firstLine="283"/>
        <w:jc w:val="both"/>
        <w:rPr>
          <w:rFonts w:asciiTheme="majorHAnsi" w:hAnsiTheme="majorHAnsi" w:cstheme="majorHAnsi"/>
          <w:bCs/>
          <w:iCs/>
          <w:sz w:val="20"/>
          <w:szCs w:val="20"/>
          <w:lang w:val="id-ID"/>
        </w:rPr>
      </w:pPr>
      <w:r w:rsidRPr="00EC37A5">
        <w:rPr>
          <w:rFonts w:asciiTheme="majorHAnsi" w:hAnsiTheme="majorHAnsi" w:cstheme="majorHAnsi"/>
          <w:bCs/>
          <w:iCs/>
          <w:sz w:val="20"/>
          <w:szCs w:val="20"/>
        </w:rPr>
        <w:t>The a</w:t>
      </w:r>
      <w:r w:rsidRPr="00EC37A5">
        <w:rPr>
          <w:rFonts w:asciiTheme="majorHAnsi" w:hAnsiTheme="majorHAnsi" w:cstheme="majorHAnsi"/>
          <w:bCs/>
          <w:iCs/>
          <w:sz w:val="20"/>
          <w:szCs w:val="20"/>
          <w:lang w:val="id-ID"/>
        </w:rPr>
        <w:t xml:space="preserve">nalysis reveals that floral motifs, particularly </w:t>
      </w:r>
      <w:r w:rsidRPr="00EC37A5">
        <w:rPr>
          <w:rFonts w:asciiTheme="majorHAnsi" w:hAnsiTheme="majorHAnsi" w:cstheme="majorHAnsi"/>
          <w:bCs/>
          <w:i/>
          <w:sz w:val="20"/>
          <w:szCs w:val="20"/>
          <w:lang w:val="id-ID"/>
        </w:rPr>
        <w:t>Sulur Kacang</w:t>
      </w:r>
      <w:r w:rsidRPr="00EC37A5">
        <w:rPr>
          <w:rFonts w:asciiTheme="majorHAnsi" w:hAnsiTheme="majorHAnsi" w:cstheme="majorHAnsi"/>
          <w:bCs/>
          <w:iCs/>
          <w:sz w:val="20"/>
          <w:szCs w:val="20"/>
          <w:lang w:val="id-ID"/>
        </w:rPr>
        <w:t xml:space="preserve">, </w:t>
      </w:r>
      <w:r w:rsidRPr="00EC37A5">
        <w:rPr>
          <w:rFonts w:asciiTheme="majorHAnsi" w:hAnsiTheme="majorHAnsi" w:cstheme="majorHAnsi"/>
          <w:bCs/>
          <w:i/>
          <w:sz w:val="20"/>
          <w:szCs w:val="20"/>
          <w:lang w:val="id-ID"/>
        </w:rPr>
        <w:t>Sulur Bunga Melati</w:t>
      </w:r>
      <w:r w:rsidRPr="00EC37A5">
        <w:rPr>
          <w:rFonts w:asciiTheme="majorHAnsi" w:hAnsiTheme="majorHAnsi" w:cstheme="majorHAnsi"/>
          <w:bCs/>
          <w:iCs/>
          <w:sz w:val="20"/>
          <w:szCs w:val="20"/>
          <w:lang w:val="id-ID"/>
        </w:rPr>
        <w:t xml:space="preserve">, and </w:t>
      </w:r>
      <w:r w:rsidRPr="00EC37A5">
        <w:rPr>
          <w:rFonts w:asciiTheme="majorHAnsi" w:hAnsiTheme="majorHAnsi" w:cstheme="majorHAnsi"/>
          <w:bCs/>
          <w:i/>
          <w:sz w:val="20"/>
          <w:szCs w:val="20"/>
          <w:lang w:val="id-ID"/>
        </w:rPr>
        <w:t>Nanas</w:t>
      </w:r>
      <w:r w:rsidRPr="00EC37A5">
        <w:rPr>
          <w:rFonts w:asciiTheme="majorHAnsi" w:hAnsiTheme="majorHAnsi" w:cstheme="majorHAnsi"/>
          <w:bCs/>
          <w:iCs/>
          <w:sz w:val="20"/>
          <w:szCs w:val="20"/>
          <w:lang w:val="id-ID"/>
        </w:rPr>
        <w:t>, are distinct to Jatti Miriek, distinguishing their identity from other ethnic groups. This suggests that these motifs influence the production method of Jatti Miriek grave marker carvings, with floral motifs being the most prominent, followed by geometric motifs.</w:t>
      </w:r>
    </w:p>
    <w:p w14:paraId="59EE3598" w14:textId="77777777" w:rsidR="00EC37A5" w:rsidRPr="00EC37A5" w:rsidRDefault="00EC37A5" w:rsidP="005C28E2">
      <w:pPr>
        <w:spacing w:before="20" w:after="20"/>
        <w:ind w:firstLine="283"/>
        <w:jc w:val="both"/>
        <w:rPr>
          <w:rFonts w:asciiTheme="majorHAnsi" w:hAnsiTheme="majorHAnsi" w:cstheme="majorHAnsi"/>
          <w:bCs/>
          <w:iCs/>
          <w:sz w:val="20"/>
          <w:szCs w:val="20"/>
          <w:lang w:val="id-ID"/>
        </w:rPr>
      </w:pPr>
      <w:r w:rsidRPr="00EC37A5">
        <w:rPr>
          <w:rFonts w:asciiTheme="majorHAnsi" w:hAnsiTheme="majorHAnsi" w:cstheme="majorHAnsi"/>
          <w:bCs/>
          <w:iCs/>
          <w:sz w:val="20"/>
          <w:szCs w:val="20"/>
          <w:lang w:val="id-ID"/>
        </w:rPr>
        <w:t>Additionally, these motifs serve as cultural markers, distinguishing Jatti Miriek gravestone carvings from others in the Malay Archipelago and symbolizing the cultural and historical significance embedded within their identity. Overall, the wood carving art of Jatti Miriek gravestones uniquely expresses their intertwined beliefs, Islamic values, and strong cultural heritage, showcasing their reverence for nature, adherence to Islamic principles, and commitment to preserving their cultural identity and traditions.</w:t>
      </w:r>
    </w:p>
    <w:p w14:paraId="228AE582" w14:textId="77777777" w:rsidR="00EC37A5" w:rsidRPr="00EC37A5" w:rsidRDefault="00EC37A5" w:rsidP="005C28E2">
      <w:pPr>
        <w:spacing w:before="20" w:after="20"/>
        <w:ind w:firstLine="283"/>
        <w:jc w:val="both"/>
        <w:rPr>
          <w:rFonts w:asciiTheme="majorHAnsi" w:hAnsiTheme="majorHAnsi" w:cstheme="majorHAnsi"/>
          <w:bCs/>
          <w:iCs/>
          <w:sz w:val="20"/>
          <w:szCs w:val="20"/>
          <w:lang w:val="id-ID"/>
        </w:rPr>
      </w:pPr>
      <w:r w:rsidRPr="00EC37A5">
        <w:rPr>
          <w:rFonts w:asciiTheme="majorHAnsi" w:hAnsiTheme="majorHAnsi" w:cstheme="majorHAnsi"/>
          <w:bCs/>
          <w:iCs/>
          <w:sz w:val="20"/>
          <w:szCs w:val="20"/>
          <w:lang w:val="id-ID"/>
        </w:rPr>
        <w:t xml:space="preserve">To summarise, the Jatti Miriek grave marker is a product of its immediate cultural environment and a testament to Southeast Asia's broader historical and cultural exchanges. Its design reflects a complex tapestry of influences, symbolizing the region's rich cultural interactions throughout history. When the design elements and motifs of the Jatti Miriek grave marker are compared to those of </w:t>
      </w:r>
      <w:r w:rsidRPr="00EC37A5">
        <w:rPr>
          <w:rFonts w:asciiTheme="majorHAnsi" w:hAnsiTheme="majorHAnsi" w:cstheme="majorHAnsi"/>
          <w:bCs/>
          <w:i/>
          <w:iCs/>
          <w:sz w:val="20"/>
          <w:szCs w:val="20"/>
          <w:lang w:val="id-ID"/>
        </w:rPr>
        <w:t>Batu Aceh</w:t>
      </w:r>
      <w:r w:rsidRPr="00EC37A5">
        <w:rPr>
          <w:rFonts w:asciiTheme="majorHAnsi" w:hAnsiTheme="majorHAnsi" w:cstheme="majorHAnsi"/>
          <w:bCs/>
          <w:iCs/>
          <w:sz w:val="20"/>
          <w:szCs w:val="20"/>
          <w:lang w:val="id-ID"/>
        </w:rPr>
        <w:t xml:space="preserve"> and </w:t>
      </w:r>
      <w:r w:rsidRPr="00EC37A5">
        <w:rPr>
          <w:rFonts w:asciiTheme="majorHAnsi" w:hAnsiTheme="majorHAnsi" w:cstheme="majorHAnsi"/>
          <w:bCs/>
          <w:i/>
          <w:iCs/>
          <w:sz w:val="20"/>
          <w:szCs w:val="20"/>
          <w:lang w:val="id-ID"/>
        </w:rPr>
        <w:t>Sunduk</w:t>
      </w:r>
      <w:r w:rsidRPr="00EC37A5">
        <w:rPr>
          <w:rFonts w:asciiTheme="majorHAnsi" w:hAnsiTheme="majorHAnsi" w:cstheme="majorHAnsi"/>
          <w:bCs/>
          <w:iCs/>
          <w:sz w:val="20"/>
          <w:szCs w:val="20"/>
          <w:lang w:val="id-ID"/>
        </w:rPr>
        <w:t>, a rich tapestry of artistic expression emerges. The Jatti Miriek grave marker is notable for its symbolic depth and aesthetic complexity, with indigenous carvings intertwined with Islamic motifs. This blending of styles speaks to a larger story of cultural assimilation and artistic innovation, in which local traditions are enriched rather than overshadowed by outside influences.</w:t>
      </w:r>
    </w:p>
    <w:p w14:paraId="53F66E09" w14:textId="4593652C" w:rsidR="00554438" w:rsidRPr="00EC37A5" w:rsidRDefault="00EC37A5" w:rsidP="005C28E2">
      <w:pPr>
        <w:ind w:firstLine="283"/>
        <w:jc w:val="both"/>
        <w:rPr>
          <w:rFonts w:asciiTheme="majorHAnsi" w:hAnsiTheme="majorHAnsi" w:cstheme="majorHAnsi"/>
          <w:bCs/>
          <w:sz w:val="20"/>
          <w:szCs w:val="20"/>
          <w:lang w:val="id-ID"/>
        </w:rPr>
      </w:pPr>
      <w:r w:rsidRPr="00EC37A5">
        <w:rPr>
          <w:rFonts w:asciiTheme="majorHAnsi" w:hAnsiTheme="majorHAnsi" w:cstheme="majorHAnsi"/>
          <w:bCs/>
          <w:iCs/>
          <w:sz w:val="20"/>
          <w:szCs w:val="20"/>
          <w:lang w:val="id-ID"/>
        </w:rPr>
        <w:t xml:space="preserve">The study of these grave markers is historical and has contemporary relevance in terms of cultural heritage preservation. As a cultural artifact, the Jatti Miriek grave marker provides invaluable insights into the community's past and present, physically linking to their ancestral beliefs and practices. This link is critical in today's rapidly modernizing world, where traditional practices </w:t>
      </w:r>
      <w:r w:rsidRPr="00EC37A5">
        <w:rPr>
          <w:rFonts w:asciiTheme="majorHAnsi" w:hAnsiTheme="majorHAnsi" w:cstheme="majorHAnsi"/>
          <w:bCs/>
          <w:iCs/>
          <w:sz w:val="20"/>
          <w:szCs w:val="20"/>
        </w:rPr>
        <w:t xml:space="preserve">risk </w:t>
      </w:r>
      <w:r w:rsidRPr="00EC37A5">
        <w:rPr>
          <w:rFonts w:asciiTheme="majorHAnsi" w:hAnsiTheme="majorHAnsi" w:cstheme="majorHAnsi"/>
          <w:bCs/>
          <w:iCs/>
          <w:sz w:val="20"/>
          <w:szCs w:val="20"/>
          <w:lang w:val="id-ID"/>
        </w:rPr>
        <w:t>extinction</w:t>
      </w:r>
      <w:r w:rsidR="005E66A5" w:rsidRPr="00EC37A5">
        <w:rPr>
          <w:rFonts w:asciiTheme="majorHAnsi" w:hAnsiTheme="majorHAnsi" w:cstheme="majorHAnsi"/>
          <w:sz w:val="20"/>
          <w:szCs w:val="20"/>
        </w:rPr>
        <w:t>.</w:t>
      </w:r>
      <w:r w:rsidR="00554438" w:rsidRPr="00EC37A5">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5E66DD1C" w14:textId="1A332A59"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2BD8EC90" w:rsidR="00554438" w:rsidRPr="00536D0C" w:rsidRDefault="00EC37A5" w:rsidP="00536D0C">
      <w:pPr>
        <w:ind w:firstLine="284"/>
        <w:jc w:val="both"/>
        <w:rPr>
          <w:rFonts w:asciiTheme="majorHAnsi" w:hAnsiTheme="majorHAnsi" w:cstheme="majorHAnsi"/>
          <w:sz w:val="20"/>
          <w:szCs w:val="20"/>
        </w:rPr>
      </w:pPr>
      <w:r w:rsidRPr="00EC37A5">
        <w:rPr>
          <w:rFonts w:asciiTheme="majorHAnsi" w:hAnsiTheme="majorHAnsi" w:cstheme="majorHAnsi"/>
          <w:sz w:val="20"/>
          <w:szCs w:val="20"/>
        </w:rPr>
        <w:t xml:space="preserve">This research was supported by the University Fundamental Research Scheme (GPUF) grant funded by Sultan Idris Education University (2021-0226-106-01). We also thank everyone who helped with this research, notably the Sarawak State Library and the Jatti </w:t>
      </w:r>
      <w:proofErr w:type="spellStart"/>
      <w:r w:rsidRPr="00EC37A5">
        <w:rPr>
          <w:rFonts w:asciiTheme="majorHAnsi" w:hAnsiTheme="majorHAnsi" w:cstheme="majorHAnsi"/>
          <w:sz w:val="20"/>
          <w:szCs w:val="20"/>
        </w:rPr>
        <w:t>Miriek</w:t>
      </w:r>
      <w:proofErr w:type="spellEnd"/>
      <w:r w:rsidRPr="00EC37A5">
        <w:rPr>
          <w:rFonts w:asciiTheme="majorHAnsi" w:hAnsiTheme="majorHAnsi" w:cstheme="majorHAnsi"/>
          <w:sz w:val="20"/>
          <w:szCs w:val="20"/>
        </w:rPr>
        <w:t xml:space="preserve"> Association in Miri</w:t>
      </w:r>
      <w:r>
        <w:rPr>
          <w:rFonts w:asciiTheme="majorHAnsi" w:hAnsiTheme="majorHAnsi" w:cstheme="majorHAnsi"/>
          <w:sz w:val="20"/>
          <w:szCs w:val="20"/>
        </w:rPr>
        <w:t>.</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40126A0F"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356D6D40" w14:textId="77777777" w:rsidR="00EC37A5" w:rsidRPr="00EC37A5" w:rsidRDefault="00477FC8"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EC37A5" w:rsidRPr="00EC37A5">
        <w:rPr>
          <w:rFonts w:asciiTheme="majorHAnsi" w:hAnsiTheme="majorHAnsi" w:cstheme="majorHAnsi"/>
          <w:noProof/>
          <w:sz w:val="20"/>
          <w:szCs w:val="28"/>
        </w:rPr>
        <w:tab/>
        <w:t>E. Lambourn, "Grave markers, texts, and typologies: Seeing sources for the early history of Islam in Southeast Asia," Journal of the Economic and Social History of the Orient, vol. 51, no. 2, pp. 252-286, 2008. Doi: https://doi.org/10.1163/156852008X307447</w:t>
      </w:r>
    </w:p>
    <w:p w14:paraId="4204FC87"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[2]. </w:t>
      </w:r>
      <w:r w:rsidRPr="00EC37A5">
        <w:rPr>
          <w:rFonts w:asciiTheme="majorHAnsi" w:hAnsiTheme="majorHAnsi" w:cstheme="majorHAnsi"/>
          <w:noProof/>
          <w:sz w:val="20"/>
          <w:szCs w:val="28"/>
        </w:rPr>
        <w:tab/>
        <w:t>B. W. Andaya, "Religion and Commerce in Southeast Asia," in Oxford Research Encyclopedia of Asian History, Oxford: Oxford University Press, 2021.</w:t>
      </w:r>
    </w:p>
    <w:p w14:paraId="54589D6F"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[3]. </w:t>
      </w:r>
      <w:r w:rsidRPr="00EC37A5">
        <w:rPr>
          <w:rFonts w:asciiTheme="majorHAnsi" w:hAnsiTheme="majorHAnsi" w:cstheme="majorHAnsi"/>
          <w:noProof/>
          <w:sz w:val="20"/>
          <w:szCs w:val="28"/>
        </w:rPr>
        <w:tab/>
        <w:t>H. Ibrahim and M. Saidin, "Reka Bentuk Dekorasi Dan Hiasan Pada Batu Nisan Aceh Di Tapak Lamreh Aceh Besar, Aceh, Indonesia (Decorative Design and Ornamental Variety of Acehnese Grave markerss at Lamreh Aceh Besar, Aceh, Indonesia)," Jurnal Arkeologi Malaysia, vol. 33, no. 1, pp. 65-72, 2020.</w:t>
      </w:r>
    </w:p>
    <w:p w14:paraId="669C95B8" w14:textId="77777777" w:rsid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[4] </w:t>
      </w:r>
      <w:r w:rsidRPr="00EC37A5">
        <w:rPr>
          <w:rFonts w:asciiTheme="majorHAnsi" w:hAnsiTheme="majorHAnsi" w:cstheme="majorHAnsi"/>
          <w:noProof/>
          <w:sz w:val="20"/>
          <w:szCs w:val="28"/>
        </w:rPr>
        <w:tab/>
        <w:t>A. Ghofur, "Tela’ah kritis masuk dan berkembangnya Islam di Nusantara," J. Ushuluddin, vol. 17, no. 2, pp. 159-169, 2011. DOI: http://dx.doi.org/10.24014/jush.v17i2.689</w:t>
      </w:r>
    </w:p>
    <w:p w14:paraId="002AC687" w14:textId="77777777" w:rsidR="005C28E2" w:rsidRPr="00EC37A5" w:rsidRDefault="005C28E2"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p>
    <w:p w14:paraId="2028B15A"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lastRenderedPageBreak/>
        <w:t xml:space="preserve">[5] </w:t>
      </w:r>
      <w:r w:rsidRPr="00EC37A5">
        <w:rPr>
          <w:rFonts w:asciiTheme="majorHAnsi" w:hAnsiTheme="majorHAnsi" w:cstheme="majorHAnsi"/>
          <w:noProof/>
          <w:sz w:val="20"/>
          <w:szCs w:val="28"/>
        </w:rPr>
        <w:tab/>
        <w:t>M. A. A. Rahman, "Sejarah dan Perkembangan Islam di Sarawak Sebelum Merdeka" in Prosiding Nadwah Ulama Nusantara II Sumbangan Ulama dan Tokoh Agama Borneo: Ulama Penggerak Pembangunan Masyarakat, Bangi, Malaysia: Fakulti Pengajian Islam UKM [Universiti Kebangsaan Malaysia], pp. 434-447, 2003.</w:t>
      </w:r>
    </w:p>
    <w:p w14:paraId="542886B0"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[6] </w:t>
      </w:r>
      <w:r w:rsidRPr="00EC37A5">
        <w:rPr>
          <w:rFonts w:asciiTheme="majorHAnsi" w:hAnsiTheme="majorHAnsi" w:cstheme="majorHAnsi"/>
          <w:noProof/>
          <w:sz w:val="20"/>
          <w:szCs w:val="28"/>
        </w:rPr>
        <w:tab/>
        <w:t>Y. Chang, "Keeping their language, culture alive," The Borneo Post, Accessed: Sep. 26, 2021. [Online]. Available: https://www.theborneopost.com/2021/09/26/keeping-their-language-culture-alive/</w:t>
      </w:r>
    </w:p>
    <w:p w14:paraId="31C3E23C"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[7] </w:t>
      </w:r>
      <w:r w:rsidRPr="00EC37A5">
        <w:rPr>
          <w:rFonts w:asciiTheme="majorHAnsi" w:hAnsiTheme="majorHAnsi" w:cstheme="majorHAnsi"/>
          <w:noProof/>
          <w:sz w:val="20"/>
          <w:szCs w:val="28"/>
        </w:rPr>
        <w:tab/>
        <w:t>A. Jalil, M. Noh, M. Amin, W. M. Azam, and M. Alias, "Politico-Cultural-Religious Milieu of Southeast Asia: An Examination of Pre-Islamic Structures of Authority and Syncretic Practices," KEMANUSIAAN: The Asian Journal of Humanities, vol. 26, no. 2, 2019. Doi: https://doi.org/10.21315/kajh2019.26.s1.6</w:t>
      </w:r>
    </w:p>
    <w:p w14:paraId="42CAD889"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[8] </w:t>
      </w:r>
      <w:r w:rsidRPr="00EC37A5">
        <w:rPr>
          <w:rFonts w:asciiTheme="majorHAnsi" w:hAnsiTheme="majorHAnsi" w:cstheme="majorHAnsi"/>
          <w:noProof/>
          <w:sz w:val="20"/>
          <w:szCs w:val="28"/>
        </w:rPr>
        <w:tab/>
        <w:t>A. N. Farish and E. Khoo, The Art of Malay Woodcarving, Singapore: Periplus Edition, 2003.</w:t>
      </w:r>
    </w:p>
    <w:p w14:paraId="7AE1D735"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[9] </w:t>
      </w:r>
      <w:r w:rsidRPr="00EC37A5">
        <w:rPr>
          <w:rFonts w:asciiTheme="majorHAnsi" w:hAnsiTheme="majorHAnsi" w:cstheme="majorHAnsi"/>
          <w:noProof/>
          <w:sz w:val="20"/>
          <w:szCs w:val="28"/>
        </w:rPr>
        <w:tab/>
        <w:t>R. Othman, "The language of the Langkasukan motif," Indonesia and the Malay World, vol. 33, no. 96, pp. 97-111, 2005. Doi: https://doi.org/10.1080/13639810500281898</w:t>
      </w:r>
    </w:p>
    <w:p w14:paraId="450A0B7B"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[10] </w:t>
      </w:r>
      <w:r w:rsidRPr="00EC37A5">
        <w:rPr>
          <w:rFonts w:asciiTheme="majorHAnsi" w:hAnsiTheme="majorHAnsi" w:cstheme="majorHAnsi"/>
          <w:noProof/>
          <w:sz w:val="20"/>
          <w:szCs w:val="28"/>
        </w:rPr>
        <w:tab/>
        <w:t>V. D. Meij, “Les Monuments funéraires et l'histoire du Sultanat de Pasai à Sumatra”, Studia Islamika, vol. 17, no. 1, 2010. Doi: 10.15408/sdi.v17i1.471</w:t>
      </w:r>
    </w:p>
    <w:p w14:paraId="2D675802"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[11]</w:t>
      </w:r>
      <w:r w:rsidRPr="00EC37A5">
        <w:rPr>
          <w:rFonts w:asciiTheme="majorHAnsi" w:hAnsiTheme="majorHAnsi" w:cstheme="majorHAnsi"/>
          <w:noProof/>
          <w:sz w:val="20"/>
          <w:szCs w:val="28"/>
        </w:rPr>
        <w:tab/>
        <w:t>O. M. Yatim, "Batu Aceh: Early Islamic Gravestones in Peninsular Malaysia." Bulletin de l'École française d'Extrême-Orient, vol. 77, pp. 368-371, 1988.</w:t>
      </w:r>
    </w:p>
    <w:p w14:paraId="70A814E6"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[12]</w:t>
      </w:r>
      <w:r w:rsidRPr="00EC37A5">
        <w:rPr>
          <w:rFonts w:asciiTheme="majorHAnsi" w:hAnsiTheme="majorHAnsi" w:cstheme="majorHAnsi"/>
          <w:noProof/>
          <w:sz w:val="20"/>
          <w:szCs w:val="28"/>
        </w:rPr>
        <w:tab/>
        <w:t>A. Reid, "Cultural adaptation and integration: Islam in Southeast Asia." In Southeast Asian Islam, pp. 189-207. Routledge India, 2024.</w:t>
      </w:r>
    </w:p>
    <w:p w14:paraId="7B36A307"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[13] </w:t>
      </w:r>
      <w:r w:rsidRPr="00EC37A5">
        <w:rPr>
          <w:rFonts w:asciiTheme="majorHAnsi" w:hAnsiTheme="majorHAnsi" w:cstheme="majorHAnsi"/>
          <w:noProof/>
          <w:sz w:val="20"/>
          <w:szCs w:val="28"/>
        </w:rPr>
        <w:tab/>
        <w:t>L.-C. Damais, "The Spread of Islam in Indonesia," Journal of Southeast Asian History, vol. 6, no. 2, pp. 1–24, 1965.</w:t>
      </w:r>
    </w:p>
    <w:p w14:paraId="7A193DE6"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[14] </w:t>
      </w:r>
      <w:r w:rsidRPr="00EC37A5">
        <w:rPr>
          <w:rFonts w:asciiTheme="majorHAnsi" w:hAnsiTheme="majorHAnsi" w:cstheme="majorHAnsi"/>
          <w:noProof/>
          <w:sz w:val="20"/>
          <w:szCs w:val="28"/>
        </w:rPr>
        <w:tab/>
        <w:t>Y. M. Rafee, Siri Sarawakiana-Budaya Tradisi Kaum Jatti Miriek; Adat dan Budaya Perkahwinan Kaum Jatti Miriek, Kuching: Pustaka Negeri Sarawak, 2018.</w:t>
      </w:r>
    </w:p>
    <w:p w14:paraId="35689239"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[15] </w:t>
      </w:r>
      <w:r w:rsidRPr="00EC37A5">
        <w:rPr>
          <w:rFonts w:asciiTheme="majorHAnsi" w:hAnsiTheme="majorHAnsi" w:cstheme="majorHAnsi"/>
          <w:noProof/>
          <w:sz w:val="20"/>
          <w:szCs w:val="28"/>
        </w:rPr>
        <w:tab/>
        <w:t>Y. M. Rafee, Seni Ukiran Perkuburan Lama Jatti Miriek, Kuching: Pustaka Negeri Sarawak, 2019.</w:t>
      </w:r>
    </w:p>
    <w:p w14:paraId="07BE5D51"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[16]</w:t>
      </w:r>
      <w:r w:rsidRPr="00EC37A5">
        <w:rPr>
          <w:rFonts w:asciiTheme="majorHAnsi" w:hAnsiTheme="majorHAnsi" w:cstheme="majorHAnsi"/>
          <w:noProof/>
          <w:sz w:val="20"/>
          <w:szCs w:val="28"/>
        </w:rPr>
        <w:tab/>
        <w:t>D. Perret, B. M. N. Arbai'yah, B. H. Jamil, and M. A. B. M. Saleh, "Makam-Makam Islam Lama di Maritim Asia Tenggara," Kuala Lumpur: Jabatan Muzium Malaysia, 2017.</w:t>
      </w:r>
    </w:p>
    <w:p w14:paraId="2D0EA047"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[17] </w:t>
      </w:r>
      <w:r w:rsidRPr="00EC37A5">
        <w:rPr>
          <w:rFonts w:asciiTheme="majorHAnsi" w:hAnsiTheme="majorHAnsi" w:cstheme="majorHAnsi"/>
          <w:noProof/>
          <w:sz w:val="20"/>
          <w:szCs w:val="28"/>
        </w:rPr>
        <w:tab/>
        <w:t>Z. Ramli et al., "Batu Acheh: Jumpaan Terbaharu Di Pulau Langkawi, Kedah Malaysia," J. Arkeologi Malaysia, vol. 29, no. 2, pp. 1-14, 2016.</w:t>
      </w:r>
    </w:p>
    <w:p w14:paraId="252791F2"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[18]  </w:t>
      </w:r>
      <w:r w:rsidRPr="00EC37A5">
        <w:rPr>
          <w:rFonts w:asciiTheme="majorHAnsi" w:hAnsiTheme="majorHAnsi" w:cstheme="majorHAnsi"/>
          <w:noProof/>
          <w:sz w:val="20"/>
          <w:szCs w:val="28"/>
        </w:rPr>
        <w:tab/>
        <w:t>M. U. Ismail, Z. Ramli, and R. M. A. Zakaria. "Islamic Art Influences on Several Batu Aceh Gravestones in Sumatra and the Malay Peninsular: Revisited." Islamic Quarterly, vol. 66, no. 1, pp. 1-38, 2022.</w:t>
      </w:r>
    </w:p>
    <w:p w14:paraId="7A16B5B2"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[19] </w:t>
      </w:r>
      <w:r w:rsidRPr="00EC37A5">
        <w:rPr>
          <w:rFonts w:asciiTheme="majorHAnsi" w:hAnsiTheme="majorHAnsi" w:cstheme="majorHAnsi"/>
          <w:noProof/>
          <w:sz w:val="20"/>
          <w:szCs w:val="28"/>
        </w:rPr>
        <w:tab/>
        <w:t>"Batu Nisan Malikah Nahrasyiyah: Ratu Pertama di Kesultanan Samudra Pasai." Sultanate Institute Historical Archaeology. Accessed January 1, 2022. [online] Availabe: https://sultanateinstitute.com/grave-markers/4011/batu-nisan-malikah-nahrasyiyah-ratu-pertama-di-kesultanan-samudra-pasai/.</w:t>
      </w:r>
    </w:p>
    <w:p w14:paraId="54456420"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[20] </w:t>
      </w:r>
      <w:r w:rsidRPr="00EC37A5">
        <w:rPr>
          <w:rFonts w:asciiTheme="majorHAnsi" w:hAnsiTheme="majorHAnsi" w:cstheme="majorHAnsi"/>
          <w:noProof/>
          <w:sz w:val="20"/>
          <w:szCs w:val="28"/>
        </w:rPr>
        <w:tab/>
        <w:t>N. Addini, "Ornamen pada Batu Nisan Aceh Darussalam (Abad 15-19 M)," Ph.D. dissertation, Universitas Islam Negeri Arraniry, 2018.</w:t>
      </w:r>
    </w:p>
    <w:p w14:paraId="051F0036"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[21] </w:t>
      </w:r>
      <w:r w:rsidRPr="00EC37A5">
        <w:rPr>
          <w:rFonts w:asciiTheme="majorHAnsi" w:hAnsiTheme="majorHAnsi" w:cstheme="majorHAnsi"/>
          <w:noProof/>
          <w:sz w:val="20"/>
          <w:szCs w:val="28"/>
        </w:rPr>
        <w:tab/>
        <w:t>F. Qhairi, "Peran Pemuda Terhadap Tinggalan Nisan Bersejarah di Gampong Ateuk Jawo (Banda Aceh)," Ph.D. dissertation, UIN Ar-Raniry Banda Aceh, 2020.</w:t>
      </w:r>
    </w:p>
    <w:p w14:paraId="1157D044" w14:textId="77777777" w:rsidR="00EC37A5" w:rsidRP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[22] </w:t>
      </w:r>
      <w:r w:rsidRPr="00EC37A5">
        <w:rPr>
          <w:rFonts w:asciiTheme="majorHAnsi" w:hAnsiTheme="majorHAnsi" w:cstheme="majorHAnsi"/>
          <w:noProof/>
          <w:sz w:val="20"/>
          <w:szCs w:val="28"/>
        </w:rPr>
        <w:tab/>
        <w:t>H.M. Ambary, Menemukan Peradaban, Arkeologi dan Islam di Indonesia, 2nd ed. Jakarta: PT LOGOS Wancana Ilmu, 1998.</w:t>
      </w:r>
    </w:p>
    <w:p w14:paraId="2A0CB70A" w14:textId="70DD8077" w:rsidR="00EC37A5" w:rsidRDefault="00EC37A5" w:rsidP="00EC37A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EC37A5">
        <w:rPr>
          <w:rFonts w:asciiTheme="majorHAnsi" w:hAnsiTheme="majorHAnsi" w:cstheme="majorHAnsi"/>
          <w:noProof/>
          <w:sz w:val="20"/>
          <w:szCs w:val="28"/>
        </w:rPr>
        <w:t xml:space="preserve">[23] </w:t>
      </w:r>
      <w:r w:rsidRPr="00EC37A5">
        <w:rPr>
          <w:rFonts w:asciiTheme="majorHAnsi" w:hAnsiTheme="majorHAnsi" w:cstheme="majorHAnsi"/>
          <w:noProof/>
          <w:sz w:val="20"/>
          <w:szCs w:val="28"/>
        </w:rPr>
        <w:tab/>
        <w:t>R. D. McAmis, Malay Muslims: The history and challenge of resurgent Islam in Southeast Asia, Wm. B. Eerdmans Publishing, 2002.</w:t>
      </w: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9A5DA9">
      <w:headerReference w:type="even" r:id="rId65"/>
      <w:headerReference w:type="default" r:id="rId66"/>
      <w:footerReference w:type="even" r:id="rId67"/>
      <w:footerReference w:type="default" r:id="rId68"/>
      <w:footerReference w:type="first" r:id="rId69"/>
      <w:pgSz w:w="11906" w:h="16838" w:code="9"/>
      <w:pgMar w:top="1418" w:right="1418" w:bottom="1418" w:left="1418" w:header="709" w:footer="709" w:gutter="0"/>
      <w:pgNumType w:start="56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38D33" w14:textId="77777777" w:rsidR="006B64EA" w:rsidRDefault="006B64EA" w:rsidP="001101DA">
      <w:r>
        <w:separator/>
      </w:r>
    </w:p>
  </w:endnote>
  <w:endnote w:type="continuationSeparator" w:id="0">
    <w:p w14:paraId="44203C7C" w14:textId="77777777" w:rsidR="006B64EA" w:rsidRDefault="006B64EA"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203ACB3B"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EC37A5">
          <w:rPr>
            <w:sz w:val="16"/>
            <w:szCs w:val="16"/>
          </w:rPr>
          <w:t>8</w:t>
        </w:r>
        <w:r w:rsidRPr="00920627">
          <w:rPr>
            <w:sz w:val="16"/>
            <w:szCs w:val="16"/>
          </w:rPr>
          <w:t>(</w:t>
        </w:r>
        <w:r w:rsidR="00EC37A5">
          <w:rPr>
            <w:sz w:val="16"/>
            <w:szCs w:val="16"/>
          </w:rPr>
          <w:t>2</w:t>
        </w:r>
        <w:r w:rsidRPr="00920627">
          <w:rPr>
            <w:sz w:val="16"/>
            <w:szCs w:val="16"/>
          </w:rPr>
          <w:t>), December 202</w:t>
        </w:r>
        <w:r w:rsidR="00EC37A5">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071B67A5" w:rsidR="001101DA" w:rsidRPr="00920627" w:rsidRDefault="00920627" w:rsidP="00920627">
        <w:pPr>
          <w:pStyle w:val="Footer"/>
          <w:jc w:val="right"/>
          <w:rPr>
            <w:sz w:val="16"/>
            <w:szCs w:val="16"/>
          </w:rPr>
        </w:pPr>
        <w:r w:rsidRPr="00920627">
          <w:rPr>
            <w:sz w:val="16"/>
            <w:szCs w:val="16"/>
          </w:rPr>
          <w:t xml:space="preserve">Journal of Islamic Architecture </w:t>
        </w:r>
        <w:r w:rsidR="00EC37A5">
          <w:rPr>
            <w:sz w:val="16"/>
            <w:szCs w:val="16"/>
          </w:rPr>
          <w:t>8</w:t>
        </w:r>
        <w:r w:rsidRPr="00920627">
          <w:rPr>
            <w:sz w:val="16"/>
            <w:szCs w:val="16"/>
          </w:rPr>
          <w:t>(</w:t>
        </w:r>
        <w:r w:rsidR="00EC37A5">
          <w:rPr>
            <w:sz w:val="16"/>
            <w:szCs w:val="16"/>
          </w:rPr>
          <w:t>2</w:t>
        </w:r>
        <w:r w:rsidRPr="00920627">
          <w:rPr>
            <w:sz w:val="16"/>
            <w:szCs w:val="16"/>
          </w:rPr>
          <w:t>), December 202</w:t>
        </w:r>
        <w:r w:rsidR="00EC37A5">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54A93A61"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9A5DA9">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7FA9B" w14:textId="77777777" w:rsidR="006B64EA" w:rsidRDefault="006B64EA" w:rsidP="001101DA">
      <w:r>
        <w:separator/>
      </w:r>
    </w:p>
  </w:footnote>
  <w:footnote w:type="continuationSeparator" w:id="0">
    <w:p w14:paraId="18B66574" w14:textId="77777777" w:rsidR="006B64EA" w:rsidRDefault="006B64EA"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1EF47D7B" w:rsidR="001101DA" w:rsidRPr="001101DA" w:rsidRDefault="005C28E2" w:rsidP="001101DA">
    <w:pPr>
      <w:pStyle w:val="Header"/>
      <w:rPr>
        <w:sz w:val="16"/>
        <w:szCs w:val="16"/>
      </w:rPr>
    </w:pPr>
    <w:r w:rsidRPr="005C28E2">
      <w:rPr>
        <w:sz w:val="16"/>
        <w:szCs w:val="16"/>
      </w:rPr>
      <w:t xml:space="preserve">Cross-Cultural Influences on Jatti </w:t>
    </w:r>
    <w:proofErr w:type="spellStart"/>
    <w:r w:rsidRPr="005C28E2">
      <w:rPr>
        <w:sz w:val="16"/>
        <w:szCs w:val="16"/>
      </w:rPr>
      <w:t>Miriek</w:t>
    </w:r>
    <w:proofErr w:type="spellEnd"/>
    <w:r w:rsidRPr="005C28E2">
      <w:rPr>
        <w:sz w:val="16"/>
        <w:szCs w:val="16"/>
      </w:rPr>
      <w:t xml:space="preserve"> Grave Markers</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79601669" w:rsidR="001101DA" w:rsidRPr="001101DA" w:rsidRDefault="00EC37A5" w:rsidP="001101DA">
    <w:pPr>
      <w:pStyle w:val="Header"/>
      <w:jc w:val="right"/>
      <w:rPr>
        <w:sz w:val="16"/>
        <w:szCs w:val="16"/>
      </w:rPr>
    </w:pPr>
    <w:r w:rsidRPr="00EC37A5">
      <w:rPr>
        <w:sz w:val="16"/>
        <w:szCs w:val="16"/>
      </w:rPr>
      <w:t>Yakup Mohd Rafee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4322"/>
    <w:multiLevelType w:val="hybridMultilevel"/>
    <w:tmpl w:val="1BF01A8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A3A0C86"/>
    <w:multiLevelType w:val="hybridMultilevel"/>
    <w:tmpl w:val="217298E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E5F0C9E"/>
    <w:multiLevelType w:val="hybridMultilevel"/>
    <w:tmpl w:val="C7D26DB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1216203"/>
    <w:multiLevelType w:val="hybridMultilevel"/>
    <w:tmpl w:val="1BF01A8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7A6032B"/>
    <w:multiLevelType w:val="hybridMultilevel"/>
    <w:tmpl w:val="1BF01A8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D1B5B78"/>
    <w:multiLevelType w:val="hybridMultilevel"/>
    <w:tmpl w:val="686C872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E5E676C"/>
    <w:multiLevelType w:val="hybridMultilevel"/>
    <w:tmpl w:val="C216476C"/>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9" w15:restartNumberingAfterBreak="0">
    <w:nsid w:val="47223015"/>
    <w:multiLevelType w:val="hybridMultilevel"/>
    <w:tmpl w:val="1BF01A8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B7620DE"/>
    <w:multiLevelType w:val="hybridMultilevel"/>
    <w:tmpl w:val="859673F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4EB52BE5"/>
    <w:multiLevelType w:val="hybridMultilevel"/>
    <w:tmpl w:val="1AC6879E"/>
    <w:lvl w:ilvl="0" w:tplc="27869A98">
      <w:start w:val="3"/>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6882B44"/>
    <w:multiLevelType w:val="hybridMultilevel"/>
    <w:tmpl w:val="EC32D420"/>
    <w:lvl w:ilvl="0" w:tplc="69A2E982">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6A464E80"/>
    <w:multiLevelType w:val="hybridMultilevel"/>
    <w:tmpl w:val="EC32D42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FDB419A"/>
    <w:multiLevelType w:val="hybridMultilevel"/>
    <w:tmpl w:val="1BF01A8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335227382">
    <w:abstractNumId w:val="7"/>
  </w:num>
  <w:num w:numId="2" w16cid:durableId="1349452250">
    <w:abstractNumId w:val="1"/>
  </w:num>
  <w:num w:numId="3" w16cid:durableId="856430765">
    <w:abstractNumId w:val="12"/>
  </w:num>
  <w:num w:numId="4" w16cid:durableId="1817724197">
    <w:abstractNumId w:val="14"/>
  </w:num>
  <w:num w:numId="5" w16cid:durableId="840586370">
    <w:abstractNumId w:val="5"/>
  </w:num>
  <w:num w:numId="6" w16cid:durableId="679043027">
    <w:abstractNumId w:val="3"/>
  </w:num>
  <w:num w:numId="7" w16cid:durableId="1094664271">
    <w:abstractNumId w:val="6"/>
  </w:num>
  <w:num w:numId="8" w16cid:durableId="1703481802">
    <w:abstractNumId w:val="4"/>
  </w:num>
  <w:num w:numId="9" w16cid:durableId="1138644491">
    <w:abstractNumId w:val="0"/>
  </w:num>
  <w:num w:numId="10" w16cid:durableId="1584409133">
    <w:abstractNumId w:val="9"/>
  </w:num>
  <w:num w:numId="11" w16cid:durableId="698093984">
    <w:abstractNumId w:val="10"/>
  </w:num>
  <w:num w:numId="12" w16cid:durableId="193348998">
    <w:abstractNumId w:val="2"/>
  </w:num>
  <w:num w:numId="13" w16cid:durableId="1549880219">
    <w:abstractNumId w:val="13"/>
  </w:num>
  <w:num w:numId="14" w16cid:durableId="755592404">
    <w:abstractNumId w:val="11"/>
  </w:num>
  <w:num w:numId="15" w16cid:durableId="13047011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499"/>
    <w:rsid w:val="002676BA"/>
    <w:rsid w:val="00283372"/>
    <w:rsid w:val="0028610D"/>
    <w:rsid w:val="002D1CEA"/>
    <w:rsid w:val="00330A7A"/>
    <w:rsid w:val="003C0164"/>
    <w:rsid w:val="00417EF0"/>
    <w:rsid w:val="00464461"/>
    <w:rsid w:val="00477FC8"/>
    <w:rsid w:val="004C7CB9"/>
    <w:rsid w:val="00502594"/>
    <w:rsid w:val="00536D0C"/>
    <w:rsid w:val="00554438"/>
    <w:rsid w:val="005C28E2"/>
    <w:rsid w:val="005E66A5"/>
    <w:rsid w:val="00605B4D"/>
    <w:rsid w:val="006B64EA"/>
    <w:rsid w:val="006C55A1"/>
    <w:rsid w:val="00727ABB"/>
    <w:rsid w:val="00745A2A"/>
    <w:rsid w:val="007771EC"/>
    <w:rsid w:val="0079305C"/>
    <w:rsid w:val="007B2C0D"/>
    <w:rsid w:val="007C62F4"/>
    <w:rsid w:val="008535AE"/>
    <w:rsid w:val="00883F54"/>
    <w:rsid w:val="008D73E0"/>
    <w:rsid w:val="00920392"/>
    <w:rsid w:val="00920627"/>
    <w:rsid w:val="00926CF7"/>
    <w:rsid w:val="00944AD0"/>
    <w:rsid w:val="009A5DA9"/>
    <w:rsid w:val="009E6DE8"/>
    <w:rsid w:val="00A055B3"/>
    <w:rsid w:val="00AC1C31"/>
    <w:rsid w:val="00AC4F01"/>
    <w:rsid w:val="00B45E75"/>
    <w:rsid w:val="00BE0D21"/>
    <w:rsid w:val="00BE2239"/>
    <w:rsid w:val="00C221DF"/>
    <w:rsid w:val="00C26026"/>
    <w:rsid w:val="00C51A2B"/>
    <w:rsid w:val="00CB6F5A"/>
    <w:rsid w:val="00CE135F"/>
    <w:rsid w:val="00D132AE"/>
    <w:rsid w:val="00D57761"/>
    <w:rsid w:val="00D869DB"/>
    <w:rsid w:val="00DF62B1"/>
    <w:rsid w:val="00E4204D"/>
    <w:rsid w:val="00E837BE"/>
    <w:rsid w:val="00EC37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customStyle="1" w:styleId="TableParagraph">
    <w:name w:val="Table Paragraph"/>
    <w:basedOn w:val="Normal"/>
    <w:uiPriority w:val="1"/>
    <w:qFormat/>
    <w:rsid w:val="009A5DA9"/>
    <w:pPr>
      <w:widowControl w:val="0"/>
      <w:autoSpaceDE w:val="0"/>
      <w:autoSpaceDN w:val="0"/>
    </w:pPr>
    <w:rPr>
      <w:rFonts w:ascii="Times New Roman" w:eastAsia="Times New Roman" w:hAnsi="Times New Roman" w:cs="Times New Roman"/>
      <w:lang w:val="ms"/>
    </w:rPr>
  </w:style>
  <w:style w:type="character" w:styleId="Strong">
    <w:name w:val="Strong"/>
    <w:basedOn w:val="DefaultParagraphFont"/>
    <w:uiPriority w:val="22"/>
    <w:qFormat/>
    <w:rsid w:val="009A5D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5.png"/><Relationship Id="rId42" Type="http://schemas.openxmlformats.org/officeDocument/2006/relationships/image" Target="media/image29.jpeg"/><Relationship Id="rId47" Type="http://schemas.microsoft.com/office/2007/relationships/hdphoto" Target="media/hdphoto9.wdp"/><Relationship Id="rId63" Type="http://schemas.openxmlformats.org/officeDocument/2006/relationships/image" Target="media/image43.png"/><Relationship Id="rId68" Type="http://schemas.openxmlformats.org/officeDocument/2006/relationships/footer" Target="footer2.xml"/><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1.png"/><Relationship Id="rId11" Type="http://schemas.openxmlformats.org/officeDocument/2006/relationships/image" Target="media/image5.png"/><Relationship Id="rId24" Type="http://schemas.openxmlformats.org/officeDocument/2006/relationships/image" Target="media/image18.png"/><Relationship Id="rId32" Type="http://schemas.microsoft.com/office/2007/relationships/hdphoto" Target="media/hdphoto4.wdp"/><Relationship Id="rId37" Type="http://schemas.openxmlformats.org/officeDocument/2006/relationships/image" Target="media/image26.png"/><Relationship Id="rId40" Type="http://schemas.openxmlformats.org/officeDocument/2006/relationships/image" Target="media/image28.png"/><Relationship Id="rId45" Type="http://schemas.openxmlformats.org/officeDocument/2006/relationships/image" Target="media/image31.jpeg"/><Relationship Id="rId53" Type="http://schemas.microsoft.com/office/2007/relationships/hdphoto" Target="media/hdphoto11.wdp"/><Relationship Id="rId58" Type="http://schemas.openxmlformats.org/officeDocument/2006/relationships/image" Target="media/image40.png"/><Relationship Id="rId66" Type="http://schemas.openxmlformats.org/officeDocument/2006/relationships/header" Target="header2.xml"/><Relationship Id="rId5" Type="http://schemas.openxmlformats.org/officeDocument/2006/relationships/footnotes" Target="footnotes.xml"/><Relationship Id="rId61" Type="http://schemas.microsoft.com/office/2007/relationships/hdphoto" Target="media/hdphoto14.wdp"/><Relationship Id="rId19" Type="http://schemas.openxmlformats.org/officeDocument/2006/relationships/image" Target="media/image1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png"/><Relationship Id="rId30" Type="http://schemas.microsoft.com/office/2007/relationships/hdphoto" Target="media/hdphoto3.wdp"/><Relationship Id="rId35" Type="http://schemas.microsoft.com/office/2007/relationships/hdphoto" Target="media/hdphoto5.wdp"/><Relationship Id="rId43" Type="http://schemas.openxmlformats.org/officeDocument/2006/relationships/image" Target="media/image30.png"/><Relationship Id="rId48" Type="http://schemas.openxmlformats.org/officeDocument/2006/relationships/image" Target="media/image33.jpeg"/><Relationship Id="rId56" Type="http://schemas.openxmlformats.org/officeDocument/2006/relationships/image" Target="media/image39.png"/><Relationship Id="rId64" Type="http://schemas.openxmlformats.org/officeDocument/2006/relationships/image" Target="media/image44.png"/><Relationship Id="rId69" Type="http://schemas.openxmlformats.org/officeDocument/2006/relationships/footer" Target="footer3.xml"/><Relationship Id="rId8" Type="http://schemas.openxmlformats.org/officeDocument/2006/relationships/image" Target="media/image2.png"/><Relationship Id="rId51" Type="http://schemas.openxmlformats.org/officeDocument/2006/relationships/image" Target="media/image35.jpeg"/><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jpeg"/><Relationship Id="rId25" Type="http://schemas.microsoft.com/office/2007/relationships/hdphoto" Target="media/hdphoto1.wdp"/><Relationship Id="rId33" Type="http://schemas.openxmlformats.org/officeDocument/2006/relationships/image" Target="media/image23.jpeg"/><Relationship Id="rId38" Type="http://schemas.microsoft.com/office/2007/relationships/hdphoto" Target="media/hdphoto6.wdp"/><Relationship Id="rId46" Type="http://schemas.openxmlformats.org/officeDocument/2006/relationships/image" Target="media/image32.png"/><Relationship Id="rId59" Type="http://schemas.microsoft.com/office/2007/relationships/hdphoto" Target="media/hdphoto13.wdp"/><Relationship Id="rId67" Type="http://schemas.openxmlformats.org/officeDocument/2006/relationships/footer" Target="footer1.xml"/><Relationship Id="rId20" Type="http://schemas.openxmlformats.org/officeDocument/2006/relationships/image" Target="media/image14.emf"/><Relationship Id="rId41" Type="http://schemas.microsoft.com/office/2007/relationships/hdphoto" Target="media/hdphoto7.wdp"/><Relationship Id="rId54" Type="http://schemas.openxmlformats.org/officeDocument/2006/relationships/image" Target="media/image37.jpeg"/><Relationship Id="rId62" Type="http://schemas.openxmlformats.org/officeDocument/2006/relationships/image" Target="media/image42.pn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microsoft.com/office/2007/relationships/hdphoto" Target="media/hdphoto2.wdp"/><Relationship Id="rId36" Type="http://schemas.openxmlformats.org/officeDocument/2006/relationships/image" Target="media/image25.jpeg"/><Relationship Id="rId49" Type="http://schemas.openxmlformats.org/officeDocument/2006/relationships/image" Target="media/image34.png"/><Relationship Id="rId57" Type="http://schemas.microsoft.com/office/2007/relationships/hdphoto" Target="media/hdphoto12.wdp"/><Relationship Id="rId10" Type="http://schemas.openxmlformats.org/officeDocument/2006/relationships/image" Target="media/image4.png"/><Relationship Id="rId31" Type="http://schemas.openxmlformats.org/officeDocument/2006/relationships/image" Target="media/image22.png"/><Relationship Id="rId44" Type="http://schemas.microsoft.com/office/2007/relationships/hdphoto" Target="media/hdphoto8.wdp"/><Relationship Id="rId52" Type="http://schemas.openxmlformats.org/officeDocument/2006/relationships/image" Target="media/image36.png"/><Relationship Id="rId60" Type="http://schemas.openxmlformats.org/officeDocument/2006/relationships/image" Target="media/image41.png"/><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27.jpeg"/><Relationship Id="rId34" Type="http://schemas.openxmlformats.org/officeDocument/2006/relationships/image" Target="media/image24.png"/><Relationship Id="rId50" Type="http://schemas.microsoft.com/office/2007/relationships/hdphoto" Target="media/hdphoto10.wdp"/><Relationship Id="rId55" Type="http://schemas.openxmlformats.org/officeDocument/2006/relationships/image" Target="media/image38.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17</Pages>
  <Words>7370</Words>
  <Characters>42013</Characters>
  <Application>Microsoft Office Word</Application>
  <DocSecurity>0</DocSecurity>
  <Lines>875</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4</cp:revision>
  <dcterms:created xsi:type="dcterms:W3CDTF">2024-12-25T05:20:00Z</dcterms:created>
  <dcterms:modified xsi:type="dcterms:W3CDTF">2024-12-25T07:11:00Z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