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8951D36" w:rsidR="00C26026" w:rsidRPr="004C7CB9" w:rsidRDefault="00602284" w:rsidP="00C26026">
            <w:pPr>
              <w:jc w:val="both"/>
              <w:rPr>
                <w:rFonts w:asciiTheme="minorHAnsi" w:hAnsiTheme="minorHAnsi" w:cstheme="minorHAnsi"/>
                <w:b/>
                <w:sz w:val="26"/>
                <w:szCs w:val="26"/>
              </w:rPr>
            </w:pPr>
            <w:r w:rsidRPr="00602284">
              <w:rPr>
                <w:rFonts w:asciiTheme="minorHAnsi" w:hAnsiTheme="minorHAnsi" w:cstheme="minorHAnsi"/>
                <w:b/>
                <w:sz w:val="28"/>
                <w:szCs w:val="28"/>
              </w:rPr>
              <w:t>UNVEILING HISTORICAL, RELIGIOUS, AND PHILOSOPHICAL VALUES OF THE INDONESIA’S PANJUNAN RED MOSQUE VIA ARCHITECTURAL AND VISUAL NARRATIVE</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009DE6E" w:rsidR="00D869DB" w:rsidRPr="004C7CB9" w:rsidRDefault="00602284" w:rsidP="00602284">
            <w:pPr>
              <w:jc w:val="both"/>
              <w:rPr>
                <w:rFonts w:asciiTheme="minorHAnsi" w:hAnsiTheme="minorHAnsi" w:cstheme="minorHAnsi"/>
              </w:rPr>
            </w:pPr>
            <w:proofErr w:type="spellStart"/>
            <w:r w:rsidRPr="00602284">
              <w:rPr>
                <w:rFonts w:asciiTheme="minorHAnsi" w:hAnsiTheme="minorHAnsi" w:cstheme="minorHAnsi"/>
              </w:rPr>
              <w:t>Nyai</w:t>
            </w:r>
            <w:proofErr w:type="spellEnd"/>
            <w:r w:rsidRPr="00602284">
              <w:rPr>
                <w:rFonts w:asciiTheme="minorHAnsi" w:hAnsiTheme="minorHAnsi" w:cstheme="minorHAnsi"/>
              </w:rPr>
              <w:t xml:space="preserve"> </w:t>
            </w:r>
            <w:proofErr w:type="spellStart"/>
            <w:r w:rsidRPr="00602284">
              <w:rPr>
                <w:rFonts w:asciiTheme="minorHAnsi" w:hAnsiTheme="minorHAnsi" w:cstheme="minorHAnsi"/>
              </w:rPr>
              <w:t>Kartika</w:t>
            </w:r>
            <w:r w:rsidRPr="00602284">
              <w:rPr>
                <w:rFonts w:asciiTheme="minorHAnsi" w:hAnsiTheme="minorHAnsi" w:cstheme="minorHAnsi"/>
                <w:vertAlign w:val="superscript"/>
              </w:rPr>
              <w:t>a</w:t>
            </w:r>
            <w:proofErr w:type="spellEnd"/>
            <w:r w:rsidRPr="00602284">
              <w:rPr>
                <w:rFonts w:asciiTheme="minorHAnsi" w:hAnsiTheme="minorHAnsi" w:cstheme="minorHAnsi"/>
                <w:vertAlign w:val="superscript"/>
              </w:rPr>
              <w:t>*</w:t>
            </w:r>
            <w:r w:rsidRPr="00602284">
              <w:rPr>
                <w:rFonts w:asciiTheme="minorHAnsi" w:hAnsiTheme="minorHAnsi" w:cstheme="minorHAnsi"/>
              </w:rPr>
              <w:t xml:space="preserve">, </w:t>
            </w:r>
            <w:proofErr w:type="spellStart"/>
            <w:r w:rsidRPr="00602284">
              <w:rPr>
                <w:rFonts w:asciiTheme="minorHAnsi" w:hAnsiTheme="minorHAnsi" w:cstheme="minorHAnsi"/>
              </w:rPr>
              <w:t>Reiza</w:t>
            </w:r>
            <w:proofErr w:type="spellEnd"/>
            <w:r w:rsidRPr="00602284">
              <w:rPr>
                <w:rFonts w:asciiTheme="minorHAnsi" w:hAnsiTheme="minorHAnsi" w:cstheme="minorHAnsi"/>
              </w:rPr>
              <w:t xml:space="preserve"> D. </w:t>
            </w:r>
            <w:proofErr w:type="spellStart"/>
            <w:r w:rsidRPr="00602284">
              <w:rPr>
                <w:rFonts w:asciiTheme="minorHAnsi" w:hAnsiTheme="minorHAnsi" w:cstheme="minorHAnsi"/>
              </w:rPr>
              <w:t>Dienaputra</w:t>
            </w:r>
            <w:r w:rsidRPr="00602284">
              <w:rPr>
                <w:rFonts w:asciiTheme="minorHAnsi" w:hAnsiTheme="minorHAnsi" w:cstheme="minorHAnsi"/>
                <w:vertAlign w:val="superscript"/>
              </w:rPr>
              <w:t>a</w:t>
            </w:r>
            <w:proofErr w:type="spellEnd"/>
            <w:r w:rsidRPr="00602284">
              <w:rPr>
                <w:rFonts w:asciiTheme="minorHAnsi" w:hAnsiTheme="minorHAnsi" w:cstheme="minorHAnsi"/>
              </w:rPr>
              <w:t xml:space="preserve">, Susi </w:t>
            </w:r>
            <w:proofErr w:type="spellStart"/>
            <w:r w:rsidRPr="00602284">
              <w:rPr>
                <w:rFonts w:asciiTheme="minorHAnsi" w:hAnsiTheme="minorHAnsi" w:cstheme="minorHAnsi"/>
              </w:rPr>
              <w:t>Machdalena</w:t>
            </w:r>
            <w:r w:rsidRPr="00602284">
              <w:rPr>
                <w:rFonts w:asciiTheme="minorHAnsi" w:hAnsiTheme="minorHAnsi" w:cstheme="minorHAnsi"/>
                <w:vertAlign w:val="superscript"/>
              </w:rPr>
              <w:t>b</w:t>
            </w:r>
            <w:proofErr w:type="spellEnd"/>
            <w:r w:rsidRPr="00602284">
              <w:rPr>
                <w:rFonts w:asciiTheme="minorHAnsi" w:hAnsiTheme="minorHAnsi" w:cstheme="minorHAnsi"/>
              </w:rPr>
              <w:t xml:space="preserve">, </w:t>
            </w:r>
            <w:proofErr w:type="spellStart"/>
            <w:r w:rsidRPr="00602284">
              <w:rPr>
                <w:rFonts w:asciiTheme="minorHAnsi" w:hAnsiTheme="minorHAnsi" w:cstheme="minorHAnsi"/>
              </w:rPr>
              <w:t>Awaludin</w:t>
            </w:r>
            <w:proofErr w:type="spellEnd"/>
            <w:r w:rsidRPr="00602284">
              <w:rPr>
                <w:rFonts w:asciiTheme="minorHAnsi" w:hAnsiTheme="minorHAnsi" w:cstheme="minorHAnsi"/>
              </w:rPr>
              <w:t xml:space="preserve"> </w:t>
            </w:r>
            <w:proofErr w:type="spellStart"/>
            <w:r w:rsidRPr="00602284">
              <w:rPr>
                <w:rFonts w:asciiTheme="minorHAnsi" w:hAnsiTheme="minorHAnsi" w:cstheme="minorHAnsi"/>
              </w:rPr>
              <w:t>Nugraha</w:t>
            </w:r>
            <w:r w:rsidRPr="00602284">
              <w:rPr>
                <w:rFonts w:asciiTheme="minorHAnsi" w:hAnsiTheme="minorHAnsi" w:cstheme="minorHAnsi"/>
                <w:vertAlign w:val="superscript"/>
              </w:rPr>
              <w:t>a</w:t>
            </w:r>
            <w:proofErr w:type="spellEnd"/>
            <w:r w:rsidRPr="00602284">
              <w:rPr>
                <w:rFonts w:asciiTheme="minorHAnsi" w:hAnsiTheme="minorHAnsi" w:cstheme="minorHAnsi"/>
              </w:rPr>
              <w:t xml:space="preserve">, Agus S. </w:t>
            </w:r>
            <w:proofErr w:type="spellStart"/>
            <w:proofErr w:type="gramStart"/>
            <w:r w:rsidRPr="00602284">
              <w:rPr>
                <w:rFonts w:asciiTheme="minorHAnsi" w:hAnsiTheme="minorHAnsi" w:cstheme="minorHAnsi"/>
              </w:rPr>
              <w:t>Suryadimulya</w:t>
            </w:r>
            <w:r w:rsidRPr="00602284">
              <w:rPr>
                <w:rFonts w:asciiTheme="minorHAnsi" w:hAnsiTheme="minorHAnsi" w:cstheme="minorHAnsi"/>
                <w:vertAlign w:val="superscript"/>
              </w:rPr>
              <w:t>b</w:t>
            </w:r>
            <w:proofErr w:type="spellEnd"/>
            <w:r w:rsidRPr="00602284">
              <w:rPr>
                <w:rFonts w:asciiTheme="minorHAnsi" w:hAnsiTheme="minorHAnsi" w:cstheme="minorHAnsi"/>
              </w:rPr>
              <w:t xml:space="preserve">, </w:t>
            </w:r>
            <w:r>
              <w:rPr>
                <w:rFonts w:asciiTheme="minorHAnsi" w:hAnsiTheme="minorHAnsi" w:cstheme="minorHAnsi"/>
              </w:rPr>
              <w:t xml:space="preserve"> </w:t>
            </w:r>
            <w:r w:rsidRPr="00602284">
              <w:rPr>
                <w:rFonts w:asciiTheme="minorHAnsi" w:hAnsiTheme="minorHAnsi" w:cstheme="minorHAnsi"/>
              </w:rPr>
              <w:t>Susi</w:t>
            </w:r>
            <w:proofErr w:type="gramEnd"/>
            <w:r w:rsidRPr="00602284">
              <w:rPr>
                <w:rFonts w:asciiTheme="minorHAnsi" w:hAnsiTheme="minorHAnsi" w:cstheme="minorHAnsi"/>
              </w:rPr>
              <w:t xml:space="preserve"> </w:t>
            </w:r>
            <w:proofErr w:type="spellStart"/>
            <w:r w:rsidRPr="00602284">
              <w:rPr>
                <w:rFonts w:asciiTheme="minorHAnsi" w:hAnsiTheme="minorHAnsi" w:cstheme="minorHAnsi"/>
              </w:rPr>
              <w:t>Yuliawati</w:t>
            </w:r>
            <w:r w:rsidRPr="00602284">
              <w:rPr>
                <w:rFonts w:asciiTheme="minorHAnsi" w:hAnsiTheme="minorHAnsi" w:cstheme="minorHAnsi"/>
                <w:vertAlign w:val="superscript"/>
              </w:rPr>
              <w:t>b</w:t>
            </w:r>
            <w:proofErr w:type="spellEnd"/>
            <w:r w:rsidRPr="00602284">
              <w:rPr>
                <w:rFonts w:asciiTheme="minorHAnsi" w:hAnsiTheme="minorHAnsi" w:cstheme="minorHAnsi"/>
              </w:rPr>
              <w:t xml:space="preserve">, Nani </w:t>
            </w:r>
            <w:proofErr w:type="spellStart"/>
            <w:r w:rsidRPr="00602284">
              <w:rPr>
                <w:rFonts w:asciiTheme="minorHAnsi" w:hAnsiTheme="minorHAnsi" w:cstheme="minorHAnsi"/>
              </w:rPr>
              <w:t>Sriwardani</w:t>
            </w:r>
            <w:r w:rsidRPr="00602284">
              <w:rPr>
                <w:rFonts w:asciiTheme="minorHAnsi" w:hAnsiTheme="minorHAnsi" w:cstheme="minorHAnsi"/>
                <w:vertAlign w:val="superscript"/>
              </w:rPr>
              <w:t>c</w:t>
            </w:r>
            <w:proofErr w:type="spellEnd"/>
            <w:r w:rsidRPr="00602284">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778131D9" w:rsidR="00D869DB" w:rsidRPr="004C7CB9" w:rsidRDefault="00602284" w:rsidP="00D869DB">
            <w:pPr>
              <w:rPr>
                <w:sz w:val="18"/>
                <w:szCs w:val="18"/>
              </w:rPr>
            </w:pPr>
            <w:proofErr w:type="spellStart"/>
            <w:r>
              <w:rPr>
                <w:sz w:val="18"/>
                <w:szCs w:val="18"/>
                <w:vertAlign w:val="superscript"/>
              </w:rPr>
              <w:t>a</w:t>
            </w:r>
            <w:r w:rsidRPr="00602284">
              <w:rPr>
                <w:sz w:val="18"/>
                <w:szCs w:val="18"/>
              </w:rPr>
              <w:t>Department</w:t>
            </w:r>
            <w:proofErr w:type="spellEnd"/>
            <w:r w:rsidRPr="00602284">
              <w:rPr>
                <w:sz w:val="18"/>
                <w:szCs w:val="18"/>
              </w:rPr>
              <w:t xml:space="preserve"> of History and Philology, Faculty of Cultural Sciences, Universitas </w:t>
            </w:r>
            <w:proofErr w:type="spellStart"/>
            <w:r w:rsidRPr="00602284">
              <w:rPr>
                <w:sz w:val="18"/>
                <w:szCs w:val="18"/>
              </w:rPr>
              <w:t>Padjadjaran</w:t>
            </w:r>
            <w:proofErr w:type="spellEnd"/>
            <w:r w:rsidRPr="00602284">
              <w:rPr>
                <w:sz w:val="18"/>
                <w:szCs w:val="18"/>
              </w:rPr>
              <w:t xml:space="preserve">, </w:t>
            </w:r>
            <w:proofErr w:type="spellStart"/>
            <w:r w:rsidRPr="00602284">
              <w:rPr>
                <w:sz w:val="18"/>
                <w:szCs w:val="18"/>
              </w:rPr>
              <w:t>Sumedang</w:t>
            </w:r>
            <w:proofErr w:type="spellEnd"/>
            <w:r w:rsidRPr="00602284">
              <w:rPr>
                <w:sz w:val="18"/>
                <w:szCs w:val="18"/>
              </w:rPr>
              <w:t xml:space="preserve"> 45363, West Java, Indonesia</w:t>
            </w:r>
          </w:p>
          <w:p w14:paraId="05237892" w14:textId="1F67207E" w:rsidR="00D869DB" w:rsidRPr="00602284" w:rsidRDefault="00602284" w:rsidP="00D869DB">
            <w:pPr>
              <w:rPr>
                <w:sz w:val="18"/>
                <w:szCs w:val="18"/>
              </w:rPr>
            </w:pPr>
            <w:proofErr w:type="spellStart"/>
            <w:r w:rsidRPr="00602284">
              <w:rPr>
                <w:sz w:val="18"/>
                <w:szCs w:val="18"/>
                <w:vertAlign w:val="superscript"/>
              </w:rPr>
              <w:t>b</w:t>
            </w:r>
            <w:r w:rsidRPr="00602284">
              <w:rPr>
                <w:sz w:val="18"/>
                <w:szCs w:val="18"/>
              </w:rPr>
              <w:t>Department</w:t>
            </w:r>
            <w:proofErr w:type="spellEnd"/>
            <w:r w:rsidRPr="00602284">
              <w:rPr>
                <w:sz w:val="18"/>
                <w:szCs w:val="18"/>
              </w:rPr>
              <w:t xml:space="preserve"> of Linguistics, Faculty of Cultural Sciences, Universitas </w:t>
            </w:r>
            <w:proofErr w:type="spellStart"/>
            <w:r w:rsidRPr="00602284">
              <w:rPr>
                <w:sz w:val="18"/>
                <w:szCs w:val="18"/>
              </w:rPr>
              <w:t>Padjadjaran</w:t>
            </w:r>
            <w:proofErr w:type="spellEnd"/>
            <w:r w:rsidRPr="00602284">
              <w:rPr>
                <w:sz w:val="18"/>
                <w:szCs w:val="18"/>
              </w:rPr>
              <w:t xml:space="preserve">, </w:t>
            </w:r>
            <w:proofErr w:type="spellStart"/>
            <w:r w:rsidRPr="00602284">
              <w:rPr>
                <w:sz w:val="18"/>
                <w:szCs w:val="18"/>
              </w:rPr>
              <w:t>Sumedang</w:t>
            </w:r>
            <w:proofErr w:type="spellEnd"/>
            <w:r w:rsidRPr="00602284">
              <w:rPr>
                <w:sz w:val="18"/>
                <w:szCs w:val="18"/>
              </w:rPr>
              <w:t xml:space="preserve"> 45363, West Java, Indonesia </w:t>
            </w:r>
          </w:p>
          <w:p w14:paraId="2E3ECF52" w14:textId="7E6B5AA4" w:rsidR="00D869DB" w:rsidRPr="00602284" w:rsidRDefault="00602284" w:rsidP="00D869DB">
            <w:pPr>
              <w:rPr>
                <w:sz w:val="18"/>
                <w:szCs w:val="18"/>
              </w:rPr>
            </w:pPr>
            <w:proofErr w:type="spellStart"/>
            <w:r w:rsidRPr="00602284">
              <w:rPr>
                <w:sz w:val="18"/>
                <w:szCs w:val="18"/>
                <w:vertAlign w:val="superscript"/>
              </w:rPr>
              <w:t>c</w:t>
            </w:r>
            <w:r w:rsidRPr="00602284">
              <w:rPr>
                <w:sz w:val="18"/>
                <w:szCs w:val="18"/>
              </w:rPr>
              <w:t>Faculty</w:t>
            </w:r>
            <w:proofErr w:type="spellEnd"/>
            <w:r w:rsidRPr="00602284">
              <w:rPr>
                <w:sz w:val="18"/>
                <w:szCs w:val="18"/>
              </w:rPr>
              <w:t xml:space="preserve"> of Fine Arts and Design, Institute of Indonesian Arts and Culture (ISBI), Bandung, West Java 40265. Indonesia</w:t>
            </w:r>
          </w:p>
          <w:p w14:paraId="4B54932F" w14:textId="3AFBD1CF" w:rsidR="00D869DB" w:rsidRPr="004C7CB9" w:rsidRDefault="00D869DB" w:rsidP="00D869DB">
            <w:r w:rsidRPr="004C7CB9">
              <w:rPr>
                <w:sz w:val="18"/>
                <w:szCs w:val="18"/>
              </w:rPr>
              <w:t xml:space="preserve">*Corresponding Author: </w:t>
            </w:r>
            <w:r w:rsidR="00602284" w:rsidRPr="00602284">
              <w:rPr>
                <w:sz w:val="18"/>
                <w:szCs w:val="18"/>
              </w:rPr>
              <w:t>n.kartika@unpad.ac.id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69ACB44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602284">
              <w:rPr>
                <w:rFonts w:asciiTheme="majorHAnsi" w:hAnsiTheme="majorHAnsi" w:cstheme="majorHAnsi"/>
                <w:sz w:val="18"/>
                <w:szCs w:val="18"/>
              </w:rPr>
              <w:t>8</w:t>
            </w:r>
          </w:p>
          <w:p w14:paraId="5F8B2097" w14:textId="218D364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602284">
              <w:rPr>
                <w:rFonts w:asciiTheme="majorHAnsi" w:hAnsiTheme="majorHAnsi" w:cstheme="majorHAnsi"/>
                <w:sz w:val="18"/>
                <w:szCs w:val="18"/>
              </w:rPr>
              <w:t>3</w:t>
            </w:r>
          </w:p>
          <w:p w14:paraId="1727970E" w14:textId="40F81531"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4D320E">
              <w:rPr>
                <w:rFonts w:asciiTheme="majorHAnsi" w:hAnsiTheme="majorHAnsi" w:cstheme="majorHAnsi"/>
                <w:sz w:val="18"/>
                <w:szCs w:val="18"/>
              </w:rPr>
              <w:t>817-831</w:t>
            </w:r>
          </w:p>
          <w:p w14:paraId="42AC331B" w14:textId="3FB901F5"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Received: J</w:t>
            </w:r>
            <w:r w:rsidR="00602284">
              <w:rPr>
                <w:rFonts w:asciiTheme="majorHAnsi" w:hAnsiTheme="majorHAnsi" w:cstheme="majorHAnsi"/>
                <w:sz w:val="18"/>
                <w:szCs w:val="18"/>
              </w:rPr>
              <w:t>anuary</w:t>
            </w:r>
            <w:r w:rsidRPr="004C7CB9">
              <w:rPr>
                <w:rFonts w:asciiTheme="majorHAnsi" w:hAnsiTheme="majorHAnsi" w:cstheme="majorHAnsi"/>
                <w:sz w:val="18"/>
                <w:szCs w:val="18"/>
              </w:rPr>
              <w:t xml:space="preserve"> </w:t>
            </w:r>
            <w:r w:rsidR="00602284">
              <w:rPr>
                <w:rFonts w:asciiTheme="majorHAnsi" w:hAnsiTheme="majorHAnsi" w:cstheme="majorHAnsi"/>
                <w:sz w:val="18"/>
                <w:szCs w:val="18"/>
              </w:rPr>
              <w:t>17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602284">
              <w:rPr>
                <w:rFonts w:asciiTheme="majorHAnsi" w:hAnsiTheme="majorHAnsi" w:cstheme="majorHAnsi"/>
                <w:sz w:val="18"/>
                <w:szCs w:val="18"/>
              </w:rPr>
              <w:t>4</w:t>
            </w:r>
          </w:p>
          <w:p w14:paraId="63316A40" w14:textId="1178C5C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602284">
              <w:rPr>
                <w:rFonts w:asciiTheme="majorHAnsi" w:hAnsiTheme="majorHAnsi" w:cstheme="majorHAnsi"/>
                <w:sz w:val="18"/>
                <w:szCs w:val="18"/>
              </w:rPr>
              <w:t>July</w:t>
            </w:r>
            <w:r w:rsidRPr="004C7CB9">
              <w:rPr>
                <w:rFonts w:asciiTheme="majorHAnsi" w:hAnsiTheme="majorHAnsi" w:cstheme="majorHAnsi"/>
                <w:sz w:val="18"/>
                <w:szCs w:val="18"/>
              </w:rPr>
              <w:t xml:space="preserve"> </w:t>
            </w:r>
            <w:r w:rsidR="00602284">
              <w:rPr>
                <w:rFonts w:asciiTheme="majorHAnsi" w:hAnsiTheme="majorHAnsi" w:cstheme="majorHAnsi"/>
                <w:sz w:val="18"/>
                <w:szCs w:val="18"/>
              </w:rPr>
              <w:t>16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602284">
              <w:rPr>
                <w:rFonts w:asciiTheme="majorHAnsi" w:hAnsiTheme="majorHAnsi" w:cstheme="majorHAnsi"/>
                <w:sz w:val="18"/>
                <w:szCs w:val="18"/>
              </w:rPr>
              <w:t>4</w:t>
            </w:r>
          </w:p>
          <w:p w14:paraId="6068623C" w14:textId="0018A06C"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w:t>
            </w:r>
            <w:r w:rsidR="00602284">
              <w:rPr>
                <w:rFonts w:asciiTheme="majorHAnsi" w:hAnsiTheme="majorHAnsi" w:cstheme="majorHAnsi"/>
                <w:sz w:val="18"/>
                <w:szCs w:val="18"/>
              </w:rPr>
              <w:t xml:space="preserve"> June</w:t>
            </w:r>
            <w:r w:rsidRPr="004C7CB9">
              <w:rPr>
                <w:rFonts w:asciiTheme="majorHAnsi" w:hAnsiTheme="majorHAnsi" w:cstheme="majorHAnsi"/>
                <w:sz w:val="18"/>
                <w:szCs w:val="18"/>
              </w:rPr>
              <w:t xml:space="preserve">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602284">
              <w:rPr>
                <w:rFonts w:asciiTheme="majorHAnsi" w:hAnsiTheme="majorHAnsi" w:cstheme="majorHAnsi"/>
                <w:sz w:val="18"/>
                <w:szCs w:val="18"/>
              </w:rPr>
              <w:t>5</w:t>
            </w:r>
          </w:p>
          <w:p w14:paraId="78EB1E49" w14:textId="16232B1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602284" w:rsidRPr="00602284">
              <w:rPr>
                <w:rFonts w:asciiTheme="majorHAnsi" w:hAnsiTheme="majorHAnsi" w:cstheme="majorHAnsi"/>
                <w:sz w:val="18"/>
                <w:szCs w:val="18"/>
              </w:rPr>
              <w:t>10.18860/</w:t>
            </w:r>
            <w:proofErr w:type="gramStart"/>
            <w:r w:rsidR="00602284" w:rsidRPr="00602284">
              <w:rPr>
                <w:rFonts w:asciiTheme="majorHAnsi" w:hAnsiTheme="majorHAnsi" w:cstheme="majorHAnsi"/>
                <w:sz w:val="18"/>
                <w:szCs w:val="18"/>
              </w:rPr>
              <w:t>jia.v</w:t>
            </w:r>
            <w:proofErr w:type="gramEnd"/>
            <w:r w:rsidR="00602284" w:rsidRPr="00602284">
              <w:rPr>
                <w:rFonts w:asciiTheme="majorHAnsi" w:hAnsiTheme="majorHAnsi" w:cstheme="majorHAnsi"/>
                <w:sz w:val="18"/>
                <w:szCs w:val="18"/>
              </w:rPr>
              <w:t>8i3.25686</w:t>
            </w:r>
          </w:p>
        </w:tc>
        <w:tc>
          <w:tcPr>
            <w:tcW w:w="5671" w:type="dxa"/>
          </w:tcPr>
          <w:p w14:paraId="68C518DA" w14:textId="40508137" w:rsidR="001D517C" w:rsidRPr="001A69B9" w:rsidRDefault="001A69B9" w:rsidP="001D517C">
            <w:pPr>
              <w:jc w:val="both"/>
              <w:rPr>
                <w:rFonts w:asciiTheme="majorHAnsi" w:hAnsiTheme="majorHAnsi" w:cstheme="majorHAnsi"/>
                <w:sz w:val="18"/>
                <w:szCs w:val="18"/>
              </w:rPr>
            </w:pPr>
            <w:r w:rsidRPr="001A69B9">
              <w:rPr>
                <w:rFonts w:asciiTheme="majorHAnsi" w:hAnsiTheme="majorHAnsi" w:cstheme="majorHAnsi"/>
                <w:sz w:val="18"/>
                <w:szCs w:val="18"/>
              </w:rPr>
              <w:t xml:space="preserve">This historical research examines the messages </w:t>
            </w:r>
            <w:r w:rsidRPr="001A69B9">
              <w:rPr>
                <w:rFonts w:asciiTheme="majorHAnsi" w:hAnsiTheme="majorHAnsi" w:cstheme="majorHAnsi"/>
                <w:sz w:val="18"/>
                <w:szCs w:val="18"/>
                <w:u w:val="single"/>
              </w:rPr>
              <w:t>conveyed through</w:t>
            </w:r>
            <w:r w:rsidRPr="001A69B9">
              <w:rPr>
                <w:rFonts w:asciiTheme="majorHAnsi" w:hAnsiTheme="majorHAnsi" w:cstheme="majorHAnsi"/>
                <w:sz w:val="18"/>
                <w:szCs w:val="18"/>
              </w:rPr>
              <w:t xml:space="preserve"> the architectural art of an ancient mosque, the Cirebon </w:t>
            </w:r>
            <w:proofErr w:type="spellStart"/>
            <w:r w:rsidRPr="001A69B9">
              <w:rPr>
                <w:rFonts w:asciiTheme="majorHAnsi" w:hAnsiTheme="majorHAnsi" w:cstheme="majorHAnsi"/>
                <w:sz w:val="18"/>
                <w:szCs w:val="18"/>
              </w:rPr>
              <w:t>Panjunan</w:t>
            </w:r>
            <w:proofErr w:type="spellEnd"/>
            <w:r w:rsidRPr="001A69B9">
              <w:rPr>
                <w:rFonts w:asciiTheme="majorHAnsi" w:hAnsiTheme="majorHAnsi" w:cstheme="majorHAnsi"/>
                <w:sz w:val="18"/>
                <w:szCs w:val="18"/>
              </w:rPr>
              <w:t xml:space="preserve"> Red Mosque, </w:t>
            </w:r>
            <w:r w:rsidRPr="001A69B9">
              <w:rPr>
                <w:rFonts w:asciiTheme="majorHAnsi" w:hAnsiTheme="majorHAnsi" w:cstheme="majorHAnsi"/>
                <w:sz w:val="18"/>
                <w:szCs w:val="18"/>
                <w:u w:val="single"/>
              </w:rPr>
              <w:t>which was</w:t>
            </w:r>
            <w:r w:rsidRPr="001A69B9">
              <w:rPr>
                <w:rFonts w:asciiTheme="majorHAnsi" w:hAnsiTheme="majorHAnsi" w:cstheme="majorHAnsi"/>
                <w:sz w:val="18"/>
                <w:szCs w:val="18"/>
              </w:rPr>
              <w:t xml:space="preserve"> built by Arab descendants living in Java in 1480 AD. In Indonesia, the acculturation between Islamic culture and traditional values resulted in the uniqueness of mosques' architectural buildings and ornaments. In addition to being a place of worship, mosques became an art </w:t>
            </w:r>
            <w:r w:rsidRPr="001A69B9">
              <w:rPr>
                <w:rFonts w:asciiTheme="majorHAnsi" w:hAnsiTheme="majorHAnsi" w:cstheme="majorHAnsi"/>
                <w:sz w:val="18"/>
                <w:szCs w:val="18"/>
                <w:u w:val="single"/>
              </w:rPr>
              <w:t>form</w:t>
            </w:r>
            <w:r w:rsidRPr="001A69B9">
              <w:rPr>
                <w:rFonts w:asciiTheme="majorHAnsi" w:hAnsiTheme="majorHAnsi" w:cstheme="majorHAnsi"/>
                <w:sz w:val="18"/>
                <w:szCs w:val="18"/>
              </w:rPr>
              <w:t xml:space="preserve"> </w:t>
            </w:r>
            <w:r w:rsidRPr="001A69B9">
              <w:rPr>
                <w:rFonts w:asciiTheme="majorHAnsi" w:hAnsiTheme="majorHAnsi" w:cstheme="majorHAnsi"/>
                <w:sz w:val="18"/>
                <w:szCs w:val="18"/>
                <w:u w:val="single"/>
              </w:rPr>
              <w:t>rich in</w:t>
            </w:r>
            <w:r w:rsidRPr="001A69B9">
              <w:rPr>
                <w:rFonts w:asciiTheme="majorHAnsi" w:hAnsiTheme="majorHAnsi" w:cstheme="majorHAnsi"/>
                <w:sz w:val="18"/>
                <w:szCs w:val="18"/>
              </w:rPr>
              <w:t xml:space="preserve"> symbols, representing historical, religious, and philosophical values. This qualitative research with historical methods seeks to investigate the visual narrative in the ancient mosque by implementing a series of historical research stages, including heuristics, criticism, and data interpretation. As pictures convey a narrative as well as words, visual narrative can be used to discover the values of the past. The results of the research have unveiled messages of history and culture regarding Islam's development during the Cirebon sultanate. In addition, the history of the </w:t>
            </w:r>
            <w:proofErr w:type="spellStart"/>
            <w:r w:rsidRPr="001A69B9">
              <w:rPr>
                <w:rFonts w:asciiTheme="majorHAnsi" w:hAnsiTheme="majorHAnsi" w:cstheme="majorHAnsi"/>
                <w:sz w:val="18"/>
                <w:szCs w:val="18"/>
              </w:rPr>
              <w:t>Panjunan</w:t>
            </w:r>
            <w:proofErr w:type="spellEnd"/>
            <w:r w:rsidRPr="001A69B9">
              <w:rPr>
                <w:rFonts w:asciiTheme="majorHAnsi" w:hAnsiTheme="majorHAnsi" w:cstheme="majorHAnsi"/>
                <w:sz w:val="18"/>
                <w:szCs w:val="18"/>
              </w:rPr>
              <w:t xml:space="preserve"> Red Mosque was described. Hopefully, this research can contribute to new knowledge on the past Islamic development in Indonesia and the wisdom of peaceful acculturation.</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1DEDFFAE" w:rsidR="001D517C" w:rsidRPr="004C7CB9" w:rsidRDefault="001A69B9" w:rsidP="001D517C">
            <w:pPr>
              <w:jc w:val="both"/>
              <w:rPr>
                <w:rFonts w:asciiTheme="majorHAnsi" w:hAnsiTheme="majorHAnsi" w:cstheme="majorHAnsi"/>
                <w:sz w:val="18"/>
                <w:szCs w:val="18"/>
                <w:lang w:val="en-US"/>
              </w:rPr>
            </w:pPr>
            <w:r w:rsidRPr="001A69B9">
              <w:rPr>
                <w:rFonts w:asciiTheme="majorHAnsi" w:hAnsiTheme="majorHAnsi" w:cstheme="majorHAnsi"/>
                <w:sz w:val="18"/>
                <w:szCs w:val="18"/>
                <w:lang w:val="en-US"/>
              </w:rPr>
              <w:t xml:space="preserve">Asian Architectural Heritage; Cirebon Sultanate; Islamic Development; </w:t>
            </w:r>
            <w:proofErr w:type="spellStart"/>
            <w:r w:rsidRPr="001A69B9">
              <w:rPr>
                <w:rFonts w:asciiTheme="majorHAnsi" w:hAnsiTheme="majorHAnsi" w:cstheme="majorHAnsi"/>
                <w:sz w:val="18"/>
                <w:szCs w:val="18"/>
                <w:lang w:val="en-US"/>
              </w:rPr>
              <w:t>Panjunan</w:t>
            </w:r>
            <w:proofErr w:type="spellEnd"/>
            <w:r w:rsidRPr="001A69B9">
              <w:rPr>
                <w:rFonts w:asciiTheme="majorHAnsi" w:hAnsiTheme="majorHAnsi" w:cstheme="majorHAnsi"/>
                <w:sz w:val="18"/>
                <w:szCs w:val="18"/>
                <w:lang w:val="en-US"/>
              </w:rPr>
              <w:t xml:space="preserve"> Red Mosque; Visual Art; Visual Narrative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2A575912"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71332ABC"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Indonesia has n</w:t>
      </w:r>
      <w:r w:rsidRPr="001A69B9">
        <w:rPr>
          <w:rFonts w:asciiTheme="majorHAnsi" w:hAnsiTheme="majorHAnsi" w:cstheme="majorHAnsi"/>
          <w:sz w:val="20"/>
          <w:szCs w:val="20"/>
          <w:u w:val="single"/>
        </w:rPr>
        <w:t xml:space="preserve">umerous </w:t>
      </w:r>
      <w:r w:rsidRPr="001A69B9">
        <w:rPr>
          <w:rFonts w:asciiTheme="majorHAnsi" w:hAnsiTheme="majorHAnsi" w:cstheme="majorHAnsi"/>
          <w:sz w:val="20"/>
          <w:szCs w:val="20"/>
        </w:rPr>
        <w:t xml:space="preserve">mosque buildings with high meanings and philosophies. Those wanting to investigate religious life in Indonesia, including Java, must start by studying mosques. Mosques in Indonesia are </w:t>
      </w:r>
      <w:r w:rsidRPr="001A69B9">
        <w:rPr>
          <w:rFonts w:asciiTheme="majorHAnsi" w:hAnsiTheme="majorHAnsi" w:cstheme="majorHAnsi"/>
          <w:sz w:val="20"/>
          <w:szCs w:val="20"/>
          <w:u w:val="single"/>
        </w:rPr>
        <w:t xml:space="preserve">the </w:t>
      </w:r>
      <w:proofErr w:type="spellStart"/>
      <w:r w:rsidRPr="001A69B9">
        <w:rPr>
          <w:rFonts w:asciiTheme="majorHAnsi" w:hAnsiTheme="majorHAnsi" w:cstheme="majorHAnsi"/>
          <w:sz w:val="20"/>
          <w:szCs w:val="20"/>
          <w:u w:val="single"/>
        </w:rPr>
        <w:t>centers</w:t>
      </w:r>
      <w:proofErr w:type="spellEnd"/>
      <w:r w:rsidRPr="001A69B9">
        <w:rPr>
          <w:rFonts w:asciiTheme="majorHAnsi" w:hAnsiTheme="majorHAnsi" w:cstheme="majorHAnsi"/>
          <w:sz w:val="20"/>
          <w:szCs w:val="20"/>
        </w:rPr>
        <w:t xml:space="preserve"> of Islamic religious influence that have a greater role in the life of society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{"citationItems":[{"id":"ITEM-1","itemData":{"author":[{"dropping-particle":"","family":"Pijper","given":"GF.","non-dropping-particle":"","parse-names":false,"suffix":""}],"id":"ITEM-1","issued":{"date-parts":[["1984"]]},"publisher":"UI Press","publisher-place":"Jakarta","title":"Beberapa studi tentang sejarah Islam di Indonesia 1900-1950","type":"book"},"uris":["http://www.mendeley.com/documents/?uuid=d1c93425-a074-403d-9f36-f59d19a54341"]}],"mendeley":{"formattedCitation":"[1]","plainTextFormattedCitation":"[1]","previouslyFormattedCitation":"[1]"},"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[1]</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For Muslims, mosques are not only a place for praying but also a place to carry out various activities, </w:t>
      </w:r>
      <w:r w:rsidRPr="001A69B9">
        <w:rPr>
          <w:rFonts w:asciiTheme="majorHAnsi" w:hAnsiTheme="majorHAnsi" w:cstheme="majorHAnsi"/>
          <w:sz w:val="20"/>
          <w:szCs w:val="20"/>
          <w:u w:val="single"/>
        </w:rPr>
        <w:t xml:space="preserve">such as giving education, doing </w:t>
      </w:r>
      <w:r w:rsidRPr="001A69B9">
        <w:rPr>
          <w:rFonts w:asciiTheme="majorHAnsi" w:hAnsiTheme="majorHAnsi" w:cstheme="majorHAnsi"/>
          <w:i/>
          <w:sz w:val="20"/>
          <w:szCs w:val="20"/>
          <w:u w:val="single"/>
        </w:rPr>
        <w:t>da'wah</w:t>
      </w:r>
      <w:r w:rsidRPr="001A69B9">
        <w:rPr>
          <w:rFonts w:asciiTheme="majorHAnsi" w:hAnsiTheme="majorHAnsi" w:cstheme="majorHAnsi"/>
          <w:sz w:val="20"/>
          <w:szCs w:val="20"/>
          <w:u w:val="single"/>
        </w:rPr>
        <w:t>, and instilling Islamic culture</w:t>
      </w:r>
      <w:r w:rsidRPr="001A69B9">
        <w:rPr>
          <w:rFonts w:asciiTheme="majorHAnsi" w:hAnsiTheme="majorHAnsi" w:cstheme="majorHAnsi"/>
          <w:sz w:val="20"/>
          <w:szCs w:val="20"/>
        </w:rPr>
        <w:t xml:space="preserve">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{"citationItems":[{"id":"ITEM-1","itemData":{"DOI":"10.13189/cea.2016.040203","ISSN":"2332-1091","abstract":"Mosque has played a central role in Islamic society. The Prophet ordered for the construction of a mosque in Medina (Yesrib) where he arrived after hegira, thus he began to form Islamic institutions from the mosque. That’s why the mosque maintained its place throughout the history as an important source for Islamic institutions. Mosques are also the spaces, as a socio - cultural element, where the social life is maintained, which are used for worship by Muslims as their primary objective, which are appropriate for individual and common worship and where they are educated religiously. Mosques have been always considered as an area of usage for people, and for achievement of these functions in a healthy manner; necessary elements of the structure should comply with users’ properties and should be convenient for use. Besides being functional, further architectural features which the mosques are required to involve are that; they should meet users’ aesthetic quests and should have a design concept. Evaluation criteria in architecture depend on “robustness”, “suitability” and “aesthetic” concepts. In the evaluation, numerical data may be obtained. Suitability and robustness arise in the structure or building which replies people’s material needs. But to consider a building as an architectural work, it should acquire “aesthetic” values and should meet psychological and socio- cultural needs of the user as well. Within this context, in the study; architectural fictions of the mosques from past to present was evaluated, thus the outdoor qualitative properties and indoor schemes of the mosques were analyzed. Totally, 10 separate mosques were evaluated in two separate categories; “Traditional and Modern”. Historical mosques were defined within the scope of “Traditional Approach”, whereas the structures which had been constructed by the attempt of being different by using modern material and technique within its own style and aesthetic, out of traditional concept, were defined within the scope of “Modern Approach”. Based on the mosques which were analyzed due to their space fictions and qualitative properties; the mosques selected under modern and traditional classifications were analyzed. Architectural elements involved by the mosque were grouped and these elements were discussed in terms of material, form and aesthetic. The design concepts of the mosques were made within the context of the materials and forms of indoor and outdoor spaces, whereas space fiction a…","author":[{"dropping-particle":"","family":"Okuyucu","given":"Ş. Ebru","non-dropping-particle":"","parse-names":false,"suffix":""}],"container-title":"Civil Engineering and Architecture","id":"ITEM-1","issue":"2","issued":{"date-parts":[["2016"]]},"title":"Evaluation of Spatial Fictions, Design Concepts, Aesthetic Quests of Traditional, Modern Mosques from Past to Present and the Analysis of Mosque Samples","type":"article-journal","volume":"4"},"uris":["http://www.mendeley.com/documents/?uuid=23330326-ed9f-38bf-b40b-7d50c5957fff"]}],"mendeley":{"formattedCitation":"[2]","plainTextFormattedCitation":"[2]","previouslyFormattedCitation":"[2]"},"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[2]</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Mosque buildings function as houses of worship, symbols of Islam [3], and manifestations of Islamic culture. Besides, it plays a role in actualization through an epistemological relationship with transcendental meaning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{"citationItems":[{"id":"ITEM-1","itemData":{"DOI":"10.14421/qh.v24i2.4657","ISSN":"25484737","abstract":"This research investigates the reception of the Qur’ān within the realm of mosque architecture, traditionally assessed through the study of text integrated into mosque ornamentation. This article introduces a reception studies to Walisanga mosques architecture, encompassing considerations of spatial design, essence, illumination, and interior ambiance. Notably, this study diverges from conventional methods by abstaining from the inclusion of Qur’anic or hadith text. The primary objectives of this article are twofold: a) to elucidate the relationship between the architecture of traditional Indonesian mosques and the Qur’an and Hadith, and b) to unveil how architectural elements within traditional mosques visually interpret QS. 24:35 and the Hadith of Gabriel. In order to achieve a comprehensive analysis, this study employs both semantic and hermeneutic methodologies. The semantic approach is applied to dissect the atomistic structure of QS. 24:35 and the Hadith of Gabriel, with the intent of identifying foundational components that underpin the concept of tajug tumpang in traditional Indonesian mosque architecture. Subsequently, a hermeneutic approach is adopted to explore the interconnection between the verse QS. 24:35, the Hadith of Gabriel, and their architectural manifestations within the context of traditional Indonesian mosque construction.The result of the analysis culminates in the identification of two primary forms of architectural reception of QS. 24:35 and the Hadith of Gabriel within traditional Indonesian mosques. Firstly, instances wherein the textual meanings are directly translatable are actualized through elements such as light, lanterns, trees, and niches, all tailored to the Indonesian cultural milieu. Secondly, fundamental concepts derived from the Qur’an and Hadith, which resist tangible representation, are reinterpreted and incorporated into facets of spatial arrangement, lighting schemes, colour selections, ornamental details, and the harmonization of additional components, all resonating harmoniously with the Indonesian cultural identity.","author":[{"dropping-particle":"","family":"Fikriyati","given":"Ulya","non-dropping-particle":"","parse-names":false,"suffix":""}],"container-title":"Jurnal Studi Ilmu-ilmu al-Qur'an dan Hadis","id":"ITEM-1","issue":"2","issued":{"date-parts":[["2023"]]},"page":"253-284","title":"Architectural Interpretations of Qur’anic and Hadith Influences in Traditional Indonesian Mosques During the Walisanga Era","type":"article-journal","volume":"24"},"uris":["http://www.mendeley.com/documents/?uuid=01184872-3442-49fe-8116-6adde0d193ca"]}],"mendeley":{"formattedCitation":"[4]","plainTextFormattedCitation":"[4]","previouslyFormattedCitation":"[4]"},"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[4]</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w:t>
      </w:r>
    </w:p>
    <w:p w14:paraId="12551BA1"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 xml:space="preserve">The prototype for the shape of a mosque is generally seen in the Nabawi Mosque, which was built by the Prophet Muhammad SAW and his companions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author":[{"dropping-particle":"","family":"Setiawan","given":"Kartum","non-dropping-particle":"","parse-names":false,"suffix":""},{"dropping-particle":"","family":"Haris","given":"Tawalinuddin","non-dropping-particle":"","parse-names":false,"suffix":""}],"id":"ITEM-1","issued":{"date-parts":[["2010"]]},"publisher":"Erlangga","publisher-place":"Jakarta","title":"Masjid-Masjid Bersejarah Di Jakarta","type":"book"},"uris":["http://www.mendeley.com/documents/?uuid=3ebb35e9-0948-4893-9a46-3177ae7c9207"]}],"mendeley":{"formattedCitation":"[5]","plainTextFormattedCitation":"[5]","previouslyFormattedCitation":"[5]"},"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[5]</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The mosque is rectangular with walls made of clay without a roof, while the prayer area has a roof of palm leaves and clay supported by pillars made from date palm trees. </w:t>
      </w:r>
      <w:r w:rsidRPr="001A69B9">
        <w:rPr>
          <w:rFonts w:asciiTheme="majorHAnsi" w:hAnsiTheme="majorHAnsi" w:cstheme="majorHAnsi"/>
          <w:sz w:val="20"/>
          <w:szCs w:val="20"/>
          <w:u w:val="single"/>
        </w:rPr>
        <w:t>Next to one of the walls</w:t>
      </w:r>
      <w:r w:rsidRPr="001A69B9">
        <w:rPr>
          <w:rFonts w:asciiTheme="majorHAnsi" w:hAnsiTheme="majorHAnsi" w:cstheme="majorHAnsi"/>
          <w:sz w:val="20"/>
          <w:szCs w:val="20"/>
        </w:rPr>
        <w:t xml:space="preserve"> is a room where the Prophet Muhammad SAW lived with his family. </w:t>
      </w:r>
      <w:r w:rsidRPr="001A69B9">
        <w:rPr>
          <w:rFonts w:asciiTheme="majorHAnsi" w:hAnsiTheme="majorHAnsi" w:cstheme="majorHAnsi"/>
          <w:sz w:val="20"/>
          <w:szCs w:val="20"/>
          <w:u w:val="single"/>
        </w:rPr>
        <w:t>Meanwhile</w:t>
      </w:r>
      <w:r w:rsidRPr="001A69B9">
        <w:rPr>
          <w:rFonts w:asciiTheme="majorHAnsi" w:hAnsiTheme="majorHAnsi" w:cstheme="majorHAnsi"/>
          <w:sz w:val="20"/>
          <w:szCs w:val="20"/>
        </w:rPr>
        <w:t xml:space="preserve">, on the opposite side of the prayer room, there is a section intended for the residence of </w:t>
      </w:r>
      <w:r w:rsidRPr="001A69B9">
        <w:rPr>
          <w:rFonts w:asciiTheme="majorHAnsi" w:hAnsiTheme="majorHAnsi" w:cstheme="majorHAnsi"/>
          <w:sz w:val="20"/>
          <w:szCs w:val="20"/>
          <w:u w:val="single"/>
        </w:rPr>
        <w:t>his</w:t>
      </w:r>
      <w:r w:rsidRPr="001A69B9">
        <w:rPr>
          <w:rFonts w:asciiTheme="majorHAnsi" w:hAnsiTheme="majorHAnsi" w:cstheme="majorHAnsi"/>
          <w:sz w:val="20"/>
          <w:szCs w:val="20"/>
        </w:rPr>
        <w:t xml:space="preserve"> friends who are poor and have no place to live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{"citationItems":[{"id":"ITEM-1","itemData":{"DOI":"DOI: 10.5860/choice.32-4293","author":[{"dropping-particle":"","family":"Frishman","given":"Martin","non-dropping-particle":"","parse-names":false,"suffix":""},{"dropping-particle":"","family":"Khan","given":"Hasan-Uddin","non-dropping-particle":"","parse-names":false,"suffix":""}],"id":"ITEM-1","issued":{"date-parts":[["1994"]]},"publisher":"Thames and Hudson Ltd.","publisher-place":"London","title":"The mosque, history, architectural development and regional diversity","type":"book"},"uris":["http://www.mendeley.com/documents/?uuid=fea9f010-9137-40e3-b387-575ef1d8d132"]}],"mendeley":{"formattedCitation":"[3]","plainTextFormattedCitation":"[3]","previouslyFormattedCitation":"[3]"},"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[3]</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{"citationItems":[{"id":"ITEM-1","itemData":{"abstract":"Salah satu batasan arsitektur adalah, ruang, tata-ruang, bangunan atau tempat, hasil dari proses perencanaan, perancangan dan pembangunan dari seorang atau kelompok orang untuk melaksanakan program, kegiatan, atau keperluan tertentu. Ruang di sini dalam arti luas, tidak hanya gedung atau bangunan dari yang paling sederhana hingga yang kompleks, termasuk tata bangunan, tata-kota, ruang terbuka dibentuk oleh bidang, elemen-elemen dan batas-batas fisik seperti taman, tugu, dan lain-lain. Dari segi sejarah, arsitektur adalah peninggalan atau monumen dari suatu jaman dan tertempat tertentu, seharusnya dipelajari untuk mendapatkan unsur-unsur positif dan menghindari kekurangan-kekurangannya. Yang dimaksud dengan monumen disini adalah bukan tugu peringatan atau lainnya sejenis, tetapi arsitektur, bangunan atau tempat peninggalan sejarah dari jaman dan masyarakat tertentu.","author":[{"dropping-particle":"","family":"Sumalyo","given":"Yulianto","non-dropping-particle":"","parse-names":false,"suffix":""}],"container-title":"Yogyakarta : Gadjah Mada University Press.","id":"ITEM-1","issued":{"date-parts":[["2000"]]},"title":"Arsitektur mesjid dan monumen sejarah muslim / Yulianto Sumalyo","type":"webpage"},"uris":["http://www.mendeley.com/documents/?uuid=cb5b6581-00d2-3407-93d6-26f5e34eb11d"]}],"mendeley":{"formattedCitation":"[6]","plainTextFormattedCitation":"[6]","previouslyFormattedCitation":"[6]"},"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[6]</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w:t>
      </w:r>
    </w:p>
    <w:p w14:paraId="66119999"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lastRenderedPageBreak/>
        <w:t xml:space="preserve">The emergence of different models of mosques is motivated by the spread of Islam. The spread of Islam through conquest and war with force resulted in a mosque model that directly adopted </w:t>
      </w:r>
      <w:r w:rsidRPr="001A69B9">
        <w:rPr>
          <w:rFonts w:asciiTheme="majorHAnsi" w:hAnsiTheme="majorHAnsi" w:cstheme="majorHAnsi"/>
          <w:sz w:val="20"/>
          <w:szCs w:val="20"/>
          <w:u w:val="single"/>
        </w:rPr>
        <w:t>the</w:t>
      </w:r>
      <w:r w:rsidRPr="001A69B9">
        <w:rPr>
          <w:rFonts w:asciiTheme="majorHAnsi" w:hAnsiTheme="majorHAnsi" w:cstheme="majorHAnsi"/>
          <w:sz w:val="20"/>
          <w:szCs w:val="20"/>
        </w:rPr>
        <w:t xml:space="preserve"> cultures that brought the Islamic religion. Meanwhile, the peaceful spread of Islam resulted in mosques having an acculturation nuance between local culture and Islamic religious culture. Several other mosque buildings, such as those in Damascus in 14H, </w:t>
      </w:r>
      <w:r w:rsidRPr="001A69B9">
        <w:rPr>
          <w:rFonts w:asciiTheme="majorHAnsi" w:hAnsiTheme="majorHAnsi" w:cstheme="majorHAnsi"/>
          <w:sz w:val="20"/>
          <w:szCs w:val="20"/>
          <w:u w:val="single"/>
        </w:rPr>
        <w:t>were developed</w:t>
      </w:r>
      <w:r w:rsidRPr="001A69B9">
        <w:rPr>
          <w:rFonts w:asciiTheme="majorHAnsi" w:hAnsiTheme="majorHAnsi" w:cstheme="majorHAnsi"/>
          <w:sz w:val="20"/>
          <w:szCs w:val="20"/>
        </w:rPr>
        <w:t xml:space="preserve"> </w:t>
      </w:r>
      <w:r w:rsidRPr="001A69B9">
        <w:rPr>
          <w:rFonts w:asciiTheme="majorHAnsi" w:hAnsiTheme="majorHAnsi" w:cstheme="majorHAnsi"/>
          <w:sz w:val="20"/>
          <w:szCs w:val="20"/>
          <w:u w:val="single"/>
        </w:rPr>
        <w:t>from</w:t>
      </w:r>
      <w:r w:rsidRPr="001A69B9">
        <w:rPr>
          <w:rFonts w:asciiTheme="majorHAnsi" w:hAnsiTheme="majorHAnsi" w:cstheme="majorHAnsi"/>
          <w:sz w:val="20"/>
          <w:szCs w:val="20"/>
        </w:rPr>
        <w:t xml:space="preserve"> other religious buildings </w:t>
      </w:r>
      <w:r w:rsidRPr="001A69B9">
        <w:rPr>
          <w:rFonts w:asciiTheme="majorHAnsi" w:hAnsiTheme="majorHAnsi" w:cstheme="majorHAnsi"/>
          <w:sz w:val="20"/>
          <w:szCs w:val="20"/>
          <w:u w:val="single"/>
        </w:rPr>
        <w:t>like churches</w:t>
      </w:r>
      <w:r w:rsidRPr="001A69B9">
        <w:rPr>
          <w:rFonts w:asciiTheme="majorHAnsi" w:hAnsiTheme="majorHAnsi" w:cstheme="majorHAnsi"/>
          <w:sz w:val="20"/>
          <w:szCs w:val="20"/>
        </w:rPr>
        <w:t>. During its development, mosque buildings underwent repairs, changes, and renovations, which began during the time of the Companions, such as at the Grand Mosque and the Nabawi Mosque.</w:t>
      </w:r>
    </w:p>
    <w:p w14:paraId="4C3E5F91"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 xml:space="preserve">Meanwhile, as a warlord, </w:t>
      </w:r>
      <w:r w:rsidRPr="001A69B9">
        <w:rPr>
          <w:rFonts w:asciiTheme="majorHAnsi" w:hAnsiTheme="majorHAnsi" w:cstheme="majorHAnsi"/>
          <w:sz w:val="20"/>
          <w:szCs w:val="20"/>
          <w:u w:val="single"/>
        </w:rPr>
        <w:t xml:space="preserve">Saad bin Abi Waqas built a mosque in </w:t>
      </w:r>
      <w:proofErr w:type="spellStart"/>
      <w:r w:rsidRPr="001A69B9">
        <w:rPr>
          <w:rFonts w:asciiTheme="majorHAnsi" w:hAnsiTheme="majorHAnsi" w:cstheme="majorHAnsi"/>
          <w:sz w:val="20"/>
          <w:szCs w:val="20"/>
          <w:u w:val="single"/>
        </w:rPr>
        <w:t>Kufah</w:t>
      </w:r>
      <w:proofErr w:type="spellEnd"/>
      <w:r w:rsidRPr="001A69B9">
        <w:rPr>
          <w:rFonts w:asciiTheme="majorHAnsi" w:hAnsiTheme="majorHAnsi" w:cstheme="majorHAnsi"/>
          <w:sz w:val="20"/>
          <w:szCs w:val="20"/>
          <w:u w:val="single"/>
        </w:rPr>
        <w:t xml:space="preserve"> in 17 H. using</w:t>
      </w:r>
      <w:r w:rsidRPr="001A69B9">
        <w:rPr>
          <w:rFonts w:asciiTheme="majorHAnsi" w:hAnsiTheme="majorHAnsi" w:cstheme="majorHAnsi"/>
          <w:sz w:val="20"/>
          <w:szCs w:val="20"/>
        </w:rPr>
        <w:t xml:space="preserve"> old Persian building materials from the Hijrah and completed it in 18 H. This mosque already had a mihrab and minaret. Furthermore, in </w:t>
      </w:r>
      <w:proofErr w:type="spellStart"/>
      <w:r w:rsidRPr="001A69B9">
        <w:rPr>
          <w:rFonts w:asciiTheme="majorHAnsi" w:hAnsiTheme="majorHAnsi" w:cstheme="majorHAnsi"/>
          <w:sz w:val="20"/>
          <w:szCs w:val="20"/>
        </w:rPr>
        <w:t>Fustat</w:t>
      </w:r>
      <w:proofErr w:type="spellEnd"/>
      <w:r w:rsidRPr="001A69B9">
        <w:rPr>
          <w:rFonts w:asciiTheme="majorHAnsi" w:hAnsiTheme="majorHAnsi" w:cstheme="majorHAnsi"/>
          <w:sz w:val="20"/>
          <w:szCs w:val="20"/>
        </w:rPr>
        <w:t>, Egypt, on 21 H</w:t>
      </w:r>
      <w:r w:rsidRPr="001A69B9">
        <w:rPr>
          <w:rFonts w:asciiTheme="majorHAnsi" w:hAnsiTheme="majorHAnsi" w:cstheme="majorHAnsi"/>
          <w:sz w:val="20"/>
          <w:szCs w:val="20"/>
          <w:lang w:bidi="en-US"/>
        </w:rPr>
        <w:t>,</w:t>
      </w:r>
      <w:r w:rsidRPr="001A69B9">
        <w:rPr>
          <w:rFonts w:asciiTheme="majorHAnsi" w:hAnsiTheme="majorHAnsi" w:cstheme="majorHAnsi"/>
          <w:sz w:val="20"/>
          <w:szCs w:val="20"/>
        </w:rPr>
        <w:t xml:space="preserve"> Amr bin Ash, as a warlord conquering the area, built the al-Atiq Mosque. Physically, this mosque is relatively well developed compared to existing mosques. Then, in 29 H., Uthman bin Affan renovated the Nabawi Mosque by replacing the pillars with stone and tin-coated iron and the roof with wood. Uthman bin Affan also later renovated and expanded the Quba Mosque. In Baitul </w:t>
      </w:r>
      <w:proofErr w:type="spellStart"/>
      <w:r w:rsidRPr="001A69B9">
        <w:rPr>
          <w:rFonts w:asciiTheme="majorHAnsi" w:hAnsiTheme="majorHAnsi" w:cstheme="majorHAnsi"/>
          <w:sz w:val="20"/>
          <w:szCs w:val="20"/>
        </w:rPr>
        <w:t>Maqdis</w:t>
      </w:r>
      <w:proofErr w:type="spellEnd"/>
      <w:r w:rsidRPr="001A69B9">
        <w:rPr>
          <w:rFonts w:asciiTheme="majorHAnsi" w:hAnsiTheme="majorHAnsi" w:cstheme="majorHAnsi"/>
          <w:sz w:val="20"/>
          <w:szCs w:val="20"/>
        </w:rPr>
        <w:t xml:space="preserve">, Umar built a circular (octagonal) mosque with walls made of clay, without a roof, precisely on the Muriah hill. Then, the mosque he built became known as the Umar Mosque. From time to time, mosque buildings experience changes and developments as an adjustment to community development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{"citationItems":[{"id":"ITEM-1","itemData":{"ISSN":"17549469","abstract":"This article aims to break new ground in academia by bridging the existing knowledge and practice gap on governance during conflict. It seeks to understand the governance dynamics during conflict in the non-government-controlled parts of Syria. It pays particular attention to civil society and state building processes. In doing so, the study spans historical and geographical width. Historically, to understand the roots of the conflict, it assesses the state-civil society-market dynamics of governance in Syria prior to 2011. Nevertheless, its focus is on contemporary Syria between March, 2011 and May, 2014. Geographically, its particular attention and in-depth analysis is on three areas in the non-government-controlled parts: Al-Raqqa (the city), Deir Ez-zor (Al-Mayadeen and the city) and Aleppo (the city).","author":[{"dropping-particle":"","family":"Dr. Makhmud Syafe’i.","given":"M. Ag.","non-dropping-particle":"","parse-names":false,"suffix":""}],"container-title":"Syria Studies","id":"ITEM-1","issue":"1","issued":{"date-parts":[["2019"]]},"title":"MASJID DALAM PRESPEKTIF SEJARAH DAN HUKUM ISLAM","type":"article-journal","volume":"7"},"uris":["http://www.mendeley.com/documents/?uuid=3482cb3e-b690-3fd0-a360-35189a097bf8"]}],"mendeley":{"formattedCitation":"[7]","plainTextFormattedCitation":"[7]","previouslyFormattedCitation":"[7]"},"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[7]</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w:t>
      </w:r>
    </w:p>
    <w:p w14:paraId="0FE5277A"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 xml:space="preserve">According to Frishman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{"citationItems":[{"id":"ITEM-1","itemData":{"DOI":"DOI: 10.5860/choice.32-4293","author":[{"dropping-particle":"","family":"Frishman","given":"Martin","non-dropping-particle":"","parse-names":false,"suffix":""},{"dropping-particle":"","family":"Khan","given":"Hasan-Uddin","non-dropping-particle":"","parse-names":false,"suffix":""}],"id":"ITEM-1","issued":{"date-parts":[["1994"]]},"publisher":"Thames and Hudson Ltd.","publisher-place":"London","title":"The mosque, history, architectural development and regional diversity","type":"book"},"uris":["http://www.mendeley.com/documents/?uuid=fea9f010-9137-40e3-b387-575ef1d8d132"]}],"mendeley":{"formattedCitation":"[3]","plainTextFormattedCitation":"[3]","previouslyFormattedCitation":"[3]"},"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[3]</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chronologically, mosque design developed in three stages, which can be seen as a general phenomenon in all regions: (1) a mosque with a hypostyle hall with an open courtyard, surrounded by a row of pillars that support the roof. This design initially appeared in the Arabian Peninsula (Saudi Arabia) and developed until the mid-Abbasid period, around the 10</w:t>
      </w:r>
      <w:r w:rsidRPr="001A69B9">
        <w:rPr>
          <w:rFonts w:asciiTheme="majorHAnsi" w:hAnsiTheme="majorHAnsi" w:cstheme="majorHAnsi"/>
          <w:sz w:val="20"/>
          <w:szCs w:val="20"/>
          <w:vertAlign w:val="superscript"/>
        </w:rPr>
        <w:t>th</w:t>
      </w:r>
      <w:r w:rsidRPr="001A69B9">
        <w:rPr>
          <w:rFonts w:asciiTheme="majorHAnsi" w:hAnsiTheme="majorHAnsi" w:cstheme="majorHAnsi"/>
          <w:sz w:val="20"/>
          <w:szCs w:val="20"/>
        </w:rPr>
        <w:t xml:space="preserve"> or 11</w:t>
      </w:r>
      <w:r w:rsidRPr="001A69B9">
        <w:rPr>
          <w:rFonts w:asciiTheme="majorHAnsi" w:hAnsiTheme="majorHAnsi" w:cstheme="majorHAnsi"/>
          <w:sz w:val="20"/>
          <w:szCs w:val="20"/>
          <w:vertAlign w:val="superscript"/>
        </w:rPr>
        <w:t>th</w:t>
      </w:r>
      <w:r w:rsidRPr="001A69B9">
        <w:rPr>
          <w:rFonts w:asciiTheme="majorHAnsi" w:hAnsiTheme="majorHAnsi" w:cstheme="majorHAnsi"/>
          <w:sz w:val="20"/>
          <w:szCs w:val="20"/>
        </w:rPr>
        <w:t xml:space="preserve"> century; (2) the emergence of various regional-style mosque building designs that show the dominant geographical influence; (3) the design of the mosque building that overlaps with the second but does not conflict with the "regional style." Frishman calls this style a monumental style characterized </w:t>
      </w:r>
      <w:proofErr w:type="gramStart"/>
      <w:r w:rsidRPr="001A69B9">
        <w:rPr>
          <w:rFonts w:asciiTheme="majorHAnsi" w:hAnsiTheme="majorHAnsi" w:cstheme="majorHAnsi"/>
          <w:sz w:val="20"/>
          <w:szCs w:val="20"/>
        </w:rPr>
        <w:t>by the use of</w:t>
      </w:r>
      <w:proofErr w:type="gramEnd"/>
      <w:r w:rsidRPr="001A69B9">
        <w:rPr>
          <w:rFonts w:asciiTheme="majorHAnsi" w:hAnsiTheme="majorHAnsi" w:cstheme="majorHAnsi"/>
          <w:sz w:val="20"/>
          <w:szCs w:val="20"/>
        </w:rPr>
        <w:t xml:space="preserve"> elements of arches and domes, as understood in Western architecture. This style developed, among others, in Iran (after 1550), Central Asia (XIV and XV centuries), Asia Minor/Anatolia during the Ottoman Dynasty (after 1453), and India during the Moghul Dynasty (1555).</w:t>
      </w:r>
    </w:p>
    <w:p w14:paraId="65283914"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 xml:space="preserve">Based on the basic categories of mosque design, including regional factors, Frishman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{"citationItems":[{"id":"ITEM-1","itemData":{"DOI":"DOI: 10.5860/choice.32-4293","author":[{"dropping-particle":"","family":"Frishman","given":"Martin","non-dropping-particle":"","parse-names":false,"suffix":""},{"dropping-particle":"","family":"Khan","given":"Hasan-Uddin","non-dropping-particle":"","parse-names":false,"suffix":""}],"id":"ITEM-1","issued":{"date-parts":[["1994"]]},"publisher":"Thames and Hudson Ltd.","publisher-place":"London","title":"The mosque, history, architectural development and regional diversity","type":"book"},"uris":["http://www.mendeley.com/documents/?uuid=fea9f010-9137-40e3-b387-575ef1d8d132"]}],"mendeley":{"formattedCitation":"[3]","plainTextFormattedCitation":"[3]","previouslyFormattedCitation":"[3]"},"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[3]</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distinguishes seven regional styles of mosque buildings, which are:</w:t>
      </w:r>
    </w:p>
    <w:p w14:paraId="5322923A" w14:textId="77777777" w:rsidR="001A69B9" w:rsidRPr="001A69B9" w:rsidRDefault="001A69B9" w:rsidP="001A7D85">
      <w:pPr>
        <w:pStyle w:val="ListParagraph"/>
        <w:numPr>
          <w:ilvl w:val="0"/>
          <w:numId w:val="3"/>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Mosques with hypostyle rooms, flat roofs, or domes, as seen in the Arabian Peninsula, Spain, and African mosques.</w:t>
      </w:r>
    </w:p>
    <w:p w14:paraId="70508C5D" w14:textId="77777777" w:rsidR="001A69B9" w:rsidRPr="001A69B9" w:rsidRDefault="001A69B9" w:rsidP="001A7D85">
      <w:pPr>
        <w:pStyle w:val="ListParagraph"/>
        <w:numPr>
          <w:ilvl w:val="0"/>
          <w:numId w:val="3"/>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Mosques with hallways that use dry mud, as developed in Western Sahara and Africa.</w:t>
      </w:r>
    </w:p>
    <w:p w14:paraId="5D25CF0F" w14:textId="77777777" w:rsidR="001A69B9" w:rsidRPr="001A69B9" w:rsidRDefault="001A69B9" w:rsidP="001A7D85">
      <w:pPr>
        <w:pStyle w:val="ListParagraph"/>
        <w:numPr>
          <w:ilvl w:val="0"/>
          <w:numId w:val="3"/>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 xml:space="preserve">Mosques with a layout of four </w:t>
      </w:r>
      <w:r w:rsidRPr="001A69B9">
        <w:rPr>
          <w:rFonts w:asciiTheme="majorHAnsi" w:hAnsiTheme="majorHAnsi" w:cstheme="majorHAnsi"/>
          <w:i/>
          <w:sz w:val="20"/>
          <w:szCs w:val="20"/>
        </w:rPr>
        <w:t>iwan</w:t>
      </w:r>
      <w:r w:rsidRPr="001A69B9">
        <w:rPr>
          <w:rFonts w:asciiTheme="majorHAnsi" w:hAnsiTheme="majorHAnsi" w:cstheme="majorHAnsi"/>
          <w:sz w:val="20"/>
          <w:szCs w:val="20"/>
        </w:rPr>
        <w:t xml:space="preserve"> (barrel dome rooms) are placed on each side of the main room and are divided into four by two intersecting axes (biaxial), as developed in Iran and Central Asia.</w:t>
      </w:r>
    </w:p>
    <w:p w14:paraId="0E855548" w14:textId="77777777" w:rsidR="001A69B9" w:rsidRPr="001A69B9" w:rsidRDefault="001A69B9" w:rsidP="001A7D85">
      <w:pPr>
        <w:pStyle w:val="ListParagraph"/>
        <w:numPr>
          <w:ilvl w:val="0"/>
          <w:numId w:val="3"/>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Three-domed mosques with a large courtyard, like those developed in India.</w:t>
      </w:r>
    </w:p>
    <w:p w14:paraId="2C257509" w14:textId="77777777" w:rsidR="001A69B9" w:rsidRPr="001A69B9" w:rsidRDefault="001A69B9" w:rsidP="001A7D85">
      <w:pPr>
        <w:pStyle w:val="ListParagraph"/>
        <w:numPr>
          <w:ilvl w:val="0"/>
          <w:numId w:val="3"/>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Mosque with a large central room with a massive dome roof (Ottoman style), as developed in Anatolia (Turkey).</w:t>
      </w:r>
    </w:p>
    <w:p w14:paraId="3407B7DB" w14:textId="77777777" w:rsidR="001A69B9" w:rsidRPr="001A69B9" w:rsidRDefault="001A69B9" w:rsidP="001A7D85">
      <w:pPr>
        <w:pStyle w:val="ListParagraph"/>
        <w:numPr>
          <w:ilvl w:val="0"/>
          <w:numId w:val="3"/>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A complex of buildings surrounded by walls, with pavilions having gardens inside, like in China.</w:t>
      </w:r>
    </w:p>
    <w:p w14:paraId="27252161" w14:textId="77777777" w:rsidR="001A69B9" w:rsidRDefault="001A69B9" w:rsidP="001A7D85">
      <w:pPr>
        <w:pStyle w:val="ListParagraph"/>
        <w:numPr>
          <w:ilvl w:val="0"/>
          <w:numId w:val="3"/>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The main building with a pyramid roof (overlapping roof), as developed in Southeast Asia, including Indonesia.</w:t>
      </w:r>
    </w:p>
    <w:p w14:paraId="2AD2BF10" w14:textId="77777777" w:rsidR="001A69B9" w:rsidRPr="001A69B9" w:rsidRDefault="001A69B9" w:rsidP="001A69B9">
      <w:pPr>
        <w:pStyle w:val="ListParagraph"/>
        <w:ind w:left="567"/>
        <w:jc w:val="both"/>
        <w:rPr>
          <w:rFonts w:asciiTheme="majorHAnsi" w:hAnsiTheme="majorHAnsi" w:cstheme="majorHAnsi"/>
          <w:sz w:val="20"/>
          <w:szCs w:val="20"/>
        </w:rPr>
      </w:pPr>
    </w:p>
    <w:p w14:paraId="567E5164"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 xml:space="preserve">Apart from that, there is a classification of mosques based on their function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{"citationItems":[{"id":"ITEM-1","itemData":{"author":[{"dropping-particle":"","family":"Dickie","given":"J","non-dropping-particle":"","parse-names":false,"suffix":""}],"id":"ITEM-1","issued":{"date-parts":[["1978"]]},"publisher":"Thames and Hudson, Ltd.","title":"Allah and eternity: Mosques, madrasas and tombs. In: George Michell (editor), Architecture of Islamic Worlds, Its History and Social Meaning","type":"book"},"uris":["http://www.mendeley.com/documents/?uuid=57dca163-d8c9-4e3f-9dd7-94f0ecb41e33"]}],"mendeley":{"formattedCitation":"[8]","plainTextFormattedCitation":"[8]","previouslyFormattedCitation":"[8]"},"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[8]</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there are five of them, namely:</w:t>
      </w:r>
    </w:p>
    <w:p w14:paraId="47054A49" w14:textId="2DB390A6" w:rsidR="001A69B9" w:rsidRPr="001A69B9" w:rsidRDefault="001A69B9" w:rsidP="001A7D85">
      <w:pPr>
        <w:pStyle w:val="ListParagraph"/>
        <w:numPr>
          <w:ilvl w:val="0"/>
          <w:numId w:val="4"/>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Jami Mosque</w:t>
      </w:r>
    </w:p>
    <w:p w14:paraId="30FFAE02" w14:textId="2EFD5DAF" w:rsidR="001A69B9" w:rsidRPr="001A69B9" w:rsidRDefault="001A69B9" w:rsidP="001A7D85">
      <w:pPr>
        <w:pStyle w:val="ListParagraph"/>
        <w:numPr>
          <w:ilvl w:val="0"/>
          <w:numId w:val="4"/>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Mosque – Accommodation</w:t>
      </w:r>
    </w:p>
    <w:p w14:paraId="5BC3543F" w14:textId="0AF12E40" w:rsidR="001A69B9" w:rsidRPr="001A69B9" w:rsidRDefault="001A69B9" w:rsidP="001A7D85">
      <w:pPr>
        <w:pStyle w:val="ListParagraph"/>
        <w:numPr>
          <w:ilvl w:val="0"/>
          <w:numId w:val="4"/>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Mosque – Madrasah</w:t>
      </w:r>
    </w:p>
    <w:p w14:paraId="6F83E6B3" w14:textId="2D8FF181" w:rsidR="001A69B9" w:rsidRPr="001A69B9" w:rsidRDefault="001A69B9" w:rsidP="001A7D85">
      <w:pPr>
        <w:pStyle w:val="ListParagraph"/>
        <w:numPr>
          <w:ilvl w:val="0"/>
          <w:numId w:val="4"/>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Monument Mosque, and</w:t>
      </w:r>
    </w:p>
    <w:p w14:paraId="32365DDC" w14:textId="6C6E1903" w:rsidR="001A69B9" w:rsidRPr="001A69B9" w:rsidRDefault="001A69B9" w:rsidP="001A7D85">
      <w:pPr>
        <w:pStyle w:val="ListParagraph"/>
        <w:numPr>
          <w:ilvl w:val="0"/>
          <w:numId w:val="4"/>
        </w:numPr>
        <w:ind w:left="284" w:hanging="283"/>
        <w:jc w:val="both"/>
        <w:rPr>
          <w:rFonts w:asciiTheme="majorHAnsi" w:hAnsiTheme="majorHAnsi" w:cstheme="majorHAnsi"/>
          <w:sz w:val="20"/>
          <w:szCs w:val="20"/>
        </w:rPr>
      </w:pPr>
      <w:r w:rsidRPr="001A69B9">
        <w:rPr>
          <w:rFonts w:asciiTheme="majorHAnsi" w:hAnsiTheme="majorHAnsi" w:cstheme="majorHAnsi"/>
          <w:sz w:val="20"/>
          <w:szCs w:val="20"/>
        </w:rPr>
        <w:t>Mosque – Tomb/</w:t>
      </w:r>
      <w:r w:rsidRPr="001A69B9">
        <w:rPr>
          <w:rFonts w:asciiTheme="majorHAnsi" w:hAnsiTheme="majorHAnsi" w:cstheme="majorHAnsi"/>
          <w:i/>
          <w:sz w:val="20"/>
          <w:szCs w:val="20"/>
        </w:rPr>
        <w:t>Mashad</w:t>
      </w:r>
      <w:r w:rsidRPr="001A69B9">
        <w:rPr>
          <w:rFonts w:asciiTheme="majorHAnsi" w:hAnsiTheme="majorHAnsi" w:cstheme="majorHAnsi"/>
          <w:sz w:val="20"/>
          <w:szCs w:val="20"/>
        </w:rPr>
        <w:t>.</w:t>
      </w:r>
    </w:p>
    <w:p w14:paraId="6ABB8C13" w14:textId="77777777" w:rsidR="001A69B9" w:rsidRDefault="001A69B9" w:rsidP="001A69B9">
      <w:pPr>
        <w:jc w:val="both"/>
        <w:rPr>
          <w:rFonts w:asciiTheme="majorHAnsi" w:hAnsiTheme="majorHAnsi" w:cstheme="majorHAnsi"/>
          <w:sz w:val="20"/>
          <w:szCs w:val="20"/>
        </w:rPr>
      </w:pPr>
    </w:p>
    <w:p w14:paraId="37F995DC"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 xml:space="preserve">This research looks at one of the ancient mosques in Asia, especially Indonesia, which was built in 1480 AD, namely 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This mosque </w:t>
      </w:r>
      <w:proofErr w:type="gramStart"/>
      <w:r w:rsidRPr="001A69B9">
        <w:rPr>
          <w:rFonts w:asciiTheme="majorHAnsi" w:hAnsiTheme="majorHAnsi" w:cstheme="majorHAnsi"/>
          <w:sz w:val="20"/>
          <w:szCs w:val="20"/>
        </w:rPr>
        <w:t>is located in</w:t>
      </w:r>
      <w:proofErr w:type="gramEnd"/>
      <w:r w:rsidRPr="001A69B9">
        <w:rPr>
          <w:rFonts w:asciiTheme="majorHAnsi" w:hAnsiTheme="majorHAnsi" w:cstheme="majorHAnsi"/>
          <w:sz w:val="20"/>
          <w:szCs w:val="20"/>
        </w:rPr>
        <w:t xml:space="preserve"> Cirebon, West Java. This unique mosque is an architectural building that combines two Asian cultures, Arabic and Chinese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http://dx.doi.org/10.30959/patanjala.v4i2.143","author":[{"dropping-particle":"","family":"Hermana","given":"","non-dropping-particle":"","parse-names":false,"suffix":""}],"container-title":"Patanjala","id":"ITEM-1","issue":"2","issued":{"date-parts":[["2012"]]},"page":"151-167","title":"Arsitektur Masjid Merah Panjunan Kota Cirebon Architecture of Masjid Merah (The Red Mosque) in Panjunan, Cirebon","type":"article-journal","volume":"4"},"uris":["http://www.mendeley.com/documents/?uuid=7663e2c8-d1ad-4256-850e-f58ea363cc70"]}],"mendeley":{"formattedCitation":"[9]","plainTextFormattedCitation":"[9]","previouslyFormattedCitation":"[9]"},"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[9]</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This mosque is included in the basic category of pyramid-roofed mosque designs (overlapping roofs). Based on its function, 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is a Jami Mosque. The characteristic of this type of Jami Mosque is that it becomes the </w:t>
      </w:r>
      <w:proofErr w:type="spellStart"/>
      <w:r w:rsidRPr="001A69B9">
        <w:rPr>
          <w:rFonts w:asciiTheme="majorHAnsi" w:hAnsiTheme="majorHAnsi" w:cstheme="majorHAnsi"/>
          <w:sz w:val="20"/>
          <w:szCs w:val="20"/>
        </w:rPr>
        <w:t>center</w:t>
      </w:r>
      <w:proofErr w:type="spellEnd"/>
      <w:r w:rsidRPr="001A69B9">
        <w:rPr>
          <w:rFonts w:asciiTheme="majorHAnsi" w:hAnsiTheme="majorHAnsi" w:cstheme="majorHAnsi"/>
          <w:sz w:val="20"/>
          <w:szCs w:val="20"/>
        </w:rPr>
        <w:t xml:space="preserve"> of worship and religious activities for Muslims in an area, such as congregational prayers. It also plays a role in the social, religious, and cultural activities of the community in that area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{"citationItems":[{"id":"ITEM-1","itemData":{"DOI":"10.18860/jia.v5i4.5226","ISSN":"23564644","abstract":"Palopo city space as the center of Tana Luwu cannot be separated from the significance of the oldest kingdom in South Sulawesi. The entry of the Islamic religion in Luwu was marked by the Jami Mosque, which is located at the zero points of Palopo city. The preservation of pre-lslamic heritage and after the entry of Islam in the present tends to not a dichotomy in two different meanings. The research is aimed to explore the semiotic meaning of the Jami Masque, which has became an icon in Palopo City. The research used the ethnamethadalogy method within the framework of the semiotics paradigm to obtain contextual meaning as well as the application of a new approach in architecture semiotics study. The results show that the Jami Mosque keeps the complexity of meaning, which can be the foundation of conservation philosophy and planning of the built environment. The cosmos axis of Palopo city space and the territory of Luwu become the central point of religious civilization, especially in Islamic cosmology. The space transformation is represented by 'posi bola' (house pole]. The symbolic 'posi bola' moves from the palace to the Jami mosque as the axis of Luwu space in the Islamic era. The horizontal slice of the pale has implications on the particular geometrical patterns of Luwu. The elements of structure and construction of buildings become a symbol of Islamic teachings.","author":[{"dropping-particle":"","family":"Sutrisno","given":"Moh","non-dropping-particle":"","parse-names":false,"suffix":""},{"dropping-particle":"","family":"Sastrosasmito","given":"Sudaryono","non-dropping-particle":"","parse-names":false,"suffix":""},{"dropping-particle":"","family":"Sarwadi","given":"Ahmad","non-dropping-particle":"","parse-names":false,"suffix":""}],"container-title":"Journal of Islamic Architecture","id":"ITEM-1","issue":"4","issued":{"date-parts":[["2019"]]},"page":"181-188","title":"Posi Bola of Jami Mosque As Spatial Transformation Symbol","type":"article-journal","volume":"5"},"uris":["http://www.mendeley.com/documents/?uuid=1a4eaef3-09ad-42de-bf95-101e4823b7a2"]},{"id":"ITEM-2","itemData":{"DOI":"10.1088/1742-6596/1760/1/012025","ISSN":"17426596","abstract":"Ethnomathematics was a contextual approach that uses the environment and culture. The study aims to explore the relationship between mathematics and the Jami Mosque Jingah River culture in mathematics learning and provides ethnomathematics options as a learning resource for students during the COVID 19 pandemic. This study uses an ethnographic approach, which was an empirical and theoretical approach to obtain an in-depth description and analysis of a culture based on field notes that been obtained from the results of data collection. The results showed that there are a lot of components, ornaments, and objects in the Jami Mosque Jingah River containing many mathematical concepts of lines, vertices, properties, perimeter and area, especially in the field of geometry. During the COVID 19 pandemic, the teacher gave students the task of looking for information and observing pictures of the Jami Mosque Jingah River. that These are the students' activities: (1) identify the types and properties of flat shapes (2) use contextual problems related to these flat shapes, (3) combine flatways at the Jami Mosque Jingah River that can generate creative thinking skills students. For suggestion, mathematics teachers in junior high schools can apply this study's results to improve higher-order thinking skills and become more familiar with their culture.","author":[{"dropping-particle":"","family":"Fajriah","given":"N.","non-dropping-particle":"","parse-names":false,"suffix":""},{"dropping-particle":"","family":"Suryaningsih","given":"Y.","non-dropping-particle":"","parse-names":false,"suffix":""}],"container-title":"Journal of Physics: Conference Series","id":"ITEM-2","issue":"1","issued":{"date-parts":[["2021"]]},"title":"Ethnomathematics of the Jami Mosque Jingah River as a source mathematics learning","type":"article-journal","volume":"1760"},"uris":["http://www.mendeley.com/documents/?uuid=6a7a9e94-03de-418a-9a3e-3b3281cdfcee"]}],"mendeley":{"formattedCitation":"[10], [11]","plainTextFormattedCitation":"[10], [11]","previouslyFormattedCitation":"[10], [11]"},"properties":{"noteIndex":0},"schema":"https://github.com/citation-style-language/schema/raw/master/csl-citation.json"}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[10][11]</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w:t>
      </w:r>
    </w:p>
    <w:p w14:paraId="7CF6F468" w14:textId="77777777" w:rsidR="001A69B9" w:rsidRPr="001A69B9" w:rsidRDefault="001A69B9" w:rsidP="001A69B9">
      <w:pPr>
        <w:ind w:firstLine="284"/>
        <w:jc w:val="both"/>
        <w:rPr>
          <w:rFonts w:asciiTheme="majorHAnsi" w:hAnsiTheme="majorHAnsi" w:cstheme="majorHAnsi"/>
          <w:b/>
          <w:sz w:val="20"/>
          <w:szCs w:val="20"/>
          <w:lang w:val="id-ID"/>
        </w:rPr>
      </w:pPr>
      <w:r w:rsidRPr="001A69B9">
        <w:rPr>
          <w:rFonts w:asciiTheme="majorHAnsi" w:hAnsiTheme="majorHAnsi" w:cstheme="majorHAnsi"/>
          <w:sz w:val="20"/>
          <w:szCs w:val="20"/>
        </w:rPr>
        <w:t xml:space="preserve">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in Cirebon has unique characteristics that are still maintained today. Mosque architectural developments, either they are renovation or expansion, have been carried out by many mosques in Indonesia, but this mosque is still maintained in its original form. The naming of 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is also related to the shape, motif, form, and various identities and visual characteristics of an architectural building. The examples are the arrangement of red bricks, ceramic/porcelain wall decorations, door gates, mihrab, and so on. This mosque represents Islamic culture from Arabia, influential Chinese culture, and local Indonesian culture </w:t>
      </w:r>
      <w:r w:rsidRPr="001A69B9">
        <w:rPr>
          <w:rFonts w:asciiTheme="majorHAnsi" w:hAnsiTheme="majorHAnsi" w:cstheme="majorHAnsi"/>
          <w:sz w:val="20"/>
          <w:szCs w:val="20"/>
        </w:rPr>
        <w:lastRenderedPageBreak/>
        <w:t xml:space="preserve">where this mosque was built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http://dx.doi.org/10.30959/patanjala.v4i2.143","author":[{"dropping-particle":"","family":"Hermana","given":"","non-dropping-particle":"","parse-names":false,"suffix":""}],"container-title":"Patanjala","id":"ITEM-1","issue":"2","issued":{"date-parts":[["2012"]]},"page":"151-167","title":"Arsitektur Masjid Merah Panjunan Kota Cirebon Architecture of Masjid Merah (The Red Mosque) in Panjunan, Cirebon","type":"article-journal","volume":"4"},"uris":["http://www.mendeley.com/documents/?uuid=7663e2c8-d1ad-4256-850e-f58ea363cc70"]}],"mendeley":{"formattedCitation":"[9]","plainTextFormattedCitation":"[9]","previouslyFormattedCitation":"[9]"},"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[9]</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This mosque is included in the cultural heritage buildings and is part of the tourism potential in the Cirebon area </w:t>
      </w:r>
      <w:r w:rsidRPr="001A69B9">
        <w:rPr>
          <w:rFonts w:asciiTheme="majorHAnsi" w:hAnsiTheme="majorHAnsi" w:cstheme="majorHAnsi"/>
          <w:sz w:val="20"/>
          <w:szCs w:val="20"/>
        </w:rPr>
        <w:fldChar w:fldCharType="begin" w:fldLock="1"/>
      </w:r>
      <w:r w:rsidRPr="001A69B9">
        <w:rPr>
          <w:rFonts w:asciiTheme="majorHAnsi" w:hAnsiTheme="majorHAnsi" w:cstheme="majorHAnsi"/>
          <w:sz w:val="20"/>
          <w:szCs w:val="20"/>
        </w:rPr>
        <w:instrText>ADDIN CSL_CITATION {"citationItems":[{"id":"ITEM-1","itemData":{"DOI":"https://doi.org/10.47492/jip.v4i1.2619","author":[{"dropping-particle":"","family":"Khalim","given":"Abdul","non-dropping-particle":"","parse-names":false,"suffix":""},{"dropping-particle":"","family":"Fitriyana","given":"Dian","non-dropping-particle":"","parse-names":false,"suffix":""}],"container-title":"Jurnal Inovasi Penelitian","id":"ITEM-1","issue":"1","issued":{"date-parts":[["2023"]]},"page":"169-178","title":"Analisa Potensi Wisata Kampung Arab Panjunan dalam Pengembangan Pariwisata Berkelanjutan Di Kota Cirebon","type":"article-journal","volume":"4"},"uris":["http://www.mendeley.com/documents/?uuid=a9f44121-8547-4756-9a0c-a8636b8bafc7"]}],"mendeley":{"formattedCitation":"[12]","plainTextFormattedCitation":"[12]","previouslyFormattedCitation":"[12]"},"properties":{"noteIndex":0},"schema":"https://github.com/citation-style-language/schema/raw/master/csl-citation.json"}</w:instrText>
      </w:r>
      <w:r w:rsidRPr="001A69B9">
        <w:rPr>
          <w:rFonts w:asciiTheme="majorHAnsi" w:hAnsiTheme="majorHAnsi" w:cstheme="majorHAnsi"/>
          <w:sz w:val="20"/>
          <w:szCs w:val="20"/>
        </w:rPr>
        <w:fldChar w:fldCharType="separate"/>
      </w:r>
      <w:r w:rsidRPr="001A69B9">
        <w:rPr>
          <w:rFonts w:asciiTheme="majorHAnsi" w:hAnsiTheme="majorHAnsi" w:cstheme="majorHAnsi"/>
          <w:noProof/>
          <w:sz w:val="20"/>
          <w:szCs w:val="20"/>
        </w:rPr>
        <w:t>[12]</w:t>
      </w:r>
      <w:r w:rsidRPr="001A69B9">
        <w:rPr>
          <w:rFonts w:asciiTheme="majorHAnsi" w:hAnsiTheme="majorHAnsi" w:cstheme="majorHAnsi"/>
          <w:sz w:val="20"/>
          <w:szCs w:val="20"/>
        </w:rPr>
        <w:fldChar w:fldCharType="end"/>
      </w:r>
      <w:r w:rsidRPr="001A69B9">
        <w:rPr>
          <w:rFonts w:asciiTheme="majorHAnsi" w:hAnsiTheme="majorHAnsi" w:cstheme="majorHAnsi"/>
          <w:sz w:val="20"/>
          <w:szCs w:val="20"/>
        </w:rPr>
        <w:t xml:space="preserve">. </w:t>
      </w:r>
    </w:p>
    <w:p w14:paraId="290B31AB" w14:textId="77777777" w:rsidR="001A69B9" w:rsidRPr="001A69B9" w:rsidRDefault="001A69B9" w:rsidP="001A69B9">
      <w:pPr>
        <w:ind w:firstLine="284"/>
        <w:jc w:val="both"/>
        <w:rPr>
          <w:rFonts w:asciiTheme="majorHAnsi" w:hAnsiTheme="majorHAnsi" w:cstheme="majorHAnsi"/>
          <w:sz w:val="20"/>
          <w:szCs w:val="20"/>
        </w:rPr>
      </w:pPr>
      <w:r w:rsidRPr="001A69B9">
        <w:rPr>
          <w:rFonts w:asciiTheme="majorHAnsi" w:hAnsiTheme="majorHAnsi" w:cstheme="majorHAnsi"/>
          <w:sz w:val="20"/>
          <w:szCs w:val="20"/>
        </w:rPr>
        <w:t xml:space="preserve">Therefore, this article examines this site historically and culturally through its visual architectural narrative. The architecture of 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is evidence of the historical development of Islam in Indonesia. It also describes the religious activities of the people who carry out various activities. Various attributes and distinctive elements in mosque buildings facilitate space for movement and represent the philosophical meanings of the mosque. These historical values are expressed through a visual narrative, expressing historical values by telling stories through pictures or distinctive shapes of the architectural elements found in 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Information through this visual will be easier to understand and imagine in line with the narrative expressed from each element.</w:t>
      </w:r>
    </w:p>
    <w:p w14:paraId="2D7D3893" w14:textId="77777777" w:rsidR="001A69B9" w:rsidRPr="001A69B9" w:rsidRDefault="001A69B9" w:rsidP="001A69B9">
      <w:pPr>
        <w:ind w:firstLine="284"/>
        <w:jc w:val="both"/>
        <w:rPr>
          <w:rFonts w:asciiTheme="majorHAnsi" w:hAnsiTheme="majorHAnsi" w:cstheme="majorHAnsi"/>
          <w:b/>
          <w:sz w:val="20"/>
          <w:szCs w:val="20"/>
          <w:lang w:val="id-ID"/>
        </w:rPr>
      </w:pPr>
      <w:r w:rsidRPr="001A69B9">
        <w:rPr>
          <w:rFonts w:asciiTheme="majorHAnsi" w:hAnsiTheme="majorHAnsi" w:cstheme="majorHAnsi"/>
          <w:sz w:val="20"/>
          <w:szCs w:val="20"/>
        </w:rPr>
        <w:t xml:space="preserve">This research aims to reveal the historical, religious, and philosophical values of 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It also explores the distinctive elements of the architecture of the </w:t>
      </w:r>
      <w:proofErr w:type="spellStart"/>
      <w:r w:rsidRPr="001A69B9">
        <w:rPr>
          <w:rFonts w:asciiTheme="majorHAnsi" w:hAnsiTheme="majorHAnsi" w:cstheme="majorHAnsi"/>
          <w:sz w:val="20"/>
          <w:szCs w:val="20"/>
        </w:rPr>
        <w:t>Panjunan</w:t>
      </w:r>
      <w:proofErr w:type="spellEnd"/>
      <w:r w:rsidRPr="001A69B9">
        <w:rPr>
          <w:rFonts w:asciiTheme="majorHAnsi" w:hAnsiTheme="majorHAnsi" w:cstheme="majorHAnsi"/>
          <w:sz w:val="20"/>
          <w:szCs w:val="20"/>
        </w:rPr>
        <w:t xml:space="preserve"> Red Mosque through a visual narrative. Understanding historical, religious, and philosophical values through this visual narrative can become historical data, signs, or a reference for the adaptation process in maintaining the existence and history of mosque architecture as part of urban development planning or regional tourism.</w:t>
      </w:r>
    </w:p>
    <w:p w14:paraId="2B2D92A2" w14:textId="77777777" w:rsidR="001A69B9" w:rsidRDefault="001A69B9" w:rsidP="001A69B9">
      <w:pPr>
        <w:ind w:firstLine="284"/>
        <w:jc w:val="both"/>
        <w:rPr>
          <w:rFonts w:asciiTheme="majorHAnsi" w:hAnsiTheme="majorHAnsi" w:cstheme="majorHAnsi"/>
          <w:sz w:val="20"/>
          <w:szCs w:val="20"/>
        </w:rPr>
      </w:pPr>
    </w:p>
    <w:p w14:paraId="37B19B7C" w14:textId="1B34C8A7" w:rsidR="00956979" w:rsidRDefault="00956979" w:rsidP="00956979">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6E493F4F"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This research used historical methods. Our research investigated events in the past to create a systematic reconstruction of the past by collecting, evaluating, verifying, and synthesizing evidence to establish facts and obtain strong conclusions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{"citationItems":[{"id":"ITEM-1","itemData":{"abstract":"This master’s project addresses the study of the recently launched Google Android platform, and its online application marketplace, called the “Android Market.” The project examines the paths to success for third-party developers building applications for Android by comparing them with application development for the Apple iPhone. In addition, the project also includes a study of the Android business ecosystem. Research on related topics shows that this mobile ecosystem benefits third-party developers and those application vendors play a critical role in contributing to the success of Android.","author":[{"dropping-particle":"","family":"Kosim","given":"E.","non-dropping-particle":"","parse-names":false,"suffix":""}],"container-title":"Universitas Padjajaran","id":"ITEM-1","issued":{"date-parts":[["1984"]]},"title":"Metode Sejarah Asas dan Proses","type":"book"},"uris":["http://www.mendeley.com/documents/?uuid=f3063be9-ebce-3222-829a-ba29a30426aa"]}],"mendeley":{"formattedCitation":"[13]","plainTextFormattedCitation":"[13]","previouslyFormattedCitation":"[13]"},"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[13]</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Conceptually, history itself is defined as a science that systematically examines the entire development of society and humanity in the past with all aspects of its events to provide an assessment as a guide for determining the current situation, as well as a mirror for the future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{"citationItems":[{"id":"ITEM-1","itemData":{"DOI":"10.14421/panangkaran.v5i2.2655","author":[{"dropping-particle":"","family":"Fahmi","given":"Muhammad Nabil","non-dropping-particle":"","parse-names":false,"suffix":""}],"container-title":"PANANGKARAN, Jurnal Penelitian Agama dan Masyarakat","id":"ITEM-1","issue":"2","issued":{"date-parts":[["2021"]]},"page":"275-290","title":"Metode Kritik Sejarah dan Double Movement sebagai Alternatif Pembelajaran ejarah Kebudayaan Islam","type":"article-journal","volume":"5"},"uris":["http://www.mendeley.com/documents/?uuid=7c8e1607-ada3-46cc-9a50-6203e37ce7a5"]}],"mendeley":{"formattedCitation":"[14]","plainTextFormattedCitation":"[14]","previouslyFormattedCitation":"[14]"},"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[14]</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Following Gottschalk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{"citationItems":[{"id":"ITEM-1","itemData":{"abstract":"pengaruh sebagai suatu efek yang tegardan membentuk terhadap pikiran dan prilaku manusia baik sendiri-sendiri maupun kolektif","author":[{"dropping-particle":"","family":"Gottschalk","given":"Louis","non-dropping-particle":"","parse-names":false,"suffix":""}],"container-title":"Mengerti Sejarah","id":"ITEM-1","issue":"1980","issued":{"date-parts":[["2010"]]},"title":"Mengerti Sejarah","type":"book","volume":"XXVIII"},"uris":["http://www.mendeley.com/documents/?uuid=970a5767-7b2f-3427-88e0-b8218e717391"]}],"mendeley":{"formattedCitation":"[15]","plainTextFormattedCitation":"[15]","previouslyFormattedCitation":"[15]"},"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[15]</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this research tried to examine and </w:t>
      </w:r>
      <w:proofErr w:type="spellStart"/>
      <w:r w:rsidRPr="00956979">
        <w:rPr>
          <w:rFonts w:asciiTheme="majorHAnsi" w:hAnsiTheme="majorHAnsi" w:cstheme="majorHAnsi"/>
          <w:sz w:val="20"/>
          <w:szCs w:val="20"/>
        </w:rPr>
        <w:t>analyze</w:t>
      </w:r>
      <w:proofErr w:type="spellEnd"/>
      <w:r w:rsidRPr="00956979">
        <w:rPr>
          <w:rFonts w:asciiTheme="majorHAnsi" w:hAnsiTheme="majorHAnsi" w:cstheme="majorHAnsi"/>
          <w:sz w:val="20"/>
          <w:szCs w:val="20"/>
        </w:rPr>
        <w:t xml:space="preserve"> records and relics of the past. This research carried out several stages, including heuristics, criticism, interpretation, and historiography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{"citationItems":[{"id":"ITEM-1","itemData":{"abstract":"pengaruh sebagai suatu efek yang tegardan membentuk terhadap pikiran dan prilaku manusia baik sendiri-sendiri maupun kolektif","author":[{"dropping-particle":"","family":"Gottschalk","given":"Louis","non-dropping-particle":"","parse-names":false,"suffix":""}],"container-title":"Mengerti Sejarah","id":"ITEM-1","issue":"1980","issued":{"date-parts":[["2010"]]},"title":"Mengerti Sejarah","type":"book","volume":"XXVIII"},"uris":["http://www.mendeley.com/documents/?uuid=970a5767-7b2f-3427-88e0-b8218e717391"]},{"id":"ITEM-2","itemData":{"DOI":"https://doi.org/10.47945/tasamuh.v13i1.328","author":[{"dropping-particle":"","family":"Halim","given":"Fauzul","non-dropping-particle":"","parse-names":false,"suffix":""},{"dropping-particle":"","family":"Mustaqim","given":"Amri Yasir","non-dropping-particle":"","parse-names":false,"suffix":""},{"dropping-particle":"","family":"Manaanu","given":"Yusuf","non-dropping-particle":"Al","parse-names":false,"suffix":""}],"container-title":"Tasamuh: Jurnal Studi Islam","id":"ITEM-2","issue":"1","issued":{"date-parts":[["2021"]]},"page":"1-20","title":"Islamisasi Metode Penulisan Sejarah","type":"article-journal","volume":"13"},"uris":["http://www.mendeley.com/documents/?uuid=fff2ca13-6960-4c77-a74c-fd0b3196a168"]}],"mendeley":{"formattedCitation":"[15], [16]","plainTextFormattedCitation":"[15], [16]","previouslyFormattedCitation":"[15], [16]"},"properties":{"noteIndex":0},"schema":"https://github.com/citation-style-language/schema/raw/master/csl-citation.json"}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[15] [16]</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This method of collecting historical data in the interpretation process can provide a novel contribution as a process of transforming and adapting pre-existing buildings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{"citationItems":[{"id":"ITEM-1","itemData":{"DOI":"10.3390/architecture3030020","abstract":"This article presents a detailed study of the stately palace of the Villa Giusti-Puttini, a building that, over the centuries, has undergone repeated transformations since its construction in the first half of the 15th century. For the study of this palace, owned between the 15th and 17th centuries by one of the most important families in the city of Verona (Italy), the authors have followed a methodology covering indirect sources (documentary and bibliographical) as well as direct ones (the building and constructive techniques, architectural and decorative elements, murals, etc.). This study expands the information available on the building as well as expanding knowledge on the history of architecture of the Veneto villa as a defining architectural phenomenon in 16th- and 17th-century architecture whose extensive influence was still felt in the 19th century. The history compiled through this research also contributes to a renewed interpretation of the phenomenon, which is viewed as a process for the transformation and adaptation of a pre-existing building to fit the needs of any given period. This methodology, which could potentially facilitate the interpretation of similar buildings, and its combination of documentary, material, constructive, decorative, and cultural elements could constitute an example for the historical and architectural reading of buildings and are not merely limited to Renaissance buildings.","author":[{"dropping-particle":"","family":"Mileto","given":"Camilla","non-dropping-particle":"","parse-names":false,"suffix":""},{"dropping-particle":"","family":"Vegas","given":"Fernando","non-dropping-particle":"","parse-names":false,"suffix":""}],"container-title":"Architecture","id":"ITEM-1","issue":"3","issued":{"date-parts":[["2023"]]},"page":"358-392","title":"Fragments for the History of an Architecture: A Villa between Humanism and the Renaissance","type":"article-journal","volume":"3"},"uris":["http://www.mendeley.com/documents/?uuid=a3a05474-1fc0-4e37-867a-eda1e3f02fcf"]}],"mendeley":{"formattedCitation":"[17]","plainTextFormattedCitation":"[17]","previouslyFormattedCitation":"[17]"},"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[17]</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0B0EA00E"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In the first stage of heuristics, we did the activity of finding and collecting sources, information, and traces of the past from various sources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{"citationItems":[{"id":"ITEM-1","itemData":{"abstract":"This master’s project addresses the study of the recently launched Google Android platform, and its online application marketplace, called the “Android Market.” The project examines the paths to success for third-party developers building applications for Android by comparing them with application development for the Apple iPhone. In addition, the project also includes a study of the Android business ecosystem. Research on related topics shows that this mobile ecosystem benefits third-party developers and those application vendors play a critical role in contributing to the success of Android.","author":[{"dropping-particle":"","family":"Kosim","given":"E.","non-dropping-particle":"","parse-names":false,"suffix":""}],"container-title":"Universitas Padjajaran","id":"ITEM-1","issued":{"date-parts":[["1984"]]},"title":"Metode Sejarah Asas dan Proses","type":"book"},"uris":["http://www.mendeley.com/documents/?uuid=f3063be9-ebce-3222-829a-ba29a30426aa"]},{"id":"ITEM-2","itemData":{"DOI":"https://doi.org/10.47945/tasamuh.v13i1.328","author":[{"dropping-particle":"","family":"Halim","given":"Fauzul","non-dropping-particle":"","parse-names":false,"suffix":""},{"dropping-particle":"","family":"Mustaqim","given":"Amri Yasir","non-dropping-particle":"","parse-names":false,"suffix":""},{"dropping-particle":"","family":"Manaanu","given":"Yusuf","non-dropping-particle":"Al","parse-names":false,"suffix":""}],"container-title":"Tasamuh: Jurnal Studi Islam","id":"ITEM-2","issue":"1","issued":{"date-parts":[["2021"]]},"page":"1-20","title":"Islamisasi Metode Penulisan Sejarah","type":"article-journal","volume":"13"},"uris":["http://www.mendeley.com/documents/?uuid=fff2ca13-6960-4c77-a74c-fd0b3196a168"]}],"mendeley":{"formattedCitation":"[13], [16]","plainTextFormattedCitation":"[13], [16]","previouslyFormattedCitation":"[13], [16]"},"properties":{"noteIndex":0},"schema":"https://github.com/citation-style-language/schema/raw/master/csl-citation.json"}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[13] [16]</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Those are Dutch East Indies Government archives obtained from the National Archives of the Republic of Indonesia located on Jalan Ampera Raya Number 27 </w:t>
      </w:r>
      <w:proofErr w:type="spellStart"/>
      <w:r w:rsidRPr="00956979">
        <w:rPr>
          <w:rFonts w:asciiTheme="majorHAnsi" w:hAnsiTheme="majorHAnsi" w:cstheme="majorHAnsi"/>
          <w:sz w:val="20"/>
          <w:szCs w:val="20"/>
        </w:rPr>
        <w:t>Cilandak</w:t>
      </w:r>
      <w:proofErr w:type="spellEnd"/>
      <w:r w:rsidRPr="00956979">
        <w:rPr>
          <w:rFonts w:asciiTheme="majorHAnsi" w:hAnsiTheme="majorHAnsi" w:cstheme="majorHAnsi"/>
          <w:sz w:val="20"/>
          <w:szCs w:val="20"/>
        </w:rPr>
        <w:t xml:space="preserve">, South Jakarta. In addition, other sources included literature related to the development of Cirebon and other supporting literature obtained from various places, such as the Library of the Faculty of Fine Arts and Design (FSRD) of the Bandung Institute of Technology (IT), the Library of the Faculty of Cultural Sciences, </w:t>
      </w:r>
      <w:proofErr w:type="spellStart"/>
      <w:r w:rsidRPr="00956979">
        <w:rPr>
          <w:rFonts w:asciiTheme="majorHAnsi" w:hAnsiTheme="majorHAnsi" w:cstheme="majorHAnsi"/>
          <w:sz w:val="20"/>
          <w:szCs w:val="20"/>
        </w:rPr>
        <w:t>Padjadjaran</w:t>
      </w:r>
      <w:proofErr w:type="spellEnd"/>
      <w:r w:rsidRPr="00956979">
        <w:rPr>
          <w:rFonts w:asciiTheme="majorHAnsi" w:hAnsiTheme="majorHAnsi" w:cstheme="majorHAnsi"/>
          <w:sz w:val="20"/>
          <w:szCs w:val="20"/>
        </w:rPr>
        <w:t xml:space="preserve"> University, the National Library of the Republic of Indonesia (</w:t>
      </w:r>
      <w:proofErr w:type="spellStart"/>
      <w:r w:rsidRPr="00956979">
        <w:rPr>
          <w:rFonts w:asciiTheme="majorHAnsi" w:hAnsiTheme="majorHAnsi" w:cstheme="majorHAnsi"/>
          <w:sz w:val="20"/>
          <w:szCs w:val="20"/>
        </w:rPr>
        <w:t>Perpusnas</w:t>
      </w:r>
      <w:proofErr w:type="spellEnd"/>
      <w:r w:rsidRPr="00956979">
        <w:rPr>
          <w:rFonts w:asciiTheme="majorHAnsi" w:hAnsiTheme="majorHAnsi" w:cstheme="majorHAnsi"/>
          <w:sz w:val="20"/>
          <w:szCs w:val="20"/>
        </w:rPr>
        <w:t xml:space="preserve">) located on Jalan </w:t>
      </w:r>
      <w:proofErr w:type="spellStart"/>
      <w:r w:rsidRPr="00956979">
        <w:rPr>
          <w:rFonts w:asciiTheme="majorHAnsi" w:hAnsiTheme="majorHAnsi" w:cstheme="majorHAnsi"/>
          <w:sz w:val="20"/>
          <w:szCs w:val="20"/>
        </w:rPr>
        <w:t>Salemba</w:t>
      </w:r>
      <w:proofErr w:type="spellEnd"/>
      <w:r w:rsidRPr="00956979">
        <w:rPr>
          <w:rFonts w:asciiTheme="majorHAnsi" w:hAnsiTheme="majorHAnsi" w:cstheme="majorHAnsi"/>
          <w:sz w:val="20"/>
          <w:szCs w:val="20"/>
        </w:rPr>
        <w:t xml:space="preserve"> Raya Number 28 A, Jakarta, and the Cirebon City 400 Regional Library.</w:t>
      </w:r>
    </w:p>
    <w:p w14:paraId="4B1EF15B"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The second stage was criticism, where the </w:t>
      </w:r>
      <w:proofErr w:type="gramStart"/>
      <w:r w:rsidRPr="00956979">
        <w:rPr>
          <w:rFonts w:asciiTheme="majorHAnsi" w:hAnsiTheme="majorHAnsi" w:cstheme="majorHAnsi"/>
          <w:sz w:val="20"/>
          <w:szCs w:val="20"/>
        </w:rPr>
        <w:t>researchers</w:t>
      </w:r>
      <w:proofErr w:type="gramEnd"/>
      <w:r w:rsidRPr="00956979">
        <w:rPr>
          <w:rFonts w:asciiTheme="majorHAnsi" w:hAnsiTheme="majorHAnsi" w:cstheme="majorHAnsi"/>
          <w:sz w:val="20"/>
          <w:szCs w:val="20"/>
        </w:rPr>
        <w:t xml:space="preserve"> investigated sources for verification. This criticism was carried out on sources or data collected through critical heuristics so that the sources obtained truly supported scientific research. This criticism was divided into two, external criticism and internal criticism. External criticism was used to determine the extent of the authenticity of the source and whether the source obtained was truly original or not, or a derivative source. It was to ensure whether the source was indeed the source that had been sought all this time, and whether it was still intact or had been changed.</w:t>
      </w:r>
    </w:p>
    <w:p w14:paraId="7D1E19B4"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Meanwhile, internal criticism was carried out to gain source credibility. It was used to know whether the source obtained was reliable or not. This is an effort to reveal the values contained in some historical data, not just the events, and it does not solely focus on the chronological aspect of history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{"citationItems":[{"id":"ITEM-1","itemData":{"DOI":"10.14421/panangkaran.v5i2.2655","author":[{"dropping-particle":"","family":"Fahmi","given":"Muhammad Nabil","non-dropping-particle":"","parse-names":false,"suffix":""}],"container-title":"PANANGKARAN, Jurnal Penelitian Agama dan Masyarakat","id":"ITEM-1","issue":"2","issued":{"date-parts":[["2021"]]},"page":"275-290","title":"Metode Kritik Sejarah dan Double Movement sebagai Alternatif Pembelajaran ejarah Kebudayaan Islam","type":"article-journal","volume":"5"},"uris":["http://www.mendeley.com/documents/?uuid=7c8e1607-ada3-46cc-9a50-6203e37ce7a5"]}],"mendeley":{"formattedCitation":"[14]","plainTextFormattedCitation":"[14]","previouslyFormattedCitation":"[14]"},"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[14]</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At this stage of criticism, the researchers carefully selected data to find valid data. </w:t>
      </w:r>
    </w:p>
    <w:p w14:paraId="06CD12F1"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This was done by conducting an intrinsic (essential) source assessment. In this critical stage, the collected sources were assessed and categorized into primary and secondary sources. Primary sources were sources that come from historical witnesses (eyewitnesses). The source came from those who witnessed, listened to, or experienced the event themselves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{"citationItems":[{"id":"ITEM-1","itemData":{"DOI":"10.1097/00006199-195306000-00020","ISSN":"0029-6562","abstract":"Gilbert J. Garraghan, A Guide to Historical Methode (New York: Forhman University Press, 1957), 3.","author":[{"dropping-particle":"","family":"GARRAGHAN","given":"","non-dropping-particle":"","parse-names":false,"suffix":""},{"dropping-particle":"","family":"GILBERT","given":"J.","non-dropping-particle":"","parse-names":false,"suffix":""},{"dropping-particle":"","family":"DELANGLEZ","given":"","non-dropping-particle":"","parse-names":false,"suffix":""},{"dropping-particle":"","family":"JEAN","given":"","non-dropping-particle":"","parse-names":false,"suffix":""}],"container-title":"Nursing Research","id":"ITEM-1","issue":"1","issued":{"date-parts":[["1953"]]},"title":"A Guide to Historical Method","type":"article-journal","volume":"2"},"uris":["http://www.mendeley.com/documents/?uuid=ca9ff8d6-6073-34d5-ace8-8724204efbb1"]},{"id":"ITEM-2","itemData":{"author":[{"dropping-particle":"","family":"Sjamsuddin","given":"H.","non-dropping-particle":"","parse-names":false,"suffix":""}],"id":"ITEM-2","issued":{"date-parts":[["2007"]]},"publisher":"Ombak","publisher-place":"Yogyakarta","title":"Metodologi Sejarah","type":"book"},"uris":["http://www.mendeley.com/documents/?uuid=1cc1ca51-69d1-4f0a-8b71-19febf02318d"]},{"id":"ITEM-3","itemData":{"abstract":"pengaruh sebagai suatu efek yang tegardan membentuk terhadap pikiran dan prilaku manusia baik sendiri-sendiri maupun kolektif","author":[{"dropping-particle":"","family":"Gottschalk","given":"Louis","non-dropping-particle":"","parse-names":false,"suffix":""}],"container-title":"Mengerti Sejarah","id":"ITEM-3","issue":"1980","issued":{"date-parts":[["2010"]]},"title":"Mengerti Sejarah","type":"book","volume":"XXVIII"},"uris":["http://www.mendeley.com/documents/?uuid=970a5767-7b2f-3427-88e0-b8218e717391"]},{"id":"ITEM-4","itemData":{"author":[{"dropping-particle":"","family":"Herlina","given":"N","non-dropping-particle":"","parse-names":false,"suffix":""}],"id":"ITEM-4","issued":{"date-parts":[["2008"]]},"publisher":"Satya Historika","publisher-place":"Bandung","title":"Metode sejarah","type":"book"},"uris":["http://www.mendeley.com/documents/?uuid=800adfda-535b-4ca7-9a0f-d604ce9e33c0"]}],"mendeley":{"formattedCitation":"[15], [18]–[20]","plainTextFormattedCitation":"[15], [18]–[20]","previouslyFormattedCitation":"[15], [18]–[20]"},"properties":{"noteIndex":0},"schema":"https://github.com/citation-style-language/schema/raw/master/csl-citation.json"}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[15], [18]–[20]</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These primary sources were in the form of archives, </w:t>
      </w:r>
      <w:proofErr w:type="spellStart"/>
      <w:r w:rsidRPr="00956979">
        <w:rPr>
          <w:rFonts w:asciiTheme="majorHAnsi" w:hAnsiTheme="majorHAnsi" w:cstheme="majorHAnsi"/>
          <w:i/>
          <w:sz w:val="20"/>
          <w:szCs w:val="20"/>
        </w:rPr>
        <w:t>staatsblad</w:t>
      </w:r>
      <w:proofErr w:type="spellEnd"/>
      <w:r w:rsidRPr="00956979">
        <w:rPr>
          <w:rFonts w:asciiTheme="majorHAnsi" w:hAnsiTheme="majorHAnsi" w:cstheme="majorHAnsi"/>
          <w:sz w:val="20"/>
          <w:szCs w:val="20"/>
        </w:rPr>
        <w:t xml:space="preserve"> (state gazette), </w:t>
      </w:r>
      <w:r w:rsidRPr="00956979">
        <w:rPr>
          <w:rFonts w:asciiTheme="majorHAnsi" w:hAnsiTheme="majorHAnsi" w:cstheme="majorHAnsi"/>
          <w:i/>
          <w:sz w:val="20"/>
          <w:szCs w:val="20"/>
        </w:rPr>
        <w:t xml:space="preserve">Memorie van </w:t>
      </w:r>
      <w:proofErr w:type="spellStart"/>
      <w:r w:rsidRPr="00956979">
        <w:rPr>
          <w:rFonts w:asciiTheme="majorHAnsi" w:hAnsiTheme="majorHAnsi" w:cstheme="majorHAnsi"/>
          <w:i/>
          <w:sz w:val="20"/>
          <w:szCs w:val="20"/>
        </w:rPr>
        <w:t>Overgave</w:t>
      </w:r>
      <w:proofErr w:type="spellEnd"/>
      <w:r w:rsidRPr="00956979">
        <w:rPr>
          <w:rFonts w:asciiTheme="majorHAnsi" w:hAnsiTheme="majorHAnsi" w:cstheme="majorHAnsi"/>
          <w:sz w:val="20"/>
          <w:szCs w:val="20"/>
        </w:rPr>
        <w:t xml:space="preserve"> (memory of handover of office), and </w:t>
      </w:r>
      <w:proofErr w:type="spellStart"/>
      <w:r w:rsidRPr="00956979">
        <w:rPr>
          <w:rFonts w:asciiTheme="majorHAnsi" w:hAnsiTheme="majorHAnsi" w:cstheme="majorHAnsi"/>
          <w:i/>
          <w:sz w:val="20"/>
          <w:szCs w:val="20"/>
        </w:rPr>
        <w:t>besluit</w:t>
      </w:r>
      <w:proofErr w:type="spellEnd"/>
      <w:r w:rsidRPr="00956979">
        <w:rPr>
          <w:rFonts w:asciiTheme="majorHAnsi" w:hAnsiTheme="majorHAnsi" w:cstheme="majorHAnsi"/>
          <w:sz w:val="20"/>
          <w:szCs w:val="20"/>
        </w:rPr>
        <w:t xml:space="preserve"> (decree). Apart from primary sources, this was also obtained by interviewing several witnesses or perpetrators. These primary sources were then complemented by newspapers, which contained contemporary news.</w:t>
      </w:r>
    </w:p>
    <w:p w14:paraId="045C6778"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Apart from that, the next step was to collect secondary sources. Secondary sources came from people who did not witness the events themselves and were not even alive during the period when the events were being studied. Secondary sources in this research were sources that had been scientifically processed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{"citationItems":[{"id":"ITEM-1","itemData":{"DOI":"10.1097/00006199-195306000-00020","ISSN":"0029-6562","abstract":"Gilbert J. Garraghan, A Guide to Historical Methode (New York: Forhman University Press, 1957), 3.","author":[{"dropping-particle":"","family":"GARRAGHAN","given":"","non-dropping-particle":"","parse-names":false,"suffix":""},{"dropping-particle":"","family":"GILBERT","given":"J.","non-dropping-particle":"","parse-names":false,"suffix":""},{"dropping-particle":"","family":"DELANGLEZ","given":"","non-dropping-particle":"","parse-names":false,"suffix":""},{"dropping-particle":"","family":"JEAN","given":"","non-dropping-particle":"","parse-names":false,"suffix":""}],"container-title":"Nursing Research","id":"ITEM-1","issue":"1","issued":{"date-parts":[["1953"]]},"title":"A Guide to Historical Method","type":"article-journal","volume":"2"},"uris":["http://www.mendeley.com/documents/?uuid=ca9ff8d6-6073-34d5-ace8-8724204efbb1"]},{"id":"ITEM-2","itemData":{"author":[{"dropping-particle":"","family":"Sjamsuddin","given":"H.","non-dropping-particle":"","parse-names":false,"suffix":""}],"id":"ITEM-2","issued":{"date-parts":[["2007"]]},"publisher":"Ombak","publisher-place":"Yogyakarta","title":"Metodologi Sejarah","type":"book"},"uris":["http://www.mendeley.com/documents/?uuid=1cc1ca51-69d1-4f0a-8b71-19febf02318d"]},{"id":"ITEM-3","itemData":{"author":[{"dropping-particle":"","family":"Herlina","given":"N","non-dropping-particle":"","parse-names":false,"suffix":""}],"id":"ITEM-3","issued":{"date-parts":[["2008"]]},"publisher":"Satya Historika","publisher-place":"Bandung","title":"Metode sejarah","type":"book"},"uris":["http://www.mendeley.com/documents/?uuid=800adfda-535b-4ca7-9a0f-d604ce9e33c0"]},{"id":"ITEM-4","itemData":{"abstract":"Sejarah dalam bahasa arab berasal dari kata syajara yang berarti “terjadi”, syajarah berarti “pohon”, syajarah an-nasab berarti “pohon silsilah”; Bahasa inggris history; Bahasa Latin dan Yunani historia; Bahasa Yunani histor atau istor berarti “orang pandai”. Sejarah adalah merekonstruksikan apa yang sudah dipikirkan, dikatakan, dikerjakan, dirasakan dan dialami oleh orang di masa lalu. Sejarawan memiliki kebebasan dalam merekonstruksikan masa lalu asalkan didukung dengan bukti dan fakta yang ada. Secara intrinsik, sejarah berguna sebagai ilmu, cara mengetahui masa lampau, sebagai pernyataan pendapat, dan sebagai profesi. Secara ekstrinsik, terdapat 10 fungsi sejarah dalam pendidikan, yaitu sejarah sebagai pendidikan moral, pendidikan penalaran, pendidikan politik, pendidikan kebijakan, pendidikan perubahan, pendidikan masa depan, pendidikan keindahan, ilmu bantu, latar belakang, rujukan, dan bukti. Dalam historiografi, sejarah menekankan pada retorik, dan tidak bisa terlepas dari ilmu-ilmu lainnya, terutama ilmu sosial. Sejarah sebagai ilmu bersifat empiris, memiliki objek, teori, generalisasi dan metode. Sejarah sebagai seni memerlukan intuisi, imajinasi, emosi, dan gaya bahasa. Namun, sejarah sebagai ilmu dan seni memiliki 2 macam kritik. Kritik sejarah sebagai ilmu yaitu dalam menulis sejarah cukup dengan common sense dimana sejarawan dibaratkan sebagai komando perang yang siap diterjunkan dimanapun. Sejarah akan kering dikarenakan dalam penulisan sejarah menggunakan bahasa yang sederhana dan langsung serta memerlukan penulisan yang baik, teratur dan sistematik yang runtut (retorika), tidak ada bahasa yang berbunga-bunga seperti sastra. Sejarah memerlukan sumbangan ilmu yang memberikan konsep dan bersifat diakronis dan sinkronis. Sejarah sebagai seni juga memiliki kritik, pertama sejarah akan kehilangan ketepatan (accurary) dan objektivitasnya jika sejarah menjadi seni. Seni merupakan hasil imajinasi, sedangkan sejarah berdasarkan fakta. Sejarah akan terbatas bila dianggap hasil seni karena hanya akan terbatas pada apa yang dapat dideskripsikan dengan dipenuhi ilustrasi. Sejarah merupakan sumbangan seni yang memberikan karakterisasi mengenai watak tokoh dan memberikan struktur dalam penulisan peristiwa-peristiwa sejarah yang disebut dengan foreshadowin. Pendidikan sejarawan diperlukan agar seseorang siap menjadi penulis sejarah. Setiap kajian sejarah harus didahuli dengan satu pengantar yang diberikan alasan pembenar mengapa wilayah tersebut harus d…","author":[{"dropping-particle":"","family":"Kuntowijoyo","given":"","non-dropping-particle":"","parse-names":false,"suffix":""}],"container-title":"Jurnal Ilmu Sejarah dan Kebudayaan","id":"ITEM-4","issued":{"date-parts":[["2013"]]},"title":"Pengantar Ilmu Sejarah","type":"article-journal"},"uris":["http://www.mendeley.com/documents/?uuid=2fe21696-2583-3f78-a5bd-ef0a0efd4717"]}],"mendeley":{"formattedCitation":"[18]–[21]","plainTextFormattedCitation":"[18]–[21]","previouslyFormattedCitation":"[18]–[21]"},"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[18]–[21]</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In this stage, the corroboration was carried out after external and internal criticism. Corroboration was carried out because, to obtain historical facts, data were supported by one or more other historical sources. If only one source contains data, then corroboration cannot be carried out. In this case, the principle of </w:t>
      </w:r>
      <w:r w:rsidRPr="00956979">
        <w:rPr>
          <w:rFonts w:asciiTheme="majorHAnsi" w:hAnsiTheme="majorHAnsi" w:cstheme="majorHAnsi"/>
          <w:i/>
          <w:sz w:val="20"/>
          <w:szCs w:val="20"/>
        </w:rPr>
        <w:t>Argumentum ex Silentio</w:t>
      </w:r>
      <w:r w:rsidRPr="00956979">
        <w:rPr>
          <w:rFonts w:asciiTheme="majorHAnsi" w:hAnsiTheme="majorHAnsi" w:cstheme="majorHAnsi"/>
          <w:sz w:val="20"/>
          <w:szCs w:val="20"/>
        </w:rPr>
        <w:t xml:space="preserve"> is applied, </w:t>
      </w:r>
      <w:r w:rsidRPr="00956979">
        <w:rPr>
          <w:rFonts w:asciiTheme="majorHAnsi" w:hAnsiTheme="majorHAnsi" w:cstheme="majorHAnsi"/>
          <w:sz w:val="20"/>
          <w:szCs w:val="20"/>
        </w:rPr>
        <w:lastRenderedPageBreak/>
        <w:t xml:space="preserve">meaning that the data source was considered a fact if there was no contradiction or opposition to the data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{"citationItems":[{"id":"ITEM-1","itemData":{"abstract":"pengaruh sebagai suatu efek yang tegardan membentuk terhadap pikiran dan prilaku manusia baik sendiri-sendiri maupun kolektif","author":[{"dropping-particle":"","family":"Gottschalk","given":"Louis","non-dropping-particle":"","parse-names":false,"suffix":""}],"container-title":"Mengerti Sejarah","id":"ITEM-1","issue":"1980","issued":{"date-parts":[["2010"]]},"title":"Mengerti Sejarah","type":"book","volume":"XXVIII"},"uris":["http://www.mendeley.com/documents/?uuid=970a5767-7b2f-3427-88e0-b8218e717391"]},{"id":"ITEM-2","itemData":{"author":[{"dropping-particle":"","family":"Herlina","given":"N","non-dropping-particle":"","parse-names":false,"suffix":""}],"id":"ITEM-2","issued":{"date-parts":[["2008"]]},"publisher":"Satya Historika","publisher-place":"Bandung","title":"Metode sejarah","type":"book"},"uris":["http://www.mendeley.com/documents/?uuid=800adfda-535b-4ca7-9a0f-d604ce9e33c0"]}],"mendeley":{"formattedCitation":"[15], [20]","plainTextFormattedCitation":"[15], [20]","previouslyFormattedCitation":"[15], [20]"},"properties":{"noteIndex":0},"schema":"https://github.com/citation-style-language/schema/raw/master/csl-citation.json"}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[15], [20]</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67FA17BF"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The next stage was interpreting the data from source criticism, which could not be carried out without the existence of criticism. The results of data analysis were presented descriptively in a narrative form. The facts obtained were arranged to form a harmonious and reasonable whole. In other words, interpretation was the stage or activity of interpreting facts and determining the interconnected meaning of the facts so that, based on the information provided by the traces, one could imagine what the past looked like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{"citationItems":[{"id":"ITEM-1","itemData":{"abstract":"This master’s project addresses the study of the recently launched Google Android platform, and its online application marketplace, called the “Android Market.” The project examines the paths to success for third-party developers building applications for Android by comparing them with application development for the Apple iPhone. In addition, the project also includes a study of the Android business ecosystem. Research on related topics shows that this mobile ecosystem benefits third-party developers and those application vendors play a critical role in contributing to the success of Android.","author":[{"dropping-particle":"","family":"Kosim","given":"E.","non-dropping-particle":"","parse-names":false,"suffix":""}],"container-title":"Universitas Padjajaran","id":"ITEM-1","issued":{"date-parts":[["1984"]]},"title":"Metode Sejarah Asas dan Proses","type":"book"},"uris":["http://www.mendeley.com/documents/?uuid=f3063be9-ebce-3222-829a-ba29a30426aa"]}],"mendeley":{"formattedCitation":"[13]","plainTextFormattedCitation":"[13]","previouslyFormattedCitation":"[13]"},"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[13]</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006DDA39"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The first interpretation was analysis. In the analysis, the facts were broken down. The second interpretation was synthesis, combining facts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{"citationItems":[{"id":"ITEM-1","itemData":{"abstract":"Sejarah dalam bahasa arab berasal dari kata syajara yang berarti “terjadi”, syajarah berarti “pohon”, syajarah an-nasab berarti “pohon silsilah”; Bahasa inggris history; Bahasa Latin dan Yunani historia; Bahasa Yunani histor atau istor berarti “orang pandai”. Sejarah adalah merekonstruksikan apa yang sudah dipikirkan, dikatakan, dikerjakan, dirasakan dan dialami oleh orang di masa lalu. Sejarawan memiliki kebebasan dalam merekonstruksikan masa lalu asalkan didukung dengan bukti dan fakta yang ada. Secara intrinsik, sejarah berguna sebagai ilmu, cara mengetahui masa lampau, sebagai pernyataan pendapat, dan sebagai profesi. Secara ekstrinsik, terdapat 10 fungsi sejarah dalam pendidikan, yaitu sejarah sebagai pendidikan moral, pendidikan penalaran, pendidikan politik, pendidikan kebijakan, pendidikan perubahan, pendidikan masa depan, pendidikan keindahan, ilmu bantu, latar belakang, rujukan, dan bukti. Dalam historiografi, sejarah menekankan pada retorik, dan tidak bisa terlepas dari ilmu-ilmu lainnya, terutama ilmu sosial. Sejarah sebagai ilmu bersifat empiris, memiliki objek, teori, generalisasi dan metode. Sejarah sebagai seni memerlukan intuisi, imajinasi, emosi, dan gaya bahasa. Namun, sejarah sebagai ilmu dan seni memiliki 2 macam kritik. Kritik sejarah sebagai ilmu yaitu dalam menulis sejarah cukup dengan common sense dimana sejarawan dibaratkan sebagai komando perang yang siap diterjunkan dimanapun. Sejarah akan kering dikarenakan dalam penulisan sejarah menggunakan bahasa yang sederhana dan langsung serta memerlukan penulisan yang baik, teratur dan sistematik yang runtut (retorika), tidak ada bahasa yang berbunga-bunga seperti sastra. Sejarah memerlukan sumbangan ilmu yang memberikan konsep dan bersifat diakronis dan sinkronis. Sejarah sebagai seni juga memiliki kritik, pertama sejarah akan kehilangan ketepatan (accurary) dan objektivitasnya jika sejarah menjadi seni. Seni merupakan hasil imajinasi, sedangkan sejarah berdasarkan fakta. Sejarah akan terbatas bila dianggap hasil seni karena hanya akan terbatas pada apa yang dapat dideskripsikan dengan dipenuhi ilustrasi. Sejarah merupakan sumbangan seni yang memberikan karakterisasi mengenai watak tokoh dan memberikan struktur dalam penulisan peristiwa-peristiwa sejarah yang disebut dengan foreshadowin. Pendidikan sejarawan diperlukan agar seseorang siap menjadi penulis sejarah. Setiap kajian sejarah harus didahuli dengan satu pengantar yang diberikan alasan pembenar mengapa wilayah tersebut harus d…","author":[{"dropping-particle":"","family":"Kuntowijoyo","given":"","non-dropping-particle":"","parse-names":false,"suffix":""}],"container-title":"Jurnal Ilmu Sejarah dan Kebudayaan","id":"ITEM-1","issued":{"date-parts":[["2013"]]},"title":"Pengantar Ilmu Sejarah","type":"article-journal"},"uris":["http://www.mendeley.com/documents/?uuid=2fe21696-2583-3f78-a5bd-ef0a0efd4717"]}],"mendeley":{"formattedCitation":"[21]","plainTextFormattedCitation":"[21]","previouslyFormattedCitation":"[21]"},"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[21]</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The main step in the interpretation stage was to combine the facts that had been found, arranging them in a chronological order. Next, the series of facts were compiled and written. Writing it in as a historiography or imaginative reconstruction of the past based on the obtained data was the final stage of this historical method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{"citationItems":[{"id":"ITEM-1","itemData":{"author":[{"dropping-particle":"","family":"Herlina","given":"N","non-dropping-particle":"","parse-names":false,"suffix":""}],"id":"ITEM-1","issued":{"date-parts":[["2008"]]},"publisher":"Satya Historika","publisher-place":"Bandung","title":"Metode sejarah","type":"book"},"uris":["http://www.mendeley.com/documents/?uuid=800adfda-535b-4ca7-9a0f-d604ce9e33c0"]},{"id":"ITEM-2","itemData":{"abstract":"pengaruh sebagai suatu efek yang tegardan membentuk terhadap pikiran dan prilaku manusia baik sendiri-sendiri maupun kolektif","author":[{"dropping-particle":"","family":"Gottschalk","given":"Louis","non-dropping-particle":"","parse-names":false,"suffix":""}],"container-title":"Mengerti Sejarah","id":"ITEM-2","issue":"1980","issued":{"date-parts":[["2010"]]},"title":"Mengerti Sejarah","type":"book","volume":"XXVIII"},"uris":["http://www.mendeley.com/documents/?uuid=970a5767-7b2f-3427-88e0-b8218e717391"]}],"mendeley":{"formattedCitation":"[15], [20]","plainTextFormattedCitation":"[15], [20]","previouslyFormattedCitation":"[15], [20]"},"properties":{"noteIndex":0},"schema":"https://github.com/citation-style-language/schema/raw/master/csl-citation.json"}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[15] [20]</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11597C66"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Apart from that, the author collected oral sources obtained through oral history simply by selecting historical events contained in the memory of almost every human individual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{"citationItems":[{"id":"ITEM-1","itemData":{"author":[{"dropping-particle":"","family":"Dienaputra","given":"Reiza D","non-dropping-particle":"","parse-names":false,"suffix":""}],"id":"ITEM-1","issued":{"date-parts":[["2006"]]},"publisher":"Minor Book","publisher-place":"Bandung","title":"Sejarah Lisan: Konsep dan Metode","type":"book"},"uris":["http://www.mendeley.com/documents/?uuid=c23eccbf-9bfe-4d8b-9abe-941f15e3b6d8"]}],"mendeley":{"formattedCitation":"[22]","plainTextFormattedCitation":"[22]","previouslyFormattedCitation":"[22]"},"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[22]</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Collecting data through oral history is a qualitative data collection method. It is essential because the interview process provides opportunities for various sources to discuss and record history, and create a balance between practical and theoretical one through a narrative context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{"citationItems":[{"id":"ITEM-1","itemData":{"DOI":"10.1177/14687941211039963","ISSN":"17413109","abstract":"This article explores the similarities and differences between oral history and participatory action research (PAR) as two qualitative research methods that both accord with an interpretivist paradigm. It examines how combining these two methodologies can benefit mental health research, offering opportunities for reflection and reciprocity. Drawing from the authors’ respective knowledge and experience of using oral history and PAR methods within social care and mental health settings in the UK, the article considers these opportunities in relation to key concepts, namely, the sharing of power, reciprocity and positionality that are inherent in both methodological approaches. The article concludes that PAR-led oral history offers a trans-disciplinary methodology that can offer fresh insights for improving practices and social outcomes and for reducing inequalities.","author":[{"dropping-particle":"","family":"Calabria","given":"Verusca","non-dropping-particle":"","parse-names":false,"suffix":""},{"dropping-particle":"","family":"Bailey","given":"Di","non-dropping-particle":"","parse-names":false,"suffix":""}],"container-title":"Qualitative Research","id":"ITEM-1","issue":"3","issued":{"date-parts":[["2023"]]},"page":"668-685","title":"Participatory action research and oral history as natural allies in mental health research","type":"article-journal","volume":"23"},"uris":["http://www.mendeley.com/documents/?uuid=d5b346bb-246a-45e8-9f5b-32ef04e75141"]}],"mendeley":{"formattedCitation":"[23]","plainTextFormattedCitation":"[23]","previouslyFormattedCitation":"[23]"},"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[23]</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According to </w:t>
      </w:r>
      <w:proofErr w:type="spellStart"/>
      <w:r w:rsidRPr="00956979">
        <w:rPr>
          <w:rFonts w:asciiTheme="majorHAnsi" w:hAnsiTheme="majorHAnsi" w:cstheme="majorHAnsi"/>
          <w:sz w:val="20"/>
          <w:szCs w:val="20"/>
        </w:rPr>
        <w:t>Kartodirdjo</w:t>
      </w:r>
      <w:proofErr w:type="spellEnd"/>
      <w:r w:rsidRPr="00956979">
        <w:rPr>
          <w:rFonts w:asciiTheme="majorHAnsi" w:hAnsiTheme="majorHAnsi" w:cstheme="majorHAnsi"/>
          <w:sz w:val="20"/>
          <w:szCs w:val="20"/>
        </w:rPr>
        <w:t xml:space="preserv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{"citationItems":[{"id":"ITEM-1","itemData":{"author":[{"dropping-particle":"","family":"Kartodirdjo","given":"S.","non-dropping-particle":"","parse-names":false,"suffix":""}],"id":"ITEM-1","issued":{"date-parts":[["0"]]},"publisher":"Arsip Nasional Republik Indonesia","title":"Pengalaman kolektif sebagai objek sejarah lisan. Lembaran Berita Sejarah Lisan","type":"book"},"uris":["http://www.mendeley.com/documents/?uuid=a2c2af84-92cd-4243-9279-fbcf8c42ec11"]}],"mendeley":{"formattedCitation":"[24]","plainTextFormattedCitation":"[24]","previouslyFormattedCitation":"[24]"},"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[24]</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oral history is defined as stories about collective experiences that are conveyed orally. Davis et al. defined oral history as a branch of historical research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Davis","given":"C.","non-dropping-particle":"","parse-names":false,"suffix":""},{"dropping-particle":"","family":"Back","given":"K.","non-dropping-particle":"","parse-names":false,"suffix":""},{"dropping-particle":"","family":"Maclean","given":"K.","non-dropping-particle":"","parse-names":false,"suffix":""}],"id":"ITEM-1","issued":{"date-parts":[["1977"]]},"publisher":"American Library Association","publisher-place":"United States of America","title":"Oral history: From tape to type","type":"book"},"uris":["http://www.mendeley.com/documents/?uuid=45bd9869-c8ae-45d2-bb54-81a92967ba6a"]}],"mendeley":{"formattedCitation":"[25]","plainTextFormattedCitation":"[25]","previouslyFormattedCitation":"[25]"},"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[25]</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Whereas, </w:t>
      </w:r>
      <w:proofErr w:type="spellStart"/>
      <w:r w:rsidRPr="00956979">
        <w:rPr>
          <w:rFonts w:asciiTheme="majorHAnsi" w:hAnsiTheme="majorHAnsi" w:cstheme="majorHAnsi"/>
          <w:sz w:val="20"/>
          <w:szCs w:val="20"/>
        </w:rPr>
        <w:t>Darban</w:t>
      </w:r>
      <w:proofErr w:type="spellEnd"/>
      <w:r w:rsidRPr="00956979">
        <w:rPr>
          <w:rFonts w:asciiTheme="majorHAnsi" w:hAnsiTheme="majorHAnsi" w:cstheme="majorHAnsi"/>
          <w:sz w:val="20"/>
          <w:szCs w:val="20"/>
        </w:rPr>
        <w:t xml:space="preserv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{"citationItems":[{"id":"ITEM-1","itemData":{"author":[{"dropping-particle":"","family":"Dienaputra","given":"Reiza D","non-dropping-particle":"","parse-names":false,"suffix":""}],"id":"ITEM-1","issued":{"date-parts":[["2006"]]},"publisher":"Minor Book","publisher-place":"Bandung","title":"Sejarah Lisan: Konsep dan Metode","type":"book"},"uris":["http://www.mendeley.com/documents/?uuid=c23eccbf-9bfe-4d8b-9abe-941f15e3b6d8"]}],"mendeley":{"formattedCitation":"[22]","plainTextFormattedCitation":"[22]","previouslyFormattedCitation":"[22]"},"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[22]</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defined oral history as a historical source found among humans who follow events or witness past events described orally.</w:t>
      </w:r>
    </w:p>
    <w:p w14:paraId="310617AB" w14:textId="77777777" w:rsidR="00956979" w:rsidRPr="00956979" w:rsidRDefault="00956979" w:rsidP="00956979">
      <w:pPr>
        <w:ind w:firstLine="284"/>
        <w:jc w:val="both"/>
        <w:rPr>
          <w:rFonts w:asciiTheme="majorHAnsi" w:hAnsiTheme="majorHAnsi" w:cstheme="majorHAnsi"/>
          <w:sz w:val="20"/>
          <w:szCs w:val="20"/>
        </w:rPr>
      </w:pPr>
      <w:r w:rsidRPr="00956979">
        <w:rPr>
          <w:rFonts w:asciiTheme="majorHAnsi" w:hAnsiTheme="majorHAnsi" w:cstheme="majorHAnsi"/>
          <w:sz w:val="20"/>
          <w:szCs w:val="20"/>
        </w:rPr>
        <w:t xml:space="preserve">The main work stages in oral history practice were preparation, implementation, and creation of indexes and transcriptions. Basically, an oral history excavation activity can only be carried out well when clarity has been obtained regarding the topic to be researched, focusing on the following things: a manageable topic, an obtainable topic, significance of topic, and an interesting topic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{"citationItems":[{"id":"ITEM-1","itemData":{"author":[{"dropping-particle":"","family":"Dienaputra","given":"Reiza D","non-dropping-particle":"","parse-names":false,"suffix":""}],"id":"ITEM-1","issued":{"date-parts":[["2006"]]},"publisher":"Minor Book","publisher-place":"Bandung","title":"Sejarah Lisan: Konsep dan Metode","type":"book"},"uris":["http://www.mendeley.com/documents/?uuid=c23eccbf-9bfe-4d8b-9abe-941f15e3b6d8"]}],"mendeley":{"formattedCitation":"[22]","plainTextFormattedCitation":"[22]","previouslyFormattedCitation":"[22]"},"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[22]</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41204AE4" w14:textId="77777777" w:rsidR="00956979" w:rsidRPr="00956979" w:rsidRDefault="00956979" w:rsidP="00956979">
      <w:pPr>
        <w:ind w:firstLine="284"/>
        <w:jc w:val="both"/>
        <w:rPr>
          <w:rFonts w:asciiTheme="majorHAnsi" w:hAnsiTheme="majorHAnsi" w:cstheme="majorHAnsi"/>
          <w:b/>
          <w:lang w:val="id-ID"/>
        </w:rPr>
      </w:pPr>
      <w:r w:rsidRPr="00956979">
        <w:rPr>
          <w:rFonts w:asciiTheme="majorHAnsi" w:hAnsiTheme="majorHAnsi" w:cstheme="majorHAnsi"/>
          <w:sz w:val="20"/>
          <w:szCs w:val="20"/>
        </w:rPr>
        <w:t xml:space="preserve">In </w:t>
      </w:r>
      <w:proofErr w:type="spellStart"/>
      <w:r w:rsidRPr="00956979">
        <w:rPr>
          <w:rFonts w:asciiTheme="majorHAnsi" w:hAnsiTheme="majorHAnsi" w:cstheme="majorHAnsi"/>
          <w:sz w:val="20"/>
          <w:szCs w:val="20"/>
        </w:rPr>
        <w:t>analyzing</w:t>
      </w:r>
      <w:proofErr w:type="spellEnd"/>
      <w:r w:rsidRPr="00956979">
        <w:rPr>
          <w:rFonts w:asciiTheme="majorHAnsi" w:hAnsiTheme="majorHAnsi" w:cstheme="majorHAnsi"/>
          <w:sz w:val="20"/>
          <w:szCs w:val="20"/>
        </w:rPr>
        <w:t xml:space="preserve"> this research, the concept of visual narrative was used. A visual narrative is a narrative statement because it is oral or written, and the task is to find the year of an event or series of events. A sequence of events, real or fictitious, is the subject of discourse in several relationships, opposition, repetition, and so on. The architecture of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in Cirebon can convey a static visual narrative since it was built. The minimal changes and resilience of form in each architectural element become a means of communication and knowledge of the history, religion, and architecture of the mosque. This understanding involves the interaction of various systems: interpreting architectural elements to build an overall understanding of the visual language contained in the mosque architecture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{"citationItems":[{"id":"ITEM-1","itemData":{"DOI":"10.3389/fpsyg.2014.00680","ISSN":"16641078","abstract":"How do people make sense of the sequential images in visual narratives like comics? A growing literature of recent research has suggested that this comprehension involves the interaction of multiple systems: The creation of meaning across sequential images relies on a \"narrative grammar\" that packages conceptual information into categorical roles organized in hierarchic constituents. These images are encapsulated into panels arranged in the layout of a physical page. Finally, how panels frame information can impact both the narrative structure and page layout. Altogether, these systems operate in parallel to construct the Gestalt whole of comprehension of this visual language found in comics. © 2014 Cohn.","author":[{"dropping-particle":"","family":"Cohn","given":"Neil","non-dropping-particle":"","parse-names":false,"suffix":""}],"container-title":"Frontiers in Psychology","id":"ITEM-1","issue":"JUL","issued":{"date-parts":[["2014"]]},"page":"1-9","title":"The architecture of visual narrative comprehension: The interaction of narrative structure and page layout in understanding comics","type":"article-journal","volume":"5"},"uris":["http://www.mendeley.com/documents/?uuid=c13be589-6258-49b5-a5b5-4ec875c6a664"]}],"mendeley":{"formattedCitation":"[26]","plainTextFormattedCitation":"[26]","previouslyFormattedCitation":"[26]"},"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[26]</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Architectural form is part of a visual language bound by the rules of geometry and proportion. Visual elements can make a building unique and different from other buildings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{"citationItems":[{"id":"ITEM-1","itemData":{"DOI":"10.30772/qjes.2023.141688.1007","ISSN":"24117773","abstract":"From ancient Greece till the present, the golden ratio has been considered one of the most significant criteria of beauty in art and architecture. Architectural forms are part of the visual language that is bound by the rules of geometry and proportion. This study aims to identify the extent to which contemporary mosques in the city of Erbil utilize the golden ratio in the aesthetics of their facades. The research attempts to answer the question: was the golden ratio implemented in designing the facade of contemporary mosques in Erbil? The study adopted a mixed quantitative and qualitative analysis method. To achieve the study's aim and answer its questions, six mosques built in the last decade in Erbil were selected. Qualitatively, survey and documentation followed. Quantitatively, Phi matrix software, AutoCAD, and graphic software were applied as a mathematical approach. The study concluded that only one case used the golden ratio in the design of its façade by 100%, while it did not exceed 75% in most other mosques. The study draws the attention of designers and architects in the field of mosque architecture to the adoption of the golden ratio in the designs of mosque facades because of its role in achieving the aesthetic aspect.","author":[{"dropping-particle":"","family":"Rashid","given":"Saya Jamal","non-dropping-particle":"","parse-names":false,"suffix":""},{"dropping-particle":"","family":"Mustafa","given":"Faris Ali","non-dropping-particle":"","parse-names":false,"suffix":""},{"dropping-particle":"","family":"Yaseen","given":"Faten Radhwan","non-dropping-particle":"","parse-names":false,"suffix":""}],"container-title":"Al-Qadisiyah Journal for Engineering Sciences","id":"ITEM-1","issue":"1","issued":{"date-parts":[["2024"]]},"page":"22-28","title":"Using golden ratio in detecting the aesthetics of Mosque facades: The case of contemporary Mosques in Erbil city","type":"article-journal","volume":"17"},"uris":["http://www.mendeley.com/documents/?uuid=e1ead9c1-150a-4303-a1c7-5921b19b672d"]}],"mendeley":{"formattedCitation":"[27]","plainTextFormattedCitation":"[27]","previouslyFormattedCitation":"[27]"},"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[27]</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w:t>
      </w:r>
    </w:p>
    <w:p w14:paraId="21D54211" w14:textId="77777777" w:rsidR="00956979" w:rsidRPr="00956979" w:rsidRDefault="00956979" w:rsidP="00956979">
      <w:pPr>
        <w:pStyle w:val="ListParagraph"/>
        <w:jc w:val="both"/>
        <w:rPr>
          <w:rFonts w:asciiTheme="majorHAnsi" w:hAnsiTheme="majorHAnsi" w:cstheme="majorHAnsi"/>
          <w:b/>
          <w:sz w:val="20"/>
          <w:szCs w:val="20"/>
          <w:lang w:val="id-ID"/>
        </w:rPr>
      </w:pPr>
    </w:p>
    <w:p w14:paraId="4EAA9AF4" w14:textId="1B08B9A6" w:rsidR="00956979" w:rsidRDefault="00956979" w:rsidP="00956979">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2482F677" w14:textId="77777777" w:rsidR="00956979" w:rsidRDefault="00956979" w:rsidP="00956979">
      <w:pPr>
        <w:pStyle w:val="ListParagraph"/>
        <w:ind w:left="284"/>
        <w:jc w:val="both"/>
        <w:rPr>
          <w:rFonts w:asciiTheme="minorHAnsi" w:hAnsiTheme="minorHAnsi" w:cstheme="minorHAnsi"/>
          <w:b/>
          <w:bCs/>
        </w:rPr>
      </w:pPr>
    </w:p>
    <w:p w14:paraId="21949D4C" w14:textId="4321A883" w:rsidR="00956979" w:rsidRDefault="00956979" w:rsidP="00956979">
      <w:pPr>
        <w:pStyle w:val="ListParagraph"/>
        <w:numPr>
          <w:ilvl w:val="1"/>
          <w:numId w:val="1"/>
        </w:numPr>
        <w:ind w:left="567" w:hanging="283"/>
        <w:jc w:val="both"/>
        <w:rPr>
          <w:rFonts w:asciiTheme="minorHAnsi" w:hAnsiTheme="minorHAnsi" w:cstheme="minorHAnsi"/>
          <w:b/>
          <w:bCs/>
          <w:sz w:val="18"/>
          <w:szCs w:val="18"/>
        </w:rPr>
      </w:pPr>
      <w:r w:rsidRPr="00956979">
        <w:rPr>
          <w:rFonts w:asciiTheme="minorHAnsi" w:hAnsiTheme="minorHAnsi" w:cstheme="minorHAnsi"/>
          <w:b/>
          <w:bCs/>
          <w:sz w:val="18"/>
          <w:szCs w:val="18"/>
        </w:rPr>
        <w:t>PANJUNAN RED MOSQUE</w:t>
      </w:r>
    </w:p>
    <w:p w14:paraId="37F8E403"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is located on </w:t>
      </w:r>
      <w:proofErr w:type="spellStart"/>
      <w:r w:rsidRPr="00956979">
        <w:rPr>
          <w:rFonts w:asciiTheme="majorHAnsi" w:hAnsiTheme="majorHAnsi" w:cstheme="majorHAnsi"/>
          <w:sz w:val="20"/>
          <w:szCs w:val="20"/>
        </w:rPr>
        <w:t>Kolektoran</w:t>
      </w:r>
      <w:proofErr w:type="spellEnd"/>
      <w:r w:rsidRPr="00956979">
        <w:rPr>
          <w:rFonts w:asciiTheme="majorHAnsi" w:hAnsiTheme="majorHAnsi" w:cstheme="majorHAnsi"/>
          <w:sz w:val="20"/>
          <w:szCs w:val="20"/>
        </w:rPr>
        <w:t xml:space="preserve"> Street Number 43,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w:t>
      </w:r>
      <w:proofErr w:type="gramStart"/>
      <w:r w:rsidRPr="00956979">
        <w:rPr>
          <w:rFonts w:asciiTheme="majorHAnsi" w:hAnsiTheme="majorHAnsi" w:cstheme="majorHAnsi"/>
          <w:sz w:val="20"/>
          <w:szCs w:val="20"/>
        </w:rPr>
        <w:t xml:space="preserve">Village,   </w:t>
      </w:r>
      <w:proofErr w:type="gramEnd"/>
      <w:r w:rsidRPr="00956979">
        <w:rPr>
          <w:rFonts w:asciiTheme="majorHAnsi" w:hAnsiTheme="majorHAnsi" w:cstheme="majorHAnsi"/>
          <w:sz w:val="20"/>
          <w:szCs w:val="20"/>
        </w:rPr>
        <w:t xml:space="preserve"> District, Cirebon.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Village is a village with an area of 1.28 km². The people who live around the mosque are generally of Arab descent, including the high priest of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They generally choose trading as their occupation. Therefore, it is not surprising that the road to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is filled with shops or shophouses, which are generally owned by people of Arab descent. In fact, this area is also called the Arab Village. This is based on the history of Cirebon in the 15th century. Many Arabs came to do trading activities in Cirebon, which at that time had a port and was the </w:t>
      </w:r>
      <w:proofErr w:type="spellStart"/>
      <w:r w:rsidRPr="00956979">
        <w:rPr>
          <w:rFonts w:asciiTheme="majorHAnsi" w:hAnsiTheme="majorHAnsi" w:cstheme="majorHAnsi"/>
          <w:sz w:val="20"/>
          <w:szCs w:val="20"/>
        </w:rPr>
        <w:t>center</w:t>
      </w:r>
      <w:proofErr w:type="spellEnd"/>
      <w:r w:rsidRPr="00956979">
        <w:rPr>
          <w:rFonts w:asciiTheme="majorHAnsi" w:hAnsiTheme="majorHAnsi" w:cstheme="majorHAnsi"/>
          <w:sz w:val="20"/>
          <w:szCs w:val="20"/>
        </w:rPr>
        <w:t xml:space="preserve"> of the economy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https://doi.org/10.47492/jip.v4i1.2619","author":[{"dropping-particle":"","family":"Khalim","given":"Abdul","non-dropping-particle":"","parse-names":false,"suffix":""},{"dropping-particle":"","family":"Fitriyana","given":"Dian","non-dropping-particle":"","parse-names":false,"suffix":""}],"container-title":"Jurnal Inovasi Penelitian","id":"ITEM-1","issue":"1","issued":{"date-parts":[["2023"]]},"page":"169-178","title":"Analisa Potensi Wisata Kampung Arab Panjunan dalam Pengembangan Pariwisata Berkelanjutan Di Kota Cirebon","type":"article-journal","volume":"4"},"uris":["http://www.mendeley.com/documents/?uuid=a9f44121-8547-4756-9a0c-a8636b8bafc7"]}],"mendeley":{"formattedCitation":"[12]","plainTextFormattedCitation":"[12]","previouslyFormattedCitation":"[12]"},"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sz w:val="20"/>
          <w:szCs w:val="20"/>
        </w:rPr>
        <w:t>[12]</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62502A85"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was under the auspices of the </w:t>
      </w:r>
      <w:proofErr w:type="spellStart"/>
      <w:r w:rsidRPr="00956979">
        <w:rPr>
          <w:rFonts w:asciiTheme="majorHAnsi" w:hAnsiTheme="majorHAnsi" w:cstheme="majorHAnsi"/>
          <w:sz w:val="20"/>
          <w:szCs w:val="20"/>
        </w:rPr>
        <w:t>Kasepuhan</w:t>
      </w:r>
      <w:proofErr w:type="spellEnd"/>
      <w:r w:rsidRPr="00956979">
        <w:rPr>
          <w:rFonts w:asciiTheme="majorHAnsi" w:hAnsiTheme="majorHAnsi" w:cstheme="majorHAnsi"/>
          <w:sz w:val="20"/>
          <w:szCs w:val="20"/>
        </w:rPr>
        <w:t xml:space="preserve"> Palace [old palace]. However, because the </w:t>
      </w:r>
      <w:proofErr w:type="spellStart"/>
      <w:r w:rsidRPr="00956979">
        <w:rPr>
          <w:rFonts w:asciiTheme="majorHAnsi" w:hAnsiTheme="majorHAnsi" w:cstheme="majorHAnsi"/>
          <w:sz w:val="20"/>
          <w:szCs w:val="20"/>
        </w:rPr>
        <w:t>Kasepuhan</w:t>
      </w:r>
      <w:proofErr w:type="spellEnd"/>
      <w:r w:rsidRPr="00956979">
        <w:rPr>
          <w:rFonts w:asciiTheme="majorHAnsi" w:hAnsiTheme="majorHAnsi" w:cstheme="majorHAnsi"/>
          <w:sz w:val="20"/>
          <w:szCs w:val="20"/>
        </w:rPr>
        <w:t xml:space="preserve"> and </w:t>
      </w:r>
      <w:proofErr w:type="spellStart"/>
      <w:r w:rsidRPr="00956979">
        <w:rPr>
          <w:rFonts w:asciiTheme="majorHAnsi" w:hAnsiTheme="majorHAnsi" w:cstheme="majorHAnsi"/>
          <w:sz w:val="20"/>
          <w:szCs w:val="20"/>
        </w:rPr>
        <w:t>Kanoman</w:t>
      </w:r>
      <w:proofErr w:type="spellEnd"/>
      <w:r w:rsidRPr="00956979">
        <w:rPr>
          <w:rFonts w:asciiTheme="majorHAnsi" w:hAnsiTheme="majorHAnsi" w:cstheme="majorHAnsi"/>
          <w:sz w:val="20"/>
          <w:szCs w:val="20"/>
        </w:rPr>
        <w:t xml:space="preserve"> Palaces were still related, the </w:t>
      </w:r>
      <w:proofErr w:type="spellStart"/>
      <w:r w:rsidRPr="00956979">
        <w:rPr>
          <w:rFonts w:asciiTheme="majorHAnsi" w:hAnsiTheme="majorHAnsi" w:cstheme="majorHAnsi"/>
          <w:sz w:val="20"/>
          <w:szCs w:val="20"/>
        </w:rPr>
        <w:t>Kanoman</w:t>
      </w:r>
      <w:proofErr w:type="spellEnd"/>
      <w:r w:rsidRPr="00956979">
        <w:rPr>
          <w:rFonts w:asciiTheme="majorHAnsi" w:hAnsiTheme="majorHAnsi" w:cstheme="majorHAnsi"/>
          <w:sz w:val="20"/>
          <w:szCs w:val="20"/>
        </w:rPr>
        <w:t xml:space="preserve"> Palace [young palace] also helps to manage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and cultural heritage sites in Cirebon. The Welfare Council Mosque (DKM) and caretakers of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as well as other old mosques in the Cirebon Sultanate area, were appointed directly by Sultan </w:t>
      </w:r>
      <w:proofErr w:type="spellStart"/>
      <w:r w:rsidRPr="00956979">
        <w:rPr>
          <w:rFonts w:asciiTheme="majorHAnsi" w:hAnsiTheme="majorHAnsi" w:cstheme="majorHAnsi"/>
          <w:sz w:val="20"/>
          <w:szCs w:val="20"/>
        </w:rPr>
        <w:t>Sepuh</w:t>
      </w:r>
      <w:proofErr w:type="spellEnd"/>
      <w:r w:rsidRPr="00956979">
        <w:rPr>
          <w:rFonts w:asciiTheme="majorHAnsi" w:hAnsiTheme="majorHAnsi" w:cstheme="majorHAnsi"/>
          <w:sz w:val="20"/>
          <w:szCs w:val="20"/>
        </w:rPr>
        <w:t xml:space="preserve"> from the </w:t>
      </w:r>
      <w:proofErr w:type="spellStart"/>
      <w:r w:rsidRPr="00956979">
        <w:rPr>
          <w:rFonts w:asciiTheme="majorHAnsi" w:hAnsiTheme="majorHAnsi" w:cstheme="majorHAnsi"/>
          <w:sz w:val="20"/>
          <w:szCs w:val="20"/>
        </w:rPr>
        <w:t>Kasepuhan</w:t>
      </w:r>
      <w:proofErr w:type="spellEnd"/>
      <w:r w:rsidRPr="00956979">
        <w:rPr>
          <w:rFonts w:asciiTheme="majorHAnsi" w:hAnsiTheme="majorHAnsi" w:cstheme="majorHAnsi"/>
          <w:sz w:val="20"/>
          <w:szCs w:val="20"/>
        </w:rPr>
        <w:t xml:space="preserve"> Palace. Meanwhile, Sultan Anom from the </w:t>
      </w:r>
      <w:proofErr w:type="spellStart"/>
      <w:r w:rsidRPr="00956979">
        <w:rPr>
          <w:rFonts w:asciiTheme="majorHAnsi" w:hAnsiTheme="majorHAnsi" w:cstheme="majorHAnsi"/>
          <w:sz w:val="20"/>
          <w:szCs w:val="20"/>
        </w:rPr>
        <w:t>Kanoman</w:t>
      </w:r>
      <w:proofErr w:type="spellEnd"/>
      <w:r w:rsidRPr="00956979">
        <w:rPr>
          <w:rFonts w:asciiTheme="majorHAnsi" w:hAnsiTheme="majorHAnsi" w:cstheme="majorHAnsi"/>
          <w:sz w:val="20"/>
          <w:szCs w:val="20"/>
        </w:rPr>
        <w:t xml:space="preserve"> Palace was only given the knowledge about the appointment. The people around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are descendants of the Middle East and settled around the mosque led by Sheikh Abdurahman (Prince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who founded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The existence of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certainly influences the surrounding community: those who live around the mosque, people who live far away from the mosque, and those who have only heard various news about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w:t>
      </w:r>
    </w:p>
    <w:p w14:paraId="387C0B94" w14:textId="77777777" w:rsidR="00956979" w:rsidRPr="00956979" w:rsidRDefault="00956979" w:rsidP="00956979">
      <w:pPr>
        <w:ind w:left="284" w:firstLine="283"/>
        <w:jc w:val="both"/>
        <w:rPr>
          <w:rFonts w:asciiTheme="majorHAnsi" w:hAnsiTheme="majorHAnsi" w:cstheme="majorHAnsi"/>
          <w:sz w:val="20"/>
          <w:szCs w:val="20"/>
        </w:rPr>
      </w:pPr>
      <w:proofErr w:type="spellStart"/>
      <w:r w:rsidRPr="00956979">
        <w:rPr>
          <w:rFonts w:asciiTheme="majorHAnsi" w:hAnsiTheme="majorHAnsi" w:cstheme="majorHAnsi"/>
          <w:sz w:val="20"/>
          <w:szCs w:val="20"/>
        </w:rPr>
        <w:t>Rumors</w:t>
      </w:r>
      <w:proofErr w:type="spellEnd"/>
      <w:r w:rsidRPr="00956979">
        <w:rPr>
          <w:rFonts w:asciiTheme="majorHAnsi" w:hAnsiTheme="majorHAnsi" w:cstheme="majorHAnsi"/>
          <w:sz w:val="20"/>
          <w:szCs w:val="20"/>
        </w:rPr>
        <w:t xml:space="preserve"> circulated about the political sector that officials were afraid to come to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If these officials or prospective officials do not come to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with the pure intention of worship (only to ask for success), it is </w:t>
      </w:r>
      <w:proofErr w:type="spellStart"/>
      <w:r w:rsidRPr="00956979">
        <w:rPr>
          <w:rFonts w:asciiTheme="majorHAnsi" w:hAnsiTheme="majorHAnsi" w:cstheme="majorHAnsi"/>
          <w:sz w:val="20"/>
          <w:szCs w:val="20"/>
        </w:rPr>
        <w:t>rumored</w:t>
      </w:r>
      <w:proofErr w:type="spellEnd"/>
      <w:r w:rsidRPr="00956979">
        <w:rPr>
          <w:rFonts w:asciiTheme="majorHAnsi" w:hAnsiTheme="majorHAnsi" w:cstheme="majorHAnsi"/>
          <w:sz w:val="20"/>
          <w:szCs w:val="20"/>
        </w:rPr>
        <w:t xml:space="preserve"> that they will fall ill and even fail in their candidacy. The public </w:t>
      </w:r>
      <w:r w:rsidRPr="00956979">
        <w:rPr>
          <w:rFonts w:asciiTheme="majorHAnsi" w:hAnsiTheme="majorHAnsi" w:cstheme="majorHAnsi"/>
          <w:sz w:val="20"/>
          <w:szCs w:val="20"/>
        </w:rPr>
        <w:lastRenderedPageBreak/>
        <w:t xml:space="preserve">has been told about it for generations. Indirectly, such news breaks the practice of </w:t>
      </w:r>
      <w:r w:rsidRPr="00956979">
        <w:rPr>
          <w:rFonts w:asciiTheme="majorHAnsi" w:hAnsiTheme="majorHAnsi" w:cstheme="majorHAnsi"/>
          <w:i/>
          <w:iCs/>
          <w:sz w:val="20"/>
          <w:szCs w:val="20"/>
        </w:rPr>
        <w:t>shirk</w:t>
      </w:r>
      <w:r w:rsidRPr="00956979">
        <w:rPr>
          <w:rFonts w:asciiTheme="majorHAnsi" w:hAnsiTheme="majorHAnsi" w:cstheme="majorHAnsi"/>
          <w:sz w:val="20"/>
          <w:szCs w:val="20"/>
        </w:rPr>
        <w:t xml:space="preserve">, which may be carried out by irresponsible individuals. They want to take advantage of historical heritage sites, which generally happen in various regions (interview). </w:t>
      </w:r>
    </w:p>
    <w:p w14:paraId="09D50FC0"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Meanwhile, the existence of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is influential for the local community. Apart from being a place of worship, it is also a location where some residents beg or ask for money. These activities are carried out by widows who live behind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According to Mrs. </w:t>
      </w:r>
      <w:proofErr w:type="spellStart"/>
      <w:r w:rsidRPr="00956979">
        <w:rPr>
          <w:rFonts w:asciiTheme="majorHAnsi" w:hAnsiTheme="majorHAnsi" w:cstheme="majorHAnsi"/>
          <w:sz w:val="20"/>
          <w:szCs w:val="20"/>
        </w:rPr>
        <w:t>Nunung</w:t>
      </w:r>
      <w:proofErr w:type="spellEnd"/>
      <w:r w:rsidRPr="00956979">
        <w:rPr>
          <w:rFonts w:asciiTheme="majorHAnsi" w:hAnsiTheme="majorHAnsi" w:cstheme="majorHAnsi"/>
          <w:sz w:val="20"/>
          <w:szCs w:val="20"/>
        </w:rPr>
        <w:t xml:space="preserve"> (interview), the deputy head of the Citizens Association (RW) in the area, it is not uncommon to receive many reports about the activities of widows that disturb visitors and other residents. It is because the widows asking for money under the pretext of alms seem to do it forcefully.</w:t>
      </w:r>
    </w:p>
    <w:p w14:paraId="4DC9EA34"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In some cases, the widows even bang on visitors' car doors if they have not been given money as alms. This </w:t>
      </w:r>
      <w:proofErr w:type="spellStart"/>
      <w:r w:rsidRPr="00956979">
        <w:rPr>
          <w:rFonts w:asciiTheme="majorHAnsi" w:hAnsiTheme="majorHAnsi" w:cstheme="majorHAnsi"/>
          <w:sz w:val="20"/>
          <w:szCs w:val="20"/>
        </w:rPr>
        <w:t>behavior</w:t>
      </w:r>
      <w:proofErr w:type="spellEnd"/>
      <w:r w:rsidRPr="00956979">
        <w:rPr>
          <w:rFonts w:asciiTheme="majorHAnsi" w:hAnsiTheme="majorHAnsi" w:cstheme="majorHAnsi"/>
          <w:sz w:val="20"/>
          <w:szCs w:val="20"/>
        </w:rPr>
        <w:t xml:space="preserve"> certainly has a negative influence on the mosque's existence as a religious tourist attraction. When discussing positive and negative perceptions, people build these two impressions. It is not generated by the mosque building as a place of worship that cannot even create an image of itself. Apart from the inconvenience caused by these widows, Mrs. </w:t>
      </w:r>
      <w:proofErr w:type="spellStart"/>
      <w:r w:rsidRPr="00956979">
        <w:rPr>
          <w:rFonts w:asciiTheme="majorHAnsi" w:hAnsiTheme="majorHAnsi" w:cstheme="majorHAnsi"/>
          <w:sz w:val="20"/>
          <w:szCs w:val="20"/>
        </w:rPr>
        <w:t>Nunung</w:t>
      </w:r>
      <w:proofErr w:type="spellEnd"/>
      <w:r w:rsidRPr="00956979">
        <w:rPr>
          <w:rFonts w:asciiTheme="majorHAnsi" w:hAnsiTheme="majorHAnsi" w:cstheme="majorHAnsi"/>
          <w:sz w:val="20"/>
          <w:szCs w:val="20"/>
        </w:rPr>
        <w:t xml:space="preserve"> (interview) stated that the area around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is very prone to criminal activity. She often urges mosque visitors to be careful and look after their belongings because things often happen to be left behind in the mosque. Still, they end up lost them. </w:t>
      </w:r>
    </w:p>
    <w:p w14:paraId="562AA23C"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was founded in 1480 AD by Prince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originally as a </w:t>
      </w:r>
      <w:r w:rsidRPr="00956979">
        <w:rPr>
          <w:rFonts w:asciiTheme="majorHAnsi" w:hAnsiTheme="majorHAnsi" w:cstheme="majorHAnsi"/>
          <w:i/>
          <w:iCs/>
          <w:sz w:val="20"/>
          <w:szCs w:val="20"/>
        </w:rPr>
        <w:t>surau</w:t>
      </w:r>
      <w:r w:rsidRPr="00956979">
        <w:rPr>
          <w:rFonts w:asciiTheme="majorHAnsi" w:hAnsiTheme="majorHAnsi" w:cstheme="majorHAnsi"/>
          <w:sz w:val="20"/>
          <w:szCs w:val="20"/>
        </w:rPr>
        <w:t xml:space="preserve"> [mosque]. The </w:t>
      </w:r>
      <w:r w:rsidRPr="00956979">
        <w:rPr>
          <w:rFonts w:asciiTheme="majorHAnsi" w:hAnsiTheme="majorHAnsi" w:cstheme="majorHAnsi"/>
          <w:i/>
          <w:iCs/>
          <w:sz w:val="20"/>
          <w:szCs w:val="20"/>
        </w:rPr>
        <w:t>surau</w:t>
      </w:r>
      <w:r w:rsidRPr="00956979">
        <w:rPr>
          <w:rFonts w:asciiTheme="majorHAnsi" w:hAnsiTheme="majorHAnsi" w:cstheme="majorHAnsi"/>
          <w:sz w:val="20"/>
          <w:szCs w:val="20"/>
        </w:rPr>
        <w:t xml:space="preserve">, measuring around 150 m², is known as the Red Mosque because the walls of this mosque are built from exposed red brick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{"citationItems":[{"id":"ITEM-1","itemData":{"DOI":"10.30959/patanjala.v4i2.143","ISSN":"2085-9937","abstract":"AbstrakPerkembangan ajaran agama ditandai dengan adanya pembangunan tempat peribatannya. Cirebon yang terkenal dengan sebutan “kota wali” merupakan salah satu tongggak berkembangnya ajaran Islam di pantai utara wilayah Kerajaan Pajajaran. Pembangunan Masjid Merah yang diprakasai oleh Syekh Syarif Abdurrahman dibangun pada tahun 1480 Masehi. Bangunan Masjid Merah tidak terlepas dari seni arsitektur dengan segala ornamennya berbentuk piring porselin yang dipasang di dinding tembok dan juga terbuat dari susunan bata merah sehingga mesjid ini dinamakan Masjid Merah, serta didukung oleh tiga unsur kebudayaan besar. Saat ini Masjid Merah ditetapkan sebagai benda cagar budaya oleh Pemerintah Kota Cirebon. Sebagai benda cagar budaya perlu adanya pemeliharaan berkesinambungan yang diharapkan dapat dijadikan sebagai objek wisata sejarah dan budaya atau sebagai pembelajaran bagi generasi muda untuk menghormati karya leluhurnya.  Penelitian ini bertujuan untuk memberikan data dan informasi di bidang kebudayaaan mengenai seni arsitektur Masjid Merah Panjunan di Cirebon. Metode yang digunakan dalam penelitian ini adalah deskriptif. AbstractThe development of religion is characterized by the construction of its place of worship. Cirebon which is known as the \"city of wali\" is a milestone in the development of Islam in the north coast area of the Kingdom of Pajajaran. The construction of Masjid Merah (the Red Mosque) was initiated by Syekh Syarif Abdurrahman in 1480 CE. The mosque was made of red bricks and has plates mounted on the walls as its ornament depicting harmony of three cultures which make it considered cultural heritage by local government. As the object of cultural heritage the mosque needs to be conserved for the benefit of historical and cultural tourism attraction or as learning experience for younger generation in respecting the work of their predecessors. This study aims to giving data and information in cultural area, especially architecture of the Red Mosque of Panjunan in Cirebon. The author conducts a descriptive-analytical method, and datat are obtained through primary and secondary sources.","author":[{"dropping-particle":"","family":"Hermana","given":"Hermana","non-dropping-particle":"","parse-names":false,"suffix":""}],"container-title":"Patanjala : Jurnal Penelitian Sejarah dan Budaya","id":"ITEM-1","issue":"2","issued":{"date-parts":[["2012"]]},"title":"ARSITEKTUR MASJID MERAH PANJUNAN KOTA CIREBON","type":"article-journal","volume":"4"},"uris":["http://www.mendeley.com/documents/?uuid=d3852dc6-c400-3dfa-ac44-085cd836a340"]}],"mendeley":{"formattedCitation":"[30]","plainTextFormattedCitation":"[30]","previouslyFormattedCitation":"[30]"},"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[28]</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This makes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different from mosque architecture in general. Meanwhile, the name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refers to the name of the village where this mosque is located.</w:t>
      </w:r>
    </w:p>
    <w:p w14:paraId="3C9EAD5E"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Not many artifacts remain in the Cirebon area from the pre-Islamic period have been found. The buildings in Cirebon City generally originate from the reign of Islamic kings in Cirebon. However, if looking closely at the Islamic period buildings in Cirebon, many of the building elements and decorative patterns are </w:t>
      </w:r>
      <w:proofErr w:type="gramStart"/>
      <w:r w:rsidRPr="00956979">
        <w:rPr>
          <w:rFonts w:asciiTheme="majorHAnsi" w:hAnsiTheme="majorHAnsi" w:cstheme="majorHAnsi"/>
          <w:sz w:val="20"/>
          <w:szCs w:val="20"/>
        </w:rPr>
        <w:t>similar to</w:t>
      </w:r>
      <w:proofErr w:type="gramEnd"/>
      <w:r w:rsidRPr="00956979">
        <w:rPr>
          <w:rFonts w:asciiTheme="majorHAnsi" w:hAnsiTheme="majorHAnsi" w:cstheme="majorHAnsi"/>
          <w:sz w:val="20"/>
          <w:szCs w:val="20"/>
        </w:rPr>
        <w:t xml:space="preserve"> contemporary Islamic buildings in other places, especially on the north coast of Java, such as Banten, Gresik, Kudus, and Madura. At the beginning of the 16t</w:t>
      </w:r>
      <w:r w:rsidRPr="00956979">
        <w:rPr>
          <w:rFonts w:asciiTheme="majorHAnsi" w:hAnsiTheme="majorHAnsi" w:cstheme="majorHAnsi"/>
          <w:sz w:val="20"/>
          <w:szCs w:val="20"/>
          <w:vertAlign w:val="superscript"/>
        </w:rPr>
        <w:t>h</w:t>
      </w:r>
      <w:r w:rsidRPr="00956979">
        <w:rPr>
          <w:rFonts w:asciiTheme="majorHAnsi" w:hAnsiTheme="majorHAnsi" w:cstheme="majorHAnsi"/>
          <w:sz w:val="20"/>
          <w:szCs w:val="20"/>
        </w:rPr>
        <w:t xml:space="preserve"> century, these places had become </w:t>
      </w:r>
      <w:proofErr w:type="spellStart"/>
      <w:r w:rsidRPr="00956979">
        <w:rPr>
          <w:rFonts w:asciiTheme="majorHAnsi" w:hAnsiTheme="majorHAnsi" w:cstheme="majorHAnsi"/>
          <w:sz w:val="20"/>
          <w:szCs w:val="20"/>
        </w:rPr>
        <w:t>centers</w:t>
      </w:r>
      <w:proofErr w:type="spellEnd"/>
      <w:r w:rsidRPr="00956979">
        <w:rPr>
          <w:rFonts w:asciiTheme="majorHAnsi" w:hAnsiTheme="majorHAnsi" w:cstheme="majorHAnsi"/>
          <w:sz w:val="20"/>
          <w:szCs w:val="20"/>
        </w:rPr>
        <w:t xml:space="preserve"> for developing Islam in Java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{"citationItems":[{"id":"ITEM-1","itemData":{"author":[{"dropping-particle":"","family":"Tim Yayasan Mitra Budaya Indonesia","given":"","non-dropping-particle":"","parse-names":false,"suffix":""}],"id":"ITEM-1","issued":{"date-parts":[["1982"]]},"publisher":"Sinar Harapan","publisher-place":"Jakarta","title":"Cerbon","type":"book"},"uris":["http://www.mendeley.com/documents/?uuid=63c510af-5bb3-47ab-a97e-08d9c1e41221"]}],"mendeley":{"formattedCitation":"[31]","plainTextFormattedCitation":"[31]","previouslyFormattedCitation":"[31]"},"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[29]</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2E6DB342"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It is also reported by </w:t>
      </w:r>
      <w:proofErr w:type="spellStart"/>
      <w:r w:rsidRPr="00956979">
        <w:rPr>
          <w:rFonts w:asciiTheme="majorHAnsi" w:hAnsiTheme="majorHAnsi" w:cstheme="majorHAnsi"/>
          <w:sz w:val="20"/>
          <w:szCs w:val="20"/>
        </w:rPr>
        <w:t>Snouck</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Hurgronje</w:t>
      </w:r>
      <w:proofErr w:type="spellEnd"/>
      <w:r w:rsidRPr="00956979">
        <w:rPr>
          <w:rFonts w:asciiTheme="majorHAnsi" w:hAnsiTheme="majorHAnsi" w:cstheme="majorHAnsi"/>
          <w:sz w:val="20"/>
          <w:szCs w:val="20"/>
        </w:rPr>
        <w:t xml:space="preserve">, a great Islamic researcher from the Netherlands that wrote about Islam in Indonesia as he discovered it in 1892: to depict the image of the five pillars of Islam, we can say that the peak of the pointed roof of the Islamic building is still supported mainly by its main pillar, a confession that there is no God but Allah and that Muhammad is Allah's apostle. However, this pillar is surrounded by a multitude of decorative decorations that does not suit Him, which is a defilement of His great simplicity. As for the other four pillars, which are the corner pillars, it appears that some of them have become rotten due to time. In contrast, several new pillars, which are not suitable to support the sacred building according to orthodox teachings, have been erected next to the five original pillars and have usurped the function of the original pillars to a certain extent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{"citationItems":[{"id":"ITEM-1","itemData":{"abstract":"Javanese culture and Islam are the two entities that are difficult to be separated. Both meet and create co-existence singkretik so that discussion of Javanese culture can hardly be separated from Islam, including in the political field. The works on Islamic Java continue to emerge, especially in the sociological-anthropological perspective. Since Geertz conduct a study on The Religion of Java, the study continues, either agree with him or who reject it. This paper intentionally taking the starting point of Geertz’s Studieswith concept of trikhotomi. Regardless of excess or weakness Geertz's conception, but it should be underlined that Geertz conception about the Islamic Java much a source of inspiration for the study of Javanese culture and even Indonesia. Even in its development, the conception was brought into the political arena into identity politics. Identity politics is political action to promote the interests of the members of a group have a similar identity or characteristics, whether based on race, ethnicity, gender, or religion. Identity politics is another formulation of political differences. The emergence of identity politics is a response to the implementation of human rights are often applied unfairly.","author":[{"dropping-particle":"","family":"Greetz Colifford","given":"","non-dropping-particle":"","parse-names":false,"suffix":""}],"container-title":"Dialektika","id":"ITEM-1","issue":"2","issued":{"date-parts":[["2014"]]},"title":"Agama Jawa : Abangan, Santri, Priyayi Dalam Kebudayaan Jawa","type":"book"},"uris":["http://www.mendeley.com/documents/?uuid=c973ea34-8fce-3c2c-b75f-26ca71900357"]}],"mendeley":{"formattedCitation":"[32]","plainTextFormattedCitation":"[32]","previouslyFormattedCitation":"[32]"},"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[30]</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4182C916" w14:textId="77777777" w:rsidR="00956979" w:rsidRP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The construction of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is related to the migration of Arab descendants to Cirebon around the 15</w:t>
      </w:r>
      <w:r w:rsidRPr="00956979">
        <w:rPr>
          <w:rFonts w:asciiTheme="majorHAnsi" w:hAnsiTheme="majorHAnsi" w:cstheme="majorHAnsi"/>
          <w:sz w:val="20"/>
          <w:szCs w:val="20"/>
          <w:vertAlign w:val="superscript"/>
        </w:rPr>
        <w:t>th</w:t>
      </w:r>
      <w:r w:rsidRPr="00956979">
        <w:rPr>
          <w:rFonts w:asciiTheme="majorHAnsi" w:hAnsiTheme="majorHAnsi" w:cstheme="majorHAnsi"/>
          <w:sz w:val="20"/>
          <w:szCs w:val="20"/>
        </w:rPr>
        <w:t xml:space="preserve"> century. In the Cirebon Chronicle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Soekmono","given":"R","non-dropping-particle":"","parse-names":false,"suffix":""}],"id":"ITEM-1","issued":{"date-parts":[["1981"]]},"publisher":"Kanisius","publisher-place":"Yogyakarta","title":"Pengantar Sejarah Kebudayaan Indonesia jilid 3","type":"book"},"uris":["http://www.mendeley.com/documents/?uuid=af7390d8-8ed5-4599-bf50-4b7fc77a89bd"]}],"mendeley":{"formattedCitation":"[33]","plainTextFormattedCitation":"[33]","previouslyFormattedCitation":"[33]"},"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[31]</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it is told that </w:t>
      </w:r>
      <w:proofErr w:type="spellStart"/>
      <w:r w:rsidRPr="00956979">
        <w:rPr>
          <w:rFonts w:asciiTheme="majorHAnsi" w:hAnsiTheme="majorHAnsi" w:cstheme="majorHAnsi"/>
          <w:sz w:val="20"/>
          <w:szCs w:val="20"/>
        </w:rPr>
        <w:t>Syarif</w:t>
      </w:r>
      <w:proofErr w:type="spellEnd"/>
      <w:r w:rsidRPr="00956979">
        <w:rPr>
          <w:rFonts w:asciiTheme="majorHAnsi" w:hAnsiTheme="majorHAnsi" w:cstheme="majorHAnsi"/>
          <w:sz w:val="20"/>
          <w:szCs w:val="20"/>
        </w:rPr>
        <w:t xml:space="preserve"> Abdurakhman and his three younger siblings were ordered by their father (Sultan of Baghdad) to migrate to Java. They were </w:t>
      </w:r>
      <w:proofErr w:type="spellStart"/>
      <w:r w:rsidRPr="00956979">
        <w:rPr>
          <w:rFonts w:asciiTheme="majorHAnsi" w:hAnsiTheme="majorHAnsi" w:cstheme="majorHAnsi"/>
          <w:sz w:val="20"/>
          <w:szCs w:val="20"/>
        </w:rPr>
        <w:t>Syarif</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Abdurachim</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Syarif</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Kahfi</w:t>
      </w:r>
      <w:proofErr w:type="spellEnd"/>
      <w:r w:rsidRPr="00956979">
        <w:rPr>
          <w:rFonts w:asciiTheme="majorHAnsi" w:hAnsiTheme="majorHAnsi" w:cstheme="majorHAnsi"/>
          <w:sz w:val="20"/>
          <w:szCs w:val="20"/>
        </w:rPr>
        <w:t xml:space="preserve">, and Syarifah Baghdad. Their destination area was Cirebon. There, they studied with Sheikh </w:t>
      </w:r>
      <w:proofErr w:type="spellStart"/>
      <w:r w:rsidRPr="00956979">
        <w:rPr>
          <w:rFonts w:asciiTheme="majorHAnsi" w:hAnsiTheme="majorHAnsi" w:cstheme="majorHAnsi"/>
          <w:sz w:val="20"/>
          <w:szCs w:val="20"/>
        </w:rPr>
        <w:t>Nurjati</w:t>
      </w:r>
      <w:proofErr w:type="spellEnd"/>
      <w:r w:rsidRPr="00956979">
        <w:rPr>
          <w:rFonts w:asciiTheme="majorHAnsi" w:hAnsiTheme="majorHAnsi" w:cstheme="majorHAnsi"/>
          <w:sz w:val="20"/>
          <w:szCs w:val="20"/>
        </w:rPr>
        <w:t xml:space="preserve"> in </w:t>
      </w:r>
      <w:proofErr w:type="spellStart"/>
      <w:r w:rsidRPr="00956979">
        <w:rPr>
          <w:rFonts w:asciiTheme="majorHAnsi" w:hAnsiTheme="majorHAnsi" w:cstheme="majorHAnsi"/>
          <w:sz w:val="20"/>
          <w:szCs w:val="20"/>
        </w:rPr>
        <w:t>Pesambangan</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Gunung</w:t>
      </w:r>
      <w:proofErr w:type="spellEnd"/>
      <w:r w:rsidRPr="00956979">
        <w:rPr>
          <w:rFonts w:asciiTheme="majorHAnsi" w:hAnsiTheme="majorHAnsi" w:cstheme="majorHAnsi"/>
          <w:sz w:val="20"/>
          <w:szCs w:val="20"/>
        </w:rPr>
        <w:t xml:space="preserve"> Jati. Sheik </w:t>
      </w:r>
      <w:proofErr w:type="spellStart"/>
      <w:r w:rsidRPr="00956979">
        <w:rPr>
          <w:rFonts w:asciiTheme="majorHAnsi" w:hAnsiTheme="majorHAnsi" w:cstheme="majorHAnsi"/>
          <w:sz w:val="20"/>
          <w:szCs w:val="20"/>
        </w:rPr>
        <w:t>Nurjati</w:t>
      </w:r>
      <w:proofErr w:type="spellEnd"/>
      <w:r w:rsidRPr="00956979">
        <w:rPr>
          <w:rFonts w:asciiTheme="majorHAnsi" w:hAnsiTheme="majorHAnsi" w:cstheme="majorHAnsi"/>
          <w:sz w:val="20"/>
          <w:szCs w:val="20"/>
        </w:rPr>
        <w:t xml:space="preserve"> introduced them to Prince </w:t>
      </w:r>
      <w:proofErr w:type="spellStart"/>
      <w:r w:rsidRPr="00956979">
        <w:rPr>
          <w:rFonts w:asciiTheme="majorHAnsi" w:hAnsiTheme="majorHAnsi" w:cstheme="majorHAnsi"/>
          <w:sz w:val="20"/>
          <w:szCs w:val="20"/>
        </w:rPr>
        <w:t>Cakrabuana</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Kuwu</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Cerbon</w:t>
      </w:r>
      <w:proofErr w:type="spellEnd"/>
      <w:r w:rsidRPr="00956979">
        <w:rPr>
          <w:rFonts w:asciiTheme="majorHAnsi" w:hAnsiTheme="majorHAnsi" w:cstheme="majorHAnsi"/>
          <w:sz w:val="20"/>
          <w:szCs w:val="20"/>
        </w:rPr>
        <w:t xml:space="preserve">). He accepted it well and ordered </w:t>
      </w:r>
      <w:proofErr w:type="spellStart"/>
      <w:r w:rsidRPr="00956979">
        <w:rPr>
          <w:rFonts w:asciiTheme="majorHAnsi" w:hAnsiTheme="majorHAnsi" w:cstheme="majorHAnsi"/>
          <w:sz w:val="20"/>
          <w:szCs w:val="20"/>
        </w:rPr>
        <w:t>Syarif</w:t>
      </w:r>
      <w:proofErr w:type="spellEnd"/>
      <w:r w:rsidRPr="00956979">
        <w:rPr>
          <w:rFonts w:asciiTheme="majorHAnsi" w:hAnsiTheme="majorHAnsi" w:cstheme="majorHAnsi"/>
          <w:sz w:val="20"/>
          <w:szCs w:val="20"/>
        </w:rPr>
        <w:t xml:space="preserve"> Abdurakhman to build a settlement, which is now known as </w:t>
      </w:r>
      <w:proofErr w:type="spellStart"/>
      <w:r w:rsidRPr="00956979">
        <w:rPr>
          <w:rFonts w:asciiTheme="majorHAnsi" w:hAnsiTheme="majorHAnsi" w:cstheme="majorHAnsi"/>
          <w:sz w:val="20"/>
          <w:szCs w:val="20"/>
        </w:rPr>
        <w:t>Kejaksan</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Syarif</w:t>
      </w:r>
      <w:proofErr w:type="spellEnd"/>
      <w:r w:rsidRPr="00956979">
        <w:rPr>
          <w:rFonts w:asciiTheme="majorHAnsi" w:hAnsiTheme="majorHAnsi" w:cstheme="majorHAnsi"/>
          <w:sz w:val="20"/>
          <w:szCs w:val="20"/>
        </w:rPr>
        <w:t xml:space="preserve"> Abdurakhman is known as </w:t>
      </w:r>
      <w:proofErr w:type="spellStart"/>
      <w:r w:rsidRPr="00956979">
        <w:rPr>
          <w:rFonts w:asciiTheme="majorHAnsi" w:hAnsiTheme="majorHAnsi" w:cstheme="majorHAnsi"/>
          <w:sz w:val="20"/>
          <w:szCs w:val="20"/>
        </w:rPr>
        <w:t>Pangeran</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while </w:t>
      </w:r>
      <w:proofErr w:type="spellStart"/>
      <w:r w:rsidRPr="00956979">
        <w:rPr>
          <w:rFonts w:asciiTheme="majorHAnsi" w:hAnsiTheme="majorHAnsi" w:cstheme="majorHAnsi"/>
          <w:sz w:val="20"/>
          <w:szCs w:val="20"/>
        </w:rPr>
        <w:t>Syarif</w:t>
      </w:r>
      <w:proofErr w:type="spellEnd"/>
      <w:r w:rsidRPr="00956979">
        <w:rPr>
          <w:rFonts w:asciiTheme="majorHAnsi" w:hAnsiTheme="majorHAnsi" w:cstheme="majorHAnsi"/>
          <w:sz w:val="20"/>
          <w:szCs w:val="20"/>
        </w:rPr>
        <w:t xml:space="preserve"> Abdurakhim is known as Prince </w:t>
      </w:r>
      <w:proofErr w:type="spellStart"/>
      <w:r w:rsidRPr="00956979">
        <w:rPr>
          <w:rFonts w:asciiTheme="majorHAnsi" w:hAnsiTheme="majorHAnsi" w:cstheme="majorHAnsi"/>
          <w:sz w:val="20"/>
          <w:szCs w:val="20"/>
        </w:rPr>
        <w:t>Kejaksan</w:t>
      </w:r>
      <w:proofErr w:type="spellEnd"/>
      <w:r w:rsidRPr="00956979">
        <w:rPr>
          <w:rFonts w:asciiTheme="majorHAnsi" w:hAnsiTheme="majorHAnsi" w:cstheme="majorHAnsi"/>
          <w:sz w:val="20"/>
          <w:szCs w:val="20"/>
        </w:rPr>
        <w:t xml:space="preserv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{"citationItems":[{"id":"ITEM-1","itemData":{"author":[{"dropping-particle":"","family":"Tim Yayasan Mitra Budaya Indonesia","given":"","non-dropping-particle":"","parse-names":false,"suffix":""}],"id":"ITEM-1","issued":{"date-parts":[["1982"]]},"publisher":"Sinar Harapan","publisher-place":"Jakarta","title":"Cerbon","type":"book"},"uris":["http://www.mendeley.com/documents/?uuid=63c510af-5bb3-47ab-a97e-08d9c1e41221"]},{"id":"ITEM-2","itemData":{"DOI":"http://dx.doi.org/10.30959/patanjala.v4i2.143","author":[{"dropping-particle":"","family":"Hermana","given":"","non-dropping-particle":"","parse-names":false,"suffix":""}],"container-title":"Patanjala","id":"ITEM-2","issue":"2","issued":{"date-parts":[["2012"]]},"page":"151-167","title":"Arsitektur Masjid Merah Panjunan Kota Cirebon Architecture of Masjid Merah (The Red Mosque) in Panjunan, Cirebon","type":"article-journal","volume":"4"},"uris":["http://www.mendeley.com/documents/?uuid=7663e2c8-d1ad-4256-850e-f58ea363cc70"]}],"mendeley":{"formattedCitation":"[9], [31]","plainTextFormattedCitation":"[9], [31]","previouslyFormattedCitation":"[9], [31]"},"properties":{"noteIndex":0},"schema":"https://github.com/citation-style-language/schema/raw/master/csl-citation.json"}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[9], [29]</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In local records, other sources say that when Cirebon was transformed into an Islamic kingdom, the first ruler – Sunan </w:t>
      </w:r>
      <w:proofErr w:type="spellStart"/>
      <w:r w:rsidRPr="00956979">
        <w:rPr>
          <w:rFonts w:asciiTheme="majorHAnsi" w:hAnsiTheme="majorHAnsi" w:cstheme="majorHAnsi"/>
          <w:sz w:val="20"/>
          <w:szCs w:val="20"/>
        </w:rPr>
        <w:t>Gunung</w:t>
      </w:r>
      <w:proofErr w:type="spellEnd"/>
      <w:r w:rsidRPr="00956979">
        <w:rPr>
          <w:rFonts w:asciiTheme="majorHAnsi" w:hAnsiTheme="majorHAnsi" w:cstheme="majorHAnsi"/>
          <w:sz w:val="20"/>
          <w:szCs w:val="20"/>
        </w:rPr>
        <w:t xml:space="preserve"> Jati – built a new palace in the southern part of the old palace in the </w:t>
      </w:r>
      <w:proofErr w:type="spellStart"/>
      <w:r w:rsidRPr="00956979">
        <w:rPr>
          <w:rFonts w:asciiTheme="majorHAnsi" w:hAnsiTheme="majorHAnsi" w:cstheme="majorHAnsi"/>
          <w:sz w:val="20"/>
          <w:szCs w:val="20"/>
        </w:rPr>
        <w:t>Lemahwungkuk</w:t>
      </w:r>
      <w:proofErr w:type="spellEnd"/>
      <w:r w:rsidRPr="00956979">
        <w:rPr>
          <w:rFonts w:asciiTheme="majorHAnsi" w:hAnsiTheme="majorHAnsi" w:cstheme="majorHAnsi"/>
          <w:sz w:val="20"/>
          <w:szCs w:val="20"/>
        </w:rPr>
        <w:t xml:space="preserve"> area (this palace developed into the </w:t>
      </w:r>
      <w:proofErr w:type="spellStart"/>
      <w:r w:rsidRPr="00956979">
        <w:rPr>
          <w:rFonts w:asciiTheme="majorHAnsi" w:hAnsiTheme="majorHAnsi" w:cstheme="majorHAnsi"/>
          <w:sz w:val="20"/>
          <w:szCs w:val="20"/>
        </w:rPr>
        <w:t>Kanoman</w:t>
      </w:r>
      <w:proofErr w:type="spellEnd"/>
      <w:r w:rsidRPr="00956979">
        <w:rPr>
          <w:rFonts w:asciiTheme="majorHAnsi" w:hAnsiTheme="majorHAnsi" w:cstheme="majorHAnsi"/>
          <w:sz w:val="20"/>
          <w:szCs w:val="20"/>
        </w:rPr>
        <w:t xml:space="preserve"> Palace in 1677). Subsequently, the </w:t>
      </w:r>
      <w:proofErr w:type="spellStart"/>
      <w:r w:rsidRPr="00956979">
        <w:rPr>
          <w:rFonts w:asciiTheme="majorHAnsi" w:hAnsiTheme="majorHAnsi" w:cstheme="majorHAnsi"/>
          <w:sz w:val="20"/>
          <w:szCs w:val="20"/>
        </w:rPr>
        <w:t>Kasepuhan</w:t>
      </w:r>
      <w:proofErr w:type="spellEnd"/>
      <w:r w:rsidRPr="00956979">
        <w:rPr>
          <w:rFonts w:asciiTheme="majorHAnsi" w:hAnsiTheme="majorHAnsi" w:cstheme="majorHAnsi"/>
          <w:sz w:val="20"/>
          <w:szCs w:val="20"/>
        </w:rPr>
        <w:t xml:space="preserve"> Palace became the political </w:t>
      </w:r>
      <w:proofErr w:type="spellStart"/>
      <w:r w:rsidRPr="00956979">
        <w:rPr>
          <w:rFonts w:asciiTheme="majorHAnsi" w:hAnsiTheme="majorHAnsi" w:cstheme="majorHAnsi"/>
          <w:sz w:val="20"/>
          <w:szCs w:val="20"/>
        </w:rPr>
        <w:t>center</w:t>
      </w:r>
      <w:proofErr w:type="spellEnd"/>
      <w:r w:rsidRPr="00956979">
        <w:rPr>
          <w:rFonts w:asciiTheme="majorHAnsi" w:hAnsiTheme="majorHAnsi" w:cstheme="majorHAnsi"/>
          <w:sz w:val="20"/>
          <w:szCs w:val="20"/>
        </w:rPr>
        <w:t xml:space="preserve"> of the Islamic state of Cirebon and developed into a trading city and, at the same time, a sacred city. The old area of </w:t>
      </w:r>
      <w:proofErr w:type="spellStart"/>
      <w:r w:rsidRPr="00956979">
        <w:rPr>
          <w:rFonts w:asciiTheme="majorHAnsi" w:hAnsiTheme="majorHAnsi" w:cstheme="majorHAnsi"/>
          <w:sz w:val="20"/>
          <w:szCs w:val="20"/>
        </w:rPr>
        <w:t>Lemahwungkuk</w:t>
      </w:r>
      <w:proofErr w:type="spellEnd"/>
      <w:r w:rsidRPr="00956979">
        <w:rPr>
          <w:rFonts w:asciiTheme="majorHAnsi" w:hAnsiTheme="majorHAnsi" w:cstheme="majorHAnsi"/>
          <w:sz w:val="20"/>
          <w:szCs w:val="20"/>
        </w:rPr>
        <w:t xml:space="preserve"> functioned as the </w:t>
      </w:r>
      <w:proofErr w:type="spellStart"/>
      <w:r w:rsidRPr="00956979">
        <w:rPr>
          <w:rFonts w:asciiTheme="majorHAnsi" w:hAnsiTheme="majorHAnsi" w:cstheme="majorHAnsi"/>
          <w:sz w:val="20"/>
          <w:szCs w:val="20"/>
        </w:rPr>
        <w:t>center</w:t>
      </w:r>
      <w:proofErr w:type="spellEnd"/>
      <w:r w:rsidRPr="00956979">
        <w:rPr>
          <w:rFonts w:asciiTheme="majorHAnsi" w:hAnsiTheme="majorHAnsi" w:cstheme="majorHAnsi"/>
          <w:sz w:val="20"/>
          <w:szCs w:val="20"/>
        </w:rPr>
        <w:t xml:space="preserve"> of Cirebon's trade activities, and the </w:t>
      </w:r>
      <w:proofErr w:type="spellStart"/>
      <w:r w:rsidRPr="00956979">
        <w:rPr>
          <w:rFonts w:asciiTheme="majorHAnsi" w:hAnsiTheme="majorHAnsi" w:cstheme="majorHAnsi"/>
          <w:sz w:val="20"/>
          <w:szCs w:val="20"/>
        </w:rPr>
        <w:t>Pakungwati</w:t>
      </w:r>
      <w:proofErr w:type="spellEnd"/>
      <w:r w:rsidRPr="00956979">
        <w:rPr>
          <w:rFonts w:asciiTheme="majorHAnsi" w:hAnsiTheme="majorHAnsi" w:cstheme="majorHAnsi"/>
          <w:sz w:val="20"/>
          <w:szCs w:val="20"/>
        </w:rPr>
        <w:t xml:space="preserve"> Palace, or </w:t>
      </w:r>
      <w:proofErr w:type="spellStart"/>
      <w:r w:rsidRPr="00956979">
        <w:rPr>
          <w:rFonts w:asciiTheme="majorHAnsi" w:hAnsiTheme="majorHAnsi" w:cstheme="majorHAnsi"/>
          <w:sz w:val="20"/>
          <w:szCs w:val="20"/>
        </w:rPr>
        <w:t>Kasepuhan</w:t>
      </w:r>
      <w:proofErr w:type="spellEnd"/>
      <w:r w:rsidRPr="00956979">
        <w:rPr>
          <w:rFonts w:asciiTheme="majorHAnsi" w:hAnsiTheme="majorHAnsi" w:cstheme="majorHAnsi"/>
          <w:sz w:val="20"/>
          <w:szCs w:val="20"/>
        </w:rPr>
        <w:t xml:space="preserve">, was the religious and political </w:t>
      </w:r>
      <w:proofErr w:type="spellStart"/>
      <w:r w:rsidRPr="00956979">
        <w:rPr>
          <w:rFonts w:asciiTheme="majorHAnsi" w:hAnsiTheme="majorHAnsi" w:cstheme="majorHAnsi"/>
          <w:sz w:val="20"/>
          <w:szCs w:val="20"/>
        </w:rPr>
        <w:t>center</w:t>
      </w:r>
      <w:proofErr w:type="spellEnd"/>
      <w:r w:rsidRPr="00956979">
        <w:rPr>
          <w:rFonts w:asciiTheme="majorHAnsi" w:hAnsiTheme="majorHAnsi" w:cstheme="majorHAnsi"/>
          <w:sz w:val="20"/>
          <w:szCs w:val="20"/>
        </w:rPr>
        <w:t xml:space="preserve"> of Cirebon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{"citationItems":[{"id":"ITEM-1","itemData":{"DOI":"10.3130/jaabe.2.183","ISSN":"13472852","abstract":"Before Islam religion was accepted by the local rulers and inhabitants, Javanese cities and settlements were created according to Hindu-Buddhistic cosmology as described in Negakarertagama about Majapahit palace and cities of Bali Island. This planning concept drastically changed from ritual-oriented to commerce-oriented as soon as the local rulers accepted Islam in the 15th century as growth of international commerce. In order to support this supposition, urban pattern of the North coastal cities before and after islamization must be argued. Among the cities, Cirebon and Banten are taken as case study as they played an important role in the process of islamization and still exist after experience of several transformations. Main sources of the research are local chronicles and traveler’s account. © 2003, Architectural Institute of Japan. All rights reserved.","author":[{"dropping-particle":"","family":"Hutama","given":"Setiadi David","non-dropping-particle":"","parse-names":false,"suffix":""}],"container-title":"Journal of Asian Architecture and Building Engineering","id":"ITEM-1","issue":"1","issued":{"date-parts":[["2003"]]},"page":"183-190","title":"A Study of Historical Transformation of North Coastal Cities in Java: Case study: Banten and Cirebon, West Java - Indonesia","type":"article-journal","volume":"2"},"uris":["http://www.mendeley.com/documents/?uuid=5ef7135e-b624-4e8c-8bcd-45694d1b0505"]}],"mendeley":{"formattedCitation":"[34]","plainTextFormattedCitation":"[34]","previouslyFormattedCitation":"[34]"},"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[32]</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w:t>
      </w:r>
    </w:p>
    <w:p w14:paraId="42BDF088" w14:textId="5169303A" w:rsidR="00956979" w:rsidRDefault="00956979" w:rsidP="00956979">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Besides spreading Islam in this new residential area, </w:t>
      </w:r>
      <w:proofErr w:type="spellStart"/>
      <w:r w:rsidRPr="00956979">
        <w:rPr>
          <w:rFonts w:asciiTheme="majorHAnsi" w:hAnsiTheme="majorHAnsi" w:cstheme="majorHAnsi"/>
          <w:sz w:val="20"/>
          <w:szCs w:val="20"/>
        </w:rPr>
        <w:t>Syarif</w:t>
      </w:r>
      <w:proofErr w:type="spellEnd"/>
      <w:r w:rsidRPr="00956979">
        <w:rPr>
          <w:rFonts w:asciiTheme="majorHAnsi" w:hAnsiTheme="majorHAnsi" w:cstheme="majorHAnsi"/>
          <w:sz w:val="20"/>
          <w:szCs w:val="20"/>
        </w:rPr>
        <w:t xml:space="preserve"> Abdurakhman also developed the manufacture of household utensils from clay, earthenware, or </w:t>
      </w:r>
      <w:proofErr w:type="spellStart"/>
      <w:r w:rsidRPr="00956979">
        <w:rPr>
          <w:rFonts w:asciiTheme="majorHAnsi" w:hAnsiTheme="majorHAnsi" w:cstheme="majorHAnsi"/>
          <w:sz w:val="20"/>
          <w:szCs w:val="20"/>
        </w:rPr>
        <w:t>anjun</w:t>
      </w:r>
      <w:proofErr w:type="spellEnd"/>
      <w:r w:rsidRPr="00956979">
        <w:rPr>
          <w:rFonts w:asciiTheme="majorHAnsi" w:hAnsiTheme="majorHAnsi" w:cstheme="majorHAnsi"/>
          <w:sz w:val="20"/>
          <w:szCs w:val="20"/>
        </w:rPr>
        <w:t xml:space="preserve">. During the Cirebon Sultanate era, this area was a </w:t>
      </w:r>
      <w:proofErr w:type="spellStart"/>
      <w:r w:rsidRPr="00956979">
        <w:rPr>
          <w:rFonts w:asciiTheme="majorHAnsi" w:hAnsiTheme="majorHAnsi" w:cstheme="majorHAnsi"/>
          <w:sz w:val="20"/>
          <w:szCs w:val="20"/>
        </w:rPr>
        <w:t>center</w:t>
      </w:r>
      <w:proofErr w:type="spellEnd"/>
      <w:r w:rsidRPr="00956979">
        <w:rPr>
          <w:rFonts w:asciiTheme="majorHAnsi" w:hAnsiTheme="majorHAnsi" w:cstheme="majorHAnsi"/>
          <w:sz w:val="20"/>
          <w:szCs w:val="20"/>
        </w:rPr>
        <w:t xml:space="preserve"> for making pottery. Therefore, this area is called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{"citationItems":[{"id":"ITEM-1","itemData":{"author":[{"dropping-particle":"","family":"Dinas Kebudayaan &amp; Pariwisata Kota Cirebon","given":"","non-dropping-particle":"","parse-names":false,"suffix":""}],"id":"ITEM-1","issued":{"date-parts":[["2006"]]},"publisher":"Disbudpar Cirebon","publisher-place":"Cirebon","title":"Potensi Wisata Budaya Kota Cirebon","type":"book"},"uris":["http://www.mendeley.com/documents/?uuid=2ac93fd5-7c76-4c48-85bd-7b22711d16c7"]}],"mendeley":{"formattedCitation":"[35]","plainTextFormattedCitation":"[35]","previouslyFormattedCitation":"[35]"},"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[33]</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xml:space="preserve">. Thus, this </w:t>
      </w:r>
      <w:r w:rsidRPr="00956979">
        <w:rPr>
          <w:rFonts w:asciiTheme="majorHAnsi" w:hAnsiTheme="majorHAnsi" w:cstheme="majorHAnsi"/>
          <w:i/>
          <w:iCs/>
          <w:sz w:val="20"/>
          <w:szCs w:val="20"/>
        </w:rPr>
        <w:t>surau</w:t>
      </w:r>
      <w:r w:rsidRPr="00956979">
        <w:rPr>
          <w:rFonts w:asciiTheme="majorHAnsi" w:hAnsiTheme="majorHAnsi" w:cstheme="majorHAnsi"/>
          <w:sz w:val="20"/>
          <w:szCs w:val="20"/>
        </w:rPr>
        <w:t xml:space="preserve"> is the second Muslim place of worship in Cirebon, after </w:t>
      </w:r>
      <w:proofErr w:type="spellStart"/>
      <w:r w:rsidRPr="00956979">
        <w:rPr>
          <w:rFonts w:asciiTheme="majorHAnsi" w:hAnsiTheme="majorHAnsi" w:cstheme="majorHAnsi"/>
          <w:sz w:val="20"/>
          <w:szCs w:val="20"/>
        </w:rPr>
        <w:t>Tajug</w:t>
      </w:r>
      <w:proofErr w:type="spellEnd"/>
      <w:r w:rsidRPr="00956979">
        <w:rPr>
          <w:rFonts w:asciiTheme="majorHAnsi" w:hAnsiTheme="majorHAnsi" w:cstheme="majorHAnsi"/>
          <w:sz w:val="20"/>
          <w:szCs w:val="20"/>
        </w:rPr>
        <w:t xml:space="preserve"> </w:t>
      </w:r>
      <w:proofErr w:type="spellStart"/>
      <w:r w:rsidRPr="00956979">
        <w:rPr>
          <w:rFonts w:asciiTheme="majorHAnsi" w:hAnsiTheme="majorHAnsi" w:cstheme="majorHAnsi"/>
          <w:sz w:val="20"/>
          <w:szCs w:val="20"/>
        </w:rPr>
        <w:t>Pejlagrahan</w:t>
      </w:r>
      <w:proofErr w:type="spellEnd"/>
      <w:r w:rsidRPr="00956979">
        <w:rPr>
          <w:rFonts w:asciiTheme="majorHAnsi" w:hAnsiTheme="majorHAnsi" w:cstheme="majorHAnsi"/>
          <w:sz w:val="20"/>
          <w:szCs w:val="20"/>
        </w:rPr>
        <w:t xml:space="preserve"> in </w:t>
      </w:r>
      <w:proofErr w:type="spellStart"/>
      <w:r w:rsidRPr="00956979">
        <w:rPr>
          <w:rFonts w:asciiTheme="majorHAnsi" w:hAnsiTheme="majorHAnsi" w:cstheme="majorHAnsi"/>
          <w:sz w:val="20"/>
          <w:szCs w:val="20"/>
        </w:rPr>
        <w:t>Sitimulya</w:t>
      </w:r>
      <w:proofErr w:type="spellEnd"/>
      <w:r w:rsidRPr="00956979">
        <w:rPr>
          <w:rFonts w:asciiTheme="majorHAnsi" w:hAnsiTheme="majorHAnsi" w:cstheme="majorHAnsi"/>
          <w:sz w:val="20"/>
          <w:szCs w:val="20"/>
        </w:rPr>
        <w:t xml:space="preserve"> Village.</w:t>
      </w:r>
    </w:p>
    <w:p w14:paraId="4CA85D1C" w14:textId="77777777" w:rsidR="00956979" w:rsidRPr="00956979" w:rsidRDefault="00956979" w:rsidP="00956979">
      <w:pPr>
        <w:ind w:left="284" w:firstLine="283"/>
        <w:jc w:val="both"/>
        <w:rPr>
          <w:rFonts w:asciiTheme="majorHAnsi" w:hAnsiTheme="majorHAnsi" w:cstheme="majorHAnsi"/>
        </w:rPr>
      </w:pPr>
    </w:p>
    <w:p w14:paraId="15D4EEAA" w14:textId="11A2FD82" w:rsidR="00956979" w:rsidRDefault="00956979" w:rsidP="00956979">
      <w:pPr>
        <w:pStyle w:val="ListParagraph"/>
        <w:numPr>
          <w:ilvl w:val="1"/>
          <w:numId w:val="1"/>
        </w:numPr>
        <w:ind w:left="567" w:hanging="283"/>
        <w:jc w:val="both"/>
        <w:rPr>
          <w:rFonts w:asciiTheme="minorHAnsi" w:hAnsiTheme="minorHAnsi" w:cstheme="minorHAnsi"/>
          <w:b/>
          <w:bCs/>
          <w:sz w:val="18"/>
          <w:szCs w:val="18"/>
        </w:rPr>
      </w:pPr>
      <w:r w:rsidRPr="00956979">
        <w:rPr>
          <w:rFonts w:asciiTheme="minorHAnsi" w:hAnsiTheme="minorHAnsi" w:cstheme="minorHAnsi"/>
          <w:b/>
          <w:bCs/>
          <w:sz w:val="18"/>
          <w:szCs w:val="18"/>
        </w:rPr>
        <w:t>ARCHITECTURE AND VISUAL ORNAMENTS OF THE PANJUNAN RED MOSQUE</w:t>
      </w:r>
    </w:p>
    <w:p w14:paraId="374CE630" w14:textId="77777777" w:rsidR="00956979" w:rsidRPr="00956979" w:rsidRDefault="00956979" w:rsidP="003115A6">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Historical records state that besides being a place of worship, this mosque was also used by the Wali </w:t>
      </w:r>
      <w:proofErr w:type="spellStart"/>
      <w:r w:rsidRPr="00956979">
        <w:rPr>
          <w:rFonts w:asciiTheme="majorHAnsi" w:hAnsiTheme="majorHAnsi" w:cstheme="majorHAnsi"/>
          <w:sz w:val="20"/>
          <w:szCs w:val="20"/>
        </w:rPr>
        <w:t>Songo</w:t>
      </w:r>
      <w:proofErr w:type="spellEnd"/>
      <w:r w:rsidRPr="00956979">
        <w:rPr>
          <w:rFonts w:asciiTheme="majorHAnsi" w:hAnsiTheme="majorHAnsi" w:cstheme="majorHAnsi"/>
          <w:sz w:val="20"/>
          <w:szCs w:val="20"/>
        </w:rPr>
        <w:t xml:space="preserve"> for recitations and deliberations as well as a place for coordinating the broadcasting of the Islamic religion in the Cirebon area and its surroundings.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is full of Chinese-style ornaments; for </w:t>
      </w:r>
      <w:r w:rsidRPr="00956979">
        <w:rPr>
          <w:rFonts w:asciiTheme="majorHAnsi" w:hAnsiTheme="majorHAnsi" w:cstheme="majorHAnsi"/>
          <w:sz w:val="20"/>
          <w:szCs w:val="20"/>
        </w:rPr>
        <w:lastRenderedPageBreak/>
        <w:t xml:space="preserve">example, original Chinese porcelain plates that decorate the walls. In the developing oral tradition, it is said that Chinese ceramics were part of a gift from the Chinese emperor when Sunan </w:t>
      </w:r>
      <w:proofErr w:type="spellStart"/>
      <w:r w:rsidRPr="00956979">
        <w:rPr>
          <w:rFonts w:asciiTheme="majorHAnsi" w:hAnsiTheme="majorHAnsi" w:cstheme="majorHAnsi"/>
          <w:sz w:val="20"/>
          <w:szCs w:val="20"/>
        </w:rPr>
        <w:t>Gunung</w:t>
      </w:r>
      <w:proofErr w:type="spellEnd"/>
      <w:r w:rsidRPr="00956979">
        <w:rPr>
          <w:rFonts w:asciiTheme="majorHAnsi" w:hAnsiTheme="majorHAnsi" w:cstheme="majorHAnsi"/>
          <w:sz w:val="20"/>
          <w:szCs w:val="20"/>
        </w:rPr>
        <w:t xml:space="preserve"> Jati married the emperor's daughter, Tan Hong Tien Nio. The existence of relations with China since the Wali </w:t>
      </w:r>
      <w:proofErr w:type="spellStart"/>
      <w:r w:rsidRPr="00956979">
        <w:rPr>
          <w:rFonts w:asciiTheme="majorHAnsi" w:hAnsiTheme="majorHAnsi" w:cstheme="majorHAnsi"/>
          <w:sz w:val="20"/>
          <w:szCs w:val="20"/>
        </w:rPr>
        <w:t>Songo</w:t>
      </w:r>
      <w:proofErr w:type="spellEnd"/>
      <w:r w:rsidRPr="00956979">
        <w:rPr>
          <w:rFonts w:asciiTheme="majorHAnsi" w:hAnsiTheme="majorHAnsi" w:cstheme="majorHAnsi"/>
          <w:sz w:val="20"/>
          <w:szCs w:val="20"/>
        </w:rPr>
        <w:t xml:space="preserve"> era is also demonstrated by the Dewi Asih Vihara, an ancient monastery dominated by red, which stands not far from the mosque. This is what makes the city of Cirebon rich in culture and tradition with a high sense of tolerance. This combination of Arab and Chinese culture occurred because Cirebon, formerly known as </w:t>
      </w:r>
      <w:proofErr w:type="spellStart"/>
      <w:r w:rsidRPr="00956979">
        <w:rPr>
          <w:rFonts w:asciiTheme="majorHAnsi" w:hAnsiTheme="majorHAnsi" w:cstheme="majorHAnsi"/>
          <w:sz w:val="20"/>
          <w:szCs w:val="20"/>
        </w:rPr>
        <w:t>Caruban</w:t>
      </w:r>
      <w:proofErr w:type="spellEnd"/>
      <w:r w:rsidRPr="00956979">
        <w:rPr>
          <w:rFonts w:asciiTheme="majorHAnsi" w:hAnsiTheme="majorHAnsi" w:cstheme="majorHAnsi"/>
          <w:sz w:val="20"/>
          <w:szCs w:val="20"/>
        </w:rPr>
        <w:t xml:space="preserve">, was a port city and was a central route for trade and the spread of religion </w:t>
      </w:r>
      <w:r w:rsidRPr="00956979">
        <w:rPr>
          <w:rFonts w:asciiTheme="majorHAnsi" w:hAnsiTheme="majorHAnsi" w:cstheme="majorHAnsi"/>
          <w:sz w:val="20"/>
          <w:szCs w:val="20"/>
        </w:rPr>
        <w:fldChar w:fldCharType="begin" w:fldLock="1"/>
      </w:r>
      <w:r w:rsidRPr="00956979">
        <w:rPr>
          <w:rFonts w:asciiTheme="majorHAnsi" w:hAnsiTheme="majorHAnsi" w:cstheme="majorHAnsi"/>
          <w:sz w:val="20"/>
          <w:szCs w:val="20"/>
        </w:rPr>
        <w:instrText>ADDIN CSL_CITATION {"citationItems":[{"id":"ITEM-1","itemData":{"DOI":"10.22334/paris.v2i12.628","abstract":"Atraksi wisata minat khusus adalah daya tarik wisatawan yang mencari sesuatu yang istimewa dan berbeda untuk menciptakan pengalaman wisata yang berkualitas dan berkesan. Biasanya, pariwisata khusus sesuai dengan kondisi alam, budaya, tradisional dan sejarah dan karena itu memiliki fenomena yang valid dan dapat diamati. Tempat wisata khusus menyediakan kegiatan wisata yang biasanya tidak dilakukan oleh wisatawan biasa. Memakai kata lain dapat dikatakan bahwa wisata minat khusus merupakan kegiatan wisata yang memiliki tendensi keahlian khusus atau ketertarikan khusus, di antaranya berburu, mendaki gunung, wisata gua, wisata agro, wisata ekologi, tempat perbelanjaan, tempat ziarah dan tidak terkecuali kegiatan wisata religi. Melihat dari bangunan atau arsitektur heritage yang dimiliki oleh Vihara Dewi Welas Asih serta ornamen-ornamen yang masih asli dari abad 16 maka keunikan tersebut dapat dijadikan potensi daya tarik wisata. Metode penelitian yang digunakan yaitu SWOT analisis guna mengtahui dan dapat mengukur faktor internal maupun eksternal yang dimiliki oleh Vihara Dewi Welas Asih.\r  \r Social Media Instagram is one of the media that is very widely used to promote a business or business in order to get high sales. One marketing technique that can be done in an effort to increase the number of purchases is by advertising on Instagram social media. The purpose of this study was to determine how much influence the frequency of ad serving on Instagram @explorenusapenida on purchasing tour packages to Nusa Penida in the new normal era.This study uses quantitative research methods. This research was conducted by processing data on purchasing packages resulting from advertising on Instagram social media in 2020-2021 which were obtained directly at the travel agent @explorenusapenida. The data analysis technique in this research is quantitative descriptive analysis.The results showed that the promotion carried out by the owner of the Instagram account @explorenusapenida regarding the tourist area of the island of Nusa Penida showed a positive influence from the regression results which can be said that the level of purchasing decisions has an effect of 30% while the remaining 70% is influenced by other factors outside of this study.","author":[{"dropping-particle":"","family":"Piter","given":"Amelia","non-dropping-particle":"","parse-names":false,"suffix":""},{"dropping-particle":"","family":"Widiastiti","given":"A.A Istri Putera","non-dropping-particle":"","parse-names":false,"suffix":""},{"dropping-particle":"","family":"Aprinica","given":"Ni Putu Isha","non-dropping-particle":"","parse-names":false,"suffix":""}],"container-title":"Jurnal Ilmiah Pariwisata dan Bisnis","id":"ITEM-1","issue":"12","issued":{"date-parts":[["2023"]]},"page":"2508-2517","title":"Analisis Potensi Daya Tarik Wisata Vihara Dewi Welas Asih sebagai Wisata Religius","type":"article-journal","volume":"2"},"uris":["http://www.mendeley.com/documents/?uuid=fcd9e6d0-cb10-4bfc-a90b-04e9e3885bfe"]}],"mendeley":{"formattedCitation":"[36]","plainTextFormattedCitation":"[36]","previouslyFormattedCitation":"[36]"},"properties":{"noteIndex":0},"schema":"https://github.com/citation-style-language/schema/raw/master/csl-citation.json"}</w:instrText>
      </w:r>
      <w:r w:rsidRPr="00956979">
        <w:rPr>
          <w:rFonts w:asciiTheme="majorHAnsi" w:hAnsiTheme="majorHAnsi" w:cstheme="majorHAnsi"/>
          <w:sz w:val="20"/>
          <w:szCs w:val="20"/>
        </w:rPr>
        <w:fldChar w:fldCharType="separate"/>
      </w:r>
      <w:r w:rsidRPr="00956979">
        <w:rPr>
          <w:rFonts w:asciiTheme="majorHAnsi" w:hAnsiTheme="majorHAnsi" w:cstheme="majorHAnsi"/>
          <w:noProof/>
          <w:sz w:val="20"/>
          <w:szCs w:val="20"/>
        </w:rPr>
        <w:t>[34]</w:t>
      </w:r>
      <w:r w:rsidRPr="00956979">
        <w:rPr>
          <w:rFonts w:asciiTheme="majorHAnsi" w:hAnsiTheme="majorHAnsi" w:cstheme="majorHAnsi"/>
          <w:sz w:val="20"/>
          <w:szCs w:val="20"/>
        </w:rPr>
        <w:fldChar w:fldCharType="end"/>
      </w:r>
      <w:r w:rsidRPr="00956979">
        <w:rPr>
          <w:rFonts w:asciiTheme="majorHAnsi" w:hAnsiTheme="majorHAnsi" w:cstheme="majorHAnsi"/>
          <w:sz w:val="20"/>
          <w:szCs w:val="20"/>
        </w:rPr>
        <w:t>. Due to the mosque's location in a commercial area, it is unsurprising that the Red Mosque – originally the Al-</w:t>
      </w:r>
      <w:proofErr w:type="spellStart"/>
      <w:r w:rsidRPr="00956979">
        <w:rPr>
          <w:rFonts w:asciiTheme="majorHAnsi" w:hAnsiTheme="majorHAnsi" w:cstheme="majorHAnsi"/>
          <w:sz w:val="20"/>
          <w:szCs w:val="20"/>
        </w:rPr>
        <w:t>Athyah</w:t>
      </w:r>
      <w:proofErr w:type="spellEnd"/>
      <w:r w:rsidRPr="00956979">
        <w:rPr>
          <w:rFonts w:asciiTheme="majorHAnsi" w:hAnsiTheme="majorHAnsi" w:cstheme="majorHAnsi"/>
          <w:sz w:val="20"/>
          <w:szCs w:val="20"/>
        </w:rPr>
        <w:t xml:space="preserve"> prayer room – grew with various influences, as did all the palaces in Cirebon.</w:t>
      </w:r>
    </w:p>
    <w:p w14:paraId="135EC787" w14:textId="77777777" w:rsidR="00956979" w:rsidRDefault="00956979" w:rsidP="003115A6">
      <w:pPr>
        <w:ind w:left="284" w:firstLine="283"/>
        <w:jc w:val="both"/>
        <w:rPr>
          <w:rFonts w:asciiTheme="majorHAnsi" w:hAnsiTheme="majorHAnsi" w:cstheme="majorHAnsi"/>
          <w:sz w:val="20"/>
          <w:szCs w:val="20"/>
        </w:rPr>
      </w:pPr>
      <w:r w:rsidRPr="00956979">
        <w:rPr>
          <w:rFonts w:asciiTheme="majorHAnsi" w:hAnsiTheme="majorHAnsi" w:cstheme="majorHAnsi"/>
          <w:sz w:val="20"/>
          <w:szCs w:val="20"/>
        </w:rPr>
        <w:t xml:space="preserve">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in Cirebon, is a mosque with a distinctive style, like the buildings of ancient mosques in Indonesia. It has a square plan. On the west side, there is a prominent building for the mihrab. On both sides of the mosque, there are sometimes porches on rather high foundations. The layout of the </w:t>
      </w:r>
      <w:proofErr w:type="spellStart"/>
      <w:r w:rsidRPr="00956979">
        <w:rPr>
          <w:rFonts w:asciiTheme="majorHAnsi" w:hAnsiTheme="majorHAnsi" w:cstheme="majorHAnsi"/>
          <w:sz w:val="20"/>
          <w:szCs w:val="20"/>
        </w:rPr>
        <w:t>Panjunan</w:t>
      </w:r>
      <w:proofErr w:type="spellEnd"/>
      <w:r w:rsidRPr="00956979">
        <w:rPr>
          <w:rFonts w:asciiTheme="majorHAnsi" w:hAnsiTheme="majorHAnsi" w:cstheme="majorHAnsi"/>
          <w:sz w:val="20"/>
          <w:szCs w:val="20"/>
        </w:rPr>
        <w:t xml:space="preserve"> Red Mosque is shown in Figure 1.</w:t>
      </w:r>
    </w:p>
    <w:p w14:paraId="14881EE4" w14:textId="77777777" w:rsidR="003115A6" w:rsidRDefault="003115A6" w:rsidP="003115A6">
      <w:pPr>
        <w:ind w:left="284" w:firstLine="283"/>
        <w:jc w:val="both"/>
        <w:rPr>
          <w:rFonts w:asciiTheme="majorHAnsi" w:hAnsiTheme="majorHAnsi" w:cstheme="majorHAnsi"/>
          <w:sz w:val="20"/>
          <w:szCs w:val="20"/>
        </w:rPr>
      </w:pPr>
    </w:p>
    <w:p w14:paraId="3893E397" w14:textId="714A8DA6" w:rsidR="003115A6" w:rsidRPr="00411213" w:rsidRDefault="003115A6" w:rsidP="003115A6">
      <w:pPr>
        <w:ind w:firstLine="426"/>
        <w:jc w:val="center"/>
        <w:rPr>
          <w:rFonts w:ascii="Candara" w:eastAsia="Times New Roman" w:hAnsi="Candara" w:cs="Times New Roman"/>
          <w:b/>
          <w:sz w:val="18"/>
          <w:szCs w:val="18"/>
          <w:lang w:eastAsia="ko-KR"/>
        </w:rPr>
      </w:pPr>
      <w:r w:rsidRPr="00411213">
        <w:rPr>
          <w:rFonts w:ascii="Book Antiqua" w:eastAsia="Times New Roman" w:hAnsi="Book Antiqua" w:cs="Calibri"/>
          <w:noProof/>
          <w:sz w:val="24"/>
          <w:szCs w:val="24"/>
        </w:rPr>
        <w:drawing>
          <wp:inline distT="0" distB="0" distL="0" distR="0" wp14:anchorId="0D04805C" wp14:editId="0AD2417A">
            <wp:extent cx="2804746" cy="1988359"/>
            <wp:effectExtent l="0" t="0" r="0" b="0"/>
            <wp:docPr id="12" name="Picture 12" descr="Denah masjid merah panju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41" descr="Denah masjid merah panjunan"/>
                    <pic:cNvPicPr>
                      <a:picLocks noChangeAspect="1" noChangeArrowheads="1"/>
                    </pic:cNvPicPr>
                  </pic:nvPicPr>
                  <pic:blipFill rotWithShape="1">
                    <a:blip r:embed="rId8" cstate="email">
                      <a:extLst>
                        <a:ext uri="{28A0092B-C50C-407E-A947-70E740481C1C}">
                          <a14:useLocalDpi xmlns:a14="http://schemas.microsoft.com/office/drawing/2010/main" val="0"/>
                        </a:ext>
                      </a:extLst>
                    </a:blip>
                    <a:srcRect t="2361" b="1"/>
                    <a:stretch>
                      <a:fillRect/>
                    </a:stretch>
                  </pic:blipFill>
                  <pic:spPr bwMode="auto">
                    <a:xfrm>
                      <a:off x="0" y="0"/>
                      <a:ext cx="2824652" cy="2002471"/>
                    </a:xfrm>
                    <a:prstGeom prst="rect">
                      <a:avLst/>
                    </a:prstGeom>
                    <a:noFill/>
                    <a:ln>
                      <a:noFill/>
                    </a:ln>
                    <a:extLst>
                      <a:ext uri="{53640926-AAD7-44D8-BBD7-CCE9431645EC}">
                        <a14:shadowObscured xmlns:a14="http://schemas.microsoft.com/office/drawing/2010/main"/>
                      </a:ext>
                    </a:extLst>
                  </pic:spPr>
                </pic:pic>
              </a:graphicData>
            </a:graphic>
          </wp:inline>
        </w:drawing>
      </w:r>
    </w:p>
    <w:p w14:paraId="1C8EDCA4" w14:textId="77777777" w:rsidR="003115A6" w:rsidRPr="00411213" w:rsidRDefault="003115A6" w:rsidP="003115A6">
      <w:pPr>
        <w:ind w:firstLine="426"/>
        <w:jc w:val="center"/>
        <w:rPr>
          <w:rFonts w:ascii="Candara" w:eastAsia="Times New Roman" w:hAnsi="Candara" w:cs="Times New Roman"/>
          <w:b/>
          <w:sz w:val="18"/>
          <w:szCs w:val="18"/>
          <w:lang w:eastAsia="ko-KR"/>
        </w:rPr>
      </w:pPr>
    </w:p>
    <w:p w14:paraId="2FB34FAE" w14:textId="77777777" w:rsidR="003115A6" w:rsidRPr="003115A6" w:rsidRDefault="003115A6" w:rsidP="003115A6">
      <w:pPr>
        <w:ind w:firstLine="426"/>
        <w:jc w:val="center"/>
        <w:rPr>
          <w:rFonts w:asciiTheme="majorHAnsi" w:eastAsia="Times New Roman" w:hAnsiTheme="majorHAnsi" w:cstheme="majorHAnsi"/>
          <w:bCs/>
          <w:sz w:val="16"/>
          <w:szCs w:val="16"/>
          <w:lang w:val="id-ID" w:eastAsia="ko-KR"/>
        </w:rPr>
      </w:pPr>
      <w:r w:rsidRPr="003115A6">
        <w:rPr>
          <w:rFonts w:asciiTheme="majorHAnsi" w:eastAsia="Times New Roman" w:hAnsiTheme="majorHAnsi" w:cstheme="majorHAnsi"/>
          <w:bCs/>
          <w:sz w:val="16"/>
          <w:szCs w:val="16"/>
          <w:lang w:eastAsia="ko-KR"/>
        </w:rPr>
        <w:t xml:space="preserve">Figure 1. Layout of the </w:t>
      </w:r>
      <w:proofErr w:type="spellStart"/>
      <w:r w:rsidRPr="003115A6">
        <w:rPr>
          <w:rFonts w:asciiTheme="majorHAnsi" w:eastAsia="Times New Roman" w:hAnsiTheme="majorHAnsi" w:cstheme="majorHAnsi"/>
          <w:bCs/>
          <w:sz w:val="16"/>
          <w:szCs w:val="16"/>
          <w:lang w:eastAsia="ko-KR"/>
        </w:rPr>
        <w:t>Panjunan</w:t>
      </w:r>
      <w:proofErr w:type="spellEnd"/>
      <w:r w:rsidRPr="003115A6">
        <w:rPr>
          <w:rFonts w:asciiTheme="majorHAnsi" w:eastAsia="Times New Roman" w:hAnsiTheme="majorHAnsi" w:cstheme="majorHAnsi"/>
          <w:bCs/>
          <w:sz w:val="16"/>
          <w:szCs w:val="16"/>
          <w:lang w:eastAsia="ko-KR"/>
        </w:rPr>
        <w:t xml:space="preserve"> Red Mosque</w:t>
      </w:r>
    </w:p>
    <w:p w14:paraId="7F36A6B4" w14:textId="77777777" w:rsidR="00956979" w:rsidRDefault="00956979" w:rsidP="00956979">
      <w:pPr>
        <w:ind w:firstLine="283"/>
        <w:jc w:val="both"/>
        <w:rPr>
          <w:rFonts w:ascii="Candara" w:hAnsi="Candara"/>
          <w:sz w:val="18"/>
          <w:szCs w:val="18"/>
        </w:rPr>
      </w:pPr>
    </w:p>
    <w:p w14:paraId="40FC0957" w14:textId="77777777" w:rsidR="003115A6" w:rsidRPr="003115A6" w:rsidRDefault="003115A6" w:rsidP="003115A6">
      <w:pPr>
        <w:ind w:left="284" w:firstLine="283"/>
        <w:jc w:val="both"/>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sz w:val="20"/>
          <w:szCs w:val="20"/>
          <w:lang w:val="id-ID" w:eastAsia="ko-KR"/>
        </w:rPr>
        <w:t>The mosque has an overlapping roof. The roof is stacked; the smaller one goes up, and the top one is shaped like a pyramid. Inside the mosque is a row of pillars surrounding four main pillar. There are porcelain decorative plates from China. The mosque yard is surrounded by a walled fence with one or two gates resembling a temple, a Hindu influence. The gate or outer door of the mosque has a few remnants of decorative tendril motifs on the side. The bricks in the gate are arranged in such a way that they form a pile. The top is shaped like a rectangular pyramid with decoration at each corner with a carved tendril motif. At the top of the gate</w:t>
      </w:r>
      <w:r w:rsidRPr="003115A6">
        <w:rPr>
          <w:rFonts w:asciiTheme="majorHAnsi" w:eastAsia="Times New Roman" w:hAnsiTheme="majorHAnsi" w:cstheme="majorHAnsi"/>
          <w:sz w:val="20"/>
          <w:szCs w:val="20"/>
          <w:lang w:eastAsia="ko-KR"/>
        </w:rPr>
        <w:t>,</w:t>
      </w:r>
      <w:r w:rsidRPr="003115A6">
        <w:rPr>
          <w:rFonts w:asciiTheme="majorHAnsi" w:eastAsia="Times New Roman" w:hAnsiTheme="majorHAnsi" w:cstheme="majorHAnsi"/>
          <w:sz w:val="20"/>
          <w:szCs w:val="20"/>
          <w:lang w:val="id-ID" w:eastAsia="ko-KR"/>
        </w:rPr>
        <w:t xml:space="preserve"> there is also a plate decoration whose motif is blurred and is no longer visible.</w:t>
      </w:r>
    </w:p>
    <w:p w14:paraId="5FD2F801"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3B81191A" w14:textId="77777777" w:rsidR="003115A6" w:rsidRPr="003115A6" w:rsidRDefault="003115A6" w:rsidP="003115A6">
      <w:pPr>
        <w:ind w:firstLine="426"/>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drawing>
          <wp:inline distT="0" distB="0" distL="0" distR="0" wp14:anchorId="636C2F9E" wp14:editId="3E0AAC5B">
            <wp:extent cx="2857500" cy="1876971"/>
            <wp:effectExtent l="0" t="0" r="0" b="9525"/>
            <wp:docPr id="13" name="Picture 13" descr="A red brick wall with a tree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red brick wall with a tree in the background&#10;&#10;AI-generated content may be incorrect."/>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2877495" cy="1890105"/>
                    </a:xfrm>
                    <a:prstGeom prst="rect">
                      <a:avLst/>
                    </a:prstGeom>
                    <a:noFill/>
                    <a:ln>
                      <a:noFill/>
                    </a:ln>
                  </pic:spPr>
                </pic:pic>
              </a:graphicData>
            </a:graphic>
          </wp:inline>
        </w:drawing>
      </w:r>
    </w:p>
    <w:p w14:paraId="13C3447D"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452736D1" w14:textId="59B49C45" w:rsidR="003115A6" w:rsidRDefault="003115A6" w:rsidP="003115A6">
      <w:pPr>
        <w:jc w:val="center"/>
        <w:rPr>
          <w:rFonts w:asciiTheme="majorHAnsi" w:eastAsia="Times New Roman" w:hAnsiTheme="majorHAnsi" w:cstheme="majorHAnsi"/>
          <w:bCs/>
          <w:sz w:val="16"/>
          <w:szCs w:val="16"/>
          <w:lang w:eastAsia="ko-KR"/>
        </w:rPr>
      </w:pPr>
      <w:r w:rsidRPr="003115A6">
        <w:rPr>
          <w:rFonts w:asciiTheme="majorHAnsi" w:eastAsia="Times New Roman" w:hAnsiTheme="majorHAnsi" w:cstheme="majorHAnsi"/>
          <w:bCs/>
          <w:sz w:val="16"/>
          <w:szCs w:val="16"/>
          <w:lang w:eastAsia="ko-KR"/>
        </w:rPr>
        <w:t xml:space="preserve">Figure 2. The </w:t>
      </w:r>
      <w:proofErr w:type="spellStart"/>
      <w:r w:rsidRPr="003115A6">
        <w:rPr>
          <w:rFonts w:asciiTheme="majorHAnsi" w:eastAsia="Times New Roman" w:hAnsiTheme="majorHAnsi" w:cstheme="majorHAnsi"/>
          <w:bCs/>
          <w:sz w:val="16"/>
          <w:szCs w:val="16"/>
          <w:lang w:eastAsia="ko-KR"/>
        </w:rPr>
        <w:t>Panjunan</w:t>
      </w:r>
      <w:proofErr w:type="spellEnd"/>
      <w:r w:rsidRPr="003115A6">
        <w:rPr>
          <w:rFonts w:asciiTheme="majorHAnsi" w:eastAsia="Times New Roman" w:hAnsiTheme="majorHAnsi" w:cstheme="majorHAnsi"/>
          <w:bCs/>
          <w:sz w:val="16"/>
          <w:szCs w:val="16"/>
          <w:lang w:eastAsia="ko-KR"/>
        </w:rPr>
        <w:t xml:space="preserve"> Red Mosque as seen from the front of the gate of the mosque </w:t>
      </w:r>
      <w:r w:rsidR="00521A9B" w:rsidRPr="00521A9B">
        <w:rPr>
          <w:rFonts w:asciiTheme="majorHAnsi" w:eastAsia="Times New Roman" w:hAnsiTheme="majorHAnsi" w:cstheme="majorHAnsi"/>
          <w:sz w:val="16"/>
          <w:szCs w:val="16"/>
          <w:lang w:eastAsia="ko-KR"/>
        </w:rPr>
        <w:t>[documentation by authors]</w:t>
      </w:r>
    </w:p>
    <w:p w14:paraId="512C9A93" w14:textId="77777777" w:rsidR="001A7D85" w:rsidRPr="003115A6" w:rsidRDefault="001A7D85" w:rsidP="003115A6">
      <w:pPr>
        <w:jc w:val="center"/>
        <w:rPr>
          <w:rFonts w:asciiTheme="majorHAnsi" w:eastAsia="Times New Roman" w:hAnsiTheme="majorHAnsi" w:cstheme="majorHAnsi"/>
          <w:bCs/>
          <w:sz w:val="16"/>
          <w:szCs w:val="16"/>
          <w:lang w:val="id-ID" w:eastAsia="ko-KR"/>
        </w:rPr>
      </w:pPr>
    </w:p>
    <w:p w14:paraId="11D78F06" w14:textId="77777777" w:rsidR="003115A6" w:rsidRPr="003115A6" w:rsidRDefault="003115A6" w:rsidP="003115A6">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Several decorations were also found on the walls of the mosque fence, not only plate decorations but also rectangular decorations and lotus flowers. The main door has decorations on the side walls that are made like clubs. On top of which, there are three plate ornaments, each on the left and right side of the door. At the top of the door is a decoration in the shape of a lotus flower bud on the left and right sides, with a little decoration at the top shaped like a leaf.</w:t>
      </w:r>
    </w:p>
    <w:p w14:paraId="159697F9" w14:textId="77777777" w:rsidR="003115A6" w:rsidRPr="003115A6" w:rsidRDefault="003115A6" w:rsidP="003115A6">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lastRenderedPageBreak/>
        <w:t xml:space="preserve">When the Cirebon Sultanate was ruled by </w:t>
      </w:r>
      <w:proofErr w:type="spellStart"/>
      <w:r w:rsidRPr="003115A6">
        <w:rPr>
          <w:rFonts w:asciiTheme="majorHAnsi" w:eastAsia="Times New Roman" w:hAnsiTheme="majorHAnsi" w:cstheme="majorHAnsi"/>
          <w:sz w:val="20"/>
          <w:szCs w:val="20"/>
          <w:lang w:eastAsia="ko-KR"/>
        </w:rPr>
        <w:t>Panembahan</w:t>
      </w:r>
      <w:proofErr w:type="spellEnd"/>
      <w:r w:rsidRPr="003115A6">
        <w:rPr>
          <w:rFonts w:asciiTheme="majorHAnsi" w:eastAsia="Times New Roman" w:hAnsiTheme="majorHAnsi" w:cstheme="majorHAnsi"/>
          <w:sz w:val="20"/>
          <w:szCs w:val="20"/>
          <w:lang w:eastAsia="ko-KR"/>
        </w:rPr>
        <w:t xml:space="preserve"> Ratu (great-grandson of Sunan </w:t>
      </w:r>
      <w:proofErr w:type="spellStart"/>
      <w:r w:rsidRPr="003115A6">
        <w:rPr>
          <w:rFonts w:asciiTheme="majorHAnsi" w:eastAsia="Times New Roman" w:hAnsiTheme="majorHAnsi" w:cstheme="majorHAnsi"/>
          <w:sz w:val="20"/>
          <w:szCs w:val="20"/>
          <w:lang w:eastAsia="ko-KR"/>
        </w:rPr>
        <w:t>Gunung</w:t>
      </w:r>
      <w:proofErr w:type="spellEnd"/>
      <w:r w:rsidRPr="003115A6">
        <w:rPr>
          <w:rFonts w:asciiTheme="majorHAnsi" w:eastAsia="Times New Roman" w:hAnsiTheme="majorHAnsi" w:cstheme="majorHAnsi"/>
          <w:sz w:val="20"/>
          <w:szCs w:val="20"/>
          <w:lang w:eastAsia="ko-KR"/>
        </w:rPr>
        <w:t xml:space="preserve"> Jati), around 1549, the mosque courtyard was fenced with </w:t>
      </w:r>
      <w:r w:rsidRPr="003115A6">
        <w:rPr>
          <w:rFonts w:asciiTheme="majorHAnsi" w:eastAsia="Times New Roman" w:hAnsiTheme="majorHAnsi" w:cstheme="majorHAnsi"/>
          <w:i/>
          <w:sz w:val="20"/>
          <w:szCs w:val="20"/>
          <w:lang w:eastAsia="ko-KR"/>
        </w:rPr>
        <w:t xml:space="preserve">kuta </w:t>
      </w:r>
      <w:proofErr w:type="spellStart"/>
      <w:r w:rsidRPr="003115A6">
        <w:rPr>
          <w:rFonts w:asciiTheme="majorHAnsi" w:eastAsia="Times New Roman" w:hAnsiTheme="majorHAnsi" w:cstheme="majorHAnsi"/>
          <w:i/>
          <w:sz w:val="20"/>
          <w:szCs w:val="20"/>
          <w:lang w:eastAsia="ko-KR"/>
        </w:rPr>
        <w:t>kosod</w:t>
      </w:r>
      <w:proofErr w:type="spellEnd"/>
      <w:r w:rsidRPr="003115A6">
        <w:rPr>
          <w:rFonts w:asciiTheme="majorHAnsi" w:eastAsia="Times New Roman" w:hAnsiTheme="majorHAnsi" w:cstheme="majorHAnsi"/>
          <w:sz w:val="20"/>
          <w:szCs w:val="20"/>
          <w:lang w:eastAsia="ko-KR"/>
        </w:rPr>
        <w:t xml:space="preserve">. At the entrance, a pair of temples and carved teak panel doors were built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{"citationItems":[{"id":"ITEM-1","itemData":{"author":[{"dropping-particle":"","family":"Dinas Kebudayaan &amp; Pariwisata Kota Cirebon","given":"","non-dropping-particle":"","parse-names":false,"suffix":""}],"id":"ITEM-1","issued":{"date-parts":[["2006"]]},"publisher":"Disbudpar Cirebon","publisher-place":"Cirebon","title":"Potensi Wisata Budaya Kota Cirebon","type":"book"},"uris":["http://www.mendeley.com/documents/?uuid=2ac93fd5-7c76-4c48-85bd-7b22711d16c7"]}],"mendeley":{"formattedCitation":"[35]","plainTextFormattedCitation":"[35]","previouslyFormattedCitation":"[35]"},"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[35]</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Around 1978, the local community built a tower in the south front yard while the temple and door panels were dismantled.</w:t>
      </w:r>
    </w:p>
    <w:p w14:paraId="4D50E72D" w14:textId="77777777" w:rsidR="003115A6" w:rsidRPr="003115A6" w:rsidRDefault="003115A6" w:rsidP="003115A6">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One of the characteristics of traditional Islamic buildings is the pyramid-shaped multi-story roof, like the one built during the </w:t>
      </w:r>
      <w:proofErr w:type="spellStart"/>
      <w:r w:rsidRPr="003115A6">
        <w:rPr>
          <w:rFonts w:asciiTheme="majorHAnsi" w:eastAsia="Times New Roman" w:hAnsiTheme="majorHAnsi" w:cstheme="majorHAnsi"/>
          <w:sz w:val="20"/>
          <w:szCs w:val="20"/>
          <w:lang w:eastAsia="ko-KR"/>
        </w:rPr>
        <w:t>Majapahit</w:t>
      </w:r>
      <w:proofErr w:type="spellEnd"/>
      <w:r w:rsidRPr="003115A6">
        <w:rPr>
          <w:rFonts w:asciiTheme="majorHAnsi" w:eastAsia="Times New Roman" w:hAnsiTheme="majorHAnsi" w:cstheme="majorHAnsi"/>
          <w:sz w:val="20"/>
          <w:szCs w:val="20"/>
          <w:lang w:eastAsia="ko-KR"/>
        </w:rPr>
        <w:t xml:space="preserve"> period. The roof of this multi-storey building in Bali is known as </w:t>
      </w:r>
      <w:proofErr w:type="spellStart"/>
      <w:r w:rsidRPr="003115A6">
        <w:rPr>
          <w:rFonts w:asciiTheme="majorHAnsi" w:eastAsia="Times New Roman" w:hAnsiTheme="majorHAnsi" w:cstheme="majorHAnsi"/>
          <w:i/>
          <w:sz w:val="20"/>
          <w:szCs w:val="20"/>
          <w:lang w:eastAsia="ko-KR"/>
        </w:rPr>
        <w:t>meru</w:t>
      </w:r>
      <w:proofErr w:type="spellEnd"/>
      <w:r w:rsidRPr="003115A6">
        <w:rPr>
          <w:rFonts w:asciiTheme="majorHAnsi" w:eastAsia="Times New Roman" w:hAnsiTheme="majorHAnsi" w:cstheme="majorHAnsi"/>
          <w:sz w:val="20"/>
          <w:szCs w:val="20"/>
          <w:lang w:eastAsia="ko-KR"/>
        </w:rPr>
        <w:t>, which was found on sacred buildings (</w:t>
      </w:r>
      <w:r w:rsidRPr="003115A6">
        <w:rPr>
          <w:rFonts w:asciiTheme="majorHAnsi" w:eastAsia="Times New Roman" w:hAnsiTheme="majorHAnsi" w:cstheme="majorHAnsi"/>
          <w:i/>
          <w:iCs/>
          <w:sz w:val="20"/>
          <w:szCs w:val="20"/>
          <w:lang w:eastAsia="ko-KR"/>
        </w:rPr>
        <w:t>Pura</w:t>
      </w:r>
      <w:r w:rsidRPr="003115A6">
        <w:rPr>
          <w:rFonts w:asciiTheme="majorHAnsi" w:eastAsia="Times New Roman" w:hAnsiTheme="majorHAnsi" w:cstheme="majorHAnsi"/>
          <w:sz w:val="20"/>
          <w:szCs w:val="20"/>
          <w:lang w:eastAsia="ko-KR"/>
        </w:rPr>
        <w:t xml:space="preserve">), but also on </w:t>
      </w:r>
      <w:proofErr w:type="spellStart"/>
      <w:r w:rsidRPr="003115A6">
        <w:rPr>
          <w:rFonts w:asciiTheme="majorHAnsi" w:eastAsia="Times New Roman" w:hAnsiTheme="majorHAnsi" w:cstheme="majorHAnsi"/>
          <w:i/>
          <w:sz w:val="20"/>
          <w:szCs w:val="20"/>
          <w:lang w:eastAsia="ko-KR"/>
        </w:rPr>
        <w:t>wantilan</w:t>
      </w:r>
      <w:proofErr w:type="spellEnd"/>
      <w:r w:rsidRPr="003115A6">
        <w:rPr>
          <w:rFonts w:asciiTheme="majorHAnsi" w:eastAsia="Times New Roman" w:hAnsiTheme="majorHAnsi" w:cstheme="majorHAnsi"/>
          <w:sz w:val="20"/>
          <w:szCs w:val="20"/>
          <w:lang w:eastAsia="ko-KR"/>
        </w:rPr>
        <w:t xml:space="preserve"> buildings (places for connecting chickens) and </w:t>
      </w:r>
      <w:r w:rsidRPr="003115A6">
        <w:rPr>
          <w:rFonts w:asciiTheme="majorHAnsi" w:eastAsia="Times New Roman" w:hAnsiTheme="majorHAnsi" w:cstheme="majorHAnsi"/>
          <w:i/>
          <w:sz w:val="20"/>
          <w:szCs w:val="20"/>
          <w:lang w:eastAsia="ko-KR"/>
        </w:rPr>
        <w:t>puri</w:t>
      </w:r>
      <w:r w:rsidRPr="003115A6">
        <w:rPr>
          <w:rFonts w:asciiTheme="majorHAnsi" w:eastAsia="Times New Roman" w:hAnsiTheme="majorHAnsi" w:cstheme="majorHAnsi"/>
          <w:sz w:val="20"/>
          <w:szCs w:val="20"/>
          <w:lang w:eastAsia="ko-KR"/>
        </w:rPr>
        <w:t xml:space="preserve"> (palaces). Many ancient mosques in Java also have multi-tiered roofs topped with </w:t>
      </w:r>
      <w:proofErr w:type="spellStart"/>
      <w:r w:rsidRPr="003115A6">
        <w:rPr>
          <w:rFonts w:asciiTheme="majorHAnsi" w:eastAsia="Times New Roman" w:hAnsiTheme="majorHAnsi" w:cstheme="majorHAnsi"/>
          <w:i/>
          <w:sz w:val="20"/>
          <w:szCs w:val="20"/>
          <w:lang w:eastAsia="ko-KR"/>
        </w:rPr>
        <w:t>mustaka</w:t>
      </w:r>
      <w:proofErr w:type="spellEnd"/>
      <w:r w:rsidRPr="003115A6">
        <w:rPr>
          <w:rFonts w:asciiTheme="majorHAnsi" w:eastAsia="Times New Roman" w:hAnsiTheme="majorHAnsi" w:cstheme="majorHAnsi"/>
          <w:sz w:val="20"/>
          <w:szCs w:val="20"/>
          <w:lang w:eastAsia="ko-KR"/>
        </w:rPr>
        <w:t xml:space="preserve"> or </w:t>
      </w:r>
      <w:proofErr w:type="spellStart"/>
      <w:r w:rsidRPr="003115A6">
        <w:rPr>
          <w:rFonts w:asciiTheme="majorHAnsi" w:eastAsia="Times New Roman" w:hAnsiTheme="majorHAnsi" w:cstheme="majorHAnsi"/>
          <w:i/>
          <w:sz w:val="20"/>
          <w:szCs w:val="20"/>
          <w:lang w:eastAsia="ko-KR"/>
        </w:rPr>
        <w:t>momolo</w:t>
      </w:r>
      <w:proofErr w:type="spellEnd"/>
      <w:r w:rsidRPr="003115A6">
        <w:rPr>
          <w:rFonts w:asciiTheme="majorHAnsi" w:eastAsia="Times New Roman" w:hAnsiTheme="majorHAnsi" w:cstheme="majorHAnsi"/>
          <w:sz w:val="20"/>
          <w:szCs w:val="20"/>
          <w:lang w:eastAsia="ko-KR"/>
        </w:rPr>
        <w:t xml:space="preserve">. Multi-storey buildings in mosques are not only built for a beauty aspect but also for air circulation because mosque buildings are used to accommodate many people in carrying out worship. The mosque and </w:t>
      </w:r>
      <w:r w:rsidRPr="003115A6">
        <w:rPr>
          <w:rFonts w:asciiTheme="majorHAnsi" w:eastAsia="Times New Roman" w:hAnsiTheme="majorHAnsi" w:cstheme="majorHAnsi"/>
          <w:i/>
          <w:sz w:val="20"/>
          <w:szCs w:val="20"/>
          <w:lang w:eastAsia="ko-KR"/>
        </w:rPr>
        <w:t>surau</w:t>
      </w:r>
      <w:r w:rsidRPr="003115A6">
        <w:rPr>
          <w:rFonts w:asciiTheme="majorHAnsi" w:eastAsia="Times New Roman" w:hAnsiTheme="majorHAnsi" w:cstheme="majorHAnsi"/>
          <w:sz w:val="20"/>
          <w:szCs w:val="20"/>
          <w:lang w:eastAsia="ko-KR"/>
        </w:rPr>
        <w:t xml:space="preserve"> are buildings that enclose a square room with a porch in front. Then, what is at the core is the square room. The mosque has </w:t>
      </w:r>
      <w:r w:rsidRPr="003115A6">
        <w:rPr>
          <w:rFonts w:asciiTheme="majorHAnsi" w:eastAsia="Times New Roman" w:hAnsiTheme="majorHAnsi" w:cstheme="majorHAnsi"/>
          <w:i/>
          <w:sz w:val="20"/>
          <w:szCs w:val="20"/>
          <w:lang w:eastAsia="ko-KR"/>
        </w:rPr>
        <w:t xml:space="preserve">Atap </w:t>
      </w:r>
      <w:proofErr w:type="spellStart"/>
      <w:r w:rsidRPr="003115A6">
        <w:rPr>
          <w:rFonts w:asciiTheme="majorHAnsi" w:eastAsia="Times New Roman" w:hAnsiTheme="majorHAnsi" w:cstheme="majorHAnsi"/>
          <w:i/>
          <w:sz w:val="20"/>
          <w:szCs w:val="20"/>
          <w:lang w:eastAsia="ko-KR"/>
        </w:rPr>
        <w:t>Tumpang</w:t>
      </w:r>
      <w:proofErr w:type="spellEnd"/>
      <w:r w:rsidRPr="003115A6">
        <w:rPr>
          <w:rFonts w:asciiTheme="majorHAnsi" w:eastAsia="Times New Roman" w:hAnsiTheme="majorHAnsi" w:cstheme="majorHAnsi"/>
          <w:sz w:val="20"/>
          <w:szCs w:val="20"/>
          <w:lang w:eastAsia="ko-KR"/>
        </w:rPr>
        <w:t xml:space="preserve"> [the Overlapping Roof], a roof with layers. The higher it gets, the smaller it gets.</w:t>
      </w:r>
    </w:p>
    <w:p w14:paraId="33C17A45" w14:textId="77777777" w:rsidR="003115A6" w:rsidRPr="003115A6" w:rsidRDefault="003115A6" w:rsidP="003115A6">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Meanwhile, the top level is in the shape of a pyramid. The number of </w:t>
      </w:r>
      <w:proofErr w:type="spellStart"/>
      <w:r w:rsidRPr="003115A6">
        <w:rPr>
          <w:rFonts w:asciiTheme="majorHAnsi" w:eastAsia="Times New Roman" w:hAnsiTheme="majorHAnsi" w:cstheme="majorHAnsi"/>
          <w:i/>
          <w:sz w:val="20"/>
          <w:szCs w:val="20"/>
          <w:lang w:eastAsia="ko-KR"/>
        </w:rPr>
        <w:t>tumpang</w:t>
      </w:r>
      <w:proofErr w:type="spellEnd"/>
      <w:r w:rsidRPr="003115A6">
        <w:rPr>
          <w:rFonts w:asciiTheme="majorHAnsi" w:eastAsia="Times New Roman" w:hAnsiTheme="majorHAnsi" w:cstheme="majorHAnsi"/>
          <w:sz w:val="20"/>
          <w:szCs w:val="20"/>
          <w:lang w:eastAsia="ko-KR"/>
        </w:rPr>
        <w:t xml:space="preserve"> [overlaps] is always odd, usually 3 and sometimes up to 5, such as at the Banten Mosque. Occasionally, there are also those with two overlaps, called one overlap, so they are also odd numbers. The roof of the mosque or </w:t>
      </w:r>
      <w:r w:rsidRPr="003115A6">
        <w:rPr>
          <w:rFonts w:asciiTheme="majorHAnsi" w:eastAsia="Times New Roman" w:hAnsiTheme="majorHAnsi" w:cstheme="majorHAnsi"/>
          <w:i/>
          <w:sz w:val="20"/>
          <w:szCs w:val="20"/>
          <w:lang w:eastAsia="ko-KR"/>
        </w:rPr>
        <w:t>surau</w:t>
      </w:r>
      <w:r w:rsidRPr="003115A6">
        <w:rPr>
          <w:rFonts w:asciiTheme="majorHAnsi" w:eastAsia="Times New Roman" w:hAnsiTheme="majorHAnsi" w:cstheme="majorHAnsi"/>
          <w:sz w:val="20"/>
          <w:szCs w:val="20"/>
          <w:lang w:eastAsia="ko-KR"/>
        </w:rPr>
        <w:t xml:space="preserve"> is usually topped with a peak made of burnt earth or other material, which seems to add even more pressure to its sharpness. The roof covering is called "</w:t>
      </w:r>
      <w:proofErr w:type="spellStart"/>
      <w:r w:rsidRPr="003115A6">
        <w:rPr>
          <w:rFonts w:asciiTheme="majorHAnsi" w:eastAsia="Times New Roman" w:hAnsiTheme="majorHAnsi" w:cstheme="majorHAnsi"/>
          <w:i/>
          <w:sz w:val="20"/>
          <w:szCs w:val="20"/>
          <w:lang w:eastAsia="ko-KR"/>
        </w:rPr>
        <w:t>mustaka</w:t>
      </w:r>
      <w:proofErr w:type="spellEnd"/>
      <w:r w:rsidRPr="003115A6">
        <w:rPr>
          <w:rFonts w:asciiTheme="majorHAnsi" w:eastAsia="Times New Roman" w:hAnsiTheme="majorHAnsi" w:cstheme="majorHAnsi"/>
          <w:sz w:val="20"/>
          <w:szCs w:val="20"/>
          <w:lang w:eastAsia="ko-KR"/>
        </w:rPr>
        <w:t xml:space="preserve">"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Soekmono","given":"R","non-dropping-particle":"","parse-names":false,"suffix":""}],"id":"ITEM-1","issued":{"date-parts":[["1981"]]},"publisher":"Kanisius","publisher-place":"Yogyakarta","title":"Pengantar Sejarah Kebudayaan Indonesia jilid 3","type":"book"},"uris":["http://www.mendeley.com/documents/?uuid=af7390d8-8ed5-4599-bf50-4b7fc77a89bd"]}],"mendeley":{"formattedCitation":"[33]","plainTextFormattedCitation":"[33]","previouslyFormattedCitation":"[33]"},"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[31]</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Likewise, the </w:t>
      </w:r>
      <w:proofErr w:type="spellStart"/>
      <w:r w:rsidRPr="003115A6">
        <w:rPr>
          <w:rFonts w:asciiTheme="majorHAnsi" w:eastAsia="Times New Roman" w:hAnsiTheme="majorHAnsi" w:cstheme="majorHAnsi"/>
          <w:sz w:val="20"/>
          <w:szCs w:val="20"/>
          <w:lang w:eastAsia="ko-KR"/>
        </w:rPr>
        <w:t>Panjunan</w:t>
      </w:r>
      <w:proofErr w:type="spellEnd"/>
      <w:r w:rsidRPr="003115A6">
        <w:rPr>
          <w:rFonts w:asciiTheme="majorHAnsi" w:eastAsia="Times New Roman" w:hAnsiTheme="majorHAnsi" w:cstheme="majorHAnsi"/>
          <w:sz w:val="20"/>
          <w:szCs w:val="20"/>
          <w:lang w:eastAsia="ko-KR"/>
        </w:rPr>
        <w:t xml:space="preserve"> Red Mosque's roof is shaped like a rectangular pyramid with two </w:t>
      </w:r>
      <w:proofErr w:type="spellStart"/>
      <w:r w:rsidRPr="003115A6">
        <w:rPr>
          <w:rFonts w:asciiTheme="majorHAnsi" w:eastAsia="Times New Roman" w:hAnsiTheme="majorHAnsi" w:cstheme="majorHAnsi"/>
          <w:i/>
          <w:sz w:val="20"/>
          <w:szCs w:val="20"/>
          <w:lang w:eastAsia="ko-KR"/>
        </w:rPr>
        <w:t>umpak</w:t>
      </w:r>
      <w:proofErr w:type="spellEnd"/>
      <w:r w:rsidRPr="003115A6">
        <w:rPr>
          <w:rFonts w:asciiTheme="majorHAnsi" w:eastAsia="Times New Roman" w:hAnsiTheme="majorHAnsi" w:cstheme="majorHAnsi"/>
          <w:sz w:val="20"/>
          <w:szCs w:val="20"/>
          <w:lang w:eastAsia="ko-KR"/>
        </w:rPr>
        <w:t xml:space="preserve">. At the top of the roof is a </w:t>
      </w:r>
      <w:proofErr w:type="spellStart"/>
      <w:r w:rsidRPr="003115A6">
        <w:rPr>
          <w:rFonts w:asciiTheme="majorHAnsi" w:eastAsia="Times New Roman" w:hAnsiTheme="majorHAnsi" w:cstheme="majorHAnsi"/>
          <w:i/>
          <w:sz w:val="20"/>
          <w:szCs w:val="20"/>
          <w:lang w:eastAsia="ko-KR"/>
        </w:rPr>
        <w:t>momolo</w:t>
      </w:r>
      <w:proofErr w:type="spellEnd"/>
      <w:r w:rsidRPr="003115A6">
        <w:rPr>
          <w:rFonts w:asciiTheme="majorHAnsi" w:eastAsia="Times New Roman" w:hAnsiTheme="majorHAnsi" w:cstheme="majorHAnsi"/>
          <w:sz w:val="20"/>
          <w:szCs w:val="20"/>
          <w:lang w:eastAsia="ko-KR"/>
        </w:rPr>
        <w:t xml:space="preserve"> made of iron or steel in the shape of a lotus flower bud and tendril motif. The well-maintained layout of the mosque has survived to this day; the shingle roof was renovated by the West Java Provincial Culture and Tourism Office in 2001-2002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{"citationItems":[{"id":"ITEM-1","itemData":{"author":[{"dropping-particle":"","family":"Dinas Kebudayaan &amp; Pariwisata Kota Cirebon","given":"","non-dropping-particle":"","parse-names":false,"suffix":""}],"id":"ITEM-1","issued":{"date-parts":[["2006"]]},"publisher":"Disbudpar Cirebon","publisher-place":"Cirebon","title":"Potensi Wisata Budaya Kota Cirebon","type":"book"},"uris":["http://www.mendeley.com/documents/?uuid=2ac93fd5-7c76-4c48-85bd-7b22711d16c7"]}],"mendeley":{"formattedCitation":"[35]","plainTextFormattedCitation":"[35]","previouslyFormattedCitation":"[35]"},"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[32]</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Figure 3 is the picture of the roof.</w:t>
      </w:r>
    </w:p>
    <w:p w14:paraId="207C8980" w14:textId="77777777" w:rsidR="003115A6" w:rsidRPr="003115A6" w:rsidRDefault="003115A6" w:rsidP="003115A6">
      <w:pPr>
        <w:ind w:left="284" w:firstLine="283"/>
        <w:jc w:val="both"/>
        <w:rPr>
          <w:rFonts w:asciiTheme="majorHAnsi" w:eastAsia="Times New Roman" w:hAnsiTheme="majorHAnsi" w:cstheme="majorHAnsi"/>
          <w:sz w:val="20"/>
          <w:szCs w:val="20"/>
          <w:lang w:val="id-ID" w:eastAsia="ko-KR"/>
        </w:rPr>
      </w:pPr>
    </w:p>
    <w:p w14:paraId="64B3C492" w14:textId="77777777" w:rsidR="003115A6" w:rsidRPr="003115A6" w:rsidRDefault="003115A6" w:rsidP="003115A6">
      <w:pPr>
        <w:ind w:firstLine="426"/>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drawing>
          <wp:inline distT="0" distB="0" distL="0" distR="0" wp14:anchorId="62FA887A" wp14:editId="48139027">
            <wp:extent cx="2222500" cy="1439545"/>
            <wp:effectExtent l="0" t="0" r="6350" b="8255"/>
            <wp:docPr id="11" name="Picture 11" descr="A red wall with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red wall with a roof&#10;&#10;AI-generated content may be incorrect."/>
                    <pic:cNvPicPr>
                      <a:picLocks noChangeAspect="1" noChangeArrowheads="1"/>
                    </pic:cNvPicPr>
                  </pic:nvPicPr>
                  <pic:blipFill>
                    <a:blip r:embed="rId10" cstate="email">
                      <a:extLst>
                        <a:ext uri="{28A0092B-C50C-407E-A947-70E740481C1C}">
                          <a14:useLocalDpi xmlns:a14="http://schemas.microsoft.com/office/drawing/2010/main" val="0"/>
                        </a:ext>
                      </a:extLst>
                    </a:blip>
                    <a:srcRect/>
                    <a:stretch>
                      <a:fillRect/>
                    </a:stretch>
                  </pic:blipFill>
                  <pic:spPr bwMode="auto">
                    <a:xfrm>
                      <a:off x="0" y="0"/>
                      <a:ext cx="2222500" cy="1439545"/>
                    </a:xfrm>
                    <a:prstGeom prst="rect">
                      <a:avLst/>
                    </a:prstGeom>
                    <a:noFill/>
                    <a:ln>
                      <a:noFill/>
                    </a:ln>
                  </pic:spPr>
                </pic:pic>
              </a:graphicData>
            </a:graphic>
          </wp:inline>
        </w:drawing>
      </w:r>
    </w:p>
    <w:p w14:paraId="087C6ACE" w14:textId="77777777" w:rsidR="003115A6" w:rsidRPr="003115A6" w:rsidRDefault="003115A6" w:rsidP="003115A6">
      <w:pPr>
        <w:ind w:firstLine="426"/>
        <w:jc w:val="center"/>
        <w:rPr>
          <w:rFonts w:asciiTheme="majorHAnsi" w:eastAsia="Times New Roman" w:hAnsiTheme="majorHAnsi" w:cstheme="majorHAnsi"/>
          <w:sz w:val="20"/>
          <w:szCs w:val="20"/>
          <w:lang w:val="id-ID" w:eastAsia="ko-KR"/>
        </w:rPr>
      </w:pPr>
    </w:p>
    <w:p w14:paraId="281A1BCE" w14:textId="11C15366" w:rsidR="003115A6" w:rsidRPr="003115A6" w:rsidRDefault="003115A6" w:rsidP="003115A6">
      <w:pPr>
        <w:ind w:firstLine="426"/>
        <w:jc w:val="center"/>
        <w:rPr>
          <w:rFonts w:asciiTheme="majorHAnsi" w:eastAsia="Times New Roman" w:hAnsiTheme="majorHAnsi" w:cstheme="majorHAnsi"/>
          <w:bCs/>
          <w:sz w:val="16"/>
          <w:szCs w:val="16"/>
          <w:lang w:eastAsia="ko-KR"/>
        </w:rPr>
      </w:pPr>
      <w:r w:rsidRPr="003115A6">
        <w:rPr>
          <w:rFonts w:asciiTheme="majorHAnsi" w:eastAsia="Times New Roman" w:hAnsiTheme="majorHAnsi" w:cstheme="majorHAnsi"/>
          <w:bCs/>
          <w:sz w:val="16"/>
          <w:szCs w:val="16"/>
          <w:lang w:eastAsia="ko-KR"/>
        </w:rPr>
        <w:t xml:space="preserve">Figure 3. Mosque Shingle Roof </w:t>
      </w:r>
      <w:r w:rsidR="00521A9B" w:rsidRPr="00521A9B">
        <w:rPr>
          <w:rFonts w:asciiTheme="majorHAnsi" w:eastAsia="Times New Roman" w:hAnsiTheme="majorHAnsi" w:cstheme="majorHAnsi"/>
          <w:sz w:val="16"/>
          <w:szCs w:val="16"/>
          <w:lang w:eastAsia="ko-KR"/>
        </w:rPr>
        <w:t>[documentation by authors]</w:t>
      </w:r>
    </w:p>
    <w:p w14:paraId="0CA985CE"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5E7EECC0" w14:textId="77777777" w:rsidR="003115A6" w:rsidRDefault="003115A6" w:rsidP="003115A6">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val="id-ID" w:eastAsia="ko-KR"/>
        </w:rPr>
        <w:tab/>
        <w:t>At the front of the Panjunan Red Mosque, on the left and right sides of the building, there is a fairly large foyer, although not as large as the Sang Cipta Rasa Grand Mosque. This part of the porch is decorated with large supporting pillars. The four pillars closest to the inner entrance are the main pillars of the building, as seen in Figure 4.</w:t>
      </w:r>
      <w:r w:rsidRPr="003115A6">
        <w:rPr>
          <w:rFonts w:asciiTheme="majorHAnsi" w:eastAsia="Times New Roman" w:hAnsiTheme="majorHAnsi" w:cstheme="majorHAnsi"/>
          <w:sz w:val="20"/>
          <w:szCs w:val="20"/>
          <w:lang w:eastAsia="ko-KR"/>
        </w:rPr>
        <w:t xml:space="preserve"> The parts of the pole are decorated with carvings with geometric motifs and symbolic motifs. The outer walls of the mihrab room are not left plain. Some use geometric motifs, Arabic calligraphy, and so on.</w:t>
      </w:r>
    </w:p>
    <w:p w14:paraId="1FD78621" w14:textId="77777777" w:rsidR="00415A48" w:rsidRPr="003115A6" w:rsidRDefault="00415A48" w:rsidP="003115A6">
      <w:pPr>
        <w:ind w:left="284" w:firstLine="283"/>
        <w:jc w:val="both"/>
        <w:rPr>
          <w:rFonts w:asciiTheme="majorHAnsi" w:eastAsia="Times New Roman" w:hAnsiTheme="majorHAnsi" w:cstheme="majorHAnsi"/>
          <w:sz w:val="20"/>
          <w:szCs w:val="20"/>
          <w:lang w:eastAsia="ko-KR"/>
        </w:rPr>
      </w:pPr>
    </w:p>
    <w:p w14:paraId="2E340D9D" w14:textId="32B926F4" w:rsidR="003115A6" w:rsidRDefault="003115A6" w:rsidP="00AF1A5D">
      <w:pPr>
        <w:ind w:firstLine="426"/>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drawing>
          <wp:inline distT="0" distB="0" distL="0" distR="0" wp14:anchorId="3C9055C7" wp14:editId="5AD4013F">
            <wp:extent cx="2620108" cy="1593103"/>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2636170" cy="1602869"/>
                    </a:xfrm>
                    <a:prstGeom prst="rect">
                      <a:avLst/>
                    </a:prstGeom>
                    <a:noFill/>
                    <a:ln>
                      <a:noFill/>
                    </a:ln>
                  </pic:spPr>
                </pic:pic>
              </a:graphicData>
            </a:graphic>
          </wp:inline>
        </w:drawing>
      </w:r>
    </w:p>
    <w:p w14:paraId="2EBD498F" w14:textId="77777777" w:rsidR="00AF1A5D" w:rsidRPr="003115A6" w:rsidRDefault="00AF1A5D" w:rsidP="00AF1A5D">
      <w:pPr>
        <w:ind w:firstLine="426"/>
        <w:jc w:val="center"/>
        <w:rPr>
          <w:rFonts w:asciiTheme="majorHAnsi" w:eastAsia="Times New Roman" w:hAnsiTheme="majorHAnsi" w:cstheme="majorHAnsi"/>
          <w:sz w:val="20"/>
          <w:szCs w:val="20"/>
          <w:lang w:val="id-ID" w:eastAsia="ko-KR"/>
        </w:rPr>
      </w:pPr>
    </w:p>
    <w:p w14:paraId="1DFB0545" w14:textId="72BBD077" w:rsidR="003115A6" w:rsidRPr="00AF1A5D" w:rsidRDefault="003115A6" w:rsidP="00AF1A5D">
      <w:pPr>
        <w:ind w:firstLine="426"/>
        <w:jc w:val="center"/>
        <w:rPr>
          <w:rFonts w:asciiTheme="majorHAnsi" w:eastAsia="Times New Roman" w:hAnsiTheme="majorHAnsi" w:cstheme="majorHAnsi"/>
          <w:bCs/>
          <w:sz w:val="16"/>
          <w:szCs w:val="16"/>
          <w:lang w:eastAsia="ko-KR"/>
        </w:rPr>
      </w:pPr>
      <w:r w:rsidRPr="00AF1A5D">
        <w:rPr>
          <w:rFonts w:asciiTheme="majorHAnsi" w:eastAsia="Times New Roman" w:hAnsiTheme="majorHAnsi" w:cstheme="majorHAnsi"/>
          <w:bCs/>
          <w:sz w:val="16"/>
          <w:szCs w:val="16"/>
          <w:lang w:eastAsia="ko-KR"/>
        </w:rPr>
        <w:t xml:space="preserve">Figure 4. The front porch of the </w:t>
      </w:r>
      <w:proofErr w:type="spellStart"/>
      <w:r w:rsidRPr="00AF1A5D">
        <w:rPr>
          <w:rFonts w:asciiTheme="majorHAnsi" w:eastAsia="Times New Roman" w:hAnsiTheme="majorHAnsi" w:cstheme="majorHAnsi"/>
          <w:bCs/>
          <w:sz w:val="16"/>
          <w:szCs w:val="16"/>
          <w:lang w:eastAsia="ko-KR"/>
        </w:rPr>
        <w:t>Panjunan</w:t>
      </w:r>
      <w:proofErr w:type="spellEnd"/>
      <w:r w:rsidRPr="00AF1A5D">
        <w:rPr>
          <w:rFonts w:asciiTheme="majorHAnsi" w:eastAsia="Times New Roman" w:hAnsiTheme="majorHAnsi" w:cstheme="majorHAnsi"/>
          <w:bCs/>
          <w:sz w:val="16"/>
          <w:szCs w:val="16"/>
          <w:lang w:eastAsia="ko-KR"/>
        </w:rPr>
        <w:t xml:space="preserve"> Red Mosque </w:t>
      </w:r>
      <w:r w:rsidR="00AF1A5D">
        <w:rPr>
          <w:rFonts w:asciiTheme="majorHAnsi" w:eastAsia="Times New Roman" w:hAnsiTheme="majorHAnsi" w:cstheme="majorHAnsi"/>
          <w:bCs/>
          <w:sz w:val="16"/>
          <w:szCs w:val="16"/>
          <w:lang w:eastAsia="ko-KR"/>
        </w:rPr>
        <w:t>[</w:t>
      </w:r>
      <w:r w:rsidRPr="00AF1A5D">
        <w:rPr>
          <w:rFonts w:asciiTheme="majorHAnsi" w:eastAsia="Times New Roman" w:hAnsiTheme="majorHAnsi" w:cstheme="majorHAnsi"/>
          <w:bCs/>
          <w:sz w:val="16"/>
          <w:szCs w:val="16"/>
          <w:lang w:eastAsia="ko-KR"/>
        </w:rPr>
        <w:t>documentation by the authors</w:t>
      </w:r>
      <w:r w:rsidR="00AF1A5D">
        <w:rPr>
          <w:rFonts w:asciiTheme="majorHAnsi" w:eastAsia="Times New Roman" w:hAnsiTheme="majorHAnsi" w:cstheme="majorHAnsi"/>
          <w:bCs/>
          <w:sz w:val="16"/>
          <w:szCs w:val="16"/>
          <w:lang w:eastAsia="ko-KR"/>
        </w:rPr>
        <w:t>]</w:t>
      </w:r>
    </w:p>
    <w:p w14:paraId="4205FB9D" w14:textId="77777777" w:rsidR="003115A6" w:rsidRPr="003115A6" w:rsidRDefault="003115A6" w:rsidP="003115A6">
      <w:pPr>
        <w:ind w:firstLine="426"/>
        <w:jc w:val="both"/>
        <w:rPr>
          <w:rFonts w:asciiTheme="majorHAnsi" w:eastAsia="Times New Roman" w:hAnsiTheme="majorHAnsi" w:cstheme="majorHAnsi"/>
          <w:b/>
          <w:sz w:val="20"/>
          <w:szCs w:val="20"/>
          <w:lang w:eastAsia="ko-KR"/>
        </w:rPr>
      </w:pPr>
    </w:p>
    <w:p w14:paraId="76001541" w14:textId="3863BAD1" w:rsidR="003115A6" w:rsidRPr="003115A6" w:rsidRDefault="003115A6" w:rsidP="00AF1A5D">
      <w:pPr>
        <w:ind w:firstLine="426"/>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lastRenderedPageBreak/>
        <w:drawing>
          <wp:inline distT="0" distB="0" distL="0" distR="0" wp14:anchorId="56B53CF2" wp14:editId="528B2811">
            <wp:extent cx="2303585" cy="1564349"/>
            <wp:effectExtent l="0" t="0" r="1905" b="0"/>
            <wp:docPr id="9" name="Picture 9" descr="A wooden pillar with a carved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wooden pillar with a carved design&#10;&#10;AI-generated content may be incorrect."/>
                    <pic:cNvPicPr>
                      <a:picLocks noChangeAspect="1" noChangeArrowheads="1"/>
                    </pic:cNvPicPr>
                  </pic:nvPicPr>
                  <pic:blipFill rotWithShape="1">
                    <a:blip r:embed="rId12" cstate="email">
                      <a:extLst>
                        <a:ext uri="{28A0092B-C50C-407E-A947-70E740481C1C}">
                          <a14:useLocalDpi xmlns:a14="http://schemas.microsoft.com/office/drawing/2010/main" val="0"/>
                        </a:ext>
                      </a:extLst>
                    </a:blip>
                    <a:srcRect r="-6"/>
                    <a:stretch/>
                  </pic:blipFill>
                  <pic:spPr bwMode="auto">
                    <a:xfrm>
                      <a:off x="0" y="0"/>
                      <a:ext cx="2307110" cy="1566743"/>
                    </a:xfrm>
                    <a:prstGeom prst="rect">
                      <a:avLst/>
                    </a:prstGeom>
                    <a:noFill/>
                    <a:ln>
                      <a:noFill/>
                    </a:ln>
                    <a:extLst>
                      <a:ext uri="{53640926-AAD7-44D8-BBD7-CCE9431645EC}">
                        <a14:shadowObscured xmlns:a14="http://schemas.microsoft.com/office/drawing/2010/main"/>
                      </a:ext>
                    </a:extLst>
                  </pic:spPr>
                </pic:pic>
              </a:graphicData>
            </a:graphic>
          </wp:inline>
        </w:drawing>
      </w:r>
    </w:p>
    <w:p w14:paraId="7C3C633C"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33B7F90C" w14:textId="04A1382E" w:rsidR="003115A6" w:rsidRPr="00AF1A5D" w:rsidRDefault="003115A6" w:rsidP="003115A6">
      <w:pPr>
        <w:ind w:firstLine="426"/>
        <w:jc w:val="center"/>
        <w:rPr>
          <w:rFonts w:asciiTheme="majorHAnsi" w:eastAsia="Times New Roman" w:hAnsiTheme="majorHAnsi" w:cstheme="majorHAnsi"/>
          <w:bCs/>
          <w:sz w:val="16"/>
          <w:szCs w:val="16"/>
          <w:lang w:eastAsia="ko-KR"/>
        </w:rPr>
      </w:pPr>
      <w:r w:rsidRPr="00AF1A5D">
        <w:rPr>
          <w:rFonts w:asciiTheme="majorHAnsi" w:eastAsia="Times New Roman" w:hAnsiTheme="majorHAnsi" w:cstheme="majorHAnsi"/>
          <w:bCs/>
          <w:sz w:val="16"/>
          <w:szCs w:val="16"/>
          <w:lang w:eastAsia="ko-KR"/>
        </w:rPr>
        <w:t xml:space="preserve">Figure 5. Pole </w:t>
      </w:r>
      <w:r w:rsidR="00AF1A5D">
        <w:rPr>
          <w:rFonts w:asciiTheme="majorHAnsi" w:eastAsia="Times New Roman" w:hAnsiTheme="majorHAnsi" w:cstheme="majorHAnsi"/>
          <w:bCs/>
          <w:sz w:val="16"/>
          <w:szCs w:val="16"/>
          <w:lang w:eastAsia="ko-KR"/>
        </w:rPr>
        <w:t>[</w:t>
      </w:r>
      <w:r w:rsidRPr="00AF1A5D">
        <w:rPr>
          <w:rFonts w:asciiTheme="majorHAnsi" w:eastAsia="Times New Roman" w:hAnsiTheme="majorHAnsi" w:cstheme="majorHAnsi"/>
          <w:bCs/>
          <w:sz w:val="16"/>
          <w:szCs w:val="16"/>
          <w:lang w:eastAsia="ko-KR"/>
        </w:rPr>
        <w:t>documentation by the authors</w:t>
      </w:r>
      <w:r w:rsidR="00AF1A5D">
        <w:rPr>
          <w:rFonts w:asciiTheme="majorHAnsi" w:eastAsia="Times New Roman" w:hAnsiTheme="majorHAnsi" w:cstheme="majorHAnsi"/>
          <w:bCs/>
          <w:sz w:val="16"/>
          <w:szCs w:val="16"/>
          <w:lang w:eastAsia="ko-KR"/>
        </w:rPr>
        <w:t>]</w:t>
      </w:r>
    </w:p>
    <w:p w14:paraId="33DA0BC4"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4F021FD7" w14:textId="77777777" w:rsid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Twelve original pillars have been around since the beginning of the mosque. The pillars are round, and at the end of the top pillar, there is a carving shaped like a blooming lotus flower with 8 corners like the carvings found in the other three ancient mosques (</w:t>
      </w:r>
      <w:proofErr w:type="spellStart"/>
      <w:r w:rsidRPr="003115A6">
        <w:rPr>
          <w:rFonts w:asciiTheme="majorHAnsi" w:eastAsia="Times New Roman" w:hAnsiTheme="majorHAnsi" w:cstheme="majorHAnsi"/>
          <w:sz w:val="20"/>
          <w:szCs w:val="20"/>
          <w:lang w:eastAsia="ko-KR"/>
        </w:rPr>
        <w:t>Pejlagrahan</w:t>
      </w:r>
      <w:proofErr w:type="spellEnd"/>
      <w:r w:rsidRPr="003115A6">
        <w:rPr>
          <w:rFonts w:asciiTheme="majorHAnsi" w:eastAsia="Times New Roman" w:hAnsiTheme="majorHAnsi" w:cstheme="majorHAnsi"/>
          <w:sz w:val="20"/>
          <w:szCs w:val="20"/>
          <w:lang w:eastAsia="ko-KR"/>
        </w:rPr>
        <w:t xml:space="preserve"> Mosque, </w:t>
      </w:r>
      <w:proofErr w:type="spellStart"/>
      <w:r w:rsidRPr="003115A6">
        <w:rPr>
          <w:rFonts w:asciiTheme="majorHAnsi" w:eastAsia="Times New Roman" w:hAnsiTheme="majorHAnsi" w:cstheme="majorHAnsi"/>
          <w:sz w:val="20"/>
          <w:szCs w:val="20"/>
          <w:lang w:eastAsia="ko-KR"/>
        </w:rPr>
        <w:t>Tajug</w:t>
      </w:r>
      <w:proofErr w:type="spellEnd"/>
      <w:r w:rsidRPr="003115A6">
        <w:rPr>
          <w:rFonts w:asciiTheme="majorHAnsi" w:eastAsia="Times New Roman" w:hAnsiTheme="majorHAnsi" w:cstheme="majorHAnsi"/>
          <w:sz w:val="20"/>
          <w:szCs w:val="20"/>
          <w:lang w:eastAsia="ko-KR"/>
        </w:rPr>
        <w:t xml:space="preserve"> Agung </w:t>
      </w:r>
      <w:proofErr w:type="spellStart"/>
      <w:r w:rsidRPr="003115A6">
        <w:rPr>
          <w:rFonts w:asciiTheme="majorHAnsi" w:eastAsia="Times New Roman" w:hAnsiTheme="majorHAnsi" w:cstheme="majorHAnsi"/>
          <w:sz w:val="20"/>
          <w:szCs w:val="20"/>
          <w:lang w:eastAsia="ko-KR"/>
        </w:rPr>
        <w:t>Pangeran</w:t>
      </w:r>
      <w:proofErr w:type="spellEnd"/>
      <w:r w:rsidRPr="003115A6">
        <w:rPr>
          <w:rFonts w:asciiTheme="majorHAnsi" w:eastAsia="Times New Roman" w:hAnsiTheme="majorHAnsi" w:cstheme="majorHAnsi"/>
          <w:sz w:val="20"/>
          <w:szCs w:val="20"/>
          <w:lang w:eastAsia="ko-KR"/>
        </w:rPr>
        <w:t xml:space="preserve"> prosecutor's office, and Sang Cipta Rasa Grand Mosque). The same lotus flower carvings on the pillars found in the Sang Cipta Rasa Grand Mosque mean purity with strong hope, sturdy and unshakeable by all kinds of disasters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{"citationItems":[{"id":"ITEM-1","itemData":{"abstract":"Masjid Agung Sang Cipta Rasa dibangun atas prakarsa Sunan Gunung Jati, sekira tahun 1498-1500 Masehi yang pembangunannya dipimpin oleh Sunan Kalijaga dengan seorang arsitek bernama Pangeran Sepat dari Majapahit bersama pembantunya dari Demak dan Cirebon. Pembangunan masjid ini terlahir dari rasa dan kepercayaan untuk mengagungkan Sang Khalik dan untuk membangun rasa keagungan. Arsitektur bangunan masjid ini, dibangun dengan memadukan unsur-unsur budaya pra Islam, baik bentuk, struktur dan ragam hiasnya, walau tidak secara langsung, tetapi tetap mempertahankan tata nilai yang ada sepanjang perjalanan sejarahnya. Penelitian ini bertujuan untuk menggali dan memahami peranan masyarakat di dalam mempertahankan arsitektur masjid serta fungsi simbol-simbol dalam kehidupan masyarakat serta hubungannya dengan arsitektur Masjid Sang Cipta Rasa. Metode penelitian ini didasarkan pendapat yang dikemukakan Winarno Surakhmad (1985:139), bahwa: suatu cara yang digunakan untuk menyelidiki dan memecahkan masalah yang tidak terbatas pada pengumpulan data, melainkan meliputi analisis dan interpretasi sampai pada kesimpulan yang didasarkan atas penelitian tersebut.","author":[{"dropping-particle":"","family":"Suwardi Alamsyah P.","given":"","non-dropping-particle":"","parse-names":false,"suffix":""}],"container-title":"Patanjala","id":"ITEM-1","issue":"2","issued":{"date-parts":[["2010"]]},"page":"172-190","title":"Sang Cipta Rasa Cirebon Provinsi Jawa Barat","type":"article-journal","volume":"2"},"uris":["http://www.mendeley.com/documents/?uuid=363933fb-0345-47f6-89dd-03be41a70696"]},{"id":"ITEM-2","itemData":{"DOI":"10.35760/dk.2019.v18i2.2581","ISSN":"0216-4086","abstract":"Masjid Agung Sang Cipta Rasa yang terletak di sisi barat alun-alun di depan Keraton Kasepuhan Cirebon merupakan salah satu masjid tertua yang ada di Pulau Jawa sebagai peninggalan dari bukti penyebaran agama Islam oleh para Walisongo di Pulau Jawa. Bukti fisik bangunan dari segi arsitektur mempunyai nilai simbolis dan historis dari pengaruh Islam di Cirebon. Penelitian ini dilakukan dengan metode deskriptif dengan menggunakan teori akulturasi dan makna pada elemen arsitektural berupa ornamentasi pada interior peninggalan bangunan masjid bersejarah. Dan secara arsitektural membahas masjid dengan pendekatan dari pengaruh akulturasi dari Hindu, Budha dan Islam terhadap ornament pada masjid, dengan demikian teori dan metodologi yang digunakan dapat menangkap fenomena akulturasi dalam arsitektur masjid ini melalui penelusuran masjid sebagai Peninggalan arsitektur islam dan dalam proses pengaruh budaya nusantara pada ornamentasi pada bangunan masjid. Analisis data mencakupi: (1) indentifikasi unsur artistik dari objek (seni hias Teratai pada Mihrab bangunan Masjid Agung Sang Cipta Rasa), konfigurasi elemen rupa dan bentuk, dan kaitannya dengan pengaruh dari Hindu-Budha-Mesir ; (2) tahap interpretasi makna ornamen, yaitu pengaruh akulturasi dengan pertimbangan berbagai gejala visual. Dapat dibuat kesimpulan bahwa memang dari tahun pembuatannya, Masjid Sang Cipta Rasa dibangun pada 1489 M, pada masa itua dalah masa peralihan masa pra-Islam ketika Jawa masih dikuasai Mataram Hindu ke masa Kerajaan Raja-raja Islam dengan persebaran agam Islam melalui para Walisongo di Pulau Jawa. Dimasa peralihan inilah masjid dibangun dengan toleransi kepada kebudayaan sekitar yaitu terlihat dengan masih adanya pengaruh Hindu Budha Mesir pada tampilan ornament bunga Teratai pada masjid ini.","author":[{"dropping-particle":"","family":"Schiffer","given":"Lia Rosmala","non-dropping-particle":"","parse-names":false,"suffix":""},{"dropping-particle":"","family":"Suprapti","given":"Atiek","non-dropping-particle":"","parse-names":false,"suffix":""},{"dropping-particle":"","family":"Rukayah","given":"R. Siti","non-dropping-particle":"","parse-names":false,"suffix":""},{"dropping-particle":"","family":"Nugraha","given":"Yudi","non-dropping-particle":"","parse-names":false,"suffix":""}],"container-title":"Jurnal Ilmiah Desain &amp; Konstruksi","id":"ITEM-2","issue":"2","issued":{"date-parts":[["2019"]]},"page":"124-139","title":"Pengaruh Akulturasi Pada Makna Ornamen Bunga Teratai Di Mihrab Masjid Sang Cipta Rasa Cirebon","type":"article-journal","volume":"18"},"uris":["http://www.mendeley.com/documents/?uuid=d45b4341-f54e-447c-a6ff-979abd553268"]}],"mendeley":{"formattedCitation":"[37], [38]","plainTextFormattedCitation":"[37], [38]","previouslyFormattedCitation":"[37], [38]"},"properties":{"noteIndex":0},"schema":"https://github.com/citation-style-language/schema/raw/master/csl-citation.json"}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[35], [36]</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On the right side of the mosque building, there is a place for ablution. Apart from that, several bathrooms are often used by people around the mosque, who lack clean water, for bathing.</w:t>
      </w:r>
    </w:p>
    <w:p w14:paraId="60C625EF" w14:textId="77777777" w:rsidR="00AF1A5D" w:rsidRPr="003115A6" w:rsidRDefault="00AF1A5D" w:rsidP="00AF1A5D">
      <w:pPr>
        <w:ind w:left="284" w:firstLine="283"/>
        <w:jc w:val="both"/>
        <w:rPr>
          <w:rFonts w:asciiTheme="majorHAnsi" w:eastAsia="Times New Roman" w:hAnsiTheme="majorHAnsi" w:cstheme="majorHAnsi"/>
          <w:sz w:val="20"/>
          <w:szCs w:val="20"/>
          <w:lang w:eastAsia="ko-KR"/>
        </w:rPr>
      </w:pPr>
    </w:p>
    <w:p w14:paraId="1F8C5971" w14:textId="77777777" w:rsidR="003115A6" w:rsidRPr="003115A6" w:rsidRDefault="003115A6" w:rsidP="00AF1A5D">
      <w:pPr>
        <w:ind w:left="284"/>
        <w:jc w:val="center"/>
        <w:rPr>
          <w:rFonts w:asciiTheme="majorHAnsi" w:eastAsia="Times New Roman" w:hAnsiTheme="majorHAnsi" w:cstheme="majorHAnsi"/>
          <w:sz w:val="20"/>
          <w:szCs w:val="20"/>
          <w:lang w:eastAsia="ko-KR"/>
        </w:rPr>
      </w:pPr>
      <w:r w:rsidRPr="003115A6">
        <w:rPr>
          <w:rFonts w:asciiTheme="majorHAnsi" w:eastAsia="Times New Roman" w:hAnsiTheme="majorHAnsi" w:cstheme="majorHAnsi"/>
          <w:b/>
          <w:noProof/>
          <w:sz w:val="20"/>
          <w:szCs w:val="20"/>
        </w:rPr>
        <w:drawing>
          <wp:inline distT="0" distB="0" distL="0" distR="0" wp14:anchorId="6B8E46CB" wp14:editId="27BCA800">
            <wp:extent cx="2294792" cy="1468210"/>
            <wp:effectExtent l="0" t="0" r="0" b="0"/>
            <wp:docPr id="8" name="Picture 8" descr="A wall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wall with a sign on it&#10;&#10;AI-generated content may be incorrect."/>
                    <pic:cNvPicPr>
                      <a:picLocks noChangeAspect="1" noChangeArrowheads="1"/>
                    </pic:cNvPicPr>
                  </pic:nvPicPr>
                  <pic:blipFill rotWithShape="1">
                    <a:blip r:embed="rId13" cstate="email">
                      <a:extLst>
                        <a:ext uri="{28A0092B-C50C-407E-A947-70E740481C1C}">
                          <a14:useLocalDpi xmlns:a14="http://schemas.microsoft.com/office/drawing/2010/main" val="0"/>
                        </a:ext>
                      </a:extLst>
                    </a:blip>
                    <a:srcRect/>
                    <a:stretch/>
                  </pic:blipFill>
                  <pic:spPr bwMode="auto">
                    <a:xfrm>
                      <a:off x="0" y="0"/>
                      <a:ext cx="2299671" cy="1471332"/>
                    </a:xfrm>
                    <a:prstGeom prst="rect">
                      <a:avLst/>
                    </a:prstGeom>
                    <a:noFill/>
                    <a:ln>
                      <a:noFill/>
                    </a:ln>
                    <a:extLst>
                      <a:ext uri="{53640926-AAD7-44D8-BBD7-CCE9431645EC}">
                        <a14:shadowObscured xmlns:a14="http://schemas.microsoft.com/office/drawing/2010/main"/>
                      </a:ext>
                    </a:extLst>
                  </pic:spPr>
                </pic:pic>
              </a:graphicData>
            </a:graphic>
          </wp:inline>
        </w:drawing>
      </w:r>
    </w:p>
    <w:p w14:paraId="72986D39"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754A2591" w14:textId="0632BC21" w:rsidR="003115A6" w:rsidRPr="00AF1A5D" w:rsidRDefault="003115A6" w:rsidP="00AF1A5D">
      <w:pPr>
        <w:jc w:val="center"/>
        <w:rPr>
          <w:rFonts w:asciiTheme="majorHAnsi" w:eastAsia="Times New Roman" w:hAnsiTheme="majorHAnsi" w:cstheme="majorHAnsi"/>
          <w:bCs/>
          <w:sz w:val="16"/>
          <w:szCs w:val="16"/>
          <w:lang w:val="id-ID" w:eastAsia="ko-KR"/>
        </w:rPr>
      </w:pPr>
      <w:r w:rsidRPr="00AF1A5D">
        <w:rPr>
          <w:rFonts w:asciiTheme="majorHAnsi" w:eastAsia="Times New Roman" w:hAnsiTheme="majorHAnsi" w:cstheme="majorHAnsi"/>
          <w:bCs/>
          <w:sz w:val="16"/>
          <w:szCs w:val="16"/>
          <w:lang w:val="id-ID" w:eastAsia="ko-KR"/>
        </w:rPr>
        <w:t>Figure 6</w:t>
      </w:r>
      <w:r w:rsidRPr="00AF1A5D">
        <w:rPr>
          <w:rFonts w:asciiTheme="majorHAnsi" w:eastAsia="Times New Roman" w:hAnsiTheme="majorHAnsi" w:cstheme="majorHAnsi"/>
          <w:bCs/>
          <w:sz w:val="16"/>
          <w:szCs w:val="16"/>
          <w:lang w:eastAsia="ko-KR"/>
        </w:rPr>
        <w:t>.</w:t>
      </w:r>
      <w:r w:rsidRPr="00AF1A5D">
        <w:rPr>
          <w:rFonts w:asciiTheme="majorHAnsi" w:eastAsia="Times New Roman" w:hAnsiTheme="majorHAnsi" w:cstheme="majorHAnsi"/>
          <w:bCs/>
          <w:sz w:val="16"/>
          <w:szCs w:val="16"/>
          <w:lang w:val="id-ID" w:eastAsia="ko-KR"/>
        </w:rPr>
        <w:t xml:space="preserve"> Panjunan Red Mosque ablution place</w:t>
      </w:r>
      <w:r w:rsidR="00AF1A5D">
        <w:rPr>
          <w:rFonts w:asciiTheme="majorHAnsi" w:eastAsia="Times New Roman" w:hAnsiTheme="majorHAnsi" w:cstheme="majorHAnsi"/>
          <w:bCs/>
          <w:sz w:val="16"/>
          <w:szCs w:val="16"/>
          <w:lang w:val="id-ID" w:eastAsia="ko-KR"/>
        </w:rPr>
        <w:t xml:space="preserve"> [</w:t>
      </w:r>
      <w:r w:rsidRPr="00AF1A5D">
        <w:rPr>
          <w:rFonts w:asciiTheme="majorHAnsi" w:eastAsia="Times New Roman" w:hAnsiTheme="majorHAnsi" w:cstheme="majorHAnsi"/>
          <w:bCs/>
          <w:sz w:val="16"/>
          <w:szCs w:val="16"/>
          <w:lang w:val="id-ID" w:eastAsia="ko-KR"/>
        </w:rPr>
        <w:t>documentation by the authors</w:t>
      </w:r>
      <w:r w:rsidR="00AF1A5D">
        <w:rPr>
          <w:rFonts w:asciiTheme="majorHAnsi" w:eastAsia="Times New Roman" w:hAnsiTheme="majorHAnsi" w:cstheme="majorHAnsi"/>
          <w:bCs/>
          <w:sz w:val="16"/>
          <w:szCs w:val="16"/>
          <w:lang w:val="id-ID" w:eastAsia="ko-KR"/>
        </w:rPr>
        <w:t>]</w:t>
      </w:r>
    </w:p>
    <w:p w14:paraId="3890261C" w14:textId="77777777" w:rsidR="003115A6" w:rsidRPr="00AF1A5D" w:rsidRDefault="003115A6" w:rsidP="003115A6">
      <w:pPr>
        <w:ind w:firstLine="426"/>
        <w:jc w:val="both"/>
        <w:rPr>
          <w:rFonts w:asciiTheme="majorHAnsi" w:eastAsia="Times New Roman" w:hAnsiTheme="majorHAnsi" w:cstheme="majorHAnsi"/>
          <w:sz w:val="16"/>
          <w:szCs w:val="16"/>
          <w:lang w:val="id-ID" w:eastAsia="ko-KR"/>
        </w:rPr>
      </w:pPr>
    </w:p>
    <w:p w14:paraId="0D12D286" w14:textId="77777777" w:rsid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Inside the mosque, there is a mihrab. This part is considered the holiest one among the parts of the mosque, in the form of a prominent building standing above the mosque corridor. The roof is in the form of an arch, namely a cylindrical dome and a convex dome. On the mihrab of the </w:t>
      </w:r>
      <w:proofErr w:type="spellStart"/>
      <w:r w:rsidRPr="003115A6">
        <w:rPr>
          <w:rFonts w:asciiTheme="majorHAnsi" w:eastAsia="Times New Roman" w:hAnsiTheme="majorHAnsi" w:cstheme="majorHAnsi"/>
          <w:sz w:val="20"/>
          <w:szCs w:val="20"/>
          <w:lang w:eastAsia="ko-KR"/>
        </w:rPr>
        <w:t>Panjunan</w:t>
      </w:r>
      <w:proofErr w:type="spellEnd"/>
      <w:r w:rsidRPr="003115A6">
        <w:rPr>
          <w:rFonts w:asciiTheme="majorHAnsi" w:eastAsia="Times New Roman" w:hAnsiTheme="majorHAnsi" w:cstheme="majorHAnsi"/>
          <w:sz w:val="20"/>
          <w:szCs w:val="20"/>
          <w:lang w:eastAsia="ko-KR"/>
        </w:rPr>
        <w:t xml:space="preserve"> Red Mosque, some decorations or ornaments resembling 8 lotus flowers exist, with the left and right sides of the mihrab having a tendril pattern. The mihrab at the </w:t>
      </w:r>
      <w:proofErr w:type="spellStart"/>
      <w:r w:rsidRPr="003115A6">
        <w:rPr>
          <w:rFonts w:asciiTheme="majorHAnsi" w:eastAsia="Times New Roman" w:hAnsiTheme="majorHAnsi" w:cstheme="majorHAnsi"/>
          <w:sz w:val="20"/>
          <w:szCs w:val="20"/>
          <w:lang w:eastAsia="ko-KR"/>
        </w:rPr>
        <w:t>Panjunan</w:t>
      </w:r>
      <w:proofErr w:type="spellEnd"/>
      <w:r w:rsidRPr="003115A6">
        <w:rPr>
          <w:rFonts w:asciiTheme="majorHAnsi" w:eastAsia="Times New Roman" w:hAnsiTheme="majorHAnsi" w:cstheme="majorHAnsi"/>
          <w:sz w:val="20"/>
          <w:szCs w:val="20"/>
          <w:lang w:eastAsia="ko-KR"/>
        </w:rPr>
        <w:t xml:space="preserve"> Red Mosque is in the main prayer room, opened during Eid al-Fitr and Eid al-Adha prayers. Meanwhile, the five daily prayers are only part of the veranda. Therefore, the mihrab is the door to the main prayer room; it is shown in Figure 7.</w:t>
      </w:r>
    </w:p>
    <w:p w14:paraId="68F89B60" w14:textId="77777777" w:rsidR="00AF1A5D" w:rsidRPr="003115A6" w:rsidRDefault="00AF1A5D" w:rsidP="00AF1A5D">
      <w:pPr>
        <w:ind w:left="284" w:firstLine="283"/>
        <w:jc w:val="both"/>
        <w:rPr>
          <w:rFonts w:asciiTheme="majorHAnsi" w:eastAsia="Times New Roman" w:hAnsiTheme="majorHAnsi" w:cstheme="majorHAnsi"/>
          <w:sz w:val="20"/>
          <w:szCs w:val="20"/>
          <w:lang w:eastAsia="ko-KR"/>
        </w:rPr>
      </w:pPr>
    </w:p>
    <w:p w14:paraId="34DED150" w14:textId="39C58EB3" w:rsidR="003115A6" w:rsidRPr="003115A6" w:rsidRDefault="003115A6" w:rsidP="00AF1A5D">
      <w:pPr>
        <w:ind w:left="284"/>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drawing>
          <wp:inline distT="0" distB="0" distL="0" distR="0" wp14:anchorId="1E50F52A" wp14:editId="278F7DB5">
            <wp:extent cx="1916284" cy="2098578"/>
            <wp:effectExtent l="0" t="0" r="8255" b="0"/>
            <wp:docPr id="408220760" name="Picture 408220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5198" cy="2108341"/>
                    </a:xfrm>
                    <a:prstGeom prst="rect">
                      <a:avLst/>
                    </a:prstGeom>
                    <a:noFill/>
                  </pic:spPr>
                </pic:pic>
              </a:graphicData>
            </a:graphic>
          </wp:inline>
        </w:drawing>
      </w:r>
    </w:p>
    <w:p w14:paraId="6310BE35" w14:textId="77777777" w:rsidR="003115A6" w:rsidRPr="003115A6" w:rsidRDefault="003115A6" w:rsidP="00AF1A5D">
      <w:pPr>
        <w:ind w:left="284"/>
        <w:jc w:val="center"/>
        <w:rPr>
          <w:rFonts w:asciiTheme="majorHAnsi" w:eastAsia="Times New Roman" w:hAnsiTheme="majorHAnsi" w:cstheme="majorHAnsi"/>
          <w:sz w:val="20"/>
          <w:szCs w:val="20"/>
          <w:lang w:val="id-ID" w:eastAsia="ko-KR"/>
        </w:rPr>
      </w:pPr>
    </w:p>
    <w:p w14:paraId="6E11788D" w14:textId="731537A7" w:rsidR="003115A6" w:rsidRPr="00AF1A5D" w:rsidRDefault="003115A6" w:rsidP="00AF1A5D">
      <w:pPr>
        <w:ind w:left="284"/>
        <w:jc w:val="center"/>
        <w:rPr>
          <w:rFonts w:asciiTheme="majorHAnsi" w:eastAsia="Times New Roman" w:hAnsiTheme="majorHAnsi" w:cstheme="majorHAnsi"/>
          <w:bCs/>
          <w:sz w:val="16"/>
          <w:szCs w:val="16"/>
          <w:lang w:val="id-ID" w:eastAsia="ko-KR"/>
        </w:rPr>
      </w:pPr>
      <w:r w:rsidRPr="00AF1A5D">
        <w:rPr>
          <w:rFonts w:asciiTheme="majorHAnsi" w:eastAsia="Times New Roman" w:hAnsiTheme="majorHAnsi" w:cstheme="majorHAnsi"/>
          <w:bCs/>
          <w:sz w:val="16"/>
          <w:szCs w:val="16"/>
          <w:lang w:val="id-ID" w:eastAsia="ko-KR"/>
        </w:rPr>
        <w:t>Figure 7. Mihrab (This part of the room is open)</w:t>
      </w:r>
      <w:r w:rsidR="00AF1A5D">
        <w:rPr>
          <w:rFonts w:asciiTheme="majorHAnsi" w:eastAsia="Times New Roman" w:hAnsiTheme="majorHAnsi" w:cstheme="majorHAnsi"/>
          <w:bCs/>
          <w:sz w:val="16"/>
          <w:szCs w:val="16"/>
          <w:lang w:val="id-ID" w:eastAsia="ko-KR"/>
        </w:rPr>
        <w:t xml:space="preserve"> [</w:t>
      </w:r>
      <w:r w:rsidRPr="00AF1A5D">
        <w:rPr>
          <w:rFonts w:asciiTheme="majorHAnsi" w:eastAsia="Times New Roman" w:hAnsiTheme="majorHAnsi" w:cstheme="majorHAnsi"/>
          <w:bCs/>
          <w:sz w:val="16"/>
          <w:szCs w:val="16"/>
          <w:lang w:val="id-ID" w:eastAsia="ko-KR"/>
        </w:rPr>
        <w:t>documentation by authors</w:t>
      </w:r>
      <w:r w:rsidR="00AF1A5D">
        <w:rPr>
          <w:rFonts w:asciiTheme="majorHAnsi" w:eastAsia="Times New Roman" w:hAnsiTheme="majorHAnsi" w:cstheme="majorHAnsi"/>
          <w:bCs/>
          <w:sz w:val="16"/>
          <w:szCs w:val="16"/>
          <w:lang w:val="id-ID" w:eastAsia="ko-KR"/>
        </w:rPr>
        <w:t>]</w:t>
      </w:r>
    </w:p>
    <w:p w14:paraId="601CB425" w14:textId="03724B23" w:rsidR="003115A6" w:rsidRPr="003115A6" w:rsidRDefault="003115A6" w:rsidP="00AF1A5D">
      <w:pPr>
        <w:ind w:left="284"/>
        <w:jc w:val="center"/>
        <w:rPr>
          <w:rFonts w:asciiTheme="majorHAnsi" w:eastAsia="Times New Roman" w:hAnsiTheme="majorHAnsi" w:cstheme="majorHAnsi"/>
          <w:b/>
          <w:sz w:val="20"/>
          <w:szCs w:val="20"/>
          <w:lang w:eastAsia="ko-KR"/>
        </w:rPr>
      </w:pPr>
      <w:r w:rsidRPr="003115A6">
        <w:rPr>
          <w:rFonts w:asciiTheme="majorHAnsi" w:eastAsia="Times New Roman" w:hAnsiTheme="majorHAnsi" w:cstheme="majorHAnsi"/>
          <w:noProof/>
          <w:sz w:val="20"/>
          <w:szCs w:val="20"/>
        </w:rPr>
        <w:lastRenderedPageBreak/>
        <w:drawing>
          <wp:inline distT="0" distB="0" distL="0" distR="0" wp14:anchorId="22A464E8" wp14:editId="56B5A483">
            <wp:extent cx="1898650" cy="2211070"/>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98650" cy="2211070"/>
                    </a:xfrm>
                    <a:prstGeom prst="rect">
                      <a:avLst/>
                    </a:prstGeom>
                    <a:noFill/>
                  </pic:spPr>
                </pic:pic>
              </a:graphicData>
            </a:graphic>
          </wp:inline>
        </w:drawing>
      </w:r>
    </w:p>
    <w:p w14:paraId="4837CF20" w14:textId="77777777" w:rsidR="003115A6" w:rsidRPr="003115A6" w:rsidRDefault="003115A6" w:rsidP="00AF1A5D">
      <w:pPr>
        <w:ind w:left="284"/>
        <w:jc w:val="center"/>
        <w:rPr>
          <w:rFonts w:asciiTheme="majorHAnsi" w:eastAsia="Times New Roman" w:hAnsiTheme="majorHAnsi" w:cstheme="majorHAnsi"/>
          <w:b/>
          <w:sz w:val="20"/>
          <w:szCs w:val="20"/>
          <w:lang w:eastAsia="ko-KR"/>
        </w:rPr>
      </w:pPr>
    </w:p>
    <w:p w14:paraId="2011D6BE" w14:textId="51687F37" w:rsidR="003115A6" w:rsidRPr="00AF1A5D" w:rsidRDefault="003115A6" w:rsidP="00AF1A5D">
      <w:pPr>
        <w:ind w:left="284"/>
        <w:jc w:val="center"/>
        <w:rPr>
          <w:rFonts w:asciiTheme="majorHAnsi" w:eastAsia="Times New Roman" w:hAnsiTheme="majorHAnsi" w:cstheme="majorHAnsi"/>
          <w:bCs/>
          <w:sz w:val="16"/>
          <w:szCs w:val="16"/>
          <w:lang w:eastAsia="ko-KR"/>
        </w:rPr>
      </w:pPr>
      <w:r w:rsidRPr="00AF1A5D">
        <w:rPr>
          <w:rFonts w:asciiTheme="majorHAnsi" w:eastAsia="Times New Roman" w:hAnsiTheme="majorHAnsi" w:cstheme="majorHAnsi"/>
          <w:bCs/>
          <w:sz w:val="16"/>
          <w:szCs w:val="16"/>
          <w:lang w:eastAsia="ko-KR"/>
        </w:rPr>
        <w:t xml:space="preserve">Figure 8. Pulpit (a place where the </w:t>
      </w:r>
      <w:proofErr w:type="spellStart"/>
      <w:r w:rsidRPr="00AF1A5D">
        <w:rPr>
          <w:rFonts w:asciiTheme="majorHAnsi" w:eastAsia="Times New Roman" w:hAnsiTheme="majorHAnsi" w:cstheme="majorHAnsi"/>
          <w:bCs/>
          <w:sz w:val="16"/>
          <w:szCs w:val="16"/>
          <w:lang w:eastAsia="ko-KR"/>
        </w:rPr>
        <w:t>Khotib</w:t>
      </w:r>
      <w:proofErr w:type="spellEnd"/>
      <w:r w:rsidRPr="00AF1A5D">
        <w:rPr>
          <w:rFonts w:asciiTheme="majorHAnsi" w:eastAsia="Times New Roman" w:hAnsiTheme="majorHAnsi" w:cstheme="majorHAnsi"/>
          <w:bCs/>
          <w:sz w:val="16"/>
          <w:szCs w:val="16"/>
          <w:lang w:eastAsia="ko-KR"/>
        </w:rPr>
        <w:t xml:space="preserve"> delivers the Sermon) </w:t>
      </w:r>
      <w:r w:rsidR="00AF1A5D">
        <w:rPr>
          <w:rFonts w:asciiTheme="majorHAnsi" w:eastAsia="Times New Roman" w:hAnsiTheme="majorHAnsi" w:cstheme="majorHAnsi"/>
          <w:bCs/>
          <w:sz w:val="16"/>
          <w:szCs w:val="16"/>
          <w:lang w:eastAsia="ko-KR"/>
        </w:rPr>
        <w:t>[</w:t>
      </w:r>
      <w:r w:rsidRPr="00AF1A5D">
        <w:rPr>
          <w:rFonts w:asciiTheme="majorHAnsi" w:eastAsia="Times New Roman" w:hAnsiTheme="majorHAnsi" w:cstheme="majorHAnsi"/>
          <w:bCs/>
          <w:sz w:val="16"/>
          <w:szCs w:val="16"/>
          <w:lang w:eastAsia="ko-KR"/>
        </w:rPr>
        <w:t>documentation by authors</w:t>
      </w:r>
      <w:r w:rsidR="00AF1A5D">
        <w:rPr>
          <w:rFonts w:asciiTheme="majorHAnsi" w:eastAsia="Times New Roman" w:hAnsiTheme="majorHAnsi" w:cstheme="majorHAnsi"/>
          <w:bCs/>
          <w:sz w:val="16"/>
          <w:szCs w:val="16"/>
          <w:lang w:eastAsia="ko-KR"/>
        </w:rPr>
        <w:t>]</w:t>
      </w:r>
    </w:p>
    <w:p w14:paraId="676801E0"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1C1CD9D3" w14:textId="77777777" w:rsidR="003115A6" w:rsidRP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val="id-ID" w:eastAsia="ko-KR"/>
        </w:rPr>
        <w:t xml:space="preserve">The Panjunan Red Mosque also has a pulpit that does not have many ornaments or decorations. There are only a few decorations on the top of the pulpit with a tendril pattern, as shown in Figure 8. </w:t>
      </w:r>
      <w:r w:rsidRPr="003115A6">
        <w:rPr>
          <w:rFonts w:asciiTheme="majorHAnsi" w:eastAsia="Times New Roman" w:hAnsiTheme="majorHAnsi" w:cstheme="majorHAnsi"/>
          <w:sz w:val="20"/>
          <w:szCs w:val="20"/>
          <w:lang w:eastAsia="ko-KR"/>
        </w:rPr>
        <w:t xml:space="preserve">Compared to other traditional mosques in the Cirebon Sultanate area, the pulpit of the </w:t>
      </w:r>
      <w:proofErr w:type="spellStart"/>
      <w:r w:rsidRPr="003115A6">
        <w:rPr>
          <w:rFonts w:asciiTheme="majorHAnsi" w:eastAsia="Times New Roman" w:hAnsiTheme="majorHAnsi" w:cstheme="majorHAnsi"/>
          <w:sz w:val="20"/>
          <w:szCs w:val="20"/>
          <w:lang w:eastAsia="ko-KR"/>
        </w:rPr>
        <w:t>Panjunan</w:t>
      </w:r>
      <w:proofErr w:type="spellEnd"/>
      <w:r w:rsidRPr="003115A6">
        <w:rPr>
          <w:rFonts w:asciiTheme="majorHAnsi" w:eastAsia="Times New Roman" w:hAnsiTheme="majorHAnsi" w:cstheme="majorHAnsi"/>
          <w:sz w:val="20"/>
          <w:szCs w:val="20"/>
          <w:lang w:eastAsia="ko-KR"/>
        </w:rPr>
        <w:t xml:space="preserve"> Red Mosque is simpler, especially in terms of ornamentation. The decoration on the pulpit is only found at the top.</w:t>
      </w:r>
    </w:p>
    <w:p w14:paraId="19DD3943" w14:textId="77777777" w:rsidR="003115A6" w:rsidRP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In the development of Islamic art, ceramic art is known as a craft business that began its production in Persia in the 10</w:t>
      </w:r>
      <w:r w:rsidRPr="003115A6">
        <w:rPr>
          <w:rFonts w:asciiTheme="majorHAnsi" w:eastAsia="Times New Roman" w:hAnsiTheme="majorHAnsi" w:cstheme="majorHAnsi"/>
          <w:sz w:val="20"/>
          <w:szCs w:val="20"/>
          <w:vertAlign w:val="superscript"/>
          <w:lang w:eastAsia="ko-KR"/>
        </w:rPr>
        <w:t>th</w:t>
      </w:r>
      <w:r w:rsidRPr="003115A6">
        <w:rPr>
          <w:rFonts w:asciiTheme="majorHAnsi" w:eastAsia="Times New Roman" w:hAnsiTheme="majorHAnsi" w:cstheme="majorHAnsi"/>
          <w:sz w:val="20"/>
          <w:szCs w:val="20"/>
          <w:lang w:eastAsia="ko-KR"/>
        </w:rPr>
        <w:t xml:space="preserve"> to 13</w:t>
      </w:r>
      <w:r w:rsidRPr="003115A6">
        <w:rPr>
          <w:rFonts w:asciiTheme="majorHAnsi" w:eastAsia="Times New Roman" w:hAnsiTheme="majorHAnsi" w:cstheme="majorHAnsi"/>
          <w:sz w:val="20"/>
          <w:szCs w:val="20"/>
          <w:vertAlign w:val="superscript"/>
          <w:lang w:eastAsia="ko-KR"/>
        </w:rPr>
        <w:t>th</w:t>
      </w:r>
      <w:r w:rsidRPr="003115A6">
        <w:rPr>
          <w:rFonts w:asciiTheme="majorHAnsi" w:eastAsia="Times New Roman" w:hAnsiTheme="majorHAnsi" w:cstheme="majorHAnsi"/>
          <w:sz w:val="20"/>
          <w:szCs w:val="20"/>
          <w:lang w:eastAsia="ko-KR"/>
        </w:rPr>
        <w:t xml:space="preserve"> century AD. Its manufacturer is specialized in glassware, such as large plates decorated with attractive ornaments using </w:t>
      </w:r>
      <w:proofErr w:type="spellStart"/>
      <w:r w:rsidRPr="003115A6">
        <w:rPr>
          <w:rFonts w:asciiTheme="majorHAnsi" w:eastAsia="Times New Roman" w:hAnsiTheme="majorHAnsi" w:cstheme="majorHAnsi"/>
          <w:i/>
          <w:sz w:val="20"/>
          <w:szCs w:val="20"/>
          <w:lang w:eastAsia="ko-KR"/>
        </w:rPr>
        <w:t>glajur</w:t>
      </w:r>
      <w:proofErr w:type="spellEnd"/>
      <w:r w:rsidRPr="003115A6">
        <w:rPr>
          <w:rFonts w:asciiTheme="majorHAnsi" w:eastAsia="Times New Roman" w:hAnsiTheme="majorHAnsi" w:cstheme="majorHAnsi"/>
          <w:sz w:val="20"/>
          <w:szCs w:val="20"/>
          <w:lang w:eastAsia="ko-KR"/>
        </w:rPr>
        <w:t xml:space="preserve"> techniques. Meanwhile, the production of Persian ceramics was heavily influenced by Chinese ceramic art, so it can be considered as Chinese ceramics from the </w:t>
      </w:r>
      <w:proofErr w:type="spellStart"/>
      <w:r w:rsidRPr="003115A6">
        <w:rPr>
          <w:rFonts w:asciiTheme="majorHAnsi" w:eastAsia="Times New Roman" w:hAnsiTheme="majorHAnsi" w:cstheme="majorHAnsi"/>
          <w:sz w:val="20"/>
          <w:szCs w:val="20"/>
          <w:lang w:eastAsia="ko-KR"/>
        </w:rPr>
        <w:t>T'ang</w:t>
      </w:r>
      <w:proofErr w:type="spellEnd"/>
      <w:r w:rsidRPr="003115A6">
        <w:rPr>
          <w:rFonts w:asciiTheme="majorHAnsi" w:eastAsia="Times New Roman" w:hAnsiTheme="majorHAnsi" w:cstheme="majorHAnsi"/>
          <w:sz w:val="20"/>
          <w:szCs w:val="20"/>
          <w:lang w:eastAsia="ko-KR"/>
        </w:rPr>
        <w:t xml:space="preserve"> period because many were imported by Persia and used as imitations in their ceramic production.</w:t>
      </w:r>
    </w:p>
    <w:p w14:paraId="56EA8F5D" w14:textId="77777777" w:rsidR="003115A6" w:rsidRP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Persian porcelain was originally simple in form, where the materials were made from pottery, namely clay, that was dried by firing. The surfaces of the plates are etched with images of plants and animals as well as human images, where the decorative patterns are modified into decorative forms. The </w:t>
      </w:r>
      <w:proofErr w:type="spellStart"/>
      <w:r w:rsidRPr="003115A6">
        <w:rPr>
          <w:rFonts w:asciiTheme="majorHAnsi" w:eastAsia="Times New Roman" w:hAnsiTheme="majorHAnsi" w:cstheme="majorHAnsi"/>
          <w:sz w:val="20"/>
          <w:szCs w:val="20"/>
          <w:lang w:eastAsia="ko-KR"/>
        </w:rPr>
        <w:t>coloring</w:t>
      </w:r>
      <w:proofErr w:type="spellEnd"/>
      <w:r w:rsidRPr="003115A6">
        <w:rPr>
          <w:rFonts w:asciiTheme="majorHAnsi" w:eastAsia="Times New Roman" w:hAnsiTheme="majorHAnsi" w:cstheme="majorHAnsi"/>
          <w:sz w:val="20"/>
          <w:szCs w:val="20"/>
          <w:lang w:eastAsia="ko-KR"/>
        </w:rPr>
        <w:t xml:space="preserve"> technique still uses a simple method using green and brown </w:t>
      </w:r>
      <w:proofErr w:type="spellStart"/>
      <w:r w:rsidRPr="003115A6">
        <w:rPr>
          <w:rFonts w:asciiTheme="majorHAnsi" w:eastAsia="Times New Roman" w:hAnsiTheme="majorHAnsi" w:cstheme="majorHAnsi"/>
          <w:sz w:val="20"/>
          <w:szCs w:val="20"/>
          <w:lang w:eastAsia="ko-KR"/>
        </w:rPr>
        <w:t>colors</w:t>
      </w:r>
      <w:proofErr w:type="spellEnd"/>
      <w:r w:rsidRPr="003115A6">
        <w:rPr>
          <w:rFonts w:asciiTheme="majorHAnsi" w:eastAsia="Times New Roman" w:hAnsiTheme="majorHAnsi" w:cstheme="majorHAnsi"/>
          <w:sz w:val="20"/>
          <w:szCs w:val="20"/>
          <w:lang w:eastAsia="ko-KR"/>
        </w:rPr>
        <w:t>. This pattern or style of Persian plates is called “Amol”. Finally, the shape and pattern of the plates were developed by applying the glazing technique, with the decoration remaining the same. Then, this glazed plate technique is called "</w:t>
      </w:r>
      <w:r w:rsidRPr="003115A6">
        <w:rPr>
          <w:rFonts w:asciiTheme="majorHAnsi" w:eastAsia="Times New Roman" w:hAnsiTheme="majorHAnsi" w:cstheme="majorHAnsi"/>
          <w:i/>
          <w:sz w:val="20"/>
          <w:szCs w:val="20"/>
          <w:lang w:eastAsia="ko-KR"/>
        </w:rPr>
        <w:t>Gabri</w:t>
      </w:r>
      <w:r w:rsidRPr="003115A6">
        <w:rPr>
          <w:rFonts w:asciiTheme="majorHAnsi" w:eastAsia="Times New Roman" w:hAnsiTheme="majorHAnsi" w:cstheme="majorHAnsi"/>
          <w:sz w:val="20"/>
          <w:szCs w:val="20"/>
          <w:lang w:eastAsia="ko-KR"/>
        </w:rPr>
        <w:t xml:space="preserve">". The production areas for Persian ceramics are in </w:t>
      </w:r>
      <w:proofErr w:type="spellStart"/>
      <w:r w:rsidRPr="003115A6">
        <w:rPr>
          <w:rFonts w:asciiTheme="majorHAnsi" w:eastAsia="Times New Roman" w:hAnsiTheme="majorHAnsi" w:cstheme="majorHAnsi"/>
          <w:sz w:val="20"/>
          <w:szCs w:val="20"/>
          <w:lang w:eastAsia="ko-KR"/>
        </w:rPr>
        <w:t>Agkhand</w:t>
      </w:r>
      <w:proofErr w:type="spellEnd"/>
      <w:r w:rsidRPr="003115A6">
        <w:rPr>
          <w:rFonts w:asciiTheme="majorHAnsi" w:eastAsia="Times New Roman" w:hAnsiTheme="majorHAnsi" w:cstheme="majorHAnsi"/>
          <w:sz w:val="20"/>
          <w:szCs w:val="20"/>
          <w:lang w:eastAsia="ko-KR"/>
        </w:rPr>
        <w:t xml:space="preserve">, </w:t>
      </w:r>
      <w:proofErr w:type="spellStart"/>
      <w:r w:rsidRPr="003115A6">
        <w:rPr>
          <w:rFonts w:asciiTheme="majorHAnsi" w:eastAsia="Times New Roman" w:hAnsiTheme="majorHAnsi" w:cstheme="majorHAnsi"/>
          <w:sz w:val="20"/>
          <w:szCs w:val="20"/>
          <w:lang w:eastAsia="ko-KR"/>
        </w:rPr>
        <w:t>Yasukhan</w:t>
      </w:r>
      <w:proofErr w:type="spellEnd"/>
      <w:r w:rsidRPr="003115A6">
        <w:rPr>
          <w:rFonts w:asciiTheme="majorHAnsi" w:eastAsia="Times New Roman" w:hAnsiTheme="majorHAnsi" w:cstheme="majorHAnsi"/>
          <w:sz w:val="20"/>
          <w:szCs w:val="20"/>
          <w:lang w:eastAsia="ko-KR"/>
        </w:rPr>
        <w:t>, and Amol (areas on the edge of the Caspi Sea).</w:t>
      </w:r>
    </w:p>
    <w:p w14:paraId="7F8ABC52" w14:textId="77777777" w:rsidR="003115A6" w:rsidRP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Meanwhile, the development of ceramic art occurred in Sammara. The shape of a plate with a white base combined with dark blue and dark green decorations dominates many of the styles of Sammara (Mesopotamian) plates, whose production began to develop from the 9</w:t>
      </w:r>
      <w:r w:rsidRPr="003115A6">
        <w:rPr>
          <w:rFonts w:asciiTheme="majorHAnsi" w:eastAsia="Times New Roman" w:hAnsiTheme="majorHAnsi" w:cstheme="majorHAnsi"/>
          <w:sz w:val="20"/>
          <w:szCs w:val="20"/>
          <w:vertAlign w:val="superscript"/>
          <w:lang w:eastAsia="ko-KR"/>
        </w:rPr>
        <w:t>th</w:t>
      </w:r>
      <w:r w:rsidRPr="003115A6">
        <w:rPr>
          <w:rFonts w:asciiTheme="majorHAnsi" w:eastAsia="Times New Roman" w:hAnsiTheme="majorHAnsi" w:cstheme="majorHAnsi"/>
          <w:sz w:val="20"/>
          <w:szCs w:val="20"/>
          <w:lang w:eastAsia="ko-KR"/>
        </w:rPr>
        <w:t xml:space="preserve"> to 11</w:t>
      </w:r>
      <w:r w:rsidRPr="003115A6">
        <w:rPr>
          <w:rFonts w:asciiTheme="majorHAnsi" w:eastAsia="Times New Roman" w:hAnsiTheme="majorHAnsi" w:cstheme="majorHAnsi"/>
          <w:sz w:val="20"/>
          <w:szCs w:val="20"/>
          <w:vertAlign w:val="superscript"/>
          <w:lang w:eastAsia="ko-KR"/>
        </w:rPr>
        <w:t>th</w:t>
      </w:r>
      <w:r w:rsidRPr="003115A6">
        <w:rPr>
          <w:rFonts w:asciiTheme="majorHAnsi" w:eastAsia="Times New Roman" w:hAnsiTheme="majorHAnsi" w:cstheme="majorHAnsi"/>
          <w:sz w:val="20"/>
          <w:szCs w:val="20"/>
          <w:lang w:eastAsia="ko-KR"/>
        </w:rPr>
        <w:t xml:space="preserve"> century AD. The results of making ceramics were more advanced than those of ceramics in Persia, where the results are close to porcelain art. Many ceramic art products were exported to Syria and Egypt in the 12</w:t>
      </w:r>
      <w:r w:rsidRPr="003115A6">
        <w:rPr>
          <w:rFonts w:asciiTheme="majorHAnsi" w:eastAsia="Times New Roman" w:hAnsiTheme="majorHAnsi" w:cstheme="majorHAnsi"/>
          <w:sz w:val="20"/>
          <w:szCs w:val="20"/>
          <w:vertAlign w:val="superscript"/>
          <w:lang w:eastAsia="ko-KR"/>
        </w:rPr>
        <w:t>th</w:t>
      </w:r>
      <w:r w:rsidRPr="003115A6">
        <w:rPr>
          <w:rFonts w:asciiTheme="majorHAnsi" w:eastAsia="Times New Roman" w:hAnsiTheme="majorHAnsi" w:cstheme="majorHAnsi"/>
          <w:sz w:val="20"/>
          <w:szCs w:val="20"/>
          <w:lang w:eastAsia="ko-KR"/>
        </w:rPr>
        <w:t xml:space="preserve"> – 13</w:t>
      </w:r>
      <w:r w:rsidRPr="003115A6">
        <w:rPr>
          <w:rFonts w:asciiTheme="majorHAnsi" w:eastAsia="Times New Roman" w:hAnsiTheme="majorHAnsi" w:cstheme="majorHAnsi"/>
          <w:sz w:val="20"/>
          <w:szCs w:val="20"/>
          <w:vertAlign w:val="superscript"/>
          <w:lang w:eastAsia="ko-KR"/>
        </w:rPr>
        <w:t>th</w:t>
      </w:r>
      <w:r w:rsidRPr="003115A6">
        <w:rPr>
          <w:rFonts w:asciiTheme="majorHAnsi" w:eastAsia="Times New Roman" w:hAnsiTheme="majorHAnsi" w:cstheme="majorHAnsi"/>
          <w:sz w:val="20"/>
          <w:szCs w:val="20"/>
          <w:lang w:eastAsia="ko-KR"/>
        </w:rPr>
        <w:t xml:space="preserve"> century AD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{"citationItems":[{"id":"ITEM-1","itemData":{"author":[{"dropping-particle":"","family":"Situmorang","given":"O","non-dropping-particle":"","parse-names":false,"suffix":""}],"id":"ITEM-1","issued":{"date-parts":[["1993"]]},"publisher":"Angkasa","title":"Seni Rupa Islam: Pertumbuhan dan Perkembangannya","type":"book"},"uris":["http://www.mendeley.com/documents/?uuid=5fc2ca76-ce58-42dc-b9f2-0090f90c12a5"]}],"mendeley":{"formattedCitation":"[39]","plainTextFormattedCitation":"[39]","previouslyFormattedCitation":"[39]"},"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[37]</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w:t>
      </w:r>
    </w:p>
    <w:p w14:paraId="08679851" w14:textId="77777777" w:rsidR="003115A6" w:rsidRP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Talking about motifs, cloud and machete motifs have greatly influenced the development of Islamic art in Cirebon. It turns out that the cloud motif and coral motif are also decorative motifs known since </w:t>
      </w:r>
      <w:proofErr w:type="spellStart"/>
      <w:r w:rsidRPr="003115A6">
        <w:rPr>
          <w:rFonts w:asciiTheme="majorHAnsi" w:eastAsia="Times New Roman" w:hAnsiTheme="majorHAnsi" w:cstheme="majorHAnsi"/>
          <w:sz w:val="20"/>
          <w:szCs w:val="20"/>
          <w:lang w:eastAsia="ko-KR"/>
        </w:rPr>
        <w:t>Majapahit's</w:t>
      </w:r>
      <w:proofErr w:type="spellEnd"/>
      <w:r w:rsidRPr="003115A6">
        <w:rPr>
          <w:rFonts w:asciiTheme="majorHAnsi" w:eastAsia="Times New Roman" w:hAnsiTheme="majorHAnsi" w:cstheme="majorHAnsi"/>
          <w:sz w:val="20"/>
          <w:szCs w:val="20"/>
          <w:lang w:eastAsia="ko-KR"/>
        </w:rPr>
        <w:t xml:space="preserve"> glory days. This motif is more popular in Cirebon as: </w:t>
      </w:r>
      <w:r w:rsidRPr="003115A6">
        <w:rPr>
          <w:rFonts w:asciiTheme="majorHAnsi" w:eastAsia="Times New Roman" w:hAnsiTheme="majorHAnsi" w:cstheme="majorHAnsi"/>
          <w:i/>
          <w:sz w:val="20"/>
          <w:szCs w:val="20"/>
          <w:lang w:eastAsia="ko-KR"/>
        </w:rPr>
        <w:t xml:space="preserve">mega </w:t>
      </w:r>
      <w:proofErr w:type="spellStart"/>
      <w:r w:rsidRPr="003115A6">
        <w:rPr>
          <w:rFonts w:asciiTheme="majorHAnsi" w:eastAsia="Times New Roman" w:hAnsiTheme="majorHAnsi" w:cstheme="majorHAnsi"/>
          <w:i/>
          <w:sz w:val="20"/>
          <w:szCs w:val="20"/>
          <w:lang w:eastAsia="ko-KR"/>
        </w:rPr>
        <w:t>mendung</w:t>
      </w:r>
      <w:proofErr w:type="spellEnd"/>
      <w:r w:rsidRPr="003115A6">
        <w:rPr>
          <w:rFonts w:asciiTheme="majorHAnsi" w:eastAsia="Times New Roman" w:hAnsiTheme="majorHAnsi" w:cstheme="majorHAnsi"/>
          <w:sz w:val="20"/>
          <w:szCs w:val="20"/>
          <w:lang w:eastAsia="ko-KR"/>
        </w:rPr>
        <w:t xml:space="preserve"> from Cirebon. This motif is very popularly used in making Cirebon </w:t>
      </w:r>
      <w:r w:rsidRPr="003115A6">
        <w:rPr>
          <w:rFonts w:asciiTheme="majorHAnsi" w:eastAsia="Times New Roman" w:hAnsiTheme="majorHAnsi" w:cstheme="majorHAnsi"/>
          <w:i/>
          <w:iCs/>
          <w:sz w:val="20"/>
          <w:szCs w:val="20"/>
          <w:lang w:eastAsia="ko-KR"/>
        </w:rPr>
        <w:t>batik</w:t>
      </w:r>
      <w:r w:rsidRPr="003115A6">
        <w:rPr>
          <w:rFonts w:asciiTheme="majorHAnsi" w:eastAsia="Times New Roman" w:hAnsiTheme="majorHAnsi" w:cstheme="majorHAnsi"/>
          <w:sz w:val="20"/>
          <w:szCs w:val="20"/>
          <w:lang w:eastAsia="ko-KR"/>
        </w:rPr>
        <w:t xml:space="preserve">; not only in </w:t>
      </w:r>
      <w:r w:rsidRPr="003115A6">
        <w:rPr>
          <w:rFonts w:asciiTheme="majorHAnsi" w:eastAsia="Times New Roman" w:hAnsiTheme="majorHAnsi" w:cstheme="majorHAnsi"/>
          <w:i/>
          <w:iCs/>
          <w:sz w:val="20"/>
          <w:szCs w:val="20"/>
          <w:lang w:eastAsia="ko-KR"/>
        </w:rPr>
        <w:t>batik</w:t>
      </w:r>
      <w:r w:rsidRPr="003115A6">
        <w:rPr>
          <w:rFonts w:asciiTheme="majorHAnsi" w:eastAsia="Times New Roman" w:hAnsiTheme="majorHAnsi" w:cstheme="majorHAnsi"/>
          <w:sz w:val="20"/>
          <w:szCs w:val="20"/>
          <w:lang w:eastAsia="ko-KR"/>
        </w:rPr>
        <w:t xml:space="preserve">, the </w:t>
      </w:r>
      <w:r w:rsidRPr="003115A6">
        <w:rPr>
          <w:rFonts w:asciiTheme="majorHAnsi" w:eastAsia="Times New Roman" w:hAnsiTheme="majorHAnsi" w:cstheme="majorHAnsi"/>
          <w:i/>
          <w:iCs/>
          <w:sz w:val="20"/>
          <w:szCs w:val="20"/>
          <w:lang w:eastAsia="ko-KR"/>
        </w:rPr>
        <w:t xml:space="preserve">mega </w:t>
      </w:r>
      <w:proofErr w:type="spellStart"/>
      <w:r w:rsidRPr="003115A6">
        <w:rPr>
          <w:rFonts w:asciiTheme="majorHAnsi" w:eastAsia="Times New Roman" w:hAnsiTheme="majorHAnsi" w:cstheme="majorHAnsi"/>
          <w:i/>
          <w:iCs/>
          <w:sz w:val="20"/>
          <w:szCs w:val="20"/>
          <w:lang w:eastAsia="ko-KR"/>
        </w:rPr>
        <w:t>mendung</w:t>
      </w:r>
      <w:proofErr w:type="spellEnd"/>
      <w:r w:rsidRPr="003115A6">
        <w:rPr>
          <w:rFonts w:asciiTheme="majorHAnsi" w:eastAsia="Times New Roman" w:hAnsiTheme="majorHAnsi" w:cstheme="majorHAnsi"/>
          <w:sz w:val="20"/>
          <w:szCs w:val="20"/>
          <w:lang w:eastAsia="ko-KR"/>
        </w:rPr>
        <w:t xml:space="preserve"> motif is also used in various other communicative media. The decorative pattern of the </w:t>
      </w:r>
      <w:r w:rsidRPr="003115A6">
        <w:rPr>
          <w:rFonts w:asciiTheme="majorHAnsi" w:eastAsia="Times New Roman" w:hAnsiTheme="majorHAnsi" w:cstheme="majorHAnsi"/>
          <w:i/>
          <w:sz w:val="20"/>
          <w:szCs w:val="20"/>
          <w:lang w:eastAsia="ko-KR"/>
        </w:rPr>
        <w:t xml:space="preserve">mega </w:t>
      </w:r>
      <w:proofErr w:type="spellStart"/>
      <w:r w:rsidRPr="003115A6">
        <w:rPr>
          <w:rFonts w:asciiTheme="majorHAnsi" w:eastAsia="Times New Roman" w:hAnsiTheme="majorHAnsi" w:cstheme="majorHAnsi"/>
          <w:i/>
          <w:sz w:val="20"/>
          <w:szCs w:val="20"/>
          <w:lang w:eastAsia="ko-KR"/>
        </w:rPr>
        <w:t>mendung</w:t>
      </w:r>
      <w:proofErr w:type="spellEnd"/>
      <w:r w:rsidRPr="003115A6">
        <w:rPr>
          <w:rFonts w:asciiTheme="majorHAnsi" w:eastAsia="Times New Roman" w:hAnsiTheme="majorHAnsi" w:cstheme="majorHAnsi"/>
          <w:sz w:val="20"/>
          <w:szCs w:val="20"/>
          <w:lang w:eastAsia="ko-KR"/>
        </w:rPr>
        <w:t xml:space="preserve"> motif in the past period was not only found in wood carvings but was also often found in the decoration of </w:t>
      </w:r>
      <w:r w:rsidRPr="003115A6">
        <w:rPr>
          <w:rFonts w:asciiTheme="majorHAnsi" w:eastAsia="Times New Roman" w:hAnsiTheme="majorHAnsi" w:cstheme="majorHAnsi"/>
          <w:i/>
          <w:iCs/>
          <w:sz w:val="20"/>
          <w:szCs w:val="20"/>
          <w:lang w:eastAsia="ko-KR"/>
        </w:rPr>
        <w:t>sari</w:t>
      </w:r>
      <w:r w:rsidRPr="003115A6">
        <w:rPr>
          <w:rFonts w:asciiTheme="majorHAnsi" w:eastAsia="Times New Roman" w:hAnsiTheme="majorHAnsi" w:cstheme="majorHAnsi"/>
          <w:sz w:val="20"/>
          <w:szCs w:val="20"/>
          <w:lang w:eastAsia="ko-KR"/>
        </w:rPr>
        <w:t xml:space="preserve"> gardens, gates, palace walls, and so on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{"citationItems":[{"id":"ITEM-1","itemData":{"author":[{"dropping-particle":"","family":"Tim Yayasan Mitra Budaya Indonesia","given":"","non-dropping-particle":"","parse-names":false,"suffix":""}],"id":"ITEM-1","issued":{"date-parts":[["1982"]]},"publisher":"Sinar Harapan","publisher-place":"Jakarta","title":"Cerbon","type":"book"},"uris":["http://www.mendeley.com/documents/?uuid=63c510af-5bb3-47ab-a97e-08d9c1e41221"]}],"mendeley":{"formattedCitation":"[31]","plainTextFormattedCitation":"[31]","previouslyFormattedCitation":"[31]"},"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[29]</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w:t>
      </w:r>
    </w:p>
    <w:p w14:paraId="094B1F17" w14:textId="77777777" w:rsidR="003115A6" w:rsidRPr="003115A6" w:rsidRDefault="003115A6" w:rsidP="00AF1A5D">
      <w:pPr>
        <w:ind w:left="284" w:firstLine="283"/>
        <w:jc w:val="both"/>
        <w:rPr>
          <w:rFonts w:asciiTheme="majorHAnsi" w:eastAsia="Times New Roman" w:hAnsiTheme="majorHAnsi" w:cstheme="majorHAnsi"/>
          <w:sz w:val="20"/>
          <w:szCs w:val="20"/>
          <w:lang w:val="en-AU" w:eastAsia="ko-KR"/>
        </w:rPr>
      </w:pPr>
      <w:r w:rsidRPr="003115A6">
        <w:rPr>
          <w:rFonts w:asciiTheme="majorHAnsi" w:eastAsia="Times New Roman" w:hAnsiTheme="majorHAnsi" w:cstheme="majorHAnsi"/>
          <w:sz w:val="20"/>
          <w:szCs w:val="20"/>
          <w:lang w:val="en-AU" w:eastAsia="ko-KR"/>
        </w:rPr>
        <w:t xml:space="preserve">The following is an overview of the motifs found on the porcelain at the </w:t>
      </w:r>
      <w:proofErr w:type="spellStart"/>
      <w:r w:rsidRPr="003115A6">
        <w:rPr>
          <w:rFonts w:asciiTheme="majorHAnsi" w:eastAsia="Times New Roman" w:hAnsiTheme="majorHAnsi" w:cstheme="majorHAnsi"/>
          <w:sz w:val="20"/>
          <w:szCs w:val="20"/>
          <w:lang w:val="en-AU" w:eastAsia="ko-KR"/>
        </w:rPr>
        <w:t>Panjunan</w:t>
      </w:r>
      <w:proofErr w:type="spellEnd"/>
      <w:r w:rsidRPr="003115A6">
        <w:rPr>
          <w:rFonts w:asciiTheme="majorHAnsi" w:eastAsia="Times New Roman" w:hAnsiTheme="majorHAnsi" w:cstheme="majorHAnsi"/>
          <w:sz w:val="20"/>
          <w:szCs w:val="20"/>
          <w:lang w:val="en-AU" w:eastAsia="ko-KR"/>
        </w:rPr>
        <w:t xml:space="preserve"> Red Mosque in Cirebon. Some have the phoenix bird motif, known in China as a mythical bird. Ceramics originating from China, many of which are found in the archipelago, are decorated with phoenix birds; then, this motif spread to areas that had contact with China. Phoenix bird decorative motifs are often found in coastal areas with Chinese influence, such as Cirebon, </w:t>
      </w:r>
      <w:proofErr w:type="spellStart"/>
      <w:r w:rsidRPr="003115A6">
        <w:rPr>
          <w:rFonts w:asciiTheme="majorHAnsi" w:eastAsia="Times New Roman" w:hAnsiTheme="majorHAnsi" w:cstheme="majorHAnsi"/>
          <w:sz w:val="20"/>
          <w:szCs w:val="20"/>
          <w:lang w:val="en-AU" w:eastAsia="ko-KR"/>
        </w:rPr>
        <w:t>Pekalongan</w:t>
      </w:r>
      <w:proofErr w:type="spellEnd"/>
      <w:r w:rsidRPr="003115A6">
        <w:rPr>
          <w:rFonts w:asciiTheme="majorHAnsi" w:eastAsia="Times New Roman" w:hAnsiTheme="majorHAnsi" w:cstheme="majorHAnsi"/>
          <w:sz w:val="20"/>
          <w:szCs w:val="20"/>
          <w:lang w:val="en-AU" w:eastAsia="ko-KR"/>
        </w:rPr>
        <w:t xml:space="preserve">, </w:t>
      </w:r>
      <w:proofErr w:type="spellStart"/>
      <w:r w:rsidRPr="003115A6">
        <w:rPr>
          <w:rFonts w:asciiTheme="majorHAnsi" w:eastAsia="Times New Roman" w:hAnsiTheme="majorHAnsi" w:cstheme="majorHAnsi"/>
          <w:sz w:val="20"/>
          <w:szCs w:val="20"/>
          <w:lang w:val="en-AU" w:eastAsia="ko-KR"/>
        </w:rPr>
        <w:t>Lasem</w:t>
      </w:r>
      <w:proofErr w:type="spellEnd"/>
      <w:r w:rsidRPr="003115A6">
        <w:rPr>
          <w:rFonts w:asciiTheme="majorHAnsi" w:eastAsia="Times New Roman" w:hAnsiTheme="majorHAnsi" w:cstheme="majorHAnsi"/>
          <w:sz w:val="20"/>
          <w:szCs w:val="20"/>
          <w:lang w:val="en-AU" w:eastAsia="ko-KR"/>
        </w:rPr>
        <w:t xml:space="preserve">, and Bali. The shape resembles a peacock, but the distinguishing feature is its long, wavy tail without a circle. In decorative motifs, this bird is a bird of heaven and is suitable as a symbol of the upper world/sky. As an ornament, the phoenix bird motif is applied to </w:t>
      </w:r>
      <w:r w:rsidRPr="003115A6">
        <w:rPr>
          <w:rFonts w:asciiTheme="majorHAnsi" w:eastAsia="Times New Roman" w:hAnsiTheme="majorHAnsi" w:cstheme="majorHAnsi"/>
          <w:i/>
          <w:iCs/>
          <w:sz w:val="20"/>
          <w:szCs w:val="20"/>
          <w:lang w:val="en-AU" w:eastAsia="ko-KR"/>
        </w:rPr>
        <w:t>batik</w:t>
      </w:r>
      <w:r w:rsidRPr="003115A6">
        <w:rPr>
          <w:rFonts w:asciiTheme="majorHAnsi" w:eastAsia="Times New Roman" w:hAnsiTheme="majorHAnsi" w:cstheme="majorHAnsi"/>
          <w:sz w:val="20"/>
          <w:szCs w:val="20"/>
          <w:lang w:val="en-AU" w:eastAsia="ko-KR"/>
        </w:rPr>
        <w:t xml:space="preserve">, especially coastal </w:t>
      </w:r>
      <w:r w:rsidRPr="003115A6">
        <w:rPr>
          <w:rFonts w:asciiTheme="majorHAnsi" w:eastAsia="Times New Roman" w:hAnsiTheme="majorHAnsi" w:cstheme="majorHAnsi"/>
          <w:i/>
          <w:iCs/>
          <w:sz w:val="20"/>
          <w:szCs w:val="20"/>
          <w:lang w:val="en-AU" w:eastAsia="ko-KR"/>
        </w:rPr>
        <w:t>batik</w:t>
      </w:r>
      <w:r w:rsidRPr="003115A6">
        <w:rPr>
          <w:rFonts w:asciiTheme="majorHAnsi" w:eastAsia="Times New Roman" w:hAnsiTheme="majorHAnsi" w:cstheme="majorHAnsi"/>
          <w:sz w:val="20"/>
          <w:szCs w:val="20"/>
          <w:lang w:val="en-AU" w:eastAsia="ko-KR"/>
        </w:rPr>
        <w:t xml:space="preserve">, wood carvings, etc. </w:t>
      </w:r>
      <w:r w:rsidRPr="003115A6">
        <w:rPr>
          <w:rFonts w:asciiTheme="majorHAnsi" w:eastAsia="Times New Roman" w:hAnsiTheme="majorHAnsi" w:cstheme="majorHAnsi"/>
          <w:sz w:val="20"/>
          <w:szCs w:val="20"/>
          <w:lang w:val="en-AU" w:eastAsia="ko-KR"/>
        </w:rPr>
        <w:fldChar w:fldCharType="begin" w:fldLock="1"/>
      </w:r>
      <w:r w:rsidRPr="003115A6">
        <w:rPr>
          <w:rFonts w:asciiTheme="majorHAnsi" w:eastAsia="Times New Roman" w:hAnsiTheme="majorHAnsi" w:cstheme="majorHAnsi"/>
          <w:sz w:val="20"/>
          <w:szCs w:val="20"/>
          <w:lang w:val="en-AU" w:eastAsia="ko-KR"/>
        </w:rPr>
        <w:instrText>ADDIN CSL_CITATION {"citationItems":[{"id":"ITEM-1","itemData":{"author":[{"dropping-particle":"","family":"Sunaryo","given":"A","non-dropping-particle":"","parse-names":false,"suffix":""}],"id":"ITEM-1","issued":{"date-parts":[["2009"]]},"publisher":"Dahara Prize","publisher-place":"Semarang","title":"Ornamen nusantara: Kajian khusus tentang ornamen Indonesia","type":"book"},"uris":["http://www.mendeley.com/documents/?uuid=084d6206-086b-4380-a43e-eccea5b9b502"]}],"mendeley":{"formattedCitation":"[40]","plainTextFormattedCitation":"[40]","previouslyFormattedCitation":"[40]"},"properties":{"noteIndex":0},"schema":"https://github.com/citation-style-language/schema/raw/master/csl-citation.json"}</w:instrText>
      </w:r>
      <w:r w:rsidRPr="003115A6">
        <w:rPr>
          <w:rFonts w:asciiTheme="majorHAnsi" w:eastAsia="Times New Roman" w:hAnsiTheme="majorHAnsi" w:cstheme="majorHAnsi"/>
          <w:sz w:val="20"/>
          <w:szCs w:val="20"/>
          <w:lang w:val="en-AU" w:eastAsia="ko-KR"/>
        </w:rPr>
        <w:fldChar w:fldCharType="separate"/>
      </w:r>
      <w:r w:rsidRPr="003115A6">
        <w:rPr>
          <w:rFonts w:asciiTheme="majorHAnsi" w:eastAsia="Times New Roman" w:hAnsiTheme="majorHAnsi" w:cstheme="majorHAnsi"/>
          <w:noProof/>
          <w:sz w:val="20"/>
          <w:szCs w:val="20"/>
          <w:lang w:val="en-AU" w:eastAsia="ko-KR"/>
        </w:rPr>
        <w:t>[38]</w:t>
      </w:r>
      <w:r w:rsidRPr="003115A6">
        <w:rPr>
          <w:rFonts w:asciiTheme="majorHAnsi" w:eastAsia="Times New Roman" w:hAnsiTheme="majorHAnsi" w:cstheme="majorHAnsi"/>
          <w:sz w:val="20"/>
          <w:szCs w:val="20"/>
          <w:lang w:val="en-AU" w:eastAsia="ko-KR"/>
        </w:rPr>
        <w:fldChar w:fldCharType="end"/>
      </w:r>
      <w:r w:rsidRPr="003115A6">
        <w:rPr>
          <w:rFonts w:asciiTheme="majorHAnsi" w:eastAsia="Times New Roman" w:hAnsiTheme="majorHAnsi" w:cstheme="majorHAnsi"/>
          <w:sz w:val="20"/>
          <w:szCs w:val="20"/>
          <w:lang w:val="en-AU" w:eastAsia="ko-KR"/>
        </w:rPr>
        <w:t xml:space="preserve">. </w:t>
      </w:r>
    </w:p>
    <w:p w14:paraId="21F469A8" w14:textId="77777777" w:rsidR="003115A6" w:rsidRDefault="003115A6" w:rsidP="003115A6">
      <w:pPr>
        <w:ind w:firstLine="426"/>
        <w:jc w:val="both"/>
        <w:rPr>
          <w:rFonts w:asciiTheme="majorHAnsi" w:eastAsia="Times New Roman" w:hAnsiTheme="majorHAnsi" w:cstheme="majorHAnsi"/>
          <w:sz w:val="20"/>
          <w:szCs w:val="20"/>
          <w:lang w:val="en-AU" w:eastAsia="ko-KR"/>
        </w:rPr>
      </w:pPr>
    </w:p>
    <w:p w14:paraId="2C1700FC" w14:textId="77777777" w:rsidR="00AF1A5D" w:rsidRDefault="00AF1A5D" w:rsidP="003115A6">
      <w:pPr>
        <w:ind w:firstLine="426"/>
        <w:jc w:val="both"/>
        <w:rPr>
          <w:rFonts w:asciiTheme="majorHAnsi" w:eastAsia="Times New Roman" w:hAnsiTheme="majorHAnsi" w:cstheme="majorHAnsi"/>
          <w:sz w:val="20"/>
          <w:szCs w:val="20"/>
          <w:lang w:val="en-AU" w:eastAsia="ko-KR"/>
        </w:rPr>
      </w:pPr>
    </w:p>
    <w:p w14:paraId="14A8A102" w14:textId="77777777" w:rsidR="00AF1A5D" w:rsidRPr="003115A6" w:rsidRDefault="00AF1A5D" w:rsidP="003115A6">
      <w:pPr>
        <w:ind w:firstLine="426"/>
        <w:jc w:val="both"/>
        <w:rPr>
          <w:rFonts w:asciiTheme="majorHAnsi" w:eastAsia="Times New Roman" w:hAnsiTheme="majorHAnsi" w:cstheme="majorHAnsi"/>
          <w:sz w:val="20"/>
          <w:szCs w:val="20"/>
          <w:lang w:val="en-AU" w:eastAsia="ko-K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9"/>
      </w:tblGrid>
      <w:tr w:rsidR="003115A6" w:rsidRPr="003115A6" w14:paraId="79B021FD" w14:textId="77777777" w:rsidTr="00224F08">
        <w:trPr>
          <w:trHeight w:val="2279"/>
        </w:trPr>
        <w:tc>
          <w:tcPr>
            <w:tcW w:w="4643" w:type="dxa"/>
          </w:tcPr>
          <w:p w14:paraId="7F667DA4" w14:textId="77777777" w:rsidR="003115A6" w:rsidRDefault="003115A6" w:rsidP="00AF1A5D">
            <w:pPr>
              <w:pStyle w:val="ListParagraph"/>
              <w:ind w:left="0"/>
              <w:jc w:val="center"/>
              <w:rPr>
                <w:rFonts w:asciiTheme="majorHAnsi" w:eastAsia="Times New Roman" w:hAnsiTheme="majorHAnsi" w:cstheme="majorHAnsi"/>
                <w:sz w:val="20"/>
                <w:szCs w:val="20"/>
                <w:lang w:val="en-AU" w:eastAsia="ko-KR"/>
              </w:rPr>
            </w:pPr>
            <w:r w:rsidRPr="003115A6">
              <w:rPr>
                <w:noProof/>
              </w:rPr>
              <w:lastRenderedPageBreak/>
              <w:drawing>
                <wp:inline distT="0" distB="0" distL="0" distR="0" wp14:anchorId="37DE1646" wp14:editId="7230F638">
                  <wp:extent cx="1353185" cy="1268095"/>
                  <wp:effectExtent l="0" t="0" r="0" b="8255"/>
                  <wp:docPr id="20159053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58108" cy="1272708"/>
                          </a:xfrm>
                          <a:prstGeom prst="rect">
                            <a:avLst/>
                          </a:prstGeom>
                          <a:noFill/>
                        </pic:spPr>
                      </pic:pic>
                    </a:graphicData>
                  </a:graphic>
                </wp:inline>
              </w:drawing>
            </w:r>
          </w:p>
          <w:p w14:paraId="388623A1" w14:textId="78C85CDF" w:rsidR="00AF1A5D" w:rsidRPr="00AF1A5D" w:rsidRDefault="00AF1A5D" w:rsidP="00AF1A5D">
            <w:pPr>
              <w:pStyle w:val="ListParagraph"/>
              <w:ind w:left="31"/>
              <w:jc w:val="center"/>
              <w:rPr>
                <w:rFonts w:asciiTheme="majorHAnsi" w:eastAsia="Times New Roman" w:hAnsiTheme="majorHAnsi" w:cstheme="majorHAnsi"/>
                <w:sz w:val="20"/>
                <w:szCs w:val="20"/>
                <w:lang w:val="en-AU" w:eastAsia="ko-KR"/>
              </w:rPr>
            </w:pPr>
            <w:r>
              <w:rPr>
                <w:rFonts w:asciiTheme="majorHAnsi" w:eastAsia="Times New Roman" w:hAnsiTheme="majorHAnsi" w:cstheme="majorHAnsi"/>
                <w:sz w:val="20"/>
                <w:szCs w:val="20"/>
                <w:lang w:val="en-AU" w:eastAsia="ko-KR"/>
              </w:rPr>
              <w:t>(a)</w:t>
            </w:r>
          </w:p>
        </w:tc>
        <w:tc>
          <w:tcPr>
            <w:tcW w:w="4644" w:type="dxa"/>
          </w:tcPr>
          <w:p w14:paraId="253D5F31" w14:textId="77777777" w:rsidR="003115A6" w:rsidRDefault="003115A6" w:rsidP="00AF1A5D">
            <w:pPr>
              <w:jc w:val="center"/>
              <w:rPr>
                <w:rFonts w:asciiTheme="majorHAnsi" w:eastAsia="Times New Roman" w:hAnsiTheme="majorHAnsi" w:cstheme="majorHAnsi"/>
                <w:sz w:val="20"/>
                <w:szCs w:val="20"/>
                <w:lang w:val="en-AU" w:eastAsia="ko-KR"/>
              </w:rPr>
            </w:pPr>
            <w:r w:rsidRPr="003115A6">
              <w:rPr>
                <w:noProof/>
              </w:rPr>
              <w:drawing>
                <wp:inline distT="0" distB="0" distL="0" distR="0" wp14:anchorId="25727CC0" wp14:editId="5F600C6C">
                  <wp:extent cx="1434947" cy="1268095"/>
                  <wp:effectExtent l="0" t="0" r="0" b="8255"/>
                  <wp:docPr id="1902989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989832" name=""/>
                          <pic:cNvPicPr/>
                        </pic:nvPicPr>
                        <pic:blipFill>
                          <a:blip r:embed="rId17"/>
                          <a:stretch>
                            <a:fillRect/>
                          </a:stretch>
                        </pic:blipFill>
                        <pic:spPr>
                          <a:xfrm>
                            <a:off x="0" y="0"/>
                            <a:ext cx="1443669" cy="1275803"/>
                          </a:xfrm>
                          <a:prstGeom prst="rect">
                            <a:avLst/>
                          </a:prstGeom>
                        </pic:spPr>
                      </pic:pic>
                    </a:graphicData>
                  </a:graphic>
                </wp:inline>
              </w:drawing>
            </w:r>
          </w:p>
          <w:p w14:paraId="0D11A9EA" w14:textId="7BD0977B" w:rsidR="00AF1A5D" w:rsidRPr="00AF1A5D" w:rsidRDefault="00AF1A5D" w:rsidP="00AF1A5D">
            <w:pPr>
              <w:jc w:val="center"/>
              <w:rPr>
                <w:rFonts w:asciiTheme="majorHAnsi" w:eastAsia="Times New Roman" w:hAnsiTheme="majorHAnsi" w:cstheme="majorHAnsi"/>
                <w:sz w:val="20"/>
                <w:szCs w:val="20"/>
                <w:lang w:val="en-AU" w:eastAsia="ko-KR"/>
              </w:rPr>
            </w:pPr>
            <w:r>
              <w:rPr>
                <w:rFonts w:asciiTheme="majorHAnsi" w:eastAsia="Times New Roman" w:hAnsiTheme="majorHAnsi" w:cstheme="majorHAnsi"/>
                <w:sz w:val="20"/>
                <w:szCs w:val="20"/>
                <w:lang w:val="en-AU" w:eastAsia="ko-KR"/>
              </w:rPr>
              <w:t>(b)</w:t>
            </w:r>
          </w:p>
        </w:tc>
      </w:tr>
    </w:tbl>
    <w:p w14:paraId="412DF63B" w14:textId="77777777" w:rsidR="00AF1A5D" w:rsidRDefault="00AF1A5D" w:rsidP="003115A6">
      <w:pPr>
        <w:jc w:val="center"/>
        <w:rPr>
          <w:rFonts w:asciiTheme="majorHAnsi" w:eastAsia="Times New Roman" w:hAnsiTheme="majorHAnsi" w:cstheme="majorHAnsi"/>
          <w:bCs/>
          <w:sz w:val="16"/>
          <w:szCs w:val="16"/>
          <w:lang w:val="en-AU" w:eastAsia="ko-KR"/>
        </w:rPr>
      </w:pPr>
    </w:p>
    <w:p w14:paraId="7514D8A6" w14:textId="555FA7F5" w:rsidR="003115A6" w:rsidRPr="00AF1A5D" w:rsidRDefault="003115A6" w:rsidP="003115A6">
      <w:pPr>
        <w:jc w:val="center"/>
        <w:rPr>
          <w:rFonts w:asciiTheme="majorHAnsi" w:eastAsia="Times New Roman" w:hAnsiTheme="majorHAnsi" w:cstheme="majorHAnsi"/>
          <w:bCs/>
          <w:sz w:val="16"/>
          <w:szCs w:val="16"/>
          <w:lang w:val="en-AU" w:eastAsia="ko-KR"/>
        </w:rPr>
      </w:pPr>
      <w:r w:rsidRPr="00AF1A5D">
        <w:rPr>
          <w:rFonts w:asciiTheme="majorHAnsi" w:eastAsia="Times New Roman" w:hAnsiTheme="majorHAnsi" w:cstheme="majorHAnsi"/>
          <w:bCs/>
          <w:sz w:val="16"/>
          <w:szCs w:val="16"/>
          <w:lang w:val="en-AU" w:eastAsia="ko-KR"/>
        </w:rPr>
        <w:t xml:space="preserve">Figure 9. Mosque Wall Decoration Porcelain Plates come from China </w:t>
      </w:r>
      <w:r w:rsidR="00415A48">
        <w:rPr>
          <w:rFonts w:asciiTheme="majorHAnsi" w:eastAsia="Times New Roman" w:hAnsiTheme="majorHAnsi" w:cstheme="majorHAnsi"/>
          <w:bCs/>
          <w:sz w:val="16"/>
          <w:szCs w:val="16"/>
          <w:lang w:val="en-AU" w:eastAsia="ko-KR"/>
        </w:rPr>
        <w:t>[</w:t>
      </w:r>
      <w:r w:rsidRPr="00AF1A5D">
        <w:rPr>
          <w:rFonts w:asciiTheme="majorHAnsi" w:eastAsia="Times New Roman" w:hAnsiTheme="majorHAnsi" w:cstheme="majorHAnsi"/>
          <w:bCs/>
          <w:sz w:val="16"/>
          <w:szCs w:val="16"/>
          <w:lang w:val="en-AU" w:eastAsia="ko-KR"/>
        </w:rPr>
        <w:t>documentation by the authors</w:t>
      </w:r>
      <w:r w:rsidR="00415A48">
        <w:rPr>
          <w:rFonts w:asciiTheme="majorHAnsi" w:eastAsia="Times New Roman" w:hAnsiTheme="majorHAnsi" w:cstheme="majorHAnsi"/>
          <w:bCs/>
          <w:sz w:val="16"/>
          <w:szCs w:val="16"/>
          <w:lang w:val="en-AU" w:eastAsia="ko-KR"/>
        </w:rPr>
        <w:t>]</w:t>
      </w:r>
    </w:p>
    <w:p w14:paraId="3BC84E51" w14:textId="77777777" w:rsidR="003115A6" w:rsidRPr="003115A6" w:rsidRDefault="003115A6" w:rsidP="003115A6">
      <w:pPr>
        <w:jc w:val="both"/>
        <w:rPr>
          <w:rFonts w:asciiTheme="majorHAnsi" w:eastAsia="Times New Roman" w:hAnsiTheme="majorHAnsi" w:cstheme="majorHAnsi"/>
          <w:b/>
          <w:sz w:val="20"/>
          <w:szCs w:val="20"/>
          <w:lang w:val="en-AU" w:eastAsia="ko-KR"/>
        </w:rPr>
      </w:pPr>
    </w:p>
    <w:p w14:paraId="0E715691" w14:textId="77777777" w:rsidR="003115A6" w:rsidRP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The decorative cloud motif in an ornament is sometimes developed from the meander motif. This decorative motif is well-known in China and has entered the archipelago. After the curves of the meander motif have right or sharp angles, they become cloud motifs. The sharp angles are transformed into folded curved lines. Besides the cloud motif, which is depicted as winding like a meander, there is also a cloud motif influenced by Chinese art, namely the </w:t>
      </w:r>
      <w:r w:rsidRPr="003115A6">
        <w:rPr>
          <w:rFonts w:asciiTheme="majorHAnsi" w:eastAsia="Times New Roman" w:hAnsiTheme="majorHAnsi" w:cstheme="majorHAnsi"/>
          <w:i/>
          <w:iCs/>
          <w:sz w:val="20"/>
          <w:szCs w:val="20"/>
          <w:lang w:eastAsia="ko-KR"/>
        </w:rPr>
        <w:t>mega-</w:t>
      </w:r>
      <w:proofErr w:type="spellStart"/>
      <w:r w:rsidRPr="003115A6">
        <w:rPr>
          <w:rFonts w:asciiTheme="majorHAnsi" w:eastAsia="Times New Roman" w:hAnsiTheme="majorHAnsi" w:cstheme="majorHAnsi"/>
          <w:i/>
          <w:iCs/>
          <w:sz w:val="20"/>
          <w:szCs w:val="20"/>
          <w:lang w:eastAsia="ko-KR"/>
        </w:rPr>
        <w:t>mendung</w:t>
      </w:r>
      <w:proofErr w:type="spellEnd"/>
      <w:r w:rsidRPr="003115A6">
        <w:rPr>
          <w:rFonts w:asciiTheme="majorHAnsi" w:eastAsia="Times New Roman" w:hAnsiTheme="majorHAnsi" w:cstheme="majorHAnsi"/>
          <w:sz w:val="20"/>
          <w:szCs w:val="20"/>
          <w:lang w:eastAsia="ko-KR"/>
        </w:rPr>
        <w:t xml:space="preserve"> motif, which is very famous in the Cirebon area. Moreover, there are also porcelains with decorative landscape motifs. Ornaments depicting scenes can also be found during the Islamic period. In Cirebon, there are wood carvings with decorative landscape motifs dominated by mountain motifs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{"citationItems":[{"id":"ITEM-1","itemData":{"author":[{"dropping-particle":"","family":"Sunaryo","given":"A","non-dropping-particle":"","parse-names":false,"suffix":""}],"id":"ITEM-1","issued":{"date-parts":[["2009"]]},"publisher":"Dahara Prize","publisher-place":"Semarang","title":"Ornamen nusantara: Kajian khusus tentang ornamen Indonesia","type":"book"},"uris":["http://www.mendeley.com/documents/?uuid=084d6206-086b-4380-a43e-eccea5b9b502"]}],"mendeley":{"formattedCitation":"[40]","plainTextFormattedCitation":"[40]","previouslyFormattedCitation":"[40]"},"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[38]</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Figure 10 contains pictures of porcelain at the </w:t>
      </w:r>
      <w:proofErr w:type="spellStart"/>
      <w:r w:rsidRPr="003115A6">
        <w:rPr>
          <w:rFonts w:asciiTheme="majorHAnsi" w:eastAsia="Times New Roman" w:hAnsiTheme="majorHAnsi" w:cstheme="majorHAnsi"/>
          <w:sz w:val="20"/>
          <w:szCs w:val="20"/>
          <w:lang w:eastAsia="ko-KR"/>
        </w:rPr>
        <w:t>Panjunan</w:t>
      </w:r>
      <w:proofErr w:type="spellEnd"/>
      <w:r w:rsidRPr="003115A6">
        <w:rPr>
          <w:rFonts w:asciiTheme="majorHAnsi" w:eastAsia="Times New Roman" w:hAnsiTheme="majorHAnsi" w:cstheme="majorHAnsi"/>
          <w:sz w:val="20"/>
          <w:szCs w:val="20"/>
          <w:lang w:eastAsia="ko-KR"/>
        </w:rPr>
        <w:t xml:space="preserve"> Red Mosque.</w:t>
      </w:r>
    </w:p>
    <w:p w14:paraId="2D12A3B0" w14:textId="77777777" w:rsidR="003115A6" w:rsidRPr="003115A6" w:rsidRDefault="003115A6" w:rsidP="003115A6">
      <w:pPr>
        <w:ind w:firstLine="426"/>
        <w:jc w:val="both"/>
        <w:rPr>
          <w:rFonts w:asciiTheme="majorHAnsi" w:eastAsia="Times New Roman" w:hAnsiTheme="majorHAnsi" w:cstheme="majorHAnsi"/>
          <w:sz w:val="20"/>
          <w:szCs w:val="20"/>
          <w:lang w:eastAsia="ko-KR"/>
        </w:rPr>
      </w:pPr>
    </w:p>
    <w:tbl>
      <w:tblPr>
        <w:tblW w:w="0" w:type="auto"/>
        <w:jc w:val="center"/>
        <w:tblLook w:val="04A0" w:firstRow="1" w:lastRow="0" w:firstColumn="1" w:lastColumn="0" w:noHBand="0" w:noVBand="1"/>
      </w:tblPr>
      <w:tblGrid>
        <w:gridCol w:w="2775"/>
        <w:gridCol w:w="2631"/>
        <w:gridCol w:w="2693"/>
      </w:tblGrid>
      <w:tr w:rsidR="003115A6" w:rsidRPr="003115A6" w14:paraId="4DB27E06" w14:textId="77777777" w:rsidTr="00224F08">
        <w:trPr>
          <w:trHeight w:val="2478"/>
          <w:jc w:val="center"/>
        </w:trPr>
        <w:tc>
          <w:tcPr>
            <w:tcW w:w="2775" w:type="dxa"/>
            <w:shd w:val="clear" w:color="auto" w:fill="auto"/>
          </w:tcPr>
          <w:p w14:paraId="3F1E5474" w14:textId="77777777" w:rsidR="003115A6" w:rsidRPr="003115A6" w:rsidRDefault="003115A6" w:rsidP="00224F08">
            <w:pPr>
              <w:ind w:firstLine="426"/>
              <w:jc w:val="both"/>
              <w:rPr>
                <w:rFonts w:asciiTheme="majorHAnsi" w:eastAsia="Times New Roman" w:hAnsiTheme="majorHAnsi" w:cstheme="majorHAnsi"/>
                <w:sz w:val="20"/>
                <w:szCs w:val="20"/>
                <w:lang w:val="en-AU" w:eastAsia="ko-KR"/>
              </w:rPr>
            </w:pPr>
            <w:r w:rsidRPr="003115A6">
              <w:rPr>
                <w:rFonts w:asciiTheme="majorHAnsi" w:eastAsia="Times New Roman" w:hAnsiTheme="majorHAnsi" w:cstheme="majorHAnsi"/>
                <w:noProof/>
                <w:sz w:val="20"/>
                <w:szCs w:val="20"/>
              </w:rPr>
              <w:drawing>
                <wp:anchor distT="0" distB="0" distL="114300" distR="114300" simplePos="0" relativeHeight="251669504" behindDoc="0" locked="0" layoutInCell="1" allowOverlap="1" wp14:anchorId="1606C025" wp14:editId="1C0603CA">
                  <wp:simplePos x="0" y="0"/>
                  <wp:positionH relativeFrom="column">
                    <wp:posOffset>118745</wp:posOffset>
                  </wp:positionH>
                  <wp:positionV relativeFrom="paragraph">
                    <wp:posOffset>119380</wp:posOffset>
                  </wp:positionV>
                  <wp:extent cx="1365250" cy="1336675"/>
                  <wp:effectExtent l="0" t="0" r="635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65250" cy="1336675"/>
                          </a:xfrm>
                          <a:prstGeom prst="rect">
                            <a:avLst/>
                          </a:prstGeom>
                          <a:noFill/>
                        </pic:spPr>
                      </pic:pic>
                    </a:graphicData>
                  </a:graphic>
                  <wp14:sizeRelH relativeFrom="page">
                    <wp14:pctWidth>0</wp14:pctWidth>
                  </wp14:sizeRelH>
                  <wp14:sizeRelV relativeFrom="page">
                    <wp14:pctHeight>0</wp14:pctHeight>
                  </wp14:sizeRelV>
                </wp:anchor>
              </w:drawing>
            </w:r>
          </w:p>
          <w:p w14:paraId="099AC4DB"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117EA974"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43377AD7"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427070AF"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6E9FB699" w14:textId="77777777" w:rsidR="003115A6" w:rsidRPr="003115A6" w:rsidRDefault="003115A6" w:rsidP="00224F08">
            <w:pPr>
              <w:jc w:val="both"/>
              <w:rPr>
                <w:rFonts w:asciiTheme="majorHAnsi" w:eastAsia="Times New Roman" w:hAnsiTheme="majorHAnsi" w:cstheme="majorHAnsi"/>
                <w:sz w:val="20"/>
                <w:szCs w:val="20"/>
                <w:lang w:val="id-ID" w:eastAsia="ko-KR"/>
              </w:rPr>
            </w:pPr>
          </w:p>
          <w:p w14:paraId="04D548F5" w14:textId="77777777" w:rsidR="00415A48" w:rsidRDefault="003115A6" w:rsidP="00224F08">
            <w:pPr>
              <w:ind w:hanging="165"/>
              <w:jc w:val="both"/>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sz w:val="20"/>
                <w:szCs w:val="20"/>
                <w:lang w:val="id-ID" w:eastAsia="ko-KR"/>
              </w:rPr>
              <w:t>(</w:t>
            </w:r>
          </w:p>
          <w:p w14:paraId="48A9412A" w14:textId="77777777" w:rsidR="00415A48" w:rsidRDefault="00415A48" w:rsidP="00224F08">
            <w:pPr>
              <w:ind w:hanging="165"/>
              <w:jc w:val="both"/>
              <w:rPr>
                <w:rFonts w:asciiTheme="majorHAnsi" w:eastAsia="Times New Roman" w:hAnsiTheme="majorHAnsi" w:cstheme="majorHAnsi"/>
                <w:sz w:val="20"/>
                <w:szCs w:val="20"/>
                <w:lang w:val="id-ID" w:eastAsia="ko-KR"/>
              </w:rPr>
            </w:pPr>
          </w:p>
          <w:p w14:paraId="48204D54" w14:textId="77777777" w:rsidR="00415A48" w:rsidRDefault="00415A48" w:rsidP="00224F08">
            <w:pPr>
              <w:ind w:hanging="165"/>
              <w:jc w:val="both"/>
              <w:rPr>
                <w:rFonts w:asciiTheme="majorHAnsi" w:eastAsia="Times New Roman" w:hAnsiTheme="majorHAnsi" w:cstheme="majorHAnsi"/>
                <w:sz w:val="20"/>
                <w:szCs w:val="20"/>
                <w:lang w:val="id-ID" w:eastAsia="ko-KR"/>
              </w:rPr>
            </w:pPr>
          </w:p>
          <w:p w14:paraId="27CE927D" w14:textId="77777777" w:rsidR="00415A48" w:rsidRDefault="00415A48" w:rsidP="00415A48">
            <w:pPr>
              <w:ind w:hanging="165"/>
              <w:jc w:val="center"/>
              <w:rPr>
                <w:rFonts w:asciiTheme="majorHAnsi" w:eastAsia="Times New Roman" w:hAnsiTheme="majorHAnsi" w:cstheme="majorHAnsi"/>
                <w:sz w:val="20"/>
                <w:szCs w:val="20"/>
                <w:lang w:val="id-ID" w:eastAsia="ko-KR"/>
              </w:rPr>
            </w:pPr>
          </w:p>
          <w:p w14:paraId="002D014C" w14:textId="3AD69E33" w:rsidR="003115A6" w:rsidRPr="003115A6" w:rsidRDefault="00415A48" w:rsidP="00415A48">
            <w:pPr>
              <w:ind w:hanging="165"/>
              <w:jc w:val="center"/>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w:t>
            </w:r>
            <w:r w:rsidR="003115A6" w:rsidRPr="003115A6">
              <w:rPr>
                <w:rFonts w:asciiTheme="majorHAnsi" w:eastAsia="Times New Roman" w:hAnsiTheme="majorHAnsi" w:cstheme="majorHAnsi"/>
                <w:sz w:val="20"/>
                <w:szCs w:val="20"/>
                <w:lang w:val="id-ID" w:eastAsia="ko-KR"/>
              </w:rPr>
              <w:t>a)</w:t>
            </w:r>
          </w:p>
        </w:tc>
        <w:tc>
          <w:tcPr>
            <w:tcW w:w="2631" w:type="dxa"/>
            <w:shd w:val="clear" w:color="auto" w:fill="auto"/>
          </w:tcPr>
          <w:p w14:paraId="599781DF" w14:textId="77777777" w:rsidR="003115A6" w:rsidRPr="003115A6" w:rsidRDefault="003115A6" w:rsidP="00224F08">
            <w:pPr>
              <w:ind w:firstLine="426"/>
              <w:jc w:val="both"/>
              <w:rPr>
                <w:rFonts w:asciiTheme="majorHAnsi" w:eastAsia="Times New Roman" w:hAnsiTheme="majorHAnsi" w:cstheme="majorHAnsi"/>
                <w:sz w:val="20"/>
                <w:szCs w:val="20"/>
                <w:lang w:val="en-AU" w:eastAsia="ko-KR"/>
              </w:rPr>
            </w:pPr>
            <w:r w:rsidRPr="003115A6">
              <w:rPr>
                <w:rFonts w:asciiTheme="majorHAnsi" w:eastAsia="Times New Roman" w:hAnsiTheme="majorHAnsi" w:cstheme="majorHAnsi"/>
                <w:noProof/>
                <w:sz w:val="20"/>
                <w:szCs w:val="20"/>
              </w:rPr>
              <w:drawing>
                <wp:anchor distT="0" distB="0" distL="114300" distR="114300" simplePos="0" relativeHeight="251671552" behindDoc="0" locked="0" layoutInCell="1" allowOverlap="1" wp14:anchorId="2DCC26A3" wp14:editId="0BF31548">
                  <wp:simplePos x="0" y="0"/>
                  <wp:positionH relativeFrom="column">
                    <wp:posOffset>83820</wp:posOffset>
                  </wp:positionH>
                  <wp:positionV relativeFrom="paragraph">
                    <wp:posOffset>113030</wp:posOffset>
                  </wp:positionV>
                  <wp:extent cx="1314450" cy="134112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14450" cy="1341120"/>
                          </a:xfrm>
                          <a:prstGeom prst="rect">
                            <a:avLst/>
                          </a:prstGeom>
                          <a:noFill/>
                        </pic:spPr>
                      </pic:pic>
                    </a:graphicData>
                  </a:graphic>
                  <wp14:sizeRelH relativeFrom="page">
                    <wp14:pctWidth>0</wp14:pctWidth>
                  </wp14:sizeRelH>
                  <wp14:sizeRelV relativeFrom="page">
                    <wp14:pctHeight>0</wp14:pctHeight>
                  </wp14:sizeRelV>
                </wp:anchor>
              </w:drawing>
            </w:r>
          </w:p>
          <w:p w14:paraId="245E29DF"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4B791A6A"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7FF73C81"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4AD92590"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0782D32B" w14:textId="77777777" w:rsidR="003115A6" w:rsidRPr="003115A6" w:rsidRDefault="003115A6" w:rsidP="00224F08">
            <w:pPr>
              <w:jc w:val="both"/>
              <w:rPr>
                <w:rFonts w:asciiTheme="majorHAnsi" w:eastAsia="Times New Roman" w:hAnsiTheme="majorHAnsi" w:cstheme="majorHAnsi"/>
                <w:sz w:val="20"/>
                <w:szCs w:val="20"/>
                <w:lang w:val="id-ID" w:eastAsia="ko-KR"/>
              </w:rPr>
            </w:pPr>
          </w:p>
          <w:p w14:paraId="04D00BA9" w14:textId="77777777" w:rsidR="00415A48" w:rsidRDefault="00415A48" w:rsidP="00224F08">
            <w:pPr>
              <w:ind w:hanging="106"/>
              <w:jc w:val="both"/>
              <w:rPr>
                <w:rFonts w:asciiTheme="majorHAnsi" w:eastAsia="Times New Roman" w:hAnsiTheme="majorHAnsi" w:cstheme="majorHAnsi"/>
                <w:sz w:val="20"/>
                <w:szCs w:val="20"/>
                <w:lang w:val="id-ID" w:eastAsia="ko-KR"/>
              </w:rPr>
            </w:pPr>
          </w:p>
          <w:p w14:paraId="2ED34AC9" w14:textId="77777777" w:rsidR="00415A48" w:rsidRDefault="00415A48" w:rsidP="00224F08">
            <w:pPr>
              <w:ind w:hanging="106"/>
              <w:jc w:val="both"/>
              <w:rPr>
                <w:rFonts w:asciiTheme="majorHAnsi" w:eastAsia="Times New Roman" w:hAnsiTheme="majorHAnsi" w:cstheme="majorHAnsi"/>
                <w:sz w:val="20"/>
                <w:szCs w:val="20"/>
                <w:lang w:val="id-ID" w:eastAsia="ko-KR"/>
              </w:rPr>
            </w:pPr>
          </w:p>
          <w:p w14:paraId="4D4A1355" w14:textId="77777777" w:rsidR="00415A48" w:rsidRDefault="00415A48" w:rsidP="00224F08">
            <w:pPr>
              <w:ind w:hanging="106"/>
              <w:jc w:val="both"/>
              <w:rPr>
                <w:rFonts w:asciiTheme="majorHAnsi" w:eastAsia="Times New Roman" w:hAnsiTheme="majorHAnsi" w:cstheme="majorHAnsi"/>
                <w:sz w:val="20"/>
                <w:szCs w:val="20"/>
                <w:lang w:val="id-ID" w:eastAsia="ko-KR"/>
              </w:rPr>
            </w:pPr>
          </w:p>
          <w:p w14:paraId="4D913A60" w14:textId="77777777" w:rsidR="00415A48" w:rsidRDefault="00415A48" w:rsidP="00224F08">
            <w:pPr>
              <w:ind w:hanging="106"/>
              <w:jc w:val="both"/>
              <w:rPr>
                <w:rFonts w:asciiTheme="majorHAnsi" w:eastAsia="Times New Roman" w:hAnsiTheme="majorHAnsi" w:cstheme="majorHAnsi"/>
                <w:sz w:val="20"/>
                <w:szCs w:val="20"/>
                <w:lang w:val="id-ID" w:eastAsia="ko-KR"/>
              </w:rPr>
            </w:pPr>
          </w:p>
          <w:p w14:paraId="40EBC188" w14:textId="2DD488CF" w:rsidR="003115A6" w:rsidRPr="003115A6" w:rsidRDefault="003115A6" w:rsidP="00415A48">
            <w:pPr>
              <w:ind w:hanging="106"/>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sz w:val="20"/>
                <w:szCs w:val="20"/>
                <w:lang w:val="id-ID" w:eastAsia="ko-KR"/>
              </w:rPr>
              <w:t>(b)</w:t>
            </w:r>
          </w:p>
        </w:tc>
        <w:tc>
          <w:tcPr>
            <w:tcW w:w="2693" w:type="dxa"/>
          </w:tcPr>
          <w:p w14:paraId="2F6C5EFD"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drawing>
                <wp:anchor distT="0" distB="0" distL="114300" distR="114300" simplePos="0" relativeHeight="251673600" behindDoc="0" locked="0" layoutInCell="1" allowOverlap="1" wp14:anchorId="07842B60" wp14:editId="7480A889">
                  <wp:simplePos x="0" y="0"/>
                  <wp:positionH relativeFrom="column">
                    <wp:posOffset>211455</wp:posOffset>
                  </wp:positionH>
                  <wp:positionV relativeFrom="paragraph">
                    <wp:posOffset>121920</wp:posOffset>
                  </wp:positionV>
                  <wp:extent cx="1282700" cy="12922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b="5576"/>
                          <a:stretch>
                            <a:fillRect/>
                          </a:stretch>
                        </pic:blipFill>
                        <pic:spPr bwMode="auto">
                          <a:xfrm>
                            <a:off x="0" y="0"/>
                            <a:ext cx="1282700" cy="1292225"/>
                          </a:xfrm>
                          <a:prstGeom prst="rect">
                            <a:avLst/>
                          </a:prstGeom>
                          <a:noFill/>
                        </pic:spPr>
                      </pic:pic>
                    </a:graphicData>
                  </a:graphic>
                  <wp14:sizeRelH relativeFrom="page">
                    <wp14:pctWidth>0</wp14:pctWidth>
                  </wp14:sizeRelH>
                  <wp14:sizeRelV relativeFrom="page">
                    <wp14:pctHeight>0</wp14:pctHeight>
                  </wp14:sizeRelV>
                </wp:anchor>
              </w:drawing>
            </w:r>
          </w:p>
          <w:p w14:paraId="6B84EEEB"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65CE937F"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40FD5F28"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53384A36" w14:textId="77777777" w:rsidR="003115A6" w:rsidRPr="003115A6" w:rsidRDefault="003115A6" w:rsidP="00224F08">
            <w:pPr>
              <w:ind w:firstLine="426"/>
              <w:jc w:val="both"/>
              <w:rPr>
                <w:rFonts w:asciiTheme="majorHAnsi" w:eastAsia="Times New Roman" w:hAnsiTheme="majorHAnsi" w:cstheme="majorHAnsi"/>
                <w:sz w:val="20"/>
                <w:szCs w:val="20"/>
                <w:lang w:val="id-ID" w:eastAsia="ko-KR"/>
              </w:rPr>
            </w:pPr>
          </w:p>
          <w:p w14:paraId="3183DACD" w14:textId="77777777" w:rsidR="003115A6" w:rsidRPr="003115A6" w:rsidRDefault="003115A6" w:rsidP="00224F08">
            <w:pPr>
              <w:jc w:val="both"/>
              <w:rPr>
                <w:rFonts w:asciiTheme="majorHAnsi" w:eastAsia="Times New Roman" w:hAnsiTheme="majorHAnsi" w:cstheme="majorHAnsi"/>
                <w:sz w:val="20"/>
                <w:szCs w:val="20"/>
                <w:lang w:val="id-ID" w:eastAsia="ko-KR"/>
              </w:rPr>
            </w:pPr>
          </w:p>
          <w:p w14:paraId="6451CE34" w14:textId="77777777" w:rsidR="00415A48" w:rsidRDefault="00415A48" w:rsidP="00224F08">
            <w:pPr>
              <w:jc w:val="both"/>
              <w:rPr>
                <w:rFonts w:asciiTheme="majorHAnsi" w:eastAsia="Times New Roman" w:hAnsiTheme="majorHAnsi" w:cstheme="majorHAnsi"/>
                <w:sz w:val="20"/>
                <w:szCs w:val="20"/>
                <w:lang w:val="id-ID" w:eastAsia="ko-KR"/>
              </w:rPr>
            </w:pPr>
          </w:p>
          <w:p w14:paraId="5D962680" w14:textId="77777777" w:rsidR="00415A48" w:rsidRDefault="00415A48" w:rsidP="00224F08">
            <w:pPr>
              <w:jc w:val="both"/>
              <w:rPr>
                <w:rFonts w:asciiTheme="majorHAnsi" w:eastAsia="Times New Roman" w:hAnsiTheme="majorHAnsi" w:cstheme="majorHAnsi"/>
                <w:sz w:val="20"/>
                <w:szCs w:val="20"/>
                <w:lang w:val="id-ID" w:eastAsia="ko-KR"/>
              </w:rPr>
            </w:pPr>
          </w:p>
          <w:p w14:paraId="683A3E1E" w14:textId="77777777" w:rsidR="00415A48" w:rsidRDefault="00415A48" w:rsidP="00224F08">
            <w:pPr>
              <w:jc w:val="both"/>
              <w:rPr>
                <w:rFonts w:asciiTheme="majorHAnsi" w:eastAsia="Times New Roman" w:hAnsiTheme="majorHAnsi" w:cstheme="majorHAnsi"/>
                <w:sz w:val="20"/>
                <w:szCs w:val="20"/>
                <w:lang w:val="id-ID" w:eastAsia="ko-KR"/>
              </w:rPr>
            </w:pPr>
          </w:p>
          <w:p w14:paraId="1D7F2DE2" w14:textId="77777777" w:rsidR="00415A48" w:rsidRDefault="00415A48" w:rsidP="00224F08">
            <w:pPr>
              <w:jc w:val="both"/>
              <w:rPr>
                <w:rFonts w:asciiTheme="majorHAnsi" w:eastAsia="Times New Roman" w:hAnsiTheme="majorHAnsi" w:cstheme="majorHAnsi"/>
                <w:sz w:val="20"/>
                <w:szCs w:val="20"/>
                <w:lang w:val="id-ID" w:eastAsia="ko-KR"/>
              </w:rPr>
            </w:pPr>
          </w:p>
          <w:p w14:paraId="2A6DB481" w14:textId="1D6DEF39" w:rsidR="003115A6" w:rsidRPr="003115A6" w:rsidRDefault="003115A6" w:rsidP="00415A48">
            <w:pPr>
              <w:jc w:val="center"/>
              <w:rPr>
                <w:rFonts w:asciiTheme="majorHAnsi" w:eastAsia="Times New Roman" w:hAnsiTheme="majorHAnsi" w:cstheme="majorHAnsi"/>
                <w:sz w:val="20"/>
                <w:szCs w:val="20"/>
                <w:lang w:val="en-AU" w:eastAsia="ko-KR"/>
              </w:rPr>
            </w:pPr>
            <w:r w:rsidRPr="003115A6">
              <w:rPr>
                <w:rFonts w:asciiTheme="majorHAnsi" w:eastAsia="Times New Roman" w:hAnsiTheme="majorHAnsi" w:cstheme="majorHAnsi"/>
                <w:sz w:val="20"/>
                <w:szCs w:val="20"/>
                <w:lang w:val="id-ID" w:eastAsia="ko-KR"/>
              </w:rPr>
              <w:t>(</w:t>
            </w:r>
            <w:r w:rsidRPr="003115A6">
              <w:rPr>
                <w:rFonts w:asciiTheme="majorHAnsi" w:eastAsia="Times New Roman" w:hAnsiTheme="majorHAnsi" w:cstheme="majorHAnsi"/>
                <w:sz w:val="20"/>
                <w:szCs w:val="20"/>
                <w:lang w:eastAsia="ko-KR"/>
              </w:rPr>
              <w:t>c</w:t>
            </w:r>
            <w:r w:rsidRPr="003115A6">
              <w:rPr>
                <w:rFonts w:asciiTheme="majorHAnsi" w:eastAsia="Times New Roman" w:hAnsiTheme="majorHAnsi" w:cstheme="majorHAnsi"/>
                <w:sz w:val="20"/>
                <w:szCs w:val="20"/>
                <w:lang w:val="id-ID" w:eastAsia="ko-KR"/>
              </w:rPr>
              <w:t>)</w:t>
            </w:r>
          </w:p>
        </w:tc>
      </w:tr>
    </w:tbl>
    <w:p w14:paraId="42470666" w14:textId="77777777" w:rsidR="00AF1A5D" w:rsidRDefault="00AF1A5D" w:rsidP="003115A6">
      <w:pPr>
        <w:ind w:firstLine="426"/>
        <w:jc w:val="center"/>
        <w:rPr>
          <w:rFonts w:asciiTheme="majorHAnsi" w:eastAsia="Times New Roman" w:hAnsiTheme="majorHAnsi" w:cstheme="majorHAnsi"/>
          <w:bCs/>
          <w:sz w:val="16"/>
          <w:szCs w:val="16"/>
          <w:lang w:eastAsia="ko-KR"/>
        </w:rPr>
      </w:pPr>
    </w:p>
    <w:p w14:paraId="539978C1" w14:textId="525FC4F7" w:rsidR="003115A6" w:rsidRPr="00AF1A5D" w:rsidRDefault="003115A6" w:rsidP="003115A6">
      <w:pPr>
        <w:ind w:firstLine="426"/>
        <w:jc w:val="center"/>
        <w:rPr>
          <w:rFonts w:asciiTheme="majorHAnsi" w:eastAsia="Times New Roman" w:hAnsiTheme="majorHAnsi" w:cstheme="majorHAnsi"/>
          <w:bCs/>
          <w:sz w:val="16"/>
          <w:szCs w:val="16"/>
          <w:lang w:eastAsia="ko-KR"/>
        </w:rPr>
      </w:pPr>
      <w:r w:rsidRPr="00AF1A5D">
        <w:rPr>
          <w:rFonts w:asciiTheme="majorHAnsi" w:eastAsia="Times New Roman" w:hAnsiTheme="majorHAnsi" w:cstheme="majorHAnsi"/>
          <w:bCs/>
          <w:sz w:val="16"/>
          <w:szCs w:val="16"/>
          <w:lang w:eastAsia="ko-KR"/>
        </w:rPr>
        <w:t xml:space="preserve">Figure 10. Flowers and flowers in a vase </w:t>
      </w:r>
      <w:r w:rsidR="00415A48" w:rsidRPr="00415A48">
        <w:rPr>
          <w:rFonts w:asciiTheme="majorHAnsi" w:eastAsia="Times New Roman" w:hAnsiTheme="majorHAnsi" w:cstheme="majorHAnsi"/>
          <w:sz w:val="16"/>
          <w:szCs w:val="16"/>
          <w:lang w:eastAsia="ko-KR"/>
        </w:rPr>
        <w:t>[documentation by authors]</w:t>
      </w:r>
    </w:p>
    <w:p w14:paraId="41BA7661" w14:textId="77777777" w:rsidR="003115A6" w:rsidRPr="003115A6" w:rsidRDefault="003115A6" w:rsidP="003115A6">
      <w:pPr>
        <w:ind w:firstLine="426"/>
        <w:jc w:val="both"/>
        <w:rPr>
          <w:rFonts w:asciiTheme="majorHAnsi" w:eastAsia="Times New Roman" w:hAnsiTheme="majorHAnsi" w:cstheme="majorHAnsi"/>
          <w:sz w:val="20"/>
          <w:szCs w:val="20"/>
          <w:lang w:eastAsia="ko-KR"/>
        </w:rPr>
      </w:pPr>
    </w:p>
    <w:p w14:paraId="295C4127" w14:textId="77777777" w:rsidR="003115A6" w:rsidRPr="003115A6" w:rsidRDefault="003115A6" w:rsidP="00AF1A5D">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In China, the lotus flower decorative motif is widely used. It symbolizes the five identification signs of embodiment: thoughts, feelings, vision, wisdom, and consciousness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{"citationItems":[{"id":"ITEM-1","itemData":{"author":[{"dropping-particle":"","family":"Sunaryo","given":"A","non-dropping-particle":"","parse-names":false,"suffix":""}],"id":"ITEM-1","issued":{"date-parts":[["2009"]]},"publisher":"Dahara Prize","publisher-place":"Semarang","title":"Ornamen nusantara: Kajian khusus tentang ornamen Indonesia","type":"book"},"uris":["http://www.mendeley.com/documents/?uuid=084d6206-086b-4380-a43e-eccea5b9b502"]}],"mendeley":{"formattedCitation":"[40]","plainTextFormattedCitation":"[40]","previouslyFormattedCitation":"[40]"},"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[38]</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Additionally, the floral motifs on the vase, the porcelain contains images of dragons, including snakes, the most important animals as symbols of the underworld, and ornaments in the archipelago. As an ornamental motif, it is certain that it has been around for a long time and existed before the Hindu era in Indonesia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{"citationItems":[{"id":"ITEM-1","itemData":{"author":[{"dropping-particle":"","family":"Hoop","given":"","non-dropping-particle":"Van der","parse-names":false,"suffix":""}],"id":"ITEM-1","issued":{"date-parts":[["1949"]]},"publisher":"Royal Batavian Society Of Arts and Sciences)","title":"Indonesche Siermotiven. Koninklijk Bataviaasch Genootschap van Kunsten en Wetenchappen (Indonesian Ornamental Motifs)","type":"book"},"uris":["http://www.mendeley.com/documents/?uuid=0d353bd0-acd6-47f4-b27d-91b77b9df97f"]}],"mendeley":{"formattedCitation":"[41]","plainTextFormattedCitation":"[41]","previouslyFormattedCitation":"[41]"},"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[39]</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In addition to symbolizing the underworld, dragons symbolize water, fertility, women, and supernatural powers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{"citationItems":[{"id":"ITEM-1","itemData":{"DOI":"10.35760/dk.2019.v18i2.2581","ISSN":"0216-4086","abstract":"Masjid Agung Sang Cipta Rasa yang terletak di sisi barat alun-alun di depan Keraton Kasepuhan Cirebon merupakan salah satu masjid tertua yang ada di Pulau Jawa sebagai peninggalan dari bukti penyebaran agama Islam oleh para Walisongo di Pulau Jawa. Bukti fisik bangunan dari segi arsitektur mempunyai nilai simbolis dan historis dari pengaruh Islam di Cirebon. Penelitian ini dilakukan dengan metode deskriptif dengan menggunakan teori akulturasi dan makna pada elemen arsitektural berupa ornamentasi pada interior peninggalan bangunan masjid bersejarah. Dan secara arsitektural membahas masjid dengan pendekatan dari pengaruh akulturasi dari Hindu, Budha dan Islam terhadap ornament pada masjid, dengan demikian teori dan metodologi yang digunakan dapat menangkap fenomena akulturasi dalam arsitektur masjid ini melalui penelusuran masjid sebagai Peninggalan arsitektur islam dan dalam proses pengaruh budaya nusantara pada ornamentasi pada bangunan masjid. Analisis data mencakupi: (1) indentifikasi unsur artistik dari objek (seni hias Teratai pada Mihrab bangunan Masjid Agung Sang Cipta Rasa), konfigurasi elemen rupa dan bentuk, dan kaitannya dengan pengaruh dari Hindu-Budha-Mesir ; (2) tahap interpretasi makna ornamen, yaitu pengaruh akulturasi dengan pertimbangan berbagai gejala visual. Dapat dibuat kesimpulan bahwa memang dari tahun pembuatannya, Masjid Sang Cipta Rasa dibangun pada 1489 M, pada masa itua dalah masa peralihan masa pra-Islam ketika Jawa masih dikuasai Mataram Hindu ke masa Kerajaan Raja-raja Islam dengan persebaran agam Islam melalui para Walisongo di Pulau Jawa. Dimasa peralihan inilah masjid dibangun dengan toleransi kepada kebudayaan sekitar yaitu terlihat dengan masih adanya pengaruh Hindu Budha Mesir pada tampilan ornament bunga Teratai pada masjid ini.","author":[{"dropping-particle":"","family":"Schiffer","given":"Lia Rosmala","non-dropping-particle":"","parse-names":false,"suffix":""},{"dropping-particle":"","family":"Suprapti","given":"Atiek","non-dropping-particle":"","parse-names":false,"suffix":""},{"dropping-particle":"","family":"Rukayah","given":"R. Siti","non-dropping-particle":"","parse-names":false,"suffix":""},{"dropping-particle":"","family":"Nugraha","given":"Yudi","non-dropping-particle":"","parse-names":false,"suffix":""}],"container-title":"Jurnal Ilmiah Desain &amp; Konstruksi","id":"ITEM-1","issue":"2","issued":{"date-parts":[["2019"]]},"page":"124-139","title":"Pengaruh Akulturasi Pada Makna Ornamen Bunga Teratai Di Mihrab Masjid Sang Cipta Rasa Cirebon","type":"article-journal","volume":"18"},"uris":["http://www.mendeley.com/documents/?uuid=d45b4341-f54e-447c-a6ff-979abd553268"]},{"id":"ITEM-2","itemData":{"author":[{"dropping-particle":"","family":"Sunaryo","given":"A","non-dropping-particle":"","parse-names":false,"suffix":""}],"id":"ITEM-2","issued":{"date-parts":[["2009"]]},"publisher":"Dahara Prize","publisher-place":"Semarang","title":"Ornamen nusantara: Kajian khusus tentang ornamen Indonesia","type":"book"},"uris":["http://www.mendeley.com/documents/?uuid=084d6206-086b-4380-a43e-eccea5b9b502"]}],"mendeley":{"formattedCitation":"[38], [40]","plainTextFormattedCitation":"[38], [40]","previouslyFormattedCitation":"[38], [40]"},"properties":{"noteIndex":0},"schema":"https://github.com/citation-style-language/schema/raw/master/csl-citation.json"}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[36] [38]</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w:t>
      </w:r>
    </w:p>
    <w:p w14:paraId="15F55366" w14:textId="77777777" w:rsidR="003115A6" w:rsidRPr="003115A6" w:rsidRDefault="003115A6" w:rsidP="003115A6">
      <w:pPr>
        <w:ind w:firstLine="426"/>
        <w:jc w:val="both"/>
        <w:rPr>
          <w:rFonts w:asciiTheme="majorHAnsi" w:eastAsia="Times New Roman" w:hAnsiTheme="majorHAnsi" w:cstheme="majorHAnsi"/>
          <w:sz w:val="20"/>
          <w:szCs w:val="20"/>
          <w:lang w:eastAsia="ko-KR"/>
        </w:rPr>
      </w:pPr>
    </w:p>
    <w:tbl>
      <w:tblPr>
        <w:tblW w:w="0" w:type="auto"/>
        <w:jc w:val="center"/>
        <w:tblLook w:val="04A0" w:firstRow="1" w:lastRow="0" w:firstColumn="1" w:lastColumn="0" w:noHBand="0" w:noVBand="1"/>
      </w:tblPr>
      <w:tblGrid>
        <w:gridCol w:w="2693"/>
        <w:gridCol w:w="2653"/>
        <w:gridCol w:w="2704"/>
      </w:tblGrid>
      <w:tr w:rsidR="003115A6" w:rsidRPr="00A07FF9" w14:paraId="7B5FE709" w14:textId="77777777" w:rsidTr="00A07FF9">
        <w:trPr>
          <w:trHeight w:val="2352"/>
          <w:jc w:val="center"/>
        </w:trPr>
        <w:tc>
          <w:tcPr>
            <w:tcW w:w="2693" w:type="dxa"/>
            <w:shd w:val="clear" w:color="auto" w:fill="auto"/>
          </w:tcPr>
          <w:p w14:paraId="7F8D276C" w14:textId="77777777" w:rsidR="003115A6" w:rsidRDefault="003115A6" w:rsidP="00224F08">
            <w:pPr>
              <w:ind w:firstLine="426"/>
              <w:jc w:val="both"/>
              <w:rPr>
                <w:rFonts w:asciiTheme="majorHAnsi" w:eastAsia="Times New Roman" w:hAnsiTheme="majorHAnsi" w:cstheme="majorHAnsi"/>
                <w:bCs/>
                <w:sz w:val="16"/>
                <w:szCs w:val="16"/>
                <w:lang w:val="id-ID" w:eastAsia="ko-KR"/>
              </w:rPr>
            </w:pPr>
            <w:r w:rsidRPr="00A07FF9">
              <w:rPr>
                <w:rFonts w:asciiTheme="majorHAnsi" w:eastAsia="Times New Roman" w:hAnsiTheme="majorHAnsi" w:cstheme="majorHAnsi"/>
                <w:bCs/>
                <w:noProof/>
                <w:sz w:val="16"/>
                <w:szCs w:val="16"/>
              </w:rPr>
              <w:drawing>
                <wp:inline distT="0" distB="0" distL="0" distR="0" wp14:anchorId="06CE857C" wp14:editId="3631B721">
                  <wp:extent cx="1154882" cy="1146810"/>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r="2122" b="3590"/>
                          <a:stretch>
                            <a:fillRect/>
                          </a:stretch>
                        </pic:blipFill>
                        <pic:spPr bwMode="auto">
                          <a:xfrm>
                            <a:off x="0" y="0"/>
                            <a:ext cx="1160327" cy="1152217"/>
                          </a:xfrm>
                          <a:prstGeom prst="rect">
                            <a:avLst/>
                          </a:prstGeom>
                          <a:noFill/>
                        </pic:spPr>
                      </pic:pic>
                    </a:graphicData>
                  </a:graphic>
                </wp:inline>
              </w:drawing>
            </w:r>
          </w:p>
          <w:p w14:paraId="4DF689C3" w14:textId="77777777" w:rsidR="00A07FF9" w:rsidRDefault="00A07FF9" w:rsidP="00224F08">
            <w:pPr>
              <w:ind w:firstLine="426"/>
              <w:jc w:val="both"/>
              <w:rPr>
                <w:rFonts w:asciiTheme="majorHAnsi" w:eastAsia="Times New Roman" w:hAnsiTheme="majorHAnsi" w:cstheme="majorHAnsi"/>
                <w:bCs/>
                <w:sz w:val="16"/>
                <w:szCs w:val="16"/>
                <w:lang w:val="id-ID" w:eastAsia="ko-KR"/>
              </w:rPr>
            </w:pPr>
          </w:p>
          <w:p w14:paraId="02EBF188" w14:textId="6810FFFE" w:rsidR="00A07FF9" w:rsidRPr="00A07FF9" w:rsidRDefault="00A07FF9" w:rsidP="00A07FF9">
            <w:pPr>
              <w:jc w:val="center"/>
              <w:rPr>
                <w:rFonts w:asciiTheme="majorHAnsi" w:eastAsia="Times New Roman" w:hAnsiTheme="majorHAnsi" w:cstheme="majorHAnsi"/>
                <w:bCs/>
                <w:sz w:val="16"/>
                <w:szCs w:val="16"/>
                <w:lang w:val="id-ID" w:eastAsia="ko-KR"/>
              </w:rPr>
            </w:pPr>
            <w:r>
              <w:rPr>
                <w:rFonts w:asciiTheme="majorHAnsi" w:eastAsia="Times New Roman" w:hAnsiTheme="majorHAnsi" w:cstheme="majorHAnsi"/>
                <w:bCs/>
                <w:sz w:val="16"/>
                <w:szCs w:val="16"/>
                <w:lang w:val="id-ID" w:eastAsia="ko-KR"/>
              </w:rPr>
              <w:t>(a)</w:t>
            </w:r>
          </w:p>
        </w:tc>
        <w:tc>
          <w:tcPr>
            <w:tcW w:w="2653" w:type="dxa"/>
            <w:shd w:val="clear" w:color="auto" w:fill="auto"/>
          </w:tcPr>
          <w:p w14:paraId="309D972B" w14:textId="77777777" w:rsidR="003115A6" w:rsidRPr="00A07FF9" w:rsidRDefault="003115A6" w:rsidP="00224F08">
            <w:pPr>
              <w:ind w:firstLine="426"/>
              <w:jc w:val="both"/>
              <w:rPr>
                <w:rFonts w:asciiTheme="majorHAnsi" w:eastAsia="Times New Roman" w:hAnsiTheme="majorHAnsi" w:cstheme="majorHAnsi"/>
                <w:bCs/>
                <w:sz w:val="16"/>
                <w:szCs w:val="16"/>
                <w:lang w:val="en-AU" w:eastAsia="ko-KR"/>
              </w:rPr>
            </w:pPr>
            <w:r w:rsidRPr="00A07FF9">
              <w:rPr>
                <w:rFonts w:asciiTheme="majorHAnsi" w:eastAsia="Times New Roman" w:hAnsiTheme="majorHAnsi" w:cstheme="majorHAnsi"/>
                <w:bCs/>
                <w:noProof/>
                <w:sz w:val="16"/>
                <w:szCs w:val="16"/>
              </w:rPr>
              <w:drawing>
                <wp:inline distT="0" distB="0" distL="0" distR="0" wp14:anchorId="2796638F" wp14:editId="55777B5D">
                  <wp:extent cx="1162050" cy="114681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2050" cy="1146810"/>
                          </a:xfrm>
                          <a:prstGeom prst="rect">
                            <a:avLst/>
                          </a:prstGeom>
                          <a:noFill/>
                        </pic:spPr>
                      </pic:pic>
                    </a:graphicData>
                  </a:graphic>
                </wp:inline>
              </w:drawing>
            </w:r>
          </w:p>
          <w:p w14:paraId="28BD1F45" w14:textId="77777777" w:rsidR="003115A6" w:rsidRPr="00A07FF9" w:rsidRDefault="003115A6" w:rsidP="00224F08">
            <w:pPr>
              <w:ind w:firstLine="426"/>
              <w:jc w:val="both"/>
              <w:rPr>
                <w:rFonts w:asciiTheme="majorHAnsi" w:eastAsia="Times New Roman" w:hAnsiTheme="majorHAnsi" w:cstheme="majorHAnsi"/>
                <w:bCs/>
                <w:sz w:val="16"/>
                <w:szCs w:val="16"/>
                <w:lang w:val="id-ID" w:eastAsia="ko-KR"/>
              </w:rPr>
            </w:pPr>
          </w:p>
          <w:p w14:paraId="63746782" w14:textId="38AFDBDB" w:rsidR="003115A6" w:rsidRPr="00A07FF9" w:rsidRDefault="00A07FF9" w:rsidP="00A07FF9">
            <w:pPr>
              <w:ind w:hanging="106"/>
              <w:jc w:val="center"/>
              <w:rPr>
                <w:rFonts w:asciiTheme="majorHAnsi" w:eastAsia="Times New Roman" w:hAnsiTheme="majorHAnsi" w:cstheme="majorHAnsi"/>
                <w:bCs/>
                <w:sz w:val="16"/>
                <w:szCs w:val="16"/>
                <w:lang w:val="id-ID" w:eastAsia="ko-KR"/>
              </w:rPr>
            </w:pPr>
            <w:r>
              <w:rPr>
                <w:rFonts w:asciiTheme="majorHAnsi" w:eastAsia="Times New Roman" w:hAnsiTheme="majorHAnsi" w:cstheme="majorHAnsi"/>
                <w:bCs/>
                <w:sz w:val="16"/>
                <w:szCs w:val="16"/>
                <w:lang w:val="id-ID" w:eastAsia="ko-KR"/>
              </w:rPr>
              <w:t>(b)</w:t>
            </w:r>
          </w:p>
        </w:tc>
        <w:tc>
          <w:tcPr>
            <w:tcW w:w="2704" w:type="dxa"/>
          </w:tcPr>
          <w:p w14:paraId="03B3D739" w14:textId="61BD73E9" w:rsidR="003115A6" w:rsidRPr="00A07FF9" w:rsidRDefault="003115A6" w:rsidP="00224F08">
            <w:pPr>
              <w:ind w:firstLine="426"/>
              <w:jc w:val="both"/>
              <w:rPr>
                <w:rFonts w:asciiTheme="majorHAnsi" w:eastAsia="Times New Roman" w:hAnsiTheme="majorHAnsi" w:cstheme="majorHAnsi"/>
                <w:bCs/>
                <w:sz w:val="16"/>
                <w:szCs w:val="16"/>
                <w:lang w:val="id-ID" w:eastAsia="ko-KR"/>
              </w:rPr>
            </w:pPr>
            <w:r w:rsidRPr="00A07FF9">
              <w:rPr>
                <w:rFonts w:asciiTheme="majorHAnsi" w:eastAsia="Times New Roman" w:hAnsiTheme="majorHAnsi" w:cstheme="majorHAnsi"/>
                <w:bCs/>
                <w:noProof/>
                <w:sz w:val="16"/>
                <w:szCs w:val="16"/>
              </w:rPr>
              <w:drawing>
                <wp:inline distT="0" distB="0" distL="0" distR="0" wp14:anchorId="01DB9088" wp14:editId="5CBDF4AC">
                  <wp:extent cx="1131322" cy="11468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31709" cy="1147202"/>
                          </a:xfrm>
                          <a:prstGeom prst="rect">
                            <a:avLst/>
                          </a:prstGeom>
                          <a:noFill/>
                        </pic:spPr>
                      </pic:pic>
                    </a:graphicData>
                  </a:graphic>
                </wp:inline>
              </w:drawing>
            </w:r>
          </w:p>
          <w:p w14:paraId="255455E3" w14:textId="77777777" w:rsidR="003115A6" w:rsidRPr="00A07FF9" w:rsidRDefault="003115A6" w:rsidP="00224F08">
            <w:pPr>
              <w:ind w:firstLine="426"/>
              <w:jc w:val="both"/>
              <w:rPr>
                <w:rFonts w:asciiTheme="majorHAnsi" w:eastAsia="Times New Roman" w:hAnsiTheme="majorHAnsi" w:cstheme="majorHAnsi"/>
                <w:bCs/>
                <w:sz w:val="16"/>
                <w:szCs w:val="16"/>
                <w:lang w:val="id-ID" w:eastAsia="ko-KR"/>
              </w:rPr>
            </w:pPr>
          </w:p>
          <w:p w14:paraId="794F89A1" w14:textId="0FB4F3CE" w:rsidR="003115A6" w:rsidRPr="00A07FF9" w:rsidRDefault="00A07FF9" w:rsidP="00A07FF9">
            <w:pPr>
              <w:jc w:val="center"/>
              <w:rPr>
                <w:rFonts w:asciiTheme="majorHAnsi" w:eastAsia="Times New Roman" w:hAnsiTheme="majorHAnsi" w:cstheme="majorHAnsi"/>
                <w:bCs/>
                <w:sz w:val="16"/>
                <w:szCs w:val="16"/>
                <w:lang w:val="en-AU" w:eastAsia="ko-KR"/>
              </w:rPr>
            </w:pPr>
            <w:r>
              <w:rPr>
                <w:rFonts w:asciiTheme="majorHAnsi" w:eastAsia="Times New Roman" w:hAnsiTheme="majorHAnsi" w:cstheme="majorHAnsi"/>
                <w:bCs/>
                <w:sz w:val="16"/>
                <w:szCs w:val="16"/>
                <w:lang w:val="en-AU" w:eastAsia="ko-KR"/>
              </w:rPr>
              <w:t>(c)</w:t>
            </w:r>
          </w:p>
        </w:tc>
      </w:tr>
    </w:tbl>
    <w:p w14:paraId="15B8E3D4" w14:textId="193EE928" w:rsidR="003115A6" w:rsidRPr="00A07FF9" w:rsidRDefault="003115A6" w:rsidP="00A07FF9">
      <w:pPr>
        <w:jc w:val="center"/>
        <w:rPr>
          <w:rFonts w:asciiTheme="majorHAnsi" w:eastAsia="Times New Roman" w:hAnsiTheme="majorHAnsi" w:cstheme="majorHAnsi"/>
          <w:bCs/>
          <w:sz w:val="16"/>
          <w:szCs w:val="16"/>
          <w:lang w:eastAsia="ko-KR"/>
        </w:rPr>
      </w:pPr>
      <w:r w:rsidRPr="00A07FF9">
        <w:rPr>
          <w:rFonts w:asciiTheme="majorHAnsi" w:eastAsia="Times New Roman" w:hAnsiTheme="majorHAnsi" w:cstheme="majorHAnsi"/>
          <w:bCs/>
          <w:sz w:val="16"/>
          <w:szCs w:val="16"/>
          <w:lang w:eastAsia="ko-KR"/>
        </w:rPr>
        <w:t>Figure 11. Pagoda Buildings and Views</w:t>
      </w:r>
      <w:r w:rsidR="00A07FF9">
        <w:rPr>
          <w:rFonts w:asciiTheme="majorHAnsi" w:eastAsia="Times New Roman" w:hAnsiTheme="majorHAnsi" w:cstheme="majorHAnsi"/>
          <w:bCs/>
          <w:sz w:val="16"/>
          <w:szCs w:val="16"/>
          <w:lang w:eastAsia="ko-KR"/>
        </w:rPr>
        <w:t xml:space="preserve"> [</w:t>
      </w:r>
      <w:r w:rsidRPr="00A07FF9">
        <w:rPr>
          <w:rFonts w:asciiTheme="majorHAnsi" w:eastAsia="Times New Roman" w:hAnsiTheme="majorHAnsi" w:cstheme="majorHAnsi"/>
          <w:bCs/>
          <w:sz w:val="16"/>
          <w:szCs w:val="16"/>
          <w:lang w:eastAsia="ko-KR"/>
        </w:rPr>
        <w:t>documentation by the authors)</w:t>
      </w:r>
    </w:p>
    <w:p w14:paraId="7108ED77" w14:textId="77777777" w:rsidR="003115A6" w:rsidRPr="003115A6" w:rsidRDefault="003115A6" w:rsidP="003115A6">
      <w:pPr>
        <w:ind w:firstLine="426"/>
        <w:jc w:val="both"/>
        <w:rPr>
          <w:rFonts w:asciiTheme="majorHAnsi" w:eastAsia="Times New Roman" w:hAnsiTheme="majorHAnsi" w:cstheme="majorHAnsi"/>
          <w:sz w:val="20"/>
          <w:szCs w:val="20"/>
          <w:lang w:eastAsia="ko-KR"/>
        </w:rPr>
      </w:pPr>
    </w:p>
    <w:p w14:paraId="7E8AE9EF" w14:textId="2C4B3525" w:rsidR="003115A6" w:rsidRPr="003115A6" w:rsidRDefault="003115A6" w:rsidP="00A07FF9">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An extraordinarily beautiful dragon-shaped ornament made of bronze was found in a water gutter in </w:t>
      </w:r>
      <w:proofErr w:type="spellStart"/>
      <w:r w:rsidRPr="003115A6">
        <w:rPr>
          <w:rFonts w:asciiTheme="majorHAnsi" w:eastAsia="Times New Roman" w:hAnsiTheme="majorHAnsi" w:cstheme="majorHAnsi"/>
          <w:sz w:val="20"/>
          <w:szCs w:val="20"/>
          <w:lang w:eastAsia="ko-KR"/>
        </w:rPr>
        <w:t>Sunyaragi</w:t>
      </w:r>
      <w:proofErr w:type="spellEnd"/>
      <w:r w:rsidRPr="003115A6">
        <w:rPr>
          <w:rFonts w:asciiTheme="majorHAnsi" w:eastAsia="Times New Roman" w:hAnsiTheme="majorHAnsi" w:cstheme="majorHAnsi"/>
          <w:sz w:val="20"/>
          <w:szCs w:val="20"/>
          <w:lang w:eastAsia="ko-KR"/>
        </w:rPr>
        <w:t xml:space="preserve"> Park, Cirebon Sultanate. As many people know, dragons are also mythical animals in China. The Chinese-style dragon motif is generally depicted as not having a crown, but its head has horns, a beard, and antennae coming out of its snout. Furthermore, its body from the neck, back, to the tail has fins and four legs </w:t>
      </w:r>
      <w:r w:rsidRPr="003115A6">
        <w:rPr>
          <w:rFonts w:asciiTheme="majorHAnsi" w:eastAsia="Times New Roman" w:hAnsiTheme="majorHAnsi" w:cstheme="majorHAnsi"/>
          <w:sz w:val="20"/>
          <w:szCs w:val="20"/>
          <w:lang w:eastAsia="ko-KR"/>
        </w:rPr>
        <w:lastRenderedPageBreak/>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{"citationItems":[{"id":"ITEM-1","itemData":{"author":[{"dropping-particle":"","family":"Sunaryo","given":"A","non-dropping-particle":"","parse-names":false,"suffix":""}],"id":"ITEM-1","issued":{"date-parts":[["2009"]]},"publisher":"Dahara Prize","publisher-place":"Semarang","title":"Ornamen nusantara: Kajian khusus tentang ornamen Indonesia","type":"book"},"uris":["http://www.mendeley.com/documents/?uuid=084d6206-086b-4380-a43e-eccea5b9b502"]}],"mendeley":{"formattedCitation":"[40]","plainTextFormattedCitation":"[40]","previouslyFormattedCitation":"[40]"},"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[38]</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Ornaments depicting scenes can also be found during the Islamic period. In Cirebon, there are wood carvings with decorative landscape motifs dominated by mountain motifs. The motif of trees between the hills is reminiscent of the Chinese carving style.</w:t>
      </w:r>
    </w:p>
    <w:p w14:paraId="323D71D5" w14:textId="77777777" w:rsidR="003115A6" w:rsidRPr="003115A6" w:rsidRDefault="003115A6" w:rsidP="00A07FF9">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The mosque's interior walls are decorated with ornaments, architectural decorations, handicrafts, and so on. The decorations are made (drawn or carved) on temples (churches or other buildings). Thus, the square part has its roof, supported by four main pillars. These four pillars, which stand in the middle and are the main support for the roof, are called "</w:t>
      </w:r>
      <w:proofErr w:type="spellStart"/>
      <w:r w:rsidRPr="003115A6">
        <w:rPr>
          <w:rFonts w:asciiTheme="majorHAnsi" w:eastAsia="Times New Roman" w:hAnsiTheme="majorHAnsi" w:cstheme="majorHAnsi"/>
          <w:sz w:val="20"/>
          <w:szCs w:val="20"/>
          <w:lang w:eastAsia="ko-KR"/>
        </w:rPr>
        <w:t>soko</w:t>
      </w:r>
      <w:proofErr w:type="spellEnd"/>
      <w:r w:rsidRPr="003115A6">
        <w:rPr>
          <w:rFonts w:asciiTheme="majorHAnsi" w:eastAsia="Times New Roman" w:hAnsiTheme="majorHAnsi" w:cstheme="majorHAnsi"/>
          <w:sz w:val="20"/>
          <w:szCs w:val="20"/>
          <w:lang w:eastAsia="ko-KR"/>
        </w:rPr>
        <w:t xml:space="preserve"> guru"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Soekmono","given":"R","non-dropping-particle":"","parse-names":false,"suffix":""}],"id":"ITEM-1","issued":{"date-parts":[["1981"]]},"publisher":"Kanisius","publisher-place":"Yogyakarta","title":"Pengantar Sejarah Kebudayaan Indonesia jilid 3","type":"book"},"uris":["http://www.mendeley.com/documents/?uuid=af7390d8-8ed5-4599-bf50-4b7fc77a89bd"]}],"mendeley":{"formattedCitation":"[33]","plainTextFormattedCitation":"[33]","previouslyFormattedCitation":"[33]"},"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[31]</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The decoration of mosques in Indonesia is also diverse, consisting of carvings with geometric motifs and calligraphy. The parts of the pole are decorated with carvings with geometric motifs and symbolic motifs. The outer walls of the mihrab room are not </w:t>
      </w:r>
      <w:proofErr w:type="gramStart"/>
      <w:r w:rsidRPr="003115A6">
        <w:rPr>
          <w:rFonts w:asciiTheme="majorHAnsi" w:eastAsia="Times New Roman" w:hAnsiTheme="majorHAnsi" w:cstheme="majorHAnsi"/>
          <w:sz w:val="20"/>
          <w:szCs w:val="20"/>
          <w:lang w:eastAsia="ko-KR"/>
        </w:rPr>
        <w:t>plain;</w:t>
      </w:r>
      <w:proofErr w:type="gramEnd"/>
      <w:r w:rsidRPr="003115A6">
        <w:rPr>
          <w:rFonts w:asciiTheme="majorHAnsi" w:eastAsia="Times New Roman" w:hAnsiTheme="majorHAnsi" w:cstheme="majorHAnsi"/>
          <w:sz w:val="20"/>
          <w:szCs w:val="20"/>
          <w:lang w:eastAsia="ko-KR"/>
        </w:rPr>
        <w:t xml:space="preserve"> some use geometric motifs, Arabic calligraphy, and so on.</w:t>
      </w:r>
    </w:p>
    <w:p w14:paraId="7A44C387" w14:textId="77777777" w:rsidR="003115A6" w:rsidRPr="003115A6" w:rsidRDefault="003115A6" w:rsidP="003115A6">
      <w:pPr>
        <w:ind w:firstLine="426"/>
        <w:jc w:val="both"/>
        <w:rPr>
          <w:rFonts w:asciiTheme="majorHAnsi" w:eastAsia="Times New Roman" w:hAnsiTheme="majorHAnsi" w:cstheme="majorHAnsi"/>
          <w:sz w:val="20"/>
          <w:szCs w:val="20"/>
          <w:lang w:eastAsia="ko-KR"/>
        </w:rPr>
      </w:pPr>
    </w:p>
    <w:p w14:paraId="4127D29C" w14:textId="7A9E6936" w:rsidR="003115A6" w:rsidRPr="003115A6" w:rsidRDefault="003115A6" w:rsidP="00A07FF9">
      <w:pPr>
        <w:ind w:firstLine="426"/>
        <w:jc w:val="center"/>
        <w:rPr>
          <w:rFonts w:asciiTheme="majorHAnsi" w:eastAsia="Times New Roman" w:hAnsiTheme="majorHAnsi" w:cstheme="majorHAnsi"/>
          <w:b/>
          <w:sz w:val="20"/>
          <w:szCs w:val="20"/>
          <w:lang w:eastAsia="ko-KR"/>
        </w:rPr>
      </w:pPr>
      <w:r w:rsidRPr="003115A6">
        <w:rPr>
          <w:rFonts w:asciiTheme="majorHAnsi" w:eastAsia="Times New Roman" w:hAnsiTheme="majorHAnsi" w:cstheme="majorHAnsi"/>
          <w:noProof/>
          <w:sz w:val="20"/>
          <w:szCs w:val="20"/>
        </w:rPr>
        <w:drawing>
          <wp:inline distT="0" distB="0" distL="0" distR="0" wp14:anchorId="5C6394D8" wp14:editId="1B81E2B2">
            <wp:extent cx="2418715" cy="1682750"/>
            <wp:effectExtent l="0" t="0" r="635" b="0"/>
            <wp:docPr id="15" name="Picture 15" descr="A red wall with plates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red wall with plates on it&#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8715" cy="1682750"/>
                    </a:xfrm>
                    <a:prstGeom prst="rect">
                      <a:avLst/>
                    </a:prstGeom>
                    <a:noFill/>
                    <a:ln>
                      <a:noFill/>
                    </a:ln>
                  </pic:spPr>
                </pic:pic>
              </a:graphicData>
            </a:graphic>
          </wp:inline>
        </w:drawing>
      </w:r>
    </w:p>
    <w:p w14:paraId="2FC78017" w14:textId="77777777" w:rsidR="003115A6" w:rsidRPr="003115A6" w:rsidRDefault="003115A6" w:rsidP="003115A6">
      <w:pPr>
        <w:jc w:val="both"/>
        <w:rPr>
          <w:rFonts w:asciiTheme="majorHAnsi" w:eastAsia="Times New Roman" w:hAnsiTheme="majorHAnsi" w:cstheme="majorHAnsi"/>
          <w:b/>
          <w:sz w:val="20"/>
          <w:szCs w:val="20"/>
          <w:lang w:eastAsia="ko-KR"/>
        </w:rPr>
      </w:pPr>
    </w:p>
    <w:p w14:paraId="1389CEE5" w14:textId="3596A0A1" w:rsidR="003115A6" w:rsidRPr="00A07FF9" w:rsidRDefault="003115A6" w:rsidP="00A07FF9">
      <w:pPr>
        <w:ind w:firstLine="284"/>
        <w:jc w:val="center"/>
        <w:rPr>
          <w:rFonts w:asciiTheme="majorHAnsi" w:eastAsia="Times New Roman" w:hAnsiTheme="majorHAnsi" w:cstheme="majorHAnsi"/>
          <w:bCs/>
          <w:sz w:val="16"/>
          <w:szCs w:val="16"/>
          <w:lang w:eastAsia="ko-KR"/>
        </w:rPr>
      </w:pPr>
      <w:r w:rsidRPr="00A07FF9">
        <w:rPr>
          <w:rFonts w:asciiTheme="majorHAnsi" w:eastAsia="Times New Roman" w:hAnsiTheme="majorHAnsi" w:cstheme="majorHAnsi"/>
          <w:bCs/>
          <w:sz w:val="16"/>
          <w:szCs w:val="16"/>
          <w:lang w:eastAsia="ko-KR"/>
        </w:rPr>
        <w:t xml:space="preserve">Figure 12. Wall </w:t>
      </w:r>
      <w:r w:rsidR="00521A9B" w:rsidRPr="00521A9B">
        <w:rPr>
          <w:rFonts w:asciiTheme="majorHAnsi" w:eastAsia="Times New Roman" w:hAnsiTheme="majorHAnsi" w:cstheme="majorHAnsi"/>
          <w:sz w:val="16"/>
          <w:szCs w:val="16"/>
          <w:lang w:eastAsia="ko-KR"/>
        </w:rPr>
        <w:t>[documentation by authors]</w:t>
      </w:r>
    </w:p>
    <w:p w14:paraId="3DFBAE32" w14:textId="77777777" w:rsidR="003115A6" w:rsidRPr="003115A6" w:rsidRDefault="003115A6" w:rsidP="00A07FF9">
      <w:pPr>
        <w:ind w:firstLine="426"/>
        <w:jc w:val="center"/>
        <w:rPr>
          <w:rFonts w:asciiTheme="majorHAnsi" w:eastAsia="Times New Roman" w:hAnsiTheme="majorHAnsi" w:cstheme="majorHAnsi"/>
          <w:sz w:val="20"/>
          <w:szCs w:val="20"/>
          <w:lang w:eastAsia="ko-KR"/>
        </w:rPr>
      </w:pPr>
    </w:p>
    <w:p w14:paraId="13392325" w14:textId="6DEE6686" w:rsidR="003115A6" w:rsidRPr="003115A6" w:rsidRDefault="003115A6" w:rsidP="003115A6">
      <w:pPr>
        <w:ind w:firstLine="426"/>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drawing>
          <wp:inline distT="0" distB="0" distL="0" distR="0" wp14:anchorId="2FB2E18C" wp14:editId="23355778">
            <wp:extent cx="2413000" cy="1562735"/>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13000" cy="1562735"/>
                    </a:xfrm>
                    <a:prstGeom prst="rect">
                      <a:avLst/>
                    </a:prstGeom>
                    <a:noFill/>
                  </pic:spPr>
                </pic:pic>
              </a:graphicData>
            </a:graphic>
          </wp:inline>
        </w:drawing>
      </w:r>
    </w:p>
    <w:p w14:paraId="1206050E" w14:textId="77777777" w:rsidR="003115A6" w:rsidRPr="003115A6" w:rsidRDefault="003115A6" w:rsidP="00A07FF9">
      <w:pPr>
        <w:ind w:firstLine="284"/>
        <w:jc w:val="center"/>
        <w:rPr>
          <w:rFonts w:asciiTheme="majorHAnsi" w:eastAsia="Times New Roman" w:hAnsiTheme="majorHAnsi" w:cstheme="majorHAnsi"/>
          <w:sz w:val="20"/>
          <w:szCs w:val="20"/>
          <w:lang w:val="id-ID" w:eastAsia="ko-KR"/>
        </w:rPr>
      </w:pPr>
    </w:p>
    <w:p w14:paraId="0BFCAFEC" w14:textId="1BD6FC63" w:rsidR="003115A6" w:rsidRPr="00A07FF9" w:rsidRDefault="003115A6" w:rsidP="00A07FF9">
      <w:pPr>
        <w:ind w:firstLine="284"/>
        <w:jc w:val="center"/>
        <w:rPr>
          <w:rFonts w:asciiTheme="majorHAnsi" w:eastAsia="Times New Roman" w:hAnsiTheme="majorHAnsi" w:cstheme="majorHAnsi"/>
          <w:bCs/>
          <w:sz w:val="16"/>
          <w:szCs w:val="16"/>
          <w:lang w:eastAsia="ko-KR"/>
        </w:rPr>
      </w:pPr>
      <w:r w:rsidRPr="00A07FF9">
        <w:rPr>
          <w:rFonts w:asciiTheme="majorHAnsi" w:eastAsia="Times New Roman" w:hAnsiTheme="majorHAnsi" w:cstheme="majorHAnsi"/>
          <w:bCs/>
          <w:sz w:val="16"/>
          <w:szCs w:val="16"/>
          <w:lang w:eastAsia="ko-KR"/>
        </w:rPr>
        <w:t xml:space="preserve">Figure 13. Doors and windows </w:t>
      </w:r>
      <w:r w:rsidR="00521A9B" w:rsidRPr="00521A9B">
        <w:rPr>
          <w:rFonts w:asciiTheme="majorHAnsi" w:eastAsia="Times New Roman" w:hAnsiTheme="majorHAnsi" w:cstheme="majorHAnsi"/>
          <w:sz w:val="16"/>
          <w:szCs w:val="16"/>
          <w:lang w:eastAsia="ko-KR"/>
        </w:rPr>
        <w:t>[documentation by authors]</w:t>
      </w:r>
    </w:p>
    <w:p w14:paraId="77F5AF4C"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2752EA27" w14:textId="77777777" w:rsidR="003115A6" w:rsidRPr="003115A6" w:rsidRDefault="003115A6" w:rsidP="00A07FF9">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On the main wooden door of the mosque, there are carvings with tendril patterns. There are also two doors on the left and right sides of the mosque. Each door is made of wood and has almost no carvings. The decorations seen on mosques, mosque doors, and windows are generally like horseshoe arches. The uniqueness of the </w:t>
      </w:r>
      <w:proofErr w:type="spellStart"/>
      <w:r w:rsidRPr="003115A6">
        <w:rPr>
          <w:rFonts w:asciiTheme="majorHAnsi" w:eastAsia="Times New Roman" w:hAnsiTheme="majorHAnsi" w:cstheme="majorHAnsi"/>
          <w:sz w:val="20"/>
          <w:szCs w:val="20"/>
          <w:lang w:eastAsia="ko-KR"/>
        </w:rPr>
        <w:t>Panjunan</w:t>
      </w:r>
      <w:proofErr w:type="spellEnd"/>
      <w:r w:rsidRPr="003115A6">
        <w:rPr>
          <w:rFonts w:asciiTheme="majorHAnsi" w:eastAsia="Times New Roman" w:hAnsiTheme="majorHAnsi" w:cstheme="majorHAnsi"/>
          <w:sz w:val="20"/>
          <w:szCs w:val="20"/>
          <w:lang w:eastAsia="ko-KR"/>
        </w:rPr>
        <w:t xml:space="preserve"> Red Mosque in Cirebon is the red brick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of the mosque building. The red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is synonymous with Chinese religious buildings like temples, which are familiar to ethnic Chinese people. They believe that </w:t>
      </w:r>
      <w:r w:rsidRPr="003115A6">
        <w:rPr>
          <w:rFonts w:asciiTheme="majorHAnsi" w:eastAsia="Times New Roman" w:hAnsiTheme="majorHAnsi" w:cstheme="majorHAnsi"/>
          <w:i/>
          <w:iCs/>
          <w:sz w:val="20"/>
          <w:szCs w:val="20"/>
          <w:lang w:eastAsia="ko-KR"/>
        </w:rPr>
        <w:t>Feng</w:t>
      </w:r>
      <w:r w:rsidRPr="003115A6">
        <w:rPr>
          <w:rFonts w:asciiTheme="majorHAnsi" w:eastAsia="Times New Roman" w:hAnsiTheme="majorHAnsi" w:cstheme="majorHAnsi"/>
          <w:sz w:val="20"/>
          <w:szCs w:val="20"/>
          <w:lang w:eastAsia="ko-KR"/>
        </w:rPr>
        <w:t xml:space="preserve"> </w:t>
      </w:r>
      <w:r w:rsidRPr="003115A6">
        <w:rPr>
          <w:rFonts w:asciiTheme="majorHAnsi" w:eastAsia="Times New Roman" w:hAnsiTheme="majorHAnsi" w:cstheme="majorHAnsi"/>
          <w:i/>
          <w:iCs/>
          <w:sz w:val="20"/>
          <w:szCs w:val="20"/>
          <w:lang w:eastAsia="ko-KR"/>
        </w:rPr>
        <w:t>Shui</w:t>
      </w:r>
      <w:r w:rsidRPr="003115A6">
        <w:rPr>
          <w:rFonts w:asciiTheme="majorHAnsi" w:eastAsia="Times New Roman" w:hAnsiTheme="majorHAnsi" w:cstheme="majorHAnsi"/>
          <w:sz w:val="20"/>
          <w:szCs w:val="20"/>
          <w:lang w:eastAsia="ko-KR"/>
        </w:rPr>
        <w:t xml:space="preserve"> means living in harmony with the environment, fitting into the place they call home, and feeling relaxed and full of vital life force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 xml:space="preserve">ADDIN CSL_CITATION {"citationItems":[{"id":"ITEM-1","itemData":{"DOI":"10.4312/as.2023.11.2.149-174","ISSN":"23504226","abstract":"In this article, we will define fengshui as a contemporary hybrid way of thinking with a long history that unfolds from ancient Chinese philosophy and the art of ruling, through Song Neo-Confucianism, to modern Western ecologic interpretations. We will particu-larly highlight the cosmological and moral ratio of this art in the philosophical thought of Zhu Xi and Cai Yuanding, which we will propose as the possible source of a reno-vated moral fengshui. After this historical framework, we will present the process of the scientifization of fengshui as a building technology. Therefore, we will put into question this enframing of fengshui as a modern technology through both Heidegger’s lens and Li Zehou’s definition of “proper measure” (du </w:instrText>
      </w:r>
      <w:r w:rsidRPr="003115A6">
        <w:rPr>
          <w:rFonts w:asciiTheme="majorHAnsi" w:eastAsia="MS Gothic" w:hAnsiTheme="majorHAnsi" w:cstheme="majorHAnsi"/>
          <w:sz w:val="20"/>
          <w:szCs w:val="20"/>
          <w:lang w:eastAsia="ko-KR"/>
        </w:rPr>
        <w:instrText>度</w:instrText>
      </w:r>
      <w:r w:rsidRPr="003115A6">
        <w:rPr>
          <w:rFonts w:asciiTheme="majorHAnsi" w:eastAsia="Times New Roman" w:hAnsiTheme="majorHAnsi" w:cstheme="majorHAnsi"/>
          <w:sz w:val="20"/>
          <w:szCs w:val="20"/>
          <w:lang w:eastAsia="ko-KR"/>
        </w:rPr>
        <w:instrText xml:space="preserve">). Following this hermeneutical analysis, we will propose jiyi </w:instrText>
      </w:r>
      <w:r w:rsidRPr="003115A6">
        <w:rPr>
          <w:rFonts w:asciiTheme="majorHAnsi" w:eastAsia="MS Gothic" w:hAnsiTheme="majorHAnsi" w:cstheme="majorHAnsi"/>
          <w:sz w:val="20"/>
          <w:szCs w:val="20"/>
          <w:lang w:eastAsia="ko-KR"/>
        </w:rPr>
        <w:instrText>技藝</w:instrText>
      </w:r>
      <w:r w:rsidRPr="003115A6">
        <w:rPr>
          <w:rFonts w:asciiTheme="majorHAnsi" w:eastAsia="Times New Roman" w:hAnsiTheme="majorHAnsi" w:cstheme="majorHAnsi"/>
          <w:sz w:val="20"/>
          <w:szCs w:val="20"/>
          <w:lang w:eastAsia="ko-KR"/>
        </w:rPr>
        <w:instrText xml:space="preserve"> (technique-art) as the most suitable definition of fengshui and we will present the ethical dimension behind it (i.e., filial piety towards nature). In the conclusions, we will argue that fengshui is not, properly speaking, an environmental philosophy or an ecologism, since these two concepts are too rooted in Western philosophical culture (i.e., transcendence and the separateness of humans and nature). However, we are convinced that fengshui could fruitfully contribute to a deeper ecological awareness with a Chinese character on both the local and global scales.","author":[{"dropping-particle":"","family":"Ambrogio","given":"Selusi","non-dropping-particle":"","parse-names":false,"suffix":""}],"container-title":"Asian Studies","id":"ITEM-1","issue":"2","issued":{"date-parts":[["2023"]]},"page":"149-174","title":"Fengshui: A Moral Technique-Art (jiyi </w:instrText>
      </w:r>
      <w:r w:rsidRPr="003115A6">
        <w:rPr>
          <w:rFonts w:asciiTheme="majorHAnsi" w:eastAsia="MS Gothic" w:hAnsiTheme="majorHAnsi" w:cstheme="majorHAnsi"/>
          <w:sz w:val="20"/>
          <w:szCs w:val="20"/>
          <w:lang w:eastAsia="ko-KR"/>
        </w:rPr>
        <w:instrText>技藝</w:instrText>
      </w:r>
      <w:r w:rsidRPr="003115A6">
        <w:rPr>
          <w:rFonts w:asciiTheme="majorHAnsi" w:eastAsia="Times New Roman" w:hAnsiTheme="majorHAnsi" w:cstheme="majorHAnsi"/>
          <w:sz w:val="20"/>
          <w:szCs w:val="20"/>
          <w:lang w:eastAsia="ko-KR"/>
        </w:rPr>
        <w:instrText>) for Contemporary Environmental Awareness","type":"article-journal","volume":"11"},"uris":["http://www.mendeley.com/documents/?uuid=6494612d-3547-491d-87c4-46895823dae5"]}],"mendeley":{"formattedCitation":"[42]","plainTextFormattedCitation":"[42]","previouslyFormattedCitation":"[42]"},"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[40]</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According to Chinese Feng Shui, red describes an active response at the psychological level (heart, veins, etc.).</w:t>
      </w:r>
    </w:p>
    <w:p w14:paraId="32ED913E" w14:textId="77777777" w:rsidR="003115A6" w:rsidRPr="003115A6" w:rsidRDefault="003115A6" w:rsidP="00A07FF9">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Furthermore, the red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also depicts the leader's attention and spirit. In fact, as languages develop worldwide, red has become the main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after white and black. Naturally, red is the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of luxury, the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of ripe tomatoes and berries, the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of pomegranates and agate. Apart from that, red also means the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of blood, the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of religious sacraments, the heart, and the flame. This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brings out strong emotions depending on the context. However, whenever red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comes to mind, the resulting emotion will be a powerful experience. Red is the strongest </w:t>
      </w:r>
      <w:proofErr w:type="spellStart"/>
      <w:r w:rsidRPr="003115A6">
        <w:rPr>
          <w:rFonts w:asciiTheme="majorHAnsi" w:eastAsia="Times New Roman" w:hAnsiTheme="majorHAnsi" w:cstheme="majorHAnsi"/>
          <w:sz w:val="20"/>
          <w:szCs w:val="20"/>
          <w:lang w:eastAsia="ko-KR"/>
        </w:rPr>
        <w:t>color</w:t>
      </w:r>
      <w:proofErr w:type="spellEnd"/>
      <w:r w:rsidRPr="003115A6">
        <w:rPr>
          <w:rFonts w:asciiTheme="majorHAnsi" w:eastAsia="Times New Roman" w:hAnsiTheme="majorHAnsi" w:cstheme="majorHAnsi"/>
          <w:sz w:val="20"/>
          <w:szCs w:val="20"/>
          <w:lang w:eastAsia="ko-KR"/>
        </w:rPr>
        <w:t xml:space="preserve">, which is a symbol of courage </w:t>
      </w:r>
      <w:r w:rsidRPr="003115A6">
        <w:rPr>
          <w:rFonts w:asciiTheme="majorHAnsi" w:eastAsia="Times New Roman" w:hAnsiTheme="majorHAnsi" w:cstheme="majorHAnsi"/>
          <w:sz w:val="20"/>
          <w:szCs w:val="20"/>
          <w:lang w:eastAsia="ko-KR"/>
        </w:rPr>
        <w:fldChar w:fldCharType="begin" w:fldLock="1"/>
      </w:r>
      <w:r w:rsidRPr="003115A6">
        <w:rPr>
          <w:rFonts w:asciiTheme="majorHAnsi" w:eastAsia="Times New Roman" w:hAnsiTheme="majorHAnsi" w:cstheme="majorHAnsi"/>
          <w:sz w:val="20"/>
          <w:szCs w:val="20"/>
          <w:lang w:eastAsia="ko-KR"/>
        </w:rPr>
        <w:instrText>ADDIN CSL_CITATION {"citationItems":[{"id":"ITEM-1","itemData":{"author":[{"dropping-particle":"","family":"Cooper","given":"M","non-dropping-particle":"","parse-names":false,"suffix":""},{"dropping-particle":"","family":"Arlene M","given":"","non-dropping-particle":"","parse-names":false,"suffix":""}],"id":"ITEM-1","issued":{"date-parts":[["2007"]]},"publisher":"Arti Bumi Intaran","publisher-place":"Yogyakarta","title":"Feng Shui Warna Pengaruh Warna untuk Bisnis dan Kehidupan Anda","type":"book"},"uris":["http://www.mendeley.com/documents/?uuid=f7d85989-fb14-4fe3-abb8-1aaddfb2e11b"]}],"mendeley":{"formattedCitation":"[43]","plainTextFormattedCitation":"[43]","previouslyFormattedCitation":"[43]"},"properties":{"noteIndex":0},"schema":"https://github.com/citation-style-language/schema/raw/master/csl-citation.json"}</w:instrText>
      </w:r>
      <w:r w:rsidRPr="003115A6">
        <w:rPr>
          <w:rFonts w:asciiTheme="majorHAnsi" w:eastAsia="Times New Roman" w:hAnsiTheme="majorHAnsi" w:cstheme="majorHAnsi"/>
          <w:sz w:val="20"/>
          <w:szCs w:val="20"/>
          <w:lang w:eastAsia="ko-KR"/>
        </w:rPr>
        <w:fldChar w:fldCharType="separate"/>
      </w:r>
      <w:r w:rsidRPr="003115A6">
        <w:rPr>
          <w:rFonts w:asciiTheme="majorHAnsi" w:eastAsia="Times New Roman" w:hAnsiTheme="majorHAnsi" w:cstheme="majorHAnsi"/>
          <w:noProof/>
          <w:sz w:val="20"/>
          <w:szCs w:val="20"/>
          <w:lang w:eastAsia="ko-KR"/>
        </w:rPr>
        <w:t>[41]</w:t>
      </w:r>
      <w:r w:rsidRPr="003115A6">
        <w:rPr>
          <w:rFonts w:asciiTheme="majorHAnsi" w:eastAsia="Times New Roman" w:hAnsiTheme="majorHAnsi" w:cstheme="majorHAnsi"/>
          <w:sz w:val="20"/>
          <w:szCs w:val="20"/>
          <w:lang w:eastAsia="ko-KR"/>
        </w:rPr>
        <w:fldChar w:fldCharType="end"/>
      </w:r>
      <w:r w:rsidRPr="003115A6">
        <w:rPr>
          <w:rFonts w:asciiTheme="majorHAnsi" w:eastAsia="Times New Roman" w:hAnsiTheme="majorHAnsi" w:cstheme="majorHAnsi"/>
          <w:sz w:val="20"/>
          <w:szCs w:val="20"/>
          <w:lang w:eastAsia="ko-KR"/>
        </w:rPr>
        <w:t xml:space="preserve">. </w:t>
      </w:r>
    </w:p>
    <w:p w14:paraId="5EE9BE67" w14:textId="77777777" w:rsidR="003115A6" w:rsidRPr="003115A6" w:rsidRDefault="003115A6" w:rsidP="00A07FF9">
      <w:pPr>
        <w:ind w:firstLine="426"/>
        <w:jc w:val="center"/>
        <w:rPr>
          <w:rFonts w:asciiTheme="majorHAnsi" w:eastAsia="Times New Roman" w:hAnsiTheme="majorHAnsi" w:cstheme="majorHAnsi"/>
          <w:sz w:val="20"/>
          <w:szCs w:val="20"/>
          <w:lang w:val="id-ID" w:eastAsia="ko-KR"/>
        </w:rPr>
      </w:pPr>
      <w:r w:rsidRPr="003115A6">
        <w:rPr>
          <w:rFonts w:asciiTheme="majorHAnsi" w:eastAsia="Times New Roman" w:hAnsiTheme="majorHAnsi" w:cstheme="majorHAnsi"/>
          <w:noProof/>
          <w:sz w:val="20"/>
          <w:szCs w:val="20"/>
        </w:rPr>
        <w:lastRenderedPageBreak/>
        <w:drawing>
          <wp:inline distT="0" distB="0" distL="0" distR="0" wp14:anchorId="5D2BE0B3" wp14:editId="52766246">
            <wp:extent cx="2895600" cy="1644015"/>
            <wp:effectExtent l="0" t="0" r="0" b="0"/>
            <wp:docPr id="2132103151" name="Picture 213210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95600" cy="1644015"/>
                    </a:xfrm>
                    <a:prstGeom prst="rect">
                      <a:avLst/>
                    </a:prstGeom>
                    <a:noFill/>
                  </pic:spPr>
                </pic:pic>
              </a:graphicData>
            </a:graphic>
          </wp:inline>
        </w:drawing>
      </w:r>
    </w:p>
    <w:p w14:paraId="0F6DDF0D" w14:textId="77777777" w:rsidR="003115A6" w:rsidRPr="003115A6" w:rsidRDefault="003115A6" w:rsidP="003115A6">
      <w:pPr>
        <w:ind w:firstLine="426"/>
        <w:jc w:val="both"/>
        <w:rPr>
          <w:rFonts w:asciiTheme="majorHAnsi" w:eastAsia="Times New Roman" w:hAnsiTheme="majorHAnsi" w:cstheme="majorHAnsi"/>
          <w:sz w:val="20"/>
          <w:szCs w:val="20"/>
          <w:lang w:val="id-ID" w:eastAsia="ko-KR"/>
        </w:rPr>
      </w:pPr>
    </w:p>
    <w:p w14:paraId="0512A143" w14:textId="069FF799" w:rsidR="003115A6" w:rsidRPr="00A07FF9" w:rsidRDefault="003115A6" w:rsidP="003115A6">
      <w:pPr>
        <w:ind w:firstLine="426"/>
        <w:jc w:val="center"/>
        <w:rPr>
          <w:rFonts w:asciiTheme="majorHAnsi" w:eastAsia="Times New Roman" w:hAnsiTheme="majorHAnsi" w:cstheme="majorHAnsi"/>
          <w:bCs/>
          <w:sz w:val="16"/>
          <w:szCs w:val="16"/>
          <w:lang w:eastAsia="ko-KR"/>
        </w:rPr>
      </w:pPr>
      <w:r w:rsidRPr="00A07FF9">
        <w:rPr>
          <w:rFonts w:asciiTheme="majorHAnsi" w:eastAsia="Times New Roman" w:hAnsiTheme="majorHAnsi" w:cstheme="majorHAnsi"/>
          <w:bCs/>
          <w:sz w:val="16"/>
          <w:szCs w:val="16"/>
          <w:lang w:eastAsia="ko-KR"/>
        </w:rPr>
        <w:t xml:space="preserve">Figure 14. Calligraphy in front of the main door </w:t>
      </w:r>
      <w:r w:rsidR="00521A9B" w:rsidRPr="00521A9B">
        <w:rPr>
          <w:rFonts w:asciiTheme="majorHAnsi" w:eastAsia="Times New Roman" w:hAnsiTheme="majorHAnsi" w:cstheme="majorHAnsi"/>
          <w:sz w:val="16"/>
          <w:szCs w:val="16"/>
          <w:lang w:eastAsia="ko-KR"/>
        </w:rPr>
        <w:t>[documentation by authors]</w:t>
      </w:r>
    </w:p>
    <w:p w14:paraId="36C128E9" w14:textId="77777777" w:rsidR="003115A6" w:rsidRPr="003115A6" w:rsidRDefault="003115A6" w:rsidP="003115A6">
      <w:pPr>
        <w:jc w:val="both"/>
        <w:rPr>
          <w:rFonts w:asciiTheme="majorHAnsi" w:eastAsia="Times New Roman" w:hAnsiTheme="majorHAnsi" w:cstheme="majorHAnsi"/>
          <w:sz w:val="20"/>
          <w:szCs w:val="20"/>
          <w:lang w:val="id-ID" w:eastAsia="ko-KR"/>
        </w:rPr>
      </w:pPr>
    </w:p>
    <w:p w14:paraId="2B4B3482" w14:textId="77777777" w:rsidR="003115A6" w:rsidRDefault="003115A6" w:rsidP="00A07FF9">
      <w:pPr>
        <w:ind w:left="284" w:firstLine="283"/>
        <w:jc w:val="both"/>
        <w:rPr>
          <w:rFonts w:asciiTheme="majorHAnsi" w:eastAsia="Times New Roman" w:hAnsiTheme="majorHAnsi" w:cstheme="majorHAnsi"/>
          <w:sz w:val="20"/>
          <w:szCs w:val="20"/>
          <w:lang w:eastAsia="ko-KR"/>
        </w:rPr>
      </w:pPr>
      <w:r w:rsidRPr="003115A6">
        <w:rPr>
          <w:rFonts w:asciiTheme="majorHAnsi" w:eastAsia="Times New Roman" w:hAnsiTheme="majorHAnsi" w:cstheme="majorHAnsi"/>
          <w:sz w:val="20"/>
          <w:szCs w:val="20"/>
          <w:lang w:eastAsia="ko-KR"/>
        </w:rPr>
        <w:t xml:space="preserve">A calligraphy on the pillar above the main door states the monotheism phrase, which looks like it has just been made. The calligraphy is not placed in a semi-circular curve on the mihrab but is separated at the top of the mihrab. Figure 15 shows the development of the </w:t>
      </w:r>
      <w:proofErr w:type="spellStart"/>
      <w:r w:rsidRPr="003115A6">
        <w:rPr>
          <w:rFonts w:asciiTheme="majorHAnsi" w:eastAsia="Times New Roman" w:hAnsiTheme="majorHAnsi" w:cstheme="majorHAnsi"/>
          <w:sz w:val="20"/>
          <w:szCs w:val="20"/>
          <w:lang w:eastAsia="ko-KR"/>
        </w:rPr>
        <w:t>Panjunan</w:t>
      </w:r>
      <w:proofErr w:type="spellEnd"/>
      <w:r w:rsidRPr="003115A6">
        <w:rPr>
          <w:rFonts w:asciiTheme="majorHAnsi" w:eastAsia="Times New Roman" w:hAnsiTheme="majorHAnsi" w:cstheme="majorHAnsi"/>
          <w:sz w:val="20"/>
          <w:szCs w:val="20"/>
          <w:lang w:eastAsia="ko-KR"/>
        </w:rPr>
        <w:t xml:space="preserve"> Red Mosque year to year. The architectural changes of the mosque can be seen in the following explanation.</w:t>
      </w:r>
    </w:p>
    <w:p w14:paraId="6EE6FC18" w14:textId="77777777" w:rsidR="00A07FF9" w:rsidRDefault="00A07FF9" w:rsidP="00A07FF9">
      <w:pPr>
        <w:ind w:left="284" w:firstLine="283"/>
        <w:jc w:val="both"/>
        <w:rPr>
          <w:rFonts w:asciiTheme="majorHAnsi" w:eastAsia="Times New Roman" w:hAnsiTheme="majorHAnsi" w:cstheme="majorHAnsi"/>
          <w:sz w:val="20"/>
          <w:szCs w:val="20"/>
          <w:lang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3"/>
        <w:gridCol w:w="4393"/>
      </w:tblGrid>
      <w:tr w:rsidR="00A07FF9" w14:paraId="04AA21A2" w14:textId="77777777" w:rsidTr="00FC7000">
        <w:tc>
          <w:tcPr>
            <w:tcW w:w="4383" w:type="dxa"/>
          </w:tcPr>
          <w:p w14:paraId="6A8E4704" w14:textId="77777777" w:rsidR="00A07FF9" w:rsidRDefault="00A07FF9" w:rsidP="00FC7000">
            <w:pPr>
              <w:jc w:val="center"/>
              <w:rPr>
                <w:rFonts w:asciiTheme="majorHAnsi" w:eastAsia="Times New Roman" w:hAnsiTheme="majorHAnsi" w:cstheme="majorHAnsi"/>
                <w:sz w:val="20"/>
                <w:szCs w:val="20"/>
                <w:lang w:eastAsia="ko-KR"/>
              </w:rPr>
            </w:pPr>
            <w:r w:rsidRPr="003115A6">
              <w:rPr>
                <w:rFonts w:asciiTheme="majorHAnsi" w:hAnsiTheme="majorHAnsi" w:cstheme="majorHAnsi"/>
                <w:b/>
                <w:noProof/>
                <w:sz w:val="20"/>
                <w:szCs w:val="20"/>
              </w:rPr>
              <w:drawing>
                <wp:inline distT="0" distB="0" distL="0" distR="0" wp14:anchorId="192E8A28" wp14:editId="2976E325">
                  <wp:extent cx="1036320" cy="764540"/>
                  <wp:effectExtent l="0" t="0" r="0" b="0"/>
                  <wp:docPr id="29" name="Picture 29" descr="F:\KOLOKIUM\Ilustrasi Masjid Merah Panjunan\Masjid Merah Panjunan 1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OLOKIUM\Ilustrasi Masjid Merah Panjunan\Masjid Merah Panjunan 1480.jpg"/>
                          <pic:cNvPicPr>
                            <a:picLocks noChangeAspect="1" noChangeArrowheads="1"/>
                          </pic:cNvPicPr>
                        </pic:nvPicPr>
                        <pic:blipFill>
                          <a:blip r:embed="rId27" cstate="print">
                            <a:lum bright="10000" contrast="40000"/>
                            <a:extLst>
                              <a:ext uri="{28A0092B-C50C-407E-A947-70E740481C1C}">
                                <a14:useLocalDpi xmlns:a14="http://schemas.microsoft.com/office/drawing/2010/main" val="0"/>
                              </a:ext>
                            </a:extLst>
                          </a:blip>
                          <a:srcRect l="3226" r="5646" b="3226"/>
                          <a:stretch>
                            <a:fillRect/>
                          </a:stretch>
                        </pic:blipFill>
                        <pic:spPr bwMode="auto">
                          <a:xfrm flipH="1" flipV="1">
                            <a:off x="0" y="0"/>
                            <a:ext cx="1036320" cy="764540"/>
                          </a:xfrm>
                          <a:prstGeom prst="rect">
                            <a:avLst/>
                          </a:prstGeom>
                          <a:noFill/>
                          <a:ln>
                            <a:noFill/>
                          </a:ln>
                        </pic:spPr>
                      </pic:pic>
                    </a:graphicData>
                  </a:graphic>
                </wp:inline>
              </w:drawing>
            </w:r>
          </w:p>
          <w:p w14:paraId="2338E8AF" w14:textId="004E93C4"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(a)</w:t>
            </w:r>
          </w:p>
        </w:tc>
        <w:tc>
          <w:tcPr>
            <w:tcW w:w="4393" w:type="dxa"/>
          </w:tcPr>
          <w:p w14:paraId="3937B726" w14:textId="77777777" w:rsidR="00A07FF9" w:rsidRDefault="00A07FF9" w:rsidP="00FC7000">
            <w:pPr>
              <w:jc w:val="center"/>
              <w:rPr>
                <w:rFonts w:asciiTheme="majorHAnsi" w:eastAsia="Times New Roman" w:hAnsiTheme="majorHAnsi" w:cstheme="majorHAnsi"/>
                <w:sz w:val="20"/>
                <w:szCs w:val="20"/>
                <w:lang w:eastAsia="ko-KR"/>
              </w:rPr>
            </w:pPr>
            <w:r w:rsidRPr="003115A6">
              <w:rPr>
                <w:rFonts w:asciiTheme="majorHAnsi" w:hAnsiTheme="majorHAnsi" w:cstheme="majorHAnsi"/>
                <w:b/>
                <w:noProof/>
                <w:sz w:val="20"/>
                <w:szCs w:val="20"/>
              </w:rPr>
              <w:drawing>
                <wp:inline distT="0" distB="0" distL="0" distR="0" wp14:anchorId="669A91F9" wp14:editId="52DEF1D2">
                  <wp:extent cx="773430" cy="1082675"/>
                  <wp:effectExtent l="0" t="2223" r="5398" b="5397"/>
                  <wp:docPr id="26" name="Picture 26" descr="F:\KOLOKIUM\Ilustrasi Masjid Merah Panjunan\Masjid Merah Panjunan 1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OLOKIUM\Ilustrasi Masjid Merah Panjunan\Masjid Merah Panjunan 1569.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1496" t="349" r="21381"/>
                          <a:stretch/>
                        </pic:blipFill>
                        <pic:spPr bwMode="auto">
                          <a:xfrm rot="5400000">
                            <a:off x="0" y="0"/>
                            <a:ext cx="773430" cy="1082675"/>
                          </a:xfrm>
                          <a:prstGeom prst="rect">
                            <a:avLst/>
                          </a:prstGeom>
                          <a:noFill/>
                          <a:ln>
                            <a:noFill/>
                          </a:ln>
                          <a:extLst>
                            <a:ext uri="{53640926-AAD7-44D8-BBD7-CCE9431645EC}">
                              <a14:shadowObscured xmlns:a14="http://schemas.microsoft.com/office/drawing/2010/main"/>
                            </a:ext>
                          </a:extLst>
                        </pic:spPr>
                      </pic:pic>
                    </a:graphicData>
                  </a:graphic>
                </wp:inline>
              </w:drawing>
            </w:r>
          </w:p>
          <w:p w14:paraId="59434490" w14:textId="4CF4A35D"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(b)</w:t>
            </w:r>
          </w:p>
        </w:tc>
      </w:tr>
      <w:tr w:rsidR="00A07FF9" w14:paraId="3B3D2CF1" w14:textId="77777777" w:rsidTr="00FC7000">
        <w:tc>
          <w:tcPr>
            <w:tcW w:w="4383" w:type="dxa"/>
          </w:tcPr>
          <w:p w14:paraId="477A06FB" w14:textId="77777777" w:rsidR="00A07FF9" w:rsidRDefault="00FC7000" w:rsidP="00FC7000">
            <w:pPr>
              <w:jc w:val="center"/>
              <w:rPr>
                <w:rFonts w:asciiTheme="majorHAnsi" w:eastAsia="Times New Roman" w:hAnsiTheme="majorHAnsi" w:cstheme="majorHAnsi"/>
                <w:sz w:val="20"/>
                <w:szCs w:val="20"/>
                <w:lang w:eastAsia="ko-KR"/>
              </w:rPr>
            </w:pPr>
            <w:r w:rsidRPr="003115A6">
              <w:rPr>
                <w:rFonts w:asciiTheme="majorHAnsi" w:eastAsia="Times New Roman" w:hAnsiTheme="majorHAnsi" w:cstheme="majorHAnsi"/>
                <w:noProof/>
                <w:sz w:val="20"/>
                <w:szCs w:val="20"/>
              </w:rPr>
              <w:drawing>
                <wp:inline distT="0" distB="0" distL="0" distR="0" wp14:anchorId="3A007BC7" wp14:editId="64EDA652">
                  <wp:extent cx="1059180" cy="720090"/>
                  <wp:effectExtent l="0" t="0" r="762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59180" cy="720090"/>
                          </a:xfrm>
                          <a:prstGeom prst="rect">
                            <a:avLst/>
                          </a:prstGeom>
                          <a:noFill/>
                        </pic:spPr>
                      </pic:pic>
                    </a:graphicData>
                  </a:graphic>
                </wp:inline>
              </w:drawing>
            </w:r>
          </w:p>
          <w:p w14:paraId="0DD8E4C0" w14:textId="1BB83FCE"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(c)</w:t>
            </w:r>
          </w:p>
        </w:tc>
        <w:tc>
          <w:tcPr>
            <w:tcW w:w="4393" w:type="dxa"/>
          </w:tcPr>
          <w:p w14:paraId="168D845B" w14:textId="77777777" w:rsidR="00A07FF9" w:rsidRDefault="00FC7000" w:rsidP="00FC7000">
            <w:pPr>
              <w:jc w:val="center"/>
              <w:rPr>
                <w:rFonts w:asciiTheme="majorHAnsi" w:eastAsia="Times New Roman" w:hAnsiTheme="majorHAnsi" w:cstheme="majorHAnsi"/>
                <w:sz w:val="20"/>
                <w:szCs w:val="20"/>
                <w:lang w:eastAsia="ko-KR"/>
              </w:rPr>
            </w:pPr>
            <w:r w:rsidRPr="003115A6">
              <w:rPr>
                <w:rFonts w:asciiTheme="majorHAnsi" w:eastAsia="Times New Roman" w:hAnsiTheme="majorHAnsi" w:cstheme="majorHAnsi"/>
                <w:noProof/>
                <w:sz w:val="20"/>
                <w:szCs w:val="20"/>
              </w:rPr>
              <w:drawing>
                <wp:inline distT="0" distB="0" distL="0" distR="0" wp14:anchorId="00622804" wp14:editId="1293D9BD">
                  <wp:extent cx="1115060" cy="734060"/>
                  <wp:effectExtent l="0" t="0" r="889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15060" cy="734060"/>
                          </a:xfrm>
                          <a:prstGeom prst="rect">
                            <a:avLst/>
                          </a:prstGeom>
                          <a:noFill/>
                        </pic:spPr>
                      </pic:pic>
                    </a:graphicData>
                  </a:graphic>
                </wp:inline>
              </w:drawing>
            </w:r>
          </w:p>
          <w:p w14:paraId="54CC4342" w14:textId="2221C8DE"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(d)</w:t>
            </w:r>
          </w:p>
        </w:tc>
      </w:tr>
      <w:tr w:rsidR="00A07FF9" w14:paraId="50E1CCF9" w14:textId="77777777" w:rsidTr="00FC7000">
        <w:tc>
          <w:tcPr>
            <w:tcW w:w="4383" w:type="dxa"/>
          </w:tcPr>
          <w:p w14:paraId="4AE04847" w14:textId="77777777" w:rsidR="00A07FF9"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noProof/>
                <w:sz w:val="20"/>
                <w:szCs w:val="20"/>
                <w:lang w:eastAsia="ko-KR"/>
              </w:rPr>
              <w:drawing>
                <wp:inline distT="0" distB="0" distL="0" distR="0" wp14:anchorId="3AAB4D3E" wp14:editId="6BA19428">
                  <wp:extent cx="1042670" cy="713105"/>
                  <wp:effectExtent l="0" t="0" r="5080" b="0"/>
                  <wp:docPr id="122286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42670" cy="713105"/>
                          </a:xfrm>
                          <a:prstGeom prst="rect">
                            <a:avLst/>
                          </a:prstGeom>
                          <a:noFill/>
                        </pic:spPr>
                      </pic:pic>
                    </a:graphicData>
                  </a:graphic>
                </wp:inline>
              </w:drawing>
            </w:r>
          </w:p>
          <w:p w14:paraId="34F1FDF5" w14:textId="15916571"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(e)</w:t>
            </w:r>
          </w:p>
        </w:tc>
        <w:tc>
          <w:tcPr>
            <w:tcW w:w="4393" w:type="dxa"/>
          </w:tcPr>
          <w:p w14:paraId="7B284FE7" w14:textId="77777777" w:rsidR="00A07FF9"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noProof/>
                <w:sz w:val="20"/>
                <w:szCs w:val="20"/>
                <w:lang w:eastAsia="ko-KR"/>
              </w:rPr>
              <w:drawing>
                <wp:inline distT="0" distB="0" distL="0" distR="0" wp14:anchorId="5F51CEDC" wp14:editId="467753C2">
                  <wp:extent cx="1048385" cy="694690"/>
                  <wp:effectExtent l="0" t="0" r="0" b="0"/>
                  <wp:docPr id="1517051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8385" cy="694690"/>
                          </a:xfrm>
                          <a:prstGeom prst="rect">
                            <a:avLst/>
                          </a:prstGeom>
                          <a:noFill/>
                        </pic:spPr>
                      </pic:pic>
                    </a:graphicData>
                  </a:graphic>
                </wp:inline>
              </w:drawing>
            </w:r>
          </w:p>
          <w:p w14:paraId="42A862C4" w14:textId="143B2CA0"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(f)</w:t>
            </w:r>
          </w:p>
        </w:tc>
      </w:tr>
      <w:tr w:rsidR="00A07FF9" w14:paraId="42629264" w14:textId="77777777" w:rsidTr="00FC7000">
        <w:tc>
          <w:tcPr>
            <w:tcW w:w="4383" w:type="dxa"/>
          </w:tcPr>
          <w:p w14:paraId="56EBCD4A" w14:textId="77777777" w:rsidR="00A07FF9"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noProof/>
                <w:sz w:val="20"/>
                <w:szCs w:val="20"/>
                <w:lang w:eastAsia="ko-KR"/>
              </w:rPr>
              <w:drawing>
                <wp:inline distT="0" distB="0" distL="0" distR="0" wp14:anchorId="07422CB9" wp14:editId="0A3F93E8">
                  <wp:extent cx="1042670" cy="762000"/>
                  <wp:effectExtent l="0" t="0" r="5080" b="0"/>
                  <wp:docPr id="1826466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42670" cy="762000"/>
                          </a:xfrm>
                          <a:prstGeom prst="rect">
                            <a:avLst/>
                          </a:prstGeom>
                          <a:noFill/>
                        </pic:spPr>
                      </pic:pic>
                    </a:graphicData>
                  </a:graphic>
                </wp:inline>
              </w:drawing>
            </w:r>
          </w:p>
          <w:p w14:paraId="01814926" w14:textId="4D063587"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(g)</w:t>
            </w:r>
          </w:p>
        </w:tc>
        <w:tc>
          <w:tcPr>
            <w:tcW w:w="4393" w:type="dxa"/>
          </w:tcPr>
          <w:p w14:paraId="509D3907" w14:textId="77777777" w:rsidR="00A07FF9"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noProof/>
                <w:sz w:val="20"/>
                <w:szCs w:val="20"/>
                <w:lang w:eastAsia="ko-KR"/>
              </w:rPr>
              <w:drawing>
                <wp:inline distT="0" distB="0" distL="0" distR="0" wp14:anchorId="0FB98328" wp14:editId="6BEB8CE2">
                  <wp:extent cx="1170305" cy="737870"/>
                  <wp:effectExtent l="0" t="0" r="0" b="5080"/>
                  <wp:docPr id="4542960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70305" cy="737870"/>
                          </a:xfrm>
                          <a:prstGeom prst="rect">
                            <a:avLst/>
                          </a:prstGeom>
                          <a:noFill/>
                        </pic:spPr>
                      </pic:pic>
                    </a:graphicData>
                  </a:graphic>
                </wp:inline>
              </w:drawing>
            </w:r>
          </w:p>
          <w:p w14:paraId="57DFDE5E" w14:textId="17E9259C" w:rsidR="00FC7000" w:rsidRDefault="00FC7000" w:rsidP="00FC7000">
            <w:pPr>
              <w:jc w:val="center"/>
              <w:rPr>
                <w:rFonts w:asciiTheme="majorHAnsi" w:eastAsia="Times New Roman" w:hAnsiTheme="majorHAnsi" w:cstheme="majorHAnsi"/>
                <w:sz w:val="20"/>
                <w:szCs w:val="20"/>
                <w:lang w:eastAsia="ko-KR"/>
              </w:rPr>
            </w:pPr>
            <w:r>
              <w:rPr>
                <w:rFonts w:asciiTheme="majorHAnsi" w:eastAsia="Times New Roman" w:hAnsiTheme="majorHAnsi" w:cstheme="majorHAnsi"/>
                <w:sz w:val="20"/>
                <w:szCs w:val="20"/>
                <w:lang w:eastAsia="ko-KR"/>
              </w:rPr>
              <w:t>(h)</w:t>
            </w:r>
          </w:p>
        </w:tc>
      </w:tr>
    </w:tbl>
    <w:p w14:paraId="0412DBCC" w14:textId="77777777" w:rsidR="00A07FF9" w:rsidRPr="003115A6" w:rsidRDefault="00A07FF9" w:rsidP="00A07FF9">
      <w:pPr>
        <w:ind w:left="284" w:firstLine="283"/>
        <w:jc w:val="both"/>
        <w:rPr>
          <w:rFonts w:asciiTheme="majorHAnsi" w:eastAsia="Times New Roman" w:hAnsiTheme="majorHAnsi" w:cstheme="majorHAnsi"/>
          <w:sz w:val="20"/>
          <w:szCs w:val="20"/>
          <w:lang w:eastAsia="ko-KR"/>
        </w:rPr>
      </w:pPr>
    </w:p>
    <w:p w14:paraId="303EE3E1" w14:textId="77777777" w:rsidR="003115A6" w:rsidRPr="00FC7000" w:rsidRDefault="003115A6" w:rsidP="00FC7000">
      <w:pPr>
        <w:jc w:val="center"/>
        <w:rPr>
          <w:rFonts w:asciiTheme="majorHAnsi" w:hAnsiTheme="majorHAnsi" w:cstheme="majorHAnsi"/>
          <w:sz w:val="16"/>
          <w:szCs w:val="16"/>
        </w:rPr>
      </w:pPr>
      <w:r w:rsidRPr="00FC7000">
        <w:rPr>
          <w:rFonts w:asciiTheme="majorHAnsi" w:hAnsiTheme="majorHAnsi" w:cstheme="majorHAnsi"/>
          <w:sz w:val="16"/>
          <w:szCs w:val="16"/>
        </w:rPr>
        <w:t xml:space="preserve">Figure 15. Architectural and Visual Changes of The </w:t>
      </w:r>
      <w:proofErr w:type="spellStart"/>
      <w:r w:rsidRPr="00FC7000">
        <w:rPr>
          <w:rFonts w:asciiTheme="majorHAnsi" w:hAnsiTheme="majorHAnsi" w:cstheme="majorHAnsi"/>
          <w:sz w:val="16"/>
          <w:szCs w:val="16"/>
        </w:rPr>
        <w:t>Panjunan</w:t>
      </w:r>
      <w:proofErr w:type="spellEnd"/>
      <w:r w:rsidRPr="00FC7000">
        <w:rPr>
          <w:rFonts w:asciiTheme="majorHAnsi" w:hAnsiTheme="majorHAnsi" w:cstheme="majorHAnsi"/>
          <w:sz w:val="16"/>
          <w:szCs w:val="16"/>
        </w:rPr>
        <w:t xml:space="preserve"> Red Mosque Year to Year</w:t>
      </w:r>
    </w:p>
    <w:p w14:paraId="77B8E8CE" w14:textId="77777777" w:rsidR="003115A6" w:rsidRPr="003115A6" w:rsidRDefault="003115A6" w:rsidP="003115A6">
      <w:pPr>
        <w:jc w:val="both"/>
        <w:rPr>
          <w:rFonts w:asciiTheme="majorHAnsi" w:hAnsiTheme="majorHAnsi" w:cstheme="majorHAnsi"/>
          <w:sz w:val="20"/>
          <w:szCs w:val="20"/>
        </w:rPr>
      </w:pPr>
    </w:p>
    <w:p w14:paraId="173E2B97" w14:textId="77777777" w:rsidR="003115A6" w:rsidRPr="003115A6" w:rsidRDefault="003115A6" w:rsidP="00521A9B">
      <w:pPr>
        <w:ind w:left="284"/>
        <w:jc w:val="both"/>
        <w:rPr>
          <w:rFonts w:asciiTheme="majorHAnsi" w:hAnsiTheme="majorHAnsi" w:cstheme="majorHAnsi"/>
          <w:bCs/>
          <w:sz w:val="20"/>
          <w:szCs w:val="20"/>
        </w:rPr>
      </w:pPr>
      <w:r w:rsidRPr="003115A6">
        <w:rPr>
          <w:rFonts w:asciiTheme="majorHAnsi" w:hAnsiTheme="majorHAnsi" w:cstheme="majorHAnsi"/>
          <w:bCs/>
          <w:sz w:val="20"/>
          <w:szCs w:val="20"/>
        </w:rPr>
        <w:t>The description of Figure 15:</w:t>
      </w:r>
    </w:p>
    <w:p w14:paraId="471AF042" w14:textId="77777777" w:rsidR="003115A6" w:rsidRPr="003115A6" w:rsidRDefault="003115A6" w:rsidP="00521A9B">
      <w:pPr>
        <w:pStyle w:val="ListParagraph"/>
        <w:numPr>
          <w:ilvl w:val="0"/>
          <w:numId w:val="7"/>
        </w:numPr>
        <w:ind w:left="567" w:hanging="284"/>
        <w:jc w:val="both"/>
        <w:rPr>
          <w:rFonts w:asciiTheme="majorHAnsi" w:hAnsiTheme="majorHAnsi" w:cstheme="majorHAnsi"/>
          <w:sz w:val="20"/>
          <w:szCs w:val="20"/>
        </w:rPr>
      </w:pPr>
      <w:r w:rsidRPr="003115A6">
        <w:rPr>
          <w:rFonts w:asciiTheme="majorHAnsi" w:hAnsiTheme="majorHAnsi" w:cstheme="majorHAnsi"/>
          <w:sz w:val="20"/>
          <w:szCs w:val="20"/>
        </w:rPr>
        <w:t xml:space="preserve">(1480) </w:t>
      </w:r>
      <w:r w:rsidRPr="003115A6">
        <w:rPr>
          <w:rFonts w:asciiTheme="majorHAnsi" w:eastAsia="Times New Roman" w:hAnsiTheme="majorHAnsi" w:cstheme="majorHAnsi"/>
          <w:noProof/>
          <w:sz w:val="20"/>
          <w:szCs w:val="20"/>
          <w:lang w:eastAsia="ko-KR"/>
        </w:rPr>
        <w:t xml:space="preserve">The mosque building, which is measured up to 150 m², is composed of exposed red bricks with a square plan. At the front of the mosque, there is a porch, and inside the mosque, there are a </w:t>
      </w:r>
      <w:r w:rsidRPr="003115A6">
        <w:rPr>
          <w:rFonts w:asciiTheme="majorHAnsi" w:eastAsia="Times New Roman" w:hAnsiTheme="majorHAnsi" w:cstheme="majorHAnsi"/>
          <w:i/>
          <w:iCs/>
          <w:noProof/>
          <w:sz w:val="20"/>
          <w:szCs w:val="20"/>
          <w:lang w:eastAsia="ko-KR"/>
        </w:rPr>
        <w:t>mihrab</w:t>
      </w:r>
      <w:r w:rsidRPr="003115A6">
        <w:rPr>
          <w:rFonts w:asciiTheme="majorHAnsi" w:eastAsia="Times New Roman" w:hAnsiTheme="majorHAnsi" w:cstheme="majorHAnsi"/>
          <w:noProof/>
          <w:sz w:val="20"/>
          <w:szCs w:val="20"/>
          <w:lang w:eastAsia="ko-KR"/>
        </w:rPr>
        <w:t xml:space="preserve">, a pulpit, and an overlapping roof with a momolo decoration at the top in the shape of a lotus flower bud. </w:t>
      </w:r>
    </w:p>
    <w:p w14:paraId="6F7FFADA" w14:textId="77777777" w:rsidR="003115A6" w:rsidRPr="003115A6" w:rsidRDefault="003115A6" w:rsidP="00521A9B">
      <w:pPr>
        <w:pStyle w:val="ListParagraph"/>
        <w:numPr>
          <w:ilvl w:val="0"/>
          <w:numId w:val="7"/>
        </w:numPr>
        <w:ind w:left="567" w:hanging="284"/>
        <w:jc w:val="both"/>
        <w:rPr>
          <w:rFonts w:asciiTheme="majorHAnsi" w:hAnsiTheme="majorHAnsi" w:cstheme="majorHAnsi"/>
          <w:sz w:val="20"/>
          <w:szCs w:val="20"/>
        </w:rPr>
      </w:pPr>
      <w:r w:rsidRPr="003115A6">
        <w:rPr>
          <w:rFonts w:asciiTheme="majorHAnsi" w:hAnsiTheme="majorHAnsi" w:cstheme="majorHAnsi"/>
          <w:sz w:val="20"/>
          <w:szCs w:val="20"/>
        </w:rPr>
        <w:t xml:space="preserve"> (1549) </w:t>
      </w:r>
      <w:r w:rsidRPr="003115A6">
        <w:rPr>
          <w:rFonts w:asciiTheme="majorHAnsi" w:eastAsia="Times New Roman" w:hAnsiTheme="majorHAnsi" w:cstheme="majorHAnsi"/>
          <w:noProof/>
          <w:sz w:val="20"/>
          <w:szCs w:val="20"/>
          <w:lang w:eastAsia="ko-KR"/>
        </w:rPr>
        <w:t xml:space="preserve">The mosque is fenced with a </w:t>
      </w:r>
      <w:r w:rsidRPr="003115A6">
        <w:rPr>
          <w:rFonts w:asciiTheme="majorHAnsi" w:eastAsia="Times New Roman" w:hAnsiTheme="majorHAnsi" w:cstheme="majorHAnsi"/>
          <w:i/>
          <w:iCs/>
          <w:noProof/>
          <w:sz w:val="20"/>
          <w:szCs w:val="20"/>
          <w:lang w:eastAsia="ko-KR"/>
        </w:rPr>
        <w:t>kuta kosod</w:t>
      </w:r>
      <w:r w:rsidRPr="003115A6">
        <w:rPr>
          <w:rFonts w:asciiTheme="majorHAnsi" w:eastAsia="Times New Roman" w:hAnsiTheme="majorHAnsi" w:cstheme="majorHAnsi"/>
          <w:noProof/>
          <w:sz w:val="20"/>
          <w:szCs w:val="20"/>
          <w:lang w:eastAsia="ko-KR"/>
        </w:rPr>
        <w:t xml:space="preserve">, which at the gate is shaped like a </w:t>
      </w:r>
      <w:r w:rsidRPr="003115A6">
        <w:rPr>
          <w:rFonts w:asciiTheme="majorHAnsi" w:eastAsia="Times New Roman" w:hAnsiTheme="majorHAnsi" w:cstheme="majorHAnsi"/>
          <w:i/>
          <w:iCs/>
          <w:noProof/>
          <w:sz w:val="20"/>
          <w:szCs w:val="20"/>
          <w:lang w:eastAsia="ko-KR"/>
        </w:rPr>
        <w:t>paduraksa</w:t>
      </w:r>
      <w:r w:rsidRPr="003115A6">
        <w:rPr>
          <w:rFonts w:asciiTheme="majorHAnsi" w:eastAsia="Times New Roman" w:hAnsiTheme="majorHAnsi" w:cstheme="majorHAnsi"/>
          <w:noProof/>
          <w:sz w:val="20"/>
          <w:szCs w:val="20"/>
          <w:lang w:eastAsia="ko-KR"/>
        </w:rPr>
        <w:t xml:space="preserve"> with a very small door size. </w:t>
      </w:r>
    </w:p>
    <w:p w14:paraId="1BC76619" w14:textId="77777777" w:rsidR="003115A6" w:rsidRPr="003115A6" w:rsidRDefault="003115A6" w:rsidP="00521A9B">
      <w:pPr>
        <w:pStyle w:val="ListParagraph"/>
        <w:numPr>
          <w:ilvl w:val="0"/>
          <w:numId w:val="7"/>
        </w:numPr>
        <w:ind w:left="567" w:hanging="284"/>
        <w:jc w:val="both"/>
        <w:rPr>
          <w:rFonts w:asciiTheme="majorHAnsi" w:hAnsiTheme="majorHAnsi" w:cstheme="majorHAnsi"/>
          <w:sz w:val="20"/>
          <w:szCs w:val="20"/>
        </w:rPr>
      </w:pPr>
      <w:r w:rsidRPr="003115A6">
        <w:rPr>
          <w:rFonts w:asciiTheme="majorHAnsi" w:hAnsiTheme="majorHAnsi" w:cstheme="majorHAnsi"/>
          <w:sz w:val="20"/>
          <w:szCs w:val="20"/>
        </w:rPr>
        <w:t>(</w:t>
      </w:r>
      <w:r w:rsidRPr="003115A6">
        <w:rPr>
          <w:rFonts w:asciiTheme="majorHAnsi" w:hAnsiTheme="majorHAnsi" w:cstheme="majorHAnsi"/>
          <w:sz w:val="20"/>
          <w:szCs w:val="20"/>
          <w:lang w:val="id-ID"/>
        </w:rPr>
        <w:t>1</w:t>
      </w:r>
      <w:r w:rsidRPr="003115A6">
        <w:rPr>
          <w:rFonts w:asciiTheme="majorHAnsi" w:hAnsiTheme="majorHAnsi" w:cstheme="majorHAnsi"/>
          <w:sz w:val="20"/>
          <w:szCs w:val="20"/>
        </w:rPr>
        <w:t xml:space="preserve">930) </w:t>
      </w:r>
      <w:r w:rsidRPr="003115A6">
        <w:rPr>
          <w:rFonts w:asciiTheme="majorHAnsi" w:eastAsia="Times New Roman" w:hAnsiTheme="majorHAnsi" w:cstheme="majorHAnsi"/>
          <w:noProof/>
          <w:sz w:val="20"/>
          <w:szCs w:val="20"/>
          <w:lang w:eastAsia="ko-KR"/>
        </w:rPr>
        <w:t>The porcelain ornamentation is clearly visible. At the corner of the fence, there are three lines from top to bottom, each with three plates, and on the front wall, there are two lines with eight plates each.</w:t>
      </w:r>
    </w:p>
    <w:p w14:paraId="4BA48BF2" w14:textId="77777777" w:rsidR="003115A6" w:rsidRPr="003115A6" w:rsidRDefault="003115A6" w:rsidP="00521A9B">
      <w:pPr>
        <w:pStyle w:val="ListParagraph"/>
        <w:numPr>
          <w:ilvl w:val="0"/>
          <w:numId w:val="7"/>
        </w:numPr>
        <w:ind w:left="567" w:hanging="284"/>
        <w:jc w:val="both"/>
        <w:rPr>
          <w:rFonts w:asciiTheme="majorHAnsi" w:hAnsiTheme="majorHAnsi" w:cstheme="majorHAnsi"/>
          <w:sz w:val="20"/>
          <w:szCs w:val="20"/>
        </w:rPr>
      </w:pPr>
      <w:r w:rsidRPr="003115A6">
        <w:rPr>
          <w:rFonts w:asciiTheme="majorHAnsi" w:hAnsiTheme="majorHAnsi" w:cstheme="majorHAnsi"/>
          <w:sz w:val="20"/>
          <w:szCs w:val="20"/>
        </w:rPr>
        <w:t xml:space="preserve">(1955) </w:t>
      </w:r>
      <w:r w:rsidRPr="003115A6">
        <w:rPr>
          <w:rFonts w:asciiTheme="majorHAnsi" w:eastAsia="Times New Roman" w:hAnsiTheme="majorHAnsi" w:cstheme="majorHAnsi"/>
          <w:noProof/>
          <w:sz w:val="20"/>
          <w:szCs w:val="20"/>
          <w:lang w:val="id-ID" w:eastAsia="ko-KR"/>
        </w:rPr>
        <w:t xml:space="preserve">The fence walls are decorated with porcelain ornaments of different sizes. In this picture, the plate ornaments on the fence wall are not clearly visible. </w:t>
      </w:r>
    </w:p>
    <w:p w14:paraId="0299ABF8" w14:textId="77777777" w:rsidR="003115A6" w:rsidRPr="003115A6" w:rsidRDefault="003115A6" w:rsidP="00521A9B">
      <w:pPr>
        <w:pStyle w:val="ListParagraph"/>
        <w:numPr>
          <w:ilvl w:val="0"/>
          <w:numId w:val="8"/>
        </w:numPr>
        <w:ind w:left="567" w:hanging="284"/>
        <w:jc w:val="both"/>
        <w:rPr>
          <w:rFonts w:asciiTheme="majorHAnsi" w:eastAsia="Times New Roman" w:hAnsiTheme="majorHAnsi" w:cstheme="majorHAnsi"/>
          <w:noProof/>
          <w:sz w:val="20"/>
          <w:szCs w:val="20"/>
          <w:lang w:val="id-ID" w:eastAsia="ko-KR"/>
        </w:rPr>
      </w:pPr>
      <w:r w:rsidRPr="003115A6">
        <w:rPr>
          <w:rFonts w:asciiTheme="majorHAnsi" w:eastAsia="Times New Roman" w:hAnsiTheme="majorHAnsi" w:cstheme="majorHAnsi"/>
          <w:noProof/>
          <w:sz w:val="20"/>
          <w:szCs w:val="20"/>
          <w:lang w:eastAsia="ko-KR"/>
        </w:rPr>
        <w:t>(Still 1955) T</w:t>
      </w:r>
      <w:r w:rsidRPr="003115A6">
        <w:rPr>
          <w:rFonts w:asciiTheme="majorHAnsi" w:eastAsia="Times New Roman" w:hAnsiTheme="majorHAnsi" w:cstheme="majorHAnsi"/>
          <w:noProof/>
          <w:sz w:val="20"/>
          <w:szCs w:val="20"/>
          <w:lang w:val="id-ID" w:eastAsia="ko-KR"/>
        </w:rPr>
        <w:t>he decoration on the door mace contains three plates of different sizes. You can also see the supporting pillars in the front of and inside the mosque to support the roof.</w:t>
      </w:r>
    </w:p>
    <w:p w14:paraId="5C66EF88" w14:textId="77777777" w:rsidR="003115A6" w:rsidRPr="003115A6" w:rsidRDefault="003115A6" w:rsidP="00521A9B">
      <w:pPr>
        <w:pStyle w:val="ListParagraph"/>
        <w:numPr>
          <w:ilvl w:val="0"/>
          <w:numId w:val="8"/>
        </w:numPr>
        <w:ind w:left="567" w:hanging="284"/>
        <w:jc w:val="both"/>
        <w:rPr>
          <w:rFonts w:asciiTheme="majorHAnsi" w:hAnsiTheme="majorHAnsi" w:cstheme="majorHAnsi"/>
          <w:sz w:val="20"/>
          <w:szCs w:val="20"/>
        </w:rPr>
      </w:pPr>
      <w:r w:rsidRPr="003115A6">
        <w:rPr>
          <w:rFonts w:asciiTheme="majorHAnsi" w:hAnsiTheme="majorHAnsi" w:cstheme="majorHAnsi"/>
          <w:sz w:val="20"/>
          <w:szCs w:val="20"/>
        </w:rPr>
        <w:lastRenderedPageBreak/>
        <w:t xml:space="preserve">(1978) </w:t>
      </w:r>
      <w:r w:rsidRPr="003115A6">
        <w:rPr>
          <w:rFonts w:asciiTheme="majorHAnsi" w:eastAsia="Times New Roman" w:hAnsiTheme="majorHAnsi" w:cstheme="majorHAnsi"/>
          <w:noProof/>
          <w:sz w:val="20"/>
          <w:szCs w:val="20"/>
          <w:lang w:eastAsia="ko-KR"/>
        </w:rPr>
        <w:t>There was the addition of a new building, namely the tower to the south of the mosque. Meanwhile, the temple and door panels were dismantled. The roof and fence are still the same as seen in the previous years. The decorative plate ornaments on the front fence wall are no longer visible and only remain in a concave shape.</w:t>
      </w:r>
    </w:p>
    <w:p w14:paraId="74001537" w14:textId="77777777" w:rsidR="003115A6" w:rsidRPr="003115A6" w:rsidRDefault="003115A6" w:rsidP="00521A9B">
      <w:pPr>
        <w:pStyle w:val="ListParagraph"/>
        <w:numPr>
          <w:ilvl w:val="0"/>
          <w:numId w:val="8"/>
        </w:numPr>
        <w:ind w:left="567" w:hanging="284"/>
        <w:jc w:val="both"/>
        <w:rPr>
          <w:rFonts w:asciiTheme="majorHAnsi" w:hAnsiTheme="majorHAnsi" w:cstheme="majorHAnsi"/>
          <w:sz w:val="20"/>
          <w:szCs w:val="20"/>
        </w:rPr>
      </w:pPr>
      <w:r w:rsidRPr="003115A6">
        <w:rPr>
          <w:rFonts w:asciiTheme="majorHAnsi" w:hAnsiTheme="majorHAnsi" w:cstheme="majorHAnsi"/>
          <w:sz w:val="20"/>
          <w:szCs w:val="20"/>
        </w:rPr>
        <w:t xml:space="preserve">(2007) </w:t>
      </w:r>
      <w:r w:rsidRPr="003115A6">
        <w:rPr>
          <w:rFonts w:asciiTheme="majorHAnsi" w:eastAsia="Times New Roman" w:hAnsiTheme="majorHAnsi" w:cstheme="majorHAnsi"/>
          <w:noProof/>
          <w:sz w:val="20"/>
          <w:szCs w:val="20"/>
          <w:lang w:val="id-ID" w:eastAsia="ko-KR"/>
        </w:rPr>
        <w:t>The tower rebuilt was torn down. The building was returned to the form it had before the tower was built.</w:t>
      </w:r>
    </w:p>
    <w:p w14:paraId="423AC389" w14:textId="77777777" w:rsidR="003115A6" w:rsidRPr="003115A6" w:rsidRDefault="003115A6" w:rsidP="00521A9B">
      <w:pPr>
        <w:pStyle w:val="ListParagraph"/>
        <w:numPr>
          <w:ilvl w:val="0"/>
          <w:numId w:val="8"/>
        </w:numPr>
        <w:ind w:left="567" w:hanging="284"/>
        <w:jc w:val="both"/>
        <w:rPr>
          <w:rFonts w:asciiTheme="majorHAnsi" w:hAnsiTheme="majorHAnsi" w:cstheme="majorHAnsi"/>
          <w:sz w:val="20"/>
          <w:szCs w:val="20"/>
        </w:rPr>
      </w:pPr>
      <w:r w:rsidRPr="003115A6">
        <w:rPr>
          <w:rFonts w:asciiTheme="majorHAnsi" w:hAnsiTheme="majorHAnsi" w:cstheme="majorHAnsi"/>
          <w:sz w:val="20"/>
          <w:szCs w:val="20"/>
        </w:rPr>
        <w:t xml:space="preserve">(2017) </w:t>
      </w:r>
      <w:r w:rsidRPr="003115A6">
        <w:rPr>
          <w:rFonts w:asciiTheme="majorHAnsi" w:eastAsia="Times New Roman" w:hAnsiTheme="majorHAnsi" w:cstheme="majorHAnsi"/>
          <w:noProof/>
          <w:sz w:val="20"/>
          <w:szCs w:val="20"/>
          <w:lang w:eastAsia="ko-KR"/>
        </w:rPr>
        <w:t>On the wall of the fence, you can no longer see the plate ornaments; only faint traces of them are still visible on the wall. The mosque building and fence were painted red. The roof is still overlapping using shingles with momolo at the top of the roof.</w:t>
      </w:r>
    </w:p>
    <w:p w14:paraId="6A6F143D" w14:textId="77777777" w:rsidR="003115A6" w:rsidRPr="003115A6" w:rsidRDefault="003115A6" w:rsidP="00FC7000">
      <w:pPr>
        <w:ind w:left="284" w:firstLine="283"/>
        <w:jc w:val="both"/>
        <w:rPr>
          <w:rFonts w:asciiTheme="majorHAnsi" w:eastAsia="Times New Roman" w:hAnsiTheme="majorHAnsi" w:cstheme="majorHAnsi"/>
          <w:sz w:val="20"/>
          <w:szCs w:val="20"/>
          <w:lang w:val="id-ID" w:eastAsia="ko-KR"/>
        </w:rPr>
      </w:pPr>
    </w:p>
    <w:p w14:paraId="4397BC75" w14:textId="0E1154E0"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543B8D2E" w14:textId="77777777" w:rsidR="00FC7000" w:rsidRPr="00FC7000" w:rsidRDefault="00FC7000" w:rsidP="00FC7000">
      <w:pPr>
        <w:ind w:firstLine="284"/>
        <w:jc w:val="both"/>
        <w:rPr>
          <w:rFonts w:asciiTheme="majorHAnsi" w:hAnsiTheme="majorHAnsi" w:cstheme="majorHAnsi"/>
          <w:sz w:val="20"/>
          <w:szCs w:val="20"/>
        </w:rPr>
      </w:pPr>
      <w:r w:rsidRPr="00FC7000">
        <w:rPr>
          <w:rFonts w:asciiTheme="majorHAnsi" w:hAnsiTheme="majorHAnsi" w:cstheme="majorHAnsi"/>
          <w:sz w:val="20"/>
          <w:szCs w:val="20"/>
        </w:rPr>
        <w:t xml:space="preserve">The </w:t>
      </w:r>
      <w:proofErr w:type="spellStart"/>
      <w:r w:rsidRPr="00FC7000">
        <w:rPr>
          <w:rFonts w:asciiTheme="majorHAnsi" w:hAnsiTheme="majorHAnsi" w:cstheme="majorHAnsi"/>
          <w:sz w:val="20"/>
          <w:szCs w:val="20"/>
        </w:rPr>
        <w:t>Panjunan</w:t>
      </w:r>
      <w:proofErr w:type="spellEnd"/>
      <w:r w:rsidRPr="00FC7000">
        <w:rPr>
          <w:rFonts w:asciiTheme="majorHAnsi" w:hAnsiTheme="majorHAnsi" w:cstheme="majorHAnsi"/>
          <w:sz w:val="20"/>
          <w:szCs w:val="20"/>
        </w:rPr>
        <w:t xml:space="preserve"> Red Mosque in Cirebon is closely related to the social system that occurs in Cirebon, both diachronically and synchronically. The conditions of society influence the existence of mosques and their visual elements at that time. The existence of the mosque and its architectural elements reflect a combination of cultural acculturation, representing Asia, Arabia, and China. The basic shape of the mosque building, the type of roof, the pillars and their decorative forms, the shape and motif of the mihrab pulpit, the combination of motifs, architectural decoration, both interior and exterior, and other architectural elements show a visual narrative of cultural acculturation. Some elements clearly show visual forms, such as simple forms without ornamentation, </w:t>
      </w:r>
      <w:proofErr w:type="gramStart"/>
      <w:r w:rsidRPr="00FC7000">
        <w:rPr>
          <w:rFonts w:asciiTheme="majorHAnsi" w:hAnsiTheme="majorHAnsi" w:cstheme="majorHAnsi"/>
          <w:sz w:val="20"/>
          <w:szCs w:val="20"/>
        </w:rPr>
        <w:t>similar to</w:t>
      </w:r>
      <w:proofErr w:type="gramEnd"/>
      <w:r w:rsidRPr="00FC7000">
        <w:rPr>
          <w:rFonts w:asciiTheme="majorHAnsi" w:hAnsiTheme="majorHAnsi" w:cstheme="majorHAnsi"/>
          <w:sz w:val="20"/>
          <w:szCs w:val="20"/>
        </w:rPr>
        <w:t xml:space="preserve"> those on the pulpit. In other parts, there are elements with plant motifs, such as lotuses and porcelain decorations on the mosque's walls. These various forms of elements become static visuals maintained at the </w:t>
      </w:r>
      <w:proofErr w:type="spellStart"/>
      <w:r w:rsidRPr="00FC7000">
        <w:rPr>
          <w:rFonts w:asciiTheme="majorHAnsi" w:hAnsiTheme="majorHAnsi" w:cstheme="majorHAnsi"/>
          <w:sz w:val="20"/>
          <w:szCs w:val="20"/>
        </w:rPr>
        <w:t>Panjunan</w:t>
      </w:r>
      <w:proofErr w:type="spellEnd"/>
      <w:r w:rsidRPr="00FC7000">
        <w:rPr>
          <w:rFonts w:asciiTheme="majorHAnsi" w:hAnsiTheme="majorHAnsi" w:cstheme="majorHAnsi"/>
          <w:sz w:val="20"/>
          <w:szCs w:val="20"/>
        </w:rPr>
        <w:t xml:space="preserve"> Red Mosque. These visuals provide a narrative description of the origins of the development of the spread of Islam in Cirebon City.</w:t>
      </w:r>
    </w:p>
    <w:p w14:paraId="0BA41081" w14:textId="77777777" w:rsidR="00FC7000" w:rsidRPr="00FC7000" w:rsidRDefault="00FC7000" w:rsidP="00FC7000">
      <w:pPr>
        <w:ind w:firstLine="284"/>
        <w:jc w:val="both"/>
        <w:rPr>
          <w:rFonts w:asciiTheme="majorHAnsi" w:hAnsiTheme="majorHAnsi" w:cstheme="majorHAnsi"/>
          <w:sz w:val="20"/>
          <w:szCs w:val="20"/>
        </w:rPr>
      </w:pPr>
      <w:r w:rsidRPr="00FC7000">
        <w:rPr>
          <w:rFonts w:asciiTheme="majorHAnsi" w:hAnsiTheme="majorHAnsi" w:cstheme="majorHAnsi"/>
          <w:sz w:val="20"/>
          <w:szCs w:val="20"/>
        </w:rPr>
        <w:t xml:space="preserve">The visual elements of the </w:t>
      </w:r>
      <w:proofErr w:type="spellStart"/>
      <w:r w:rsidRPr="00FC7000">
        <w:rPr>
          <w:rFonts w:asciiTheme="majorHAnsi" w:hAnsiTheme="majorHAnsi" w:cstheme="majorHAnsi"/>
          <w:sz w:val="20"/>
          <w:szCs w:val="20"/>
        </w:rPr>
        <w:t>Panjunan</w:t>
      </w:r>
      <w:proofErr w:type="spellEnd"/>
      <w:r w:rsidRPr="00FC7000">
        <w:rPr>
          <w:rFonts w:asciiTheme="majorHAnsi" w:hAnsiTheme="majorHAnsi" w:cstheme="majorHAnsi"/>
          <w:sz w:val="20"/>
          <w:szCs w:val="20"/>
        </w:rPr>
        <w:t xml:space="preserve"> Red Mosque inform cultural acculturation. It describes the religious life of the community, as well as the function of the mosque, apart from being a place of worship for Muslims. The visuals of the </w:t>
      </w:r>
      <w:proofErr w:type="spellStart"/>
      <w:r w:rsidRPr="00FC7000">
        <w:rPr>
          <w:rFonts w:asciiTheme="majorHAnsi" w:hAnsiTheme="majorHAnsi" w:cstheme="majorHAnsi"/>
          <w:sz w:val="20"/>
          <w:szCs w:val="20"/>
        </w:rPr>
        <w:t>Panjunan</w:t>
      </w:r>
      <w:proofErr w:type="spellEnd"/>
      <w:r w:rsidRPr="00FC7000">
        <w:rPr>
          <w:rFonts w:asciiTheme="majorHAnsi" w:hAnsiTheme="majorHAnsi" w:cstheme="majorHAnsi"/>
          <w:sz w:val="20"/>
          <w:szCs w:val="20"/>
        </w:rPr>
        <w:t xml:space="preserve"> Red Mosque also reveal images and narratives of social life, socialization, and cultural development in Cirebon City. Cirebon, in the early days of Islamic development, implemented a monarchical system of government, namely the Cirebon Sultanate. The Cirebon Sultanate's existence influenced the </w:t>
      </w:r>
      <w:proofErr w:type="gramStart"/>
      <w:r w:rsidRPr="00FC7000">
        <w:rPr>
          <w:rFonts w:asciiTheme="majorHAnsi" w:hAnsiTheme="majorHAnsi" w:cstheme="majorHAnsi"/>
          <w:sz w:val="20"/>
          <w:szCs w:val="20"/>
        </w:rPr>
        <w:t>mosque's</w:t>
      </w:r>
      <w:proofErr w:type="gramEnd"/>
      <w:r w:rsidRPr="00FC7000">
        <w:rPr>
          <w:rFonts w:asciiTheme="majorHAnsi" w:hAnsiTheme="majorHAnsi" w:cstheme="majorHAnsi"/>
          <w:sz w:val="20"/>
          <w:szCs w:val="20"/>
        </w:rPr>
        <w:t xml:space="preserve"> and its visual elements.</w:t>
      </w:r>
    </w:p>
    <w:p w14:paraId="3019E2D5" w14:textId="77777777" w:rsidR="00FC7000" w:rsidRPr="00FC7000" w:rsidRDefault="00FC7000" w:rsidP="00FC7000">
      <w:pPr>
        <w:ind w:firstLine="284"/>
        <w:jc w:val="both"/>
        <w:rPr>
          <w:rFonts w:asciiTheme="majorHAnsi" w:hAnsiTheme="majorHAnsi" w:cstheme="majorHAnsi"/>
          <w:sz w:val="20"/>
          <w:szCs w:val="20"/>
        </w:rPr>
      </w:pPr>
      <w:r w:rsidRPr="00FC7000">
        <w:rPr>
          <w:rFonts w:asciiTheme="majorHAnsi" w:hAnsiTheme="majorHAnsi" w:cstheme="majorHAnsi"/>
          <w:sz w:val="20"/>
          <w:szCs w:val="20"/>
        </w:rPr>
        <w:t>Furthermore, Cirebon is a coastal area. Fishermen and traders dominated the people's livelihood at that time. However, many traders are foreigners from the Middle East and China. This then shaped Cirebon into a region with high values of tolerance and plurality.</w:t>
      </w:r>
    </w:p>
    <w:p w14:paraId="6C1FC12B" w14:textId="77777777" w:rsidR="00FC7000" w:rsidRPr="00FC7000" w:rsidRDefault="00FC7000" w:rsidP="00FC7000">
      <w:pPr>
        <w:ind w:firstLine="284"/>
        <w:jc w:val="both"/>
        <w:rPr>
          <w:rFonts w:asciiTheme="majorHAnsi" w:hAnsiTheme="majorHAnsi" w:cstheme="majorHAnsi"/>
          <w:sz w:val="20"/>
          <w:szCs w:val="20"/>
        </w:rPr>
      </w:pPr>
      <w:r w:rsidRPr="00FC7000">
        <w:rPr>
          <w:rFonts w:asciiTheme="majorHAnsi" w:hAnsiTheme="majorHAnsi" w:cstheme="majorHAnsi"/>
          <w:sz w:val="20"/>
          <w:szCs w:val="20"/>
        </w:rPr>
        <w:t>The development of Cirebon City during the period of mosque construction revealed historical and religious values. During its development, the spread of religion also developed with the establishment of mosques and other places of worship. Thus, it makes Cirebon City a trading city and a religious city that prioritizes tolerance. In addition to its role in spreading knowledge, this also influenced the spread of Islam in Cirebon and West Java.</w:t>
      </w:r>
    </w:p>
    <w:p w14:paraId="3CA2ED4A" w14:textId="77777777" w:rsidR="00FC7000" w:rsidRPr="00FC7000" w:rsidRDefault="00FC7000" w:rsidP="00FC7000">
      <w:pPr>
        <w:ind w:firstLine="284"/>
        <w:jc w:val="both"/>
        <w:rPr>
          <w:rFonts w:asciiTheme="majorHAnsi" w:hAnsiTheme="majorHAnsi" w:cstheme="majorHAnsi"/>
        </w:rPr>
      </w:pPr>
    </w:p>
    <w:p w14:paraId="4272776B" w14:textId="496B73F3"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1266567E" w14:textId="1DA91CA5" w:rsidR="00883F54" w:rsidRDefault="00883F54" w:rsidP="00C26026">
      <w:pPr>
        <w:rPr>
          <w:rFonts w:asciiTheme="minorHAnsi" w:hAnsiTheme="minorHAnsi" w:cstheme="minorHAnsi"/>
          <w:b/>
          <w:bCs/>
          <w:sz w:val="20"/>
          <w:szCs w:val="20"/>
        </w:rPr>
      </w:pPr>
    </w:p>
    <w:p w14:paraId="2C3231B8" w14:textId="77777777" w:rsidR="00FC7000" w:rsidRPr="00FC7000" w:rsidRDefault="00477FC8"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FC7000" w:rsidRPr="00FC7000">
        <w:rPr>
          <w:rFonts w:asciiTheme="majorHAnsi" w:hAnsiTheme="majorHAnsi" w:cstheme="majorHAnsi"/>
          <w:noProof/>
          <w:sz w:val="20"/>
          <w:szCs w:val="28"/>
        </w:rPr>
        <w:t>[1]</w:t>
      </w:r>
      <w:r w:rsidR="00FC7000" w:rsidRPr="00FC7000">
        <w:rPr>
          <w:rFonts w:asciiTheme="majorHAnsi" w:hAnsiTheme="majorHAnsi" w:cstheme="majorHAnsi"/>
          <w:noProof/>
          <w:sz w:val="20"/>
          <w:szCs w:val="28"/>
        </w:rPr>
        <w:tab/>
        <w:t>G. Pijper, Beberapa studi tentang sejarah Islam di Indonesia 1900-1950. Jakarta: UI Press, 1984.</w:t>
      </w:r>
    </w:p>
    <w:p w14:paraId="1CAA3531"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w:t>
      </w:r>
      <w:r w:rsidRPr="00FC7000">
        <w:rPr>
          <w:rFonts w:asciiTheme="majorHAnsi" w:hAnsiTheme="majorHAnsi" w:cstheme="majorHAnsi"/>
          <w:noProof/>
          <w:sz w:val="20"/>
          <w:szCs w:val="28"/>
        </w:rPr>
        <w:tab/>
        <w:t>Ş. E. Okuyucu, “Evaluation of Spatial Fictions, Design Concepts, Aesthetic Quests of Traditional, Modern Mosques from Past to Present and the Analysis of Mosque Samples,” Civ. Eng. Archit., vol. 4, no. 2, 2016, doi: 10.13189/cea.2016.040203.</w:t>
      </w:r>
    </w:p>
    <w:p w14:paraId="48C74801"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w:t>
      </w:r>
      <w:r w:rsidRPr="00FC7000">
        <w:rPr>
          <w:rFonts w:asciiTheme="majorHAnsi" w:hAnsiTheme="majorHAnsi" w:cstheme="majorHAnsi"/>
          <w:noProof/>
          <w:sz w:val="20"/>
          <w:szCs w:val="28"/>
        </w:rPr>
        <w:tab/>
        <w:t>M. Frishman and H.-U. Khan, The mosque, history, architectural development and regional diversity. London: Thames and Hudson Ltd., 1994.</w:t>
      </w:r>
    </w:p>
    <w:p w14:paraId="202238D7"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[4]</w:t>
      </w:r>
      <w:r w:rsidRPr="00FC7000">
        <w:rPr>
          <w:rFonts w:asciiTheme="majorHAnsi" w:hAnsiTheme="majorHAnsi" w:cstheme="majorHAnsi"/>
          <w:noProof/>
          <w:sz w:val="20"/>
          <w:szCs w:val="28"/>
        </w:rPr>
        <w:tab/>
        <w:t>U. Fikriyati, “Architectural Interpretations of Qur’anic and Hadith Influences in Traditional Indonesian Mosques During the Walisanga Era,” J. Stud. Ilmu-ilmu al-Qur’an dan Hadis, vol. 24, no. 2, pp. 253–284, 2023, doi: 10.14421/qh.v24i2.4657.</w:t>
      </w:r>
    </w:p>
    <w:p w14:paraId="5BEB47DA"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[5]</w:t>
      </w:r>
      <w:r w:rsidRPr="00FC7000">
        <w:rPr>
          <w:rFonts w:asciiTheme="majorHAnsi" w:hAnsiTheme="majorHAnsi" w:cstheme="majorHAnsi"/>
          <w:noProof/>
          <w:sz w:val="20"/>
          <w:szCs w:val="28"/>
        </w:rPr>
        <w:tab/>
        <w:t>K. Setiawan and T. Haris, Masjid-Masjid Bersejarah Di Jakarta. Jakarta: Erlangga, 2010.</w:t>
      </w:r>
    </w:p>
    <w:p w14:paraId="6C30556D"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[6]</w:t>
      </w:r>
      <w:r w:rsidRPr="00FC7000">
        <w:rPr>
          <w:rFonts w:asciiTheme="majorHAnsi" w:hAnsiTheme="majorHAnsi" w:cstheme="majorHAnsi"/>
          <w:noProof/>
          <w:sz w:val="20"/>
          <w:szCs w:val="28"/>
        </w:rPr>
        <w:tab/>
        <w:t xml:space="preserve">Y. Sumalyo, “Arsitektur mesjid dan monumen sejarah muslim / Yulianto Sumalyo,” Yogyakarta : Gadjah Mada University Press., 2000. </w:t>
      </w:r>
    </w:p>
    <w:p w14:paraId="154A31A2"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[7]</w:t>
      </w:r>
      <w:r w:rsidRPr="00FC7000">
        <w:rPr>
          <w:rFonts w:asciiTheme="majorHAnsi" w:hAnsiTheme="majorHAnsi" w:cstheme="majorHAnsi"/>
          <w:noProof/>
          <w:sz w:val="20"/>
          <w:szCs w:val="28"/>
        </w:rPr>
        <w:tab/>
        <w:t>M. A. Dr. Makhmud Syafe’i., “Masjid Dalam Prespektif Sejarah Dan Hukum Islam,” Syria Stud., vol. 7, no. 1, 2019.</w:t>
      </w:r>
    </w:p>
    <w:p w14:paraId="5A5ED137" w14:textId="77777777" w:rsid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[8]</w:t>
      </w:r>
      <w:r w:rsidRPr="00FC7000">
        <w:rPr>
          <w:rFonts w:asciiTheme="majorHAnsi" w:hAnsiTheme="majorHAnsi" w:cstheme="majorHAnsi"/>
          <w:noProof/>
          <w:sz w:val="20"/>
          <w:szCs w:val="28"/>
        </w:rPr>
        <w:tab/>
        <w:t>J. Dickie, "Allah and eternity: Mosques, madrasas and tombs", in G. Michell (editor), Architecture of Islamic Worlds, Its History and Social Meaning. New York: Thames and Hudson, Ltd., 1978.</w:t>
      </w:r>
    </w:p>
    <w:p w14:paraId="4DD97E06" w14:textId="77777777" w:rsid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2DFFD7DC"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028D221F"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lastRenderedPageBreak/>
        <w:t>[9]</w:t>
      </w:r>
      <w:r w:rsidRPr="00FC7000">
        <w:rPr>
          <w:rFonts w:asciiTheme="majorHAnsi" w:hAnsiTheme="majorHAnsi" w:cstheme="majorHAnsi"/>
          <w:noProof/>
          <w:sz w:val="20"/>
          <w:szCs w:val="28"/>
        </w:rPr>
        <w:tab/>
        <w:t>Hermana, “Arsitektur Masjid Merah Panjunan Kota Cirebon Architecture of Masjid Merah (The Red Mosque) in Panjunan, Cirebon,” Patanjala, vol. 4, no. 2, pp. 151–167, 2012, doi: http://dx.doi.org/10.30959/patanjala.v4i2.143.</w:t>
      </w:r>
    </w:p>
    <w:p w14:paraId="7B62AB64"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[10]</w:t>
      </w:r>
      <w:r w:rsidRPr="00FC7000">
        <w:rPr>
          <w:rFonts w:asciiTheme="majorHAnsi" w:hAnsiTheme="majorHAnsi" w:cstheme="majorHAnsi"/>
          <w:noProof/>
          <w:sz w:val="20"/>
          <w:szCs w:val="28"/>
        </w:rPr>
        <w:tab/>
        <w:t>M. Sutrisno, S. Sastrosasmito, and A. Sarwadi, “Posi Bola of Jami Mosque As Spatial Transformation Symbol,” J. Islam. Archit., vol. 5, no. 4, pp. 181–188, 2019, doi: 10.18860/jia.v5i4.5226.</w:t>
      </w:r>
    </w:p>
    <w:p w14:paraId="13561B03"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[11]</w:t>
      </w:r>
      <w:r w:rsidRPr="00FC7000">
        <w:rPr>
          <w:rFonts w:asciiTheme="majorHAnsi" w:hAnsiTheme="majorHAnsi" w:cstheme="majorHAnsi"/>
          <w:noProof/>
          <w:sz w:val="20"/>
          <w:szCs w:val="28"/>
        </w:rPr>
        <w:tab/>
        <w:t>N. Fajriah and Y. Suryaningsih, “Ethnomathematics of the Jami Mosque Jingah River as a source mathematics learning,” J. Phys. Conf. Ser., vol. 1760, no. 1, 2021, doi: 10.1088/1742-6596/1760/1/012025.</w:t>
      </w:r>
    </w:p>
    <w:p w14:paraId="6956FA0F"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[12]</w:t>
      </w:r>
      <w:r w:rsidRPr="00FC7000">
        <w:rPr>
          <w:rFonts w:asciiTheme="majorHAnsi" w:hAnsiTheme="majorHAnsi" w:cstheme="majorHAnsi"/>
          <w:noProof/>
          <w:sz w:val="20"/>
          <w:szCs w:val="28"/>
        </w:rPr>
        <w:tab/>
        <w:t>A. Khalim and D. Fitriyana, “Analisa Potensi Wisata Kampung Arab Panjunan dalam Pengembangan Pariwisata Berkelanjutan Di Kota Cirebon,” J. Inov. Penelit., vol. 4, no. 1, pp. 169–178, 2023, doi: https://doi.org/10.47492/jip.v4i1.2619.</w:t>
      </w:r>
    </w:p>
    <w:p w14:paraId="48C40596"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[13]</w:t>
      </w:r>
      <w:r w:rsidRPr="00FC7000">
        <w:rPr>
          <w:rFonts w:asciiTheme="majorHAnsi" w:hAnsiTheme="majorHAnsi" w:cstheme="majorHAnsi"/>
          <w:noProof/>
          <w:sz w:val="20"/>
          <w:szCs w:val="28"/>
        </w:rPr>
        <w:tab/>
        <w:t>E. Kosim, Metode Sejarah Asas dan Proses. Bandung: Jurusan Sejarah Fakultas Sastra UNPAD, 1984.</w:t>
      </w:r>
    </w:p>
    <w:p w14:paraId="23173A2A"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[14]</w:t>
      </w:r>
      <w:r w:rsidRPr="00FC7000">
        <w:rPr>
          <w:rFonts w:asciiTheme="majorHAnsi" w:hAnsiTheme="majorHAnsi" w:cstheme="majorHAnsi"/>
          <w:noProof/>
          <w:sz w:val="20"/>
          <w:szCs w:val="28"/>
        </w:rPr>
        <w:tab/>
        <w:t>M. N. Fahmi, “Metode Kritik Sejarah dan Double Movement sebagai Alternatif Pembelajaran ejarah Kebudayaan Islam,” PANANGKARAN, J. Penelit. Agama dan Masy., vol. 5, no. 2, pp. 275–290, 2021, doi: 10.14421/panangkaran.v5i2.2655.</w:t>
      </w:r>
    </w:p>
    <w:p w14:paraId="4D1F1B99"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[15]</w:t>
      </w:r>
      <w:r w:rsidRPr="00FC7000">
        <w:rPr>
          <w:rFonts w:asciiTheme="majorHAnsi" w:hAnsiTheme="majorHAnsi" w:cstheme="majorHAnsi"/>
          <w:noProof/>
          <w:sz w:val="20"/>
          <w:szCs w:val="28"/>
        </w:rPr>
        <w:tab/>
        <w:t>L. Gottschalk, Mengerti Sejarah, Jakarta: Yayasan Penerbit UI, 1975.</w:t>
      </w:r>
    </w:p>
    <w:p w14:paraId="3D729B38"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[16]</w:t>
      </w:r>
      <w:r w:rsidRPr="00FC7000">
        <w:rPr>
          <w:rFonts w:asciiTheme="majorHAnsi" w:hAnsiTheme="majorHAnsi" w:cstheme="majorHAnsi"/>
          <w:noProof/>
          <w:sz w:val="20"/>
          <w:szCs w:val="28"/>
        </w:rPr>
        <w:tab/>
        <w:t>F. Halim, A. Y. Mustaqim, and Y. Al Manaanu, “Islamisasi Metode Penulisan Sejarah,” Tasamuh J. Stud. Islam, vol. 13, no. 1, pp. 1–20, 2021, doi: https://doi.org/10.47945/tasamuh.v13i1.328.</w:t>
      </w:r>
    </w:p>
    <w:p w14:paraId="70B976A0"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[17]</w:t>
      </w:r>
      <w:r w:rsidRPr="00FC7000">
        <w:rPr>
          <w:rFonts w:asciiTheme="majorHAnsi" w:hAnsiTheme="majorHAnsi" w:cstheme="majorHAnsi"/>
          <w:noProof/>
          <w:sz w:val="20"/>
          <w:szCs w:val="28"/>
        </w:rPr>
        <w:tab/>
        <w:t>C. Mileto and F. Vegas, “Fragments for the History of an Architecture: A Villa between Humanism and the Renaissance,” Architecture, vol. 3, no. 3, pp. 358–392, 2023, doi: 10.3390/architecture3030020.</w:t>
      </w:r>
    </w:p>
    <w:p w14:paraId="1608DCAD"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[18]</w:t>
      </w:r>
      <w:r w:rsidRPr="00FC7000">
        <w:rPr>
          <w:rFonts w:asciiTheme="majorHAnsi" w:hAnsiTheme="majorHAnsi" w:cstheme="majorHAnsi"/>
          <w:noProof/>
          <w:sz w:val="20"/>
          <w:szCs w:val="28"/>
        </w:rPr>
        <w:tab/>
        <w:t>GARRAGHAN, J. GILBERT, DELANGLEZ, and JEAN, “A Guide to Historical Method,” Nurs. Res., vol. 2, no. 1, 1953, doi: 10.1097/00006199-195306000-00020.</w:t>
      </w:r>
    </w:p>
    <w:p w14:paraId="6D0698C2"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[19]</w:t>
      </w:r>
      <w:r w:rsidRPr="00FC7000">
        <w:rPr>
          <w:rFonts w:asciiTheme="majorHAnsi" w:hAnsiTheme="majorHAnsi" w:cstheme="majorHAnsi"/>
          <w:noProof/>
          <w:sz w:val="20"/>
          <w:szCs w:val="28"/>
        </w:rPr>
        <w:tab/>
        <w:t>H. Sjamsuddin, Metodologi Sejarah. Yogyakarta: Ombak, 2007.</w:t>
      </w:r>
    </w:p>
    <w:p w14:paraId="311F485B"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[20]</w:t>
      </w:r>
      <w:r w:rsidRPr="00FC7000">
        <w:rPr>
          <w:rFonts w:asciiTheme="majorHAnsi" w:hAnsiTheme="majorHAnsi" w:cstheme="majorHAnsi"/>
          <w:noProof/>
          <w:sz w:val="20"/>
          <w:szCs w:val="28"/>
        </w:rPr>
        <w:tab/>
        <w:t>N. Herlina, Metode sejarah. Bandung: Satya Historika, 2008.</w:t>
      </w:r>
    </w:p>
    <w:p w14:paraId="1827AAE5"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[21]</w:t>
      </w:r>
      <w:r w:rsidRPr="00FC7000">
        <w:rPr>
          <w:rFonts w:asciiTheme="majorHAnsi" w:hAnsiTheme="majorHAnsi" w:cstheme="majorHAnsi"/>
          <w:noProof/>
          <w:sz w:val="20"/>
          <w:szCs w:val="28"/>
        </w:rPr>
        <w:tab/>
        <w:t>Kuntowijoyo, Pengantar Ilmu Sejarah, Yogyakarta: Bentang, 2013.</w:t>
      </w:r>
    </w:p>
    <w:p w14:paraId="44D3D2E1"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[22]</w:t>
      </w:r>
      <w:r w:rsidRPr="00FC7000">
        <w:rPr>
          <w:rFonts w:asciiTheme="majorHAnsi" w:hAnsiTheme="majorHAnsi" w:cstheme="majorHAnsi"/>
          <w:noProof/>
          <w:sz w:val="20"/>
          <w:szCs w:val="28"/>
        </w:rPr>
        <w:tab/>
        <w:t>R. D. Dienaputra, Sejarah Lisan: Konsep dan Metode. Bandung: Minor Book, 2006.</w:t>
      </w:r>
    </w:p>
    <w:p w14:paraId="0D4DEAB7"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[23]</w:t>
      </w:r>
      <w:r w:rsidRPr="00FC7000">
        <w:rPr>
          <w:rFonts w:asciiTheme="majorHAnsi" w:hAnsiTheme="majorHAnsi" w:cstheme="majorHAnsi"/>
          <w:noProof/>
          <w:sz w:val="20"/>
          <w:szCs w:val="28"/>
        </w:rPr>
        <w:tab/>
        <w:t>V. Calabria and D. Bailey, “Participatory action research and oral history as natural allies in mental health research,” Qual. Res., vol. 23, no. 3, pp. 668–685, 2023, doi: 10.1177/14687941211039963.</w:t>
      </w:r>
    </w:p>
    <w:p w14:paraId="01323451"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[24]</w:t>
      </w:r>
      <w:r w:rsidRPr="00FC7000">
        <w:rPr>
          <w:rFonts w:asciiTheme="majorHAnsi" w:hAnsiTheme="majorHAnsi" w:cstheme="majorHAnsi"/>
          <w:noProof/>
          <w:sz w:val="20"/>
          <w:szCs w:val="28"/>
        </w:rPr>
        <w:tab/>
        <w:t>S. Kartodirdjo, Pengalaman kolektif sebagai objek sejarah lisan. Lembaran Berita Sejarah Lisan. Arsip Nasional Republik Indonesia, 1991.</w:t>
      </w:r>
    </w:p>
    <w:p w14:paraId="7E0DC5FD"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[25]</w:t>
      </w:r>
      <w:r w:rsidRPr="00FC7000">
        <w:rPr>
          <w:rFonts w:asciiTheme="majorHAnsi" w:hAnsiTheme="majorHAnsi" w:cstheme="majorHAnsi"/>
          <w:noProof/>
          <w:sz w:val="20"/>
          <w:szCs w:val="28"/>
        </w:rPr>
        <w:tab/>
        <w:t>C. Davis, K. Back, and K. Maclean, Oral history: From tape to type. United States of America: American Library Association, 1977.</w:t>
      </w:r>
    </w:p>
    <w:p w14:paraId="71716E73"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[26]</w:t>
      </w:r>
      <w:r w:rsidRPr="00FC7000">
        <w:rPr>
          <w:rFonts w:asciiTheme="majorHAnsi" w:hAnsiTheme="majorHAnsi" w:cstheme="majorHAnsi"/>
          <w:noProof/>
          <w:sz w:val="20"/>
          <w:szCs w:val="28"/>
        </w:rPr>
        <w:tab/>
        <w:t>N. Cohn, “The architecture of visual narrative comprehension: The interaction of narrative structure and page layout in understanding comics,” front. Psychol., vol. 5, no. JUL, pp. 1–9, 2014, doi: 10.3389/fpsyg.2014.00680.</w:t>
      </w:r>
    </w:p>
    <w:p w14:paraId="27A71A9B"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[27]</w:t>
      </w:r>
      <w:r w:rsidRPr="00FC7000">
        <w:rPr>
          <w:rFonts w:asciiTheme="majorHAnsi" w:hAnsiTheme="majorHAnsi" w:cstheme="majorHAnsi"/>
          <w:noProof/>
          <w:sz w:val="20"/>
          <w:szCs w:val="28"/>
        </w:rPr>
        <w:tab/>
        <w:t>S. J. Rashid, F. A. Mustafa, and F. R. Yaseen, “Using golden ratio in detecting the aesthetics of Mosque facades: The case of contemporary Mosques in Erbil city,” Al-Qadisiyah J. Eng. Sci., vol. 17, no. 1, pp. 22–28, 2024, doi: 10.30772/qjes.2023.141688.1007.</w:t>
      </w:r>
    </w:p>
    <w:p w14:paraId="50B46448"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[28]</w:t>
      </w:r>
      <w:r w:rsidRPr="00FC7000">
        <w:rPr>
          <w:rFonts w:asciiTheme="majorHAnsi" w:hAnsiTheme="majorHAnsi" w:cstheme="majorHAnsi"/>
          <w:noProof/>
          <w:sz w:val="20"/>
          <w:szCs w:val="28"/>
        </w:rPr>
        <w:tab/>
        <w:t>H. Hermana, “Arsitektur Masjid Merah Panjunan Kota Cirebon,” Patanjala  J. Penelit. Sej. dan Budaya, vol. 4, no. 2, pp. 332-348, 2012, doi: 10.30959/patanjala.v4i2.143.</w:t>
      </w:r>
    </w:p>
    <w:p w14:paraId="3377EBEF"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[29]</w:t>
      </w:r>
      <w:r w:rsidRPr="00FC7000">
        <w:rPr>
          <w:rFonts w:asciiTheme="majorHAnsi" w:hAnsiTheme="majorHAnsi" w:cstheme="majorHAnsi"/>
          <w:noProof/>
          <w:sz w:val="20"/>
          <w:szCs w:val="28"/>
        </w:rPr>
        <w:tab/>
        <w:t>T. Y. M. B. Indonesia, Cerbon. Jakarta: Sinar Harapan, 1982.</w:t>
      </w:r>
    </w:p>
    <w:p w14:paraId="1AA2F822"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[30]</w:t>
      </w:r>
      <w:r w:rsidRPr="00FC7000">
        <w:rPr>
          <w:rFonts w:asciiTheme="majorHAnsi" w:hAnsiTheme="majorHAnsi" w:cstheme="majorHAnsi"/>
          <w:noProof/>
          <w:sz w:val="20"/>
          <w:szCs w:val="28"/>
        </w:rPr>
        <w:tab/>
        <w:t>G. Colifford, Agama Jawa : Abangan, Santri, Priyayi Dalam Kebudayaan Jawa, Komunitas Bambu, 2014.</w:t>
      </w:r>
    </w:p>
    <w:p w14:paraId="7915EEB0"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[31]</w:t>
      </w:r>
      <w:r w:rsidRPr="00FC7000">
        <w:rPr>
          <w:rFonts w:asciiTheme="majorHAnsi" w:hAnsiTheme="majorHAnsi" w:cstheme="majorHAnsi"/>
          <w:noProof/>
          <w:sz w:val="20"/>
          <w:szCs w:val="28"/>
        </w:rPr>
        <w:tab/>
        <w:t>R. Soekmono, Pengantar Sejarah Kebudayaan Indonesia jilid 3. Yogyakarta: Kanisius, 1981.</w:t>
      </w:r>
    </w:p>
    <w:p w14:paraId="5972DAEF"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[32]</w:t>
      </w:r>
      <w:r w:rsidRPr="00FC7000">
        <w:rPr>
          <w:rFonts w:asciiTheme="majorHAnsi" w:hAnsiTheme="majorHAnsi" w:cstheme="majorHAnsi"/>
          <w:noProof/>
          <w:sz w:val="20"/>
          <w:szCs w:val="28"/>
        </w:rPr>
        <w:tab/>
        <w:t>S. D. Hutama, “A Study of Historical Transformation of North Coastal Cities in Java: Case study: Banten and Cirebon, West Java - Indonesia,” J. Asian Archit. Build. Eng., vol. 2, no. 1, pp. 183–190, 2003, doi: 10.3130/jaabe.2.183.</w:t>
      </w:r>
    </w:p>
    <w:p w14:paraId="2645EC8D"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[33]</w:t>
      </w:r>
      <w:r w:rsidRPr="00FC7000">
        <w:rPr>
          <w:rFonts w:asciiTheme="majorHAnsi" w:hAnsiTheme="majorHAnsi" w:cstheme="majorHAnsi"/>
          <w:noProof/>
          <w:sz w:val="20"/>
          <w:szCs w:val="28"/>
        </w:rPr>
        <w:tab/>
        <w:t>Dinas Kebudayaan &amp; Pariwisata Kota Cirebon, Potensi Wisata Budaya Kota Cirebon. Cirebon: Disbudpar Cirebon, 2006.</w:t>
      </w:r>
    </w:p>
    <w:p w14:paraId="63909C03"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[34]</w:t>
      </w:r>
      <w:r w:rsidRPr="00FC7000">
        <w:rPr>
          <w:rFonts w:asciiTheme="majorHAnsi" w:hAnsiTheme="majorHAnsi" w:cstheme="majorHAnsi"/>
          <w:noProof/>
          <w:sz w:val="20"/>
          <w:szCs w:val="28"/>
        </w:rPr>
        <w:tab/>
        <w:t>A. Piter, A. . I. P. Widiastiti, and N. P. I. Aprinica, “Analisis Potensi Daya Tarik Wisata Vihara Dewi Welas Asih sebagai Wisata Religius,” J. Ilm. Pariwisata dan Bisnis, vol. 2, no. 12, pp. 2508–2517, 2023, doi: 10.22334/paris.v2i12.628.</w:t>
      </w:r>
    </w:p>
    <w:p w14:paraId="3DBE012C" w14:textId="77777777" w:rsid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[35]</w:t>
      </w:r>
      <w:r w:rsidRPr="00FC7000">
        <w:rPr>
          <w:rFonts w:asciiTheme="majorHAnsi" w:hAnsiTheme="majorHAnsi" w:cstheme="majorHAnsi"/>
          <w:noProof/>
          <w:sz w:val="20"/>
          <w:szCs w:val="28"/>
        </w:rPr>
        <w:tab/>
        <w:t>S. Alamsyah P., “Sang Cipta Rasa Cirebon Provinsi Jawa Barat,” Patanjala, vol. 2, no. 2, pp. 172–190, 2010, DOI: 10.30959/patanjala.v2i2.214</w:t>
      </w:r>
    </w:p>
    <w:p w14:paraId="2E6D3DAA" w14:textId="77777777" w:rsid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40AF1F1D"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3D3FC5E8"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lastRenderedPageBreak/>
        <w:t>[36]</w:t>
      </w:r>
      <w:r w:rsidRPr="00FC7000">
        <w:rPr>
          <w:rFonts w:asciiTheme="majorHAnsi" w:hAnsiTheme="majorHAnsi" w:cstheme="majorHAnsi"/>
          <w:noProof/>
          <w:sz w:val="20"/>
          <w:szCs w:val="28"/>
        </w:rPr>
        <w:tab/>
        <w:t>L. R. Schiffer, A. Suprapti, R. S. Rukayah, and Y. Nugraha, “Pengaruh Akulturasi Pada Makna Ornamen Bunga Teratai Di Mihrab Masjid Sang Cipta Rasa Cirebon,” J. Ilm. Desain Konstr., vol. 18, no. 2, pp. 124–139, 2019, doi: 10.35760/dk.2019.v18i2.2581.</w:t>
      </w:r>
    </w:p>
    <w:p w14:paraId="529835B7"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[37]</w:t>
      </w:r>
      <w:r w:rsidRPr="00FC7000">
        <w:rPr>
          <w:rFonts w:asciiTheme="majorHAnsi" w:hAnsiTheme="majorHAnsi" w:cstheme="majorHAnsi"/>
          <w:noProof/>
          <w:sz w:val="20"/>
          <w:szCs w:val="28"/>
        </w:rPr>
        <w:tab/>
        <w:t>O. Situmorang, Seni Rupa Islam: Pertumbuhan dan Perkembangannya. Angkasa, 1993.</w:t>
      </w:r>
    </w:p>
    <w:p w14:paraId="34517E8E"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[38]</w:t>
      </w:r>
      <w:r w:rsidRPr="00FC7000">
        <w:rPr>
          <w:rFonts w:asciiTheme="majorHAnsi" w:hAnsiTheme="majorHAnsi" w:cstheme="majorHAnsi"/>
          <w:noProof/>
          <w:sz w:val="20"/>
          <w:szCs w:val="28"/>
        </w:rPr>
        <w:tab/>
        <w:t>A. Sunaryo, Ornamen nusantara: Kajian khusus tentang ornamen Indonesia. Semarang: Dahara Prize, 2009.</w:t>
      </w:r>
    </w:p>
    <w:p w14:paraId="3570D598"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[39]</w:t>
      </w:r>
      <w:r w:rsidRPr="00FC7000">
        <w:rPr>
          <w:rFonts w:asciiTheme="majorHAnsi" w:hAnsiTheme="majorHAnsi" w:cstheme="majorHAnsi"/>
          <w:noProof/>
          <w:sz w:val="20"/>
          <w:szCs w:val="28"/>
        </w:rPr>
        <w:tab/>
        <w:t>V. d. Hoop, Indonesche Siermotiven. Koninklijk Bataviaasch Genootschap van Kunsten en Wetenchappen (Indonesian Ornamental Motifs). Royal Batavian Society Of Arts and Sciences, 1949.</w:t>
      </w:r>
    </w:p>
    <w:p w14:paraId="44BEF10D"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[40]</w:t>
      </w:r>
      <w:r w:rsidRPr="00FC7000">
        <w:rPr>
          <w:rFonts w:asciiTheme="majorHAnsi" w:hAnsiTheme="majorHAnsi" w:cstheme="majorHAnsi"/>
          <w:noProof/>
          <w:sz w:val="20"/>
          <w:szCs w:val="28"/>
        </w:rPr>
        <w:tab/>
        <w:t>S. Ambrogio, “Fengshui: A Moral Technique-Art (jiyi) for Contemporary Environmental Awareness,” Asian Stud., vol. 11, no. 2, pp. 149–174, 2023, doi: 10.4312/as.2023.11.2.149-174.</w:t>
      </w:r>
    </w:p>
    <w:p w14:paraId="6C32487A"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r w:rsidRPr="00FC7000">
        <w:rPr>
          <w:rFonts w:asciiTheme="majorHAnsi" w:hAnsiTheme="majorHAnsi" w:cstheme="majorHAnsi"/>
          <w:noProof/>
          <w:sz w:val="20"/>
          <w:szCs w:val="28"/>
        </w:rPr>
        <w:t>[41]</w:t>
      </w:r>
      <w:r w:rsidRPr="00FC7000">
        <w:rPr>
          <w:rFonts w:asciiTheme="majorHAnsi" w:hAnsiTheme="majorHAnsi" w:cstheme="majorHAnsi"/>
          <w:noProof/>
          <w:sz w:val="20"/>
          <w:szCs w:val="28"/>
        </w:rPr>
        <w:tab/>
        <w:t>M. Cooper and A. Matthews, Feng Shui Warna Pengaruh Warna untuk Bisnis dan Kehidupan Anda. Yogyakarta: Arti Bumi Intaran, 2007.</w:t>
      </w:r>
    </w:p>
    <w:p w14:paraId="60135878" w14:textId="77777777" w:rsidR="00FC7000" w:rsidRPr="00FC7000" w:rsidRDefault="00FC7000" w:rsidP="00FC7000">
      <w:pPr>
        <w:widowControl w:val="0"/>
        <w:autoSpaceDE w:val="0"/>
        <w:autoSpaceDN w:val="0"/>
        <w:adjustRightInd w:val="0"/>
        <w:spacing w:before="20" w:after="20"/>
        <w:ind w:left="709" w:hanging="425"/>
        <w:jc w:val="both"/>
        <w:rPr>
          <w:rFonts w:asciiTheme="majorHAnsi" w:hAnsiTheme="majorHAnsi" w:cstheme="majorHAnsi"/>
          <w:noProof/>
          <w:sz w:val="20"/>
          <w:szCs w:val="28"/>
        </w:rPr>
      </w:pPr>
    </w:p>
    <w:p w14:paraId="1D1C323E" w14:textId="6135E003" w:rsidR="00477FC8" w:rsidRPr="00477FC8" w:rsidRDefault="00477FC8" w:rsidP="00FC7000">
      <w:pPr>
        <w:widowControl w:val="0"/>
        <w:autoSpaceDE w:val="0"/>
        <w:autoSpaceDN w:val="0"/>
        <w:adjustRightInd w:val="0"/>
        <w:spacing w:before="20" w:after="20"/>
        <w:ind w:left="567" w:hanging="283"/>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4D320E">
      <w:headerReference w:type="even" r:id="rId35"/>
      <w:headerReference w:type="default" r:id="rId36"/>
      <w:footerReference w:type="even" r:id="rId37"/>
      <w:footerReference w:type="default" r:id="rId38"/>
      <w:footerReference w:type="first" r:id="rId39"/>
      <w:pgSz w:w="11906" w:h="16838" w:code="9"/>
      <w:pgMar w:top="1418" w:right="1418" w:bottom="1418" w:left="1418" w:header="709" w:footer="709" w:gutter="0"/>
      <w:pgNumType w:start="81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05CFD" w14:textId="77777777" w:rsidR="00F465EC" w:rsidRDefault="00F465EC" w:rsidP="001101DA">
      <w:r>
        <w:separator/>
      </w:r>
    </w:p>
  </w:endnote>
  <w:endnote w:type="continuationSeparator" w:id="0">
    <w:p w14:paraId="18AF0FEE" w14:textId="77777777" w:rsidR="00F465EC" w:rsidRDefault="00F465E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06221441"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w:t>
        </w:r>
        <w:r w:rsidRPr="00FC7000">
          <w:rPr>
            <w:sz w:val="16"/>
            <w:szCs w:val="16"/>
          </w:rPr>
          <w:t>Islamic</w:t>
        </w:r>
        <w:r w:rsidRPr="00920627">
          <w:rPr>
            <w:sz w:val="16"/>
            <w:szCs w:val="16"/>
          </w:rPr>
          <w:t xml:space="preserve"> Architecture </w:t>
        </w:r>
        <w:r w:rsidR="00FC7000">
          <w:rPr>
            <w:sz w:val="16"/>
            <w:szCs w:val="16"/>
          </w:rPr>
          <w:t>8</w:t>
        </w:r>
        <w:r w:rsidRPr="00920627">
          <w:rPr>
            <w:sz w:val="16"/>
            <w:szCs w:val="16"/>
          </w:rPr>
          <w:t>(</w:t>
        </w:r>
        <w:r w:rsidR="00FC7000">
          <w:rPr>
            <w:sz w:val="16"/>
            <w:szCs w:val="16"/>
          </w:rPr>
          <w:t>3</w:t>
        </w:r>
        <w:r w:rsidRPr="00920627">
          <w:rPr>
            <w:sz w:val="16"/>
            <w:szCs w:val="16"/>
          </w:rPr>
          <w:t xml:space="preserve">), </w:t>
        </w:r>
        <w:r w:rsidR="00FC7000">
          <w:rPr>
            <w:sz w:val="16"/>
            <w:szCs w:val="16"/>
          </w:rPr>
          <w:t>June</w:t>
        </w:r>
        <w:r w:rsidRPr="00920627">
          <w:rPr>
            <w:sz w:val="16"/>
            <w:szCs w:val="16"/>
          </w:rPr>
          <w:t xml:space="preserve"> 202</w:t>
        </w:r>
        <w:r w:rsidR="00FC7000">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1DE8024A" w:rsidR="001101DA" w:rsidRPr="00920627" w:rsidRDefault="00920627" w:rsidP="00920627">
        <w:pPr>
          <w:pStyle w:val="Footer"/>
          <w:jc w:val="right"/>
          <w:rPr>
            <w:sz w:val="16"/>
            <w:szCs w:val="16"/>
          </w:rPr>
        </w:pPr>
        <w:r w:rsidRPr="00920627">
          <w:rPr>
            <w:sz w:val="16"/>
            <w:szCs w:val="16"/>
          </w:rPr>
          <w:t xml:space="preserve">Journal of Islamic Architecture </w:t>
        </w:r>
        <w:r w:rsidR="00FC7000">
          <w:rPr>
            <w:sz w:val="16"/>
            <w:szCs w:val="16"/>
          </w:rPr>
          <w:t>8</w:t>
        </w:r>
        <w:r w:rsidRPr="00920627">
          <w:rPr>
            <w:sz w:val="16"/>
            <w:szCs w:val="16"/>
          </w:rPr>
          <w:t>(</w:t>
        </w:r>
        <w:r w:rsidR="00FC7000">
          <w:rPr>
            <w:sz w:val="16"/>
            <w:szCs w:val="16"/>
          </w:rPr>
          <w:t>3</w:t>
        </w:r>
        <w:r w:rsidRPr="00920627">
          <w:rPr>
            <w:sz w:val="16"/>
            <w:szCs w:val="16"/>
          </w:rPr>
          <w:t xml:space="preserve">), </w:t>
        </w:r>
        <w:r w:rsidR="00FC7000">
          <w:rPr>
            <w:sz w:val="16"/>
            <w:szCs w:val="16"/>
          </w:rPr>
          <w:t>June</w:t>
        </w:r>
        <w:r w:rsidRPr="00920627">
          <w:rPr>
            <w:sz w:val="16"/>
            <w:szCs w:val="16"/>
          </w:rPr>
          <w:t xml:space="preserve"> 202</w:t>
        </w:r>
        <w:r w:rsidR="00FC7000">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CF803" w14:textId="77777777" w:rsidR="00F465EC" w:rsidRDefault="00F465EC" w:rsidP="001101DA">
      <w:r>
        <w:separator/>
      </w:r>
    </w:p>
  </w:footnote>
  <w:footnote w:type="continuationSeparator" w:id="0">
    <w:p w14:paraId="2B32805B" w14:textId="77777777" w:rsidR="00F465EC" w:rsidRDefault="00F465E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401EC3F0" w:rsidR="001101DA" w:rsidRPr="001101DA" w:rsidRDefault="001A7D85" w:rsidP="001101DA">
    <w:pPr>
      <w:pStyle w:val="Header"/>
      <w:rPr>
        <w:sz w:val="16"/>
        <w:szCs w:val="16"/>
      </w:rPr>
    </w:pPr>
    <w:r w:rsidRPr="001A7D85">
      <w:rPr>
        <w:sz w:val="16"/>
        <w:szCs w:val="16"/>
      </w:rPr>
      <w:t xml:space="preserve">Unveiling Historical, Religious, and Philosophical Values of </w:t>
    </w:r>
    <w:r>
      <w:rPr>
        <w:sz w:val="16"/>
        <w:szCs w:val="16"/>
      </w:rPr>
      <w:t xml:space="preserve">The </w:t>
    </w:r>
    <w:r w:rsidRPr="001A7D85">
      <w:rPr>
        <w:sz w:val="16"/>
        <w:szCs w:val="16"/>
      </w:rPr>
      <w:t xml:space="preserve">Indonesia’s </w:t>
    </w:r>
    <w:proofErr w:type="spellStart"/>
    <w:r w:rsidRPr="001A7D85">
      <w:rPr>
        <w:sz w:val="16"/>
        <w:szCs w:val="16"/>
      </w:rPr>
      <w:t>Panjunan</w:t>
    </w:r>
    <w:proofErr w:type="spellEnd"/>
    <w:r w:rsidRPr="001A7D85">
      <w:rPr>
        <w:sz w:val="16"/>
        <w:szCs w:val="16"/>
      </w:rPr>
      <w:t xml:space="preserve"> Red Mosque via Architectural and Visual Narrative</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7534B533" w:rsidR="001101DA" w:rsidRPr="001101DA" w:rsidRDefault="00FC7000" w:rsidP="001101DA">
    <w:pPr>
      <w:pStyle w:val="Header"/>
      <w:jc w:val="right"/>
      <w:rPr>
        <w:sz w:val="16"/>
        <w:szCs w:val="16"/>
      </w:rPr>
    </w:pPr>
    <w:proofErr w:type="spellStart"/>
    <w:r w:rsidRPr="00FC7000">
      <w:rPr>
        <w:sz w:val="16"/>
        <w:szCs w:val="16"/>
      </w:rPr>
      <w:t>Nyai</w:t>
    </w:r>
    <w:proofErr w:type="spellEnd"/>
    <w:r w:rsidRPr="00FC7000">
      <w:rPr>
        <w:sz w:val="16"/>
        <w:szCs w:val="16"/>
      </w:rPr>
      <w:t xml:space="preserve"> Kartika, </w:t>
    </w:r>
    <w:proofErr w:type="spellStart"/>
    <w:r w:rsidRPr="00FC7000">
      <w:rPr>
        <w:sz w:val="16"/>
        <w:szCs w:val="16"/>
      </w:rPr>
      <w:t>Reiza</w:t>
    </w:r>
    <w:proofErr w:type="spellEnd"/>
    <w:r w:rsidRPr="00FC7000">
      <w:rPr>
        <w:sz w:val="16"/>
        <w:szCs w:val="16"/>
      </w:rPr>
      <w:t xml:space="preserve"> D. </w:t>
    </w:r>
    <w:proofErr w:type="spellStart"/>
    <w:r w:rsidRPr="00FC7000">
      <w:rPr>
        <w:sz w:val="16"/>
        <w:szCs w:val="16"/>
      </w:rPr>
      <w:t>Dienaputra</w:t>
    </w:r>
    <w:proofErr w:type="spellEnd"/>
    <w:r w:rsidRPr="00FC7000">
      <w:rPr>
        <w:sz w:val="16"/>
        <w:szCs w:val="16"/>
      </w:rPr>
      <w:t xml:space="preserve">, Susi </w:t>
    </w:r>
    <w:proofErr w:type="spellStart"/>
    <w:r w:rsidRPr="00FC7000">
      <w:rPr>
        <w:sz w:val="16"/>
        <w:szCs w:val="16"/>
      </w:rPr>
      <w:t>Machdalena</w:t>
    </w:r>
    <w:proofErr w:type="spellEnd"/>
    <w:r w:rsidRPr="00FC7000">
      <w:rPr>
        <w:sz w:val="16"/>
        <w:szCs w:val="16"/>
      </w:rPr>
      <w:t xml:space="preserve">, </w:t>
    </w:r>
    <w:proofErr w:type="spellStart"/>
    <w:r w:rsidRPr="00FC7000">
      <w:rPr>
        <w:sz w:val="16"/>
        <w:szCs w:val="16"/>
      </w:rPr>
      <w:t>Awaludin</w:t>
    </w:r>
    <w:proofErr w:type="spellEnd"/>
    <w:r w:rsidRPr="00FC7000">
      <w:rPr>
        <w:sz w:val="16"/>
        <w:szCs w:val="16"/>
      </w:rPr>
      <w:t xml:space="preserve"> </w:t>
    </w:r>
    <w:proofErr w:type="spellStart"/>
    <w:r w:rsidRPr="00FC7000">
      <w:rPr>
        <w:sz w:val="16"/>
        <w:szCs w:val="16"/>
      </w:rPr>
      <w:t>Nugraha</w:t>
    </w:r>
    <w:proofErr w:type="spellEnd"/>
    <w:r w:rsidRPr="00FC7000">
      <w:rPr>
        <w:sz w:val="16"/>
        <w:szCs w:val="16"/>
      </w:rPr>
      <w:t xml:space="preserve">, Agus S. </w:t>
    </w:r>
    <w:proofErr w:type="spellStart"/>
    <w:r w:rsidRPr="00FC7000">
      <w:rPr>
        <w:sz w:val="16"/>
        <w:szCs w:val="16"/>
      </w:rPr>
      <w:t>Suryadimulya</w:t>
    </w:r>
    <w:proofErr w:type="spellEnd"/>
    <w:r w:rsidRPr="00FC7000">
      <w:rPr>
        <w:sz w:val="16"/>
        <w:szCs w:val="16"/>
      </w:rPr>
      <w:t xml:space="preserve">, Susi </w:t>
    </w:r>
    <w:proofErr w:type="spellStart"/>
    <w:r w:rsidRPr="00FC7000">
      <w:rPr>
        <w:sz w:val="16"/>
        <w:szCs w:val="16"/>
      </w:rPr>
      <w:t>Yuliawati</w:t>
    </w:r>
    <w:proofErr w:type="spellEnd"/>
    <w:r w:rsidRPr="00FC7000">
      <w:rPr>
        <w:sz w:val="16"/>
        <w:szCs w:val="16"/>
      </w:rPr>
      <w:t xml:space="preserve">, Nani </w:t>
    </w:r>
    <w:proofErr w:type="spellStart"/>
    <w:r w:rsidRPr="00FC7000">
      <w:rPr>
        <w:sz w:val="16"/>
        <w:szCs w:val="16"/>
      </w:rPr>
      <w:t>Sriwardani</w:t>
    </w:r>
    <w:proofErr w:type="spellEnd"/>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FCC"/>
    <w:multiLevelType w:val="hybridMultilevel"/>
    <w:tmpl w:val="501CBB38"/>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F0F636B"/>
    <w:multiLevelType w:val="hybridMultilevel"/>
    <w:tmpl w:val="9398C6C8"/>
    <w:lvl w:ilvl="0" w:tplc="F3F0E91C">
      <w:start w:val="1"/>
      <w:numFmt w:val="lowerLetter"/>
      <w:lvlText w:val="%1)"/>
      <w:lvlJc w:val="left"/>
      <w:pPr>
        <w:ind w:left="2076" w:hanging="360"/>
      </w:pPr>
      <w:rPr>
        <w:rFonts w:hint="default"/>
      </w:rPr>
    </w:lvl>
    <w:lvl w:ilvl="1" w:tplc="38090019" w:tentative="1">
      <w:start w:val="1"/>
      <w:numFmt w:val="lowerLetter"/>
      <w:lvlText w:val="%2."/>
      <w:lvlJc w:val="left"/>
      <w:pPr>
        <w:ind w:left="2796" w:hanging="360"/>
      </w:pPr>
    </w:lvl>
    <w:lvl w:ilvl="2" w:tplc="3809001B" w:tentative="1">
      <w:start w:val="1"/>
      <w:numFmt w:val="lowerRoman"/>
      <w:lvlText w:val="%3."/>
      <w:lvlJc w:val="right"/>
      <w:pPr>
        <w:ind w:left="3516" w:hanging="180"/>
      </w:pPr>
    </w:lvl>
    <w:lvl w:ilvl="3" w:tplc="3809000F" w:tentative="1">
      <w:start w:val="1"/>
      <w:numFmt w:val="decimal"/>
      <w:lvlText w:val="%4."/>
      <w:lvlJc w:val="left"/>
      <w:pPr>
        <w:ind w:left="4236" w:hanging="360"/>
      </w:pPr>
    </w:lvl>
    <w:lvl w:ilvl="4" w:tplc="38090019" w:tentative="1">
      <w:start w:val="1"/>
      <w:numFmt w:val="lowerLetter"/>
      <w:lvlText w:val="%5."/>
      <w:lvlJc w:val="left"/>
      <w:pPr>
        <w:ind w:left="4956" w:hanging="360"/>
      </w:pPr>
    </w:lvl>
    <w:lvl w:ilvl="5" w:tplc="3809001B" w:tentative="1">
      <w:start w:val="1"/>
      <w:numFmt w:val="lowerRoman"/>
      <w:lvlText w:val="%6."/>
      <w:lvlJc w:val="right"/>
      <w:pPr>
        <w:ind w:left="5676" w:hanging="180"/>
      </w:pPr>
    </w:lvl>
    <w:lvl w:ilvl="6" w:tplc="3809000F" w:tentative="1">
      <w:start w:val="1"/>
      <w:numFmt w:val="decimal"/>
      <w:lvlText w:val="%7."/>
      <w:lvlJc w:val="left"/>
      <w:pPr>
        <w:ind w:left="6396" w:hanging="360"/>
      </w:pPr>
    </w:lvl>
    <w:lvl w:ilvl="7" w:tplc="38090019" w:tentative="1">
      <w:start w:val="1"/>
      <w:numFmt w:val="lowerLetter"/>
      <w:lvlText w:val="%8."/>
      <w:lvlJc w:val="left"/>
      <w:pPr>
        <w:ind w:left="7116" w:hanging="360"/>
      </w:pPr>
    </w:lvl>
    <w:lvl w:ilvl="8" w:tplc="3809001B" w:tentative="1">
      <w:start w:val="1"/>
      <w:numFmt w:val="lowerRoman"/>
      <w:lvlText w:val="%9."/>
      <w:lvlJc w:val="right"/>
      <w:pPr>
        <w:ind w:left="7836" w:hanging="180"/>
      </w:pPr>
    </w:lvl>
  </w:abstractNum>
  <w:abstractNum w:abstractNumId="3" w15:restartNumberingAfterBreak="0">
    <w:nsid w:val="2D6A718F"/>
    <w:multiLevelType w:val="hybridMultilevel"/>
    <w:tmpl w:val="8716E0C8"/>
    <w:lvl w:ilvl="0" w:tplc="C7767B86">
      <w:start w:val="5"/>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FD6524F"/>
    <w:multiLevelType w:val="hybridMultilevel"/>
    <w:tmpl w:val="AF804496"/>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D545046"/>
    <w:multiLevelType w:val="hybridMultilevel"/>
    <w:tmpl w:val="CA8E3346"/>
    <w:lvl w:ilvl="0" w:tplc="86780E3E">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6" w15:restartNumberingAfterBreak="0">
    <w:nsid w:val="51D51C08"/>
    <w:multiLevelType w:val="hybridMultilevel"/>
    <w:tmpl w:val="E5BC1A94"/>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51EC050A"/>
    <w:multiLevelType w:val="hybridMultilevel"/>
    <w:tmpl w:val="F48E8D64"/>
    <w:lvl w:ilvl="0" w:tplc="6D747278">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8" w15:restartNumberingAfterBreak="0">
    <w:nsid w:val="69315972"/>
    <w:multiLevelType w:val="hybridMultilevel"/>
    <w:tmpl w:val="23B8C6A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366218563">
    <w:abstractNumId w:val="4"/>
  </w:num>
  <w:num w:numId="2" w16cid:durableId="1325284846">
    <w:abstractNumId w:val="1"/>
  </w:num>
  <w:num w:numId="3" w16cid:durableId="348218066">
    <w:abstractNumId w:val="7"/>
  </w:num>
  <w:num w:numId="4" w16cid:durableId="403988739">
    <w:abstractNumId w:val="0"/>
  </w:num>
  <w:num w:numId="5" w16cid:durableId="1923949561">
    <w:abstractNumId w:val="5"/>
  </w:num>
  <w:num w:numId="6" w16cid:durableId="213392340">
    <w:abstractNumId w:val="2"/>
  </w:num>
  <w:num w:numId="7" w16cid:durableId="126554719">
    <w:abstractNumId w:val="6"/>
  </w:num>
  <w:num w:numId="8" w16cid:durableId="1579483756">
    <w:abstractNumId w:val="3"/>
  </w:num>
  <w:num w:numId="9" w16cid:durableId="153249887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673D"/>
    <w:rsid w:val="001179F0"/>
    <w:rsid w:val="001A69B9"/>
    <w:rsid w:val="001A7D85"/>
    <w:rsid w:val="001D1905"/>
    <w:rsid w:val="001D517C"/>
    <w:rsid w:val="001E33E6"/>
    <w:rsid w:val="00221499"/>
    <w:rsid w:val="002676BA"/>
    <w:rsid w:val="00283372"/>
    <w:rsid w:val="002D1CEA"/>
    <w:rsid w:val="003115A6"/>
    <w:rsid w:val="00330A7A"/>
    <w:rsid w:val="003C0164"/>
    <w:rsid w:val="00415A48"/>
    <w:rsid w:val="00417EF0"/>
    <w:rsid w:val="00464461"/>
    <w:rsid w:val="00477FC8"/>
    <w:rsid w:val="004C7CB9"/>
    <w:rsid w:val="004D320E"/>
    <w:rsid w:val="00502594"/>
    <w:rsid w:val="00521A9B"/>
    <w:rsid w:val="00536D0C"/>
    <w:rsid w:val="00554438"/>
    <w:rsid w:val="005E66A5"/>
    <w:rsid w:val="00602284"/>
    <w:rsid w:val="00605B4D"/>
    <w:rsid w:val="006C55A1"/>
    <w:rsid w:val="00727ABB"/>
    <w:rsid w:val="00745A2A"/>
    <w:rsid w:val="007771EC"/>
    <w:rsid w:val="00786B36"/>
    <w:rsid w:val="0079305C"/>
    <w:rsid w:val="007B2C0D"/>
    <w:rsid w:val="007C62F4"/>
    <w:rsid w:val="008535AE"/>
    <w:rsid w:val="00860CD0"/>
    <w:rsid w:val="00883F54"/>
    <w:rsid w:val="008D73E0"/>
    <w:rsid w:val="00920392"/>
    <w:rsid w:val="00920627"/>
    <w:rsid w:val="00926CF7"/>
    <w:rsid w:val="00944AD0"/>
    <w:rsid w:val="00956979"/>
    <w:rsid w:val="009E6DE8"/>
    <w:rsid w:val="00A055B3"/>
    <w:rsid w:val="00A07FF9"/>
    <w:rsid w:val="00AC1C31"/>
    <w:rsid w:val="00AC4F01"/>
    <w:rsid w:val="00AF1A5D"/>
    <w:rsid w:val="00B45E75"/>
    <w:rsid w:val="00BE2239"/>
    <w:rsid w:val="00C26026"/>
    <w:rsid w:val="00CB6F5A"/>
    <w:rsid w:val="00CE135F"/>
    <w:rsid w:val="00D132AE"/>
    <w:rsid w:val="00D57761"/>
    <w:rsid w:val="00D869DB"/>
    <w:rsid w:val="00E076BC"/>
    <w:rsid w:val="00E4204D"/>
    <w:rsid w:val="00E837BE"/>
    <w:rsid w:val="00EC10DD"/>
    <w:rsid w:val="00F465EC"/>
    <w:rsid w:val="00FC700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3.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header" Target="header1.xml"/><Relationship Id="rId8" Type="http://schemas.openxmlformats.org/officeDocument/2006/relationships/image" Target="media/image2.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15</Pages>
  <Words>8364</Words>
  <Characters>43918</Characters>
  <Application>Microsoft Office Word</Application>
  <DocSecurity>0</DocSecurity>
  <Lines>712</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5</cp:revision>
  <dcterms:created xsi:type="dcterms:W3CDTF">2025-06-25T02:32:00Z</dcterms:created>
  <dcterms:modified xsi:type="dcterms:W3CDTF">2025-06-25T05:32:00Z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