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70FBBA24" w:rsidR="00C26026" w:rsidRPr="004C7CB9" w:rsidRDefault="00395D1C" w:rsidP="00C26026">
            <w:pPr>
              <w:jc w:val="both"/>
              <w:rPr>
                <w:rFonts w:asciiTheme="minorHAnsi" w:hAnsiTheme="minorHAnsi" w:cstheme="minorHAnsi"/>
                <w:b/>
                <w:sz w:val="26"/>
                <w:szCs w:val="26"/>
              </w:rPr>
            </w:pPr>
            <w:r w:rsidRPr="00395D1C">
              <w:rPr>
                <w:rFonts w:asciiTheme="minorHAnsi" w:hAnsiTheme="minorHAnsi" w:cstheme="minorHAnsi"/>
                <w:b/>
                <w:sz w:val="28"/>
                <w:szCs w:val="28"/>
              </w:rPr>
              <w:t>AN ANALYSIS OF ISLAMIC GRAVESTONES IN INDONESIA: SITES AND ISLAMIC HERITAGE IN BOLAANG MONGONDOW, NORTH SULAWESI</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024720F" w:rsidR="00D869DB" w:rsidRPr="00395D1C" w:rsidRDefault="00395D1C" w:rsidP="00395D1C">
            <w:pPr>
              <w:jc w:val="both"/>
              <w:rPr>
                <w:rFonts w:asciiTheme="minorHAnsi" w:hAnsiTheme="minorHAnsi" w:cstheme="minorHAnsi"/>
                <w:lang w:val="en-US"/>
              </w:rPr>
            </w:pPr>
            <w:r w:rsidRPr="00395D1C">
              <w:rPr>
                <w:rFonts w:asciiTheme="minorHAnsi" w:hAnsiTheme="minorHAnsi" w:cstheme="minorHAnsi"/>
                <w:lang w:val="en-US"/>
              </w:rPr>
              <w:t xml:space="preserve">Irna </w:t>
            </w:r>
            <w:proofErr w:type="spellStart"/>
            <w:r w:rsidRPr="00395D1C">
              <w:rPr>
                <w:rFonts w:asciiTheme="minorHAnsi" w:hAnsiTheme="minorHAnsi" w:cstheme="minorHAnsi"/>
                <w:lang w:val="en-US"/>
              </w:rPr>
              <w:t>Saptaningrum</w:t>
            </w:r>
            <w:r w:rsidRPr="00395D1C">
              <w:rPr>
                <w:rFonts w:asciiTheme="minorHAnsi" w:hAnsiTheme="minorHAnsi" w:cstheme="minorHAnsi"/>
                <w:vertAlign w:val="superscript"/>
                <w:lang w:val="en-US"/>
              </w:rPr>
              <w:t>a</w:t>
            </w:r>
            <w:proofErr w:type="spellEnd"/>
            <w:r w:rsidRPr="00395D1C">
              <w:rPr>
                <w:rFonts w:asciiTheme="minorHAnsi" w:hAnsiTheme="minorHAnsi" w:cstheme="minorHAnsi"/>
                <w:lang w:val="en-US"/>
              </w:rPr>
              <w:t xml:space="preserve">, Muhammad Nur Ichsan Azis </w:t>
            </w:r>
            <w:r w:rsidRPr="00395D1C">
              <w:rPr>
                <w:rFonts w:asciiTheme="minorHAnsi" w:hAnsiTheme="minorHAnsi" w:cstheme="minorHAnsi"/>
                <w:vertAlign w:val="superscript"/>
                <w:lang w:val="en-US"/>
              </w:rPr>
              <w:t>a</w:t>
            </w:r>
            <w:r w:rsidRPr="00395D1C">
              <w:rPr>
                <w:rFonts w:asciiTheme="minorHAnsi" w:hAnsiTheme="minorHAnsi" w:cstheme="minorHAnsi"/>
                <w:lang w:val="en-US"/>
              </w:rPr>
              <w:t>*, Hasanuddin Anwar</w:t>
            </w:r>
            <w:r w:rsidRPr="00395D1C">
              <w:rPr>
                <w:rFonts w:asciiTheme="minorHAnsi" w:hAnsiTheme="minorHAnsi" w:cstheme="minorHAnsi"/>
                <w:vertAlign w:val="superscript"/>
                <w:lang w:val="en-US"/>
              </w:rPr>
              <w:t>a</w:t>
            </w:r>
            <w:r w:rsidRPr="00395D1C">
              <w:rPr>
                <w:rFonts w:asciiTheme="minorHAnsi" w:hAnsiTheme="minorHAnsi" w:cstheme="minorHAnsi"/>
                <w:lang w:val="en-US"/>
              </w:rPr>
              <w:t xml:space="preserve">, </w:t>
            </w:r>
            <w:proofErr w:type="spellStart"/>
            <w:r w:rsidRPr="00395D1C">
              <w:rPr>
                <w:rFonts w:asciiTheme="minorHAnsi" w:hAnsiTheme="minorHAnsi" w:cstheme="minorHAnsi"/>
                <w:lang w:val="en-US"/>
              </w:rPr>
              <w:t>Pristiwanto</w:t>
            </w:r>
            <w:r w:rsidRPr="00395D1C">
              <w:rPr>
                <w:rFonts w:asciiTheme="minorHAnsi" w:hAnsiTheme="minorHAnsi" w:cstheme="minorHAnsi"/>
                <w:vertAlign w:val="superscript"/>
                <w:lang w:val="en-US"/>
              </w:rPr>
              <w:t>a</w:t>
            </w:r>
            <w:proofErr w:type="spellEnd"/>
            <w:r w:rsidRPr="00395D1C">
              <w:rPr>
                <w:rFonts w:asciiTheme="minorHAnsi" w:hAnsiTheme="minorHAnsi" w:cstheme="minorHAnsi"/>
                <w:lang w:val="en-US"/>
              </w:rPr>
              <w:t>, Salmin Djakaria</w:t>
            </w:r>
            <w:r w:rsidRPr="00395D1C">
              <w:rPr>
                <w:rFonts w:asciiTheme="minorHAnsi" w:hAnsiTheme="minorHAnsi" w:cstheme="minorHAnsi"/>
                <w:vertAlign w:val="superscript"/>
                <w:lang w:val="en-US"/>
              </w:rPr>
              <w:t>a</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6DC1564" w:rsidR="00D869DB" w:rsidRPr="004C7CB9" w:rsidRDefault="00395D1C" w:rsidP="00D869DB">
            <w:pPr>
              <w:rPr>
                <w:sz w:val="18"/>
                <w:szCs w:val="18"/>
              </w:rPr>
            </w:pPr>
            <w:proofErr w:type="spellStart"/>
            <w:r w:rsidRPr="00395D1C">
              <w:rPr>
                <w:sz w:val="18"/>
                <w:szCs w:val="18"/>
                <w:vertAlign w:val="superscript"/>
              </w:rPr>
              <w:t>a</w:t>
            </w:r>
            <w:r w:rsidRPr="00395D1C">
              <w:rPr>
                <w:sz w:val="18"/>
                <w:szCs w:val="18"/>
              </w:rPr>
              <w:t>National</w:t>
            </w:r>
            <w:proofErr w:type="spellEnd"/>
            <w:r w:rsidRPr="00395D1C">
              <w:rPr>
                <w:sz w:val="18"/>
                <w:szCs w:val="18"/>
              </w:rPr>
              <w:t xml:space="preserve"> Research and Innovation Agency Jakarta, Indonesia</w:t>
            </w:r>
          </w:p>
          <w:p w14:paraId="4B54932F" w14:textId="77533C89" w:rsidR="00D869DB" w:rsidRPr="00395D1C" w:rsidRDefault="00D869DB" w:rsidP="00D869DB">
            <w:pPr>
              <w:rPr>
                <w:sz w:val="18"/>
                <w:szCs w:val="18"/>
                <w:lang w:val="en-US"/>
              </w:rPr>
            </w:pPr>
            <w:r w:rsidRPr="004C7CB9">
              <w:rPr>
                <w:sz w:val="18"/>
                <w:szCs w:val="18"/>
              </w:rPr>
              <w:t xml:space="preserve">*Corresponding Author: </w:t>
            </w:r>
            <w:hyperlink r:id="rId8" w:history="1">
              <w:r w:rsidR="00395D1C" w:rsidRPr="00395D1C">
                <w:rPr>
                  <w:rStyle w:val="Hyperlink"/>
                  <w:color w:val="000000" w:themeColor="text1"/>
                  <w:sz w:val="18"/>
                  <w:szCs w:val="18"/>
                  <w:u w:val="none"/>
                  <w:lang w:val="en-US"/>
                </w:rPr>
                <w:t>muha276@brin.go.id</w:t>
              </w:r>
            </w:hyperlink>
            <w:r w:rsidR="00395D1C" w:rsidRPr="00395D1C">
              <w:rPr>
                <w:color w:val="000000" w:themeColor="text1"/>
                <w:sz w:val="18"/>
                <w:szCs w:val="18"/>
                <w:lang w:val="en-US"/>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9309B3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395D1C">
              <w:rPr>
                <w:rFonts w:asciiTheme="majorHAnsi" w:hAnsiTheme="majorHAnsi" w:cstheme="majorHAnsi"/>
                <w:sz w:val="18"/>
                <w:szCs w:val="18"/>
              </w:rPr>
              <w:t xml:space="preserve"> 8</w:t>
            </w:r>
          </w:p>
          <w:p w14:paraId="5F8B2097" w14:textId="2D3505B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395D1C">
              <w:rPr>
                <w:rFonts w:asciiTheme="majorHAnsi" w:hAnsiTheme="majorHAnsi" w:cstheme="majorHAnsi"/>
                <w:sz w:val="18"/>
                <w:szCs w:val="18"/>
              </w:rPr>
              <w:t xml:space="preserve"> 4</w:t>
            </w:r>
          </w:p>
          <w:p w14:paraId="1727970E" w14:textId="1B0C4E3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395D1C">
              <w:rPr>
                <w:rFonts w:asciiTheme="majorHAnsi" w:hAnsiTheme="majorHAnsi" w:cstheme="majorHAnsi"/>
                <w:sz w:val="18"/>
                <w:szCs w:val="18"/>
              </w:rPr>
              <w:t xml:space="preserve"> 1158-</w:t>
            </w:r>
            <w:r w:rsidR="00B46F29">
              <w:rPr>
                <w:rFonts w:asciiTheme="majorHAnsi" w:hAnsiTheme="majorHAnsi" w:cstheme="majorHAnsi"/>
                <w:sz w:val="18"/>
                <w:szCs w:val="18"/>
              </w:rPr>
              <w:t>1173</w:t>
            </w:r>
          </w:p>
          <w:p w14:paraId="42AC331B" w14:textId="683DCCF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395D1C">
              <w:rPr>
                <w:rFonts w:asciiTheme="majorHAnsi" w:hAnsiTheme="majorHAnsi" w:cstheme="majorHAnsi"/>
                <w:sz w:val="18"/>
                <w:szCs w:val="18"/>
              </w:rPr>
              <w:t>March 1</w:t>
            </w:r>
            <w:r w:rsidR="00395D1C" w:rsidRPr="00395D1C">
              <w:rPr>
                <w:rFonts w:asciiTheme="majorHAnsi" w:hAnsiTheme="majorHAnsi" w:cstheme="majorHAnsi"/>
                <w:sz w:val="18"/>
                <w:szCs w:val="18"/>
                <w:vertAlign w:val="superscript"/>
              </w:rPr>
              <w:t>st</w:t>
            </w:r>
            <w:r w:rsidRPr="004C7CB9">
              <w:rPr>
                <w:rFonts w:asciiTheme="majorHAnsi" w:hAnsiTheme="majorHAnsi" w:cstheme="majorHAnsi"/>
                <w:sz w:val="18"/>
                <w:szCs w:val="18"/>
              </w:rPr>
              <w:t>, 202</w:t>
            </w:r>
            <w:r w:rsidR="00395D1C">
              <w:rPr>
                <w:rFonts w:asciiTheme="majorHAnsi" w:hAnsiTheme="majorHAnsi" w:cstheme="majorHAnsi"/>
                <w:sz w:val="18"/>
                <w:szCs w:val="18"/>
              </w:rPr>
              <w:t>4</w:t>
            </w:r>
          </w:p>
          <w:p w14:paraId="63316A40" w14:textId="4589EDB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395D1C">
              <w:rPr>
                <w:rFonts w:asciiTheme="majorHAnsi" w:hAnsiTheme="majorHAnsi" w:cstheme="majorHAnsi"/>
                <w:sz w:val="18"/>
                <w:szCs w:val="18"/>
              </w:rPr>
              <w:t>October 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395D1C">
              <w:rPr>
                <w:rFonts w:asciiTheme="majorHAnsi" w:hAnsiTheme="majorHAnsi" w:cstheme="majorHAnsi"/>
                <w:sz w:val="18"/>
                <w:szCs w:val="18"/>
              </w:rPr>
              <w:t>4</w:t>
            </w:r>
          </w:p>
          <w:p w14:paraId="6068623C" w14:textId="69E5572B"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xml:space="preserve">, </w:t>
            </w:r>
            <w:r w:rsidR="00395D1C">
              <w:rPr>
                <w:rFonts w:asciiTheme="majorHAnsi" w:hAnsiTheme="majorHAnsi" w:cstheme="majorHAnsi"/>
                <w:sz w:val="18"/>
                <w:szCs w:val="18"/>
              </w:rPr>
              <w:t>2025</w:t>
            </w:r>
          </w:p>
          <w:p w14:paraId="78EB1E49" w14:textId="327E0EC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395D1C" w:rsidRPr="00395D1C">
              <w:rPr>
                <w:rFonts w:asciiTheme="majorHAnsi" w:hAnsiTheme="majorHAnsi" w:cstheme="majorHAnsi"/>
                <w:sz w:val="18"/>
                <w:szCs w:val="18"/>
              </w:rPr>
              <w:t>10.18860/</w:t>
            </w:r>
            <w:proofErr w:type="gramStart"/>
            <w:r w:rsidR="00395D1C" w:rsidRPr="00395D1C">
              <w:rPr>
                <w:rFonts w:asciiTheme="majorHAnsi" w:hAnsiTheme="majorHAnsi" w:cstheme="majorHAnsi"/>
                <w:sz w:val="18"/>
                <w:szCs w:val="18"/>
              </w:rPr>
              <w:t>jia.v</w:t>
            </w:r>
            <w:proofErr w:type="gramEnd"/>
            <w:r w:rsidR="00395D1C" w:rsidRPr="00395D1C">
              <w:rPr>
                <w:rFonts w:asciiTheme="majorHAnsi" w:hAnsiTheme="majorHAnsi" w:cstheme="majorHAnsi"/>
                <w:sz w:val="18"/>
                <w:szCs w:val="18"/>
              </w:rPr>
              <w:t>8i4.26318</w:t>
            </w:r>
          </w:p>
        </w:tc>
        <w:tc>
          <w:tcPr>
            <w:tcW w:w="5671" w:type="dxa"/>
          </w:tcPr>
          <w:p w14:paraId="4F22B572" w14:textId="4220773B" w:rsidR="00395D1C" w:rsidRDefault="00395D1C" w:rsidP="001D517C">
            <w:pPr>
              <w:jc w:val="both"/>
              <w:rPr>
                <w:rFonts w:asciiTheme="majorHAnsi" w:hAnsiTheme="majorHAnsi" w:cstheme="majorHAnsi"/>
                <w:sz w:val="18"/>
                <w:szCs w:val="18"/>
                <w:lang w:val="id-ID"/>
              </w:rPr>
            </w:pPr>
            <w:r w:rsidRPr="00395D1C">
              <w:rPr>
                <w:rFonts w:asciiTheme="majorHAnsi" w:hAnsiTheme="majorHAnsi" w:cstheme="majorHAnsi"/>
                <w:sz w:val="18"/>
                <w:szCs w:val="18"/>
                <w:lang w:val="id-ID"/>
              </w:rPr>
              <w:t>The discourse on local Islamic archaeology offers a compelling field of study, particularly when examined in relation to the spread of Islamic teachings. In the historical narrative of Islamization in Indonesia, Bolaang Mongondow was a region significantly influenced by Islamic preaching during the 17</w:t>
            </w:r>
            <w:r w:rsidRPr="00395D1C">
              <w:rPr>
                <w:rFonts w:asciiTheme="majorHAnsi" w:hAnsiTheme="majorHAnsi" w:cstheme="majorHAnsi"/>
                <w:sz w:val="18"/>
                <w:szCs w:val="18"/>
                <w:vertAlign w:val="superscript"/>
                <w:lang w:val="id-ID"/>
              </w:rPr>
              <w:t>th</w:t>
            </w:r>
            <w:r w:rsidRPr="00395D1C">
              <w:rPr>
                <w:rFonts w:asciiTheme="majorHAnsi" w:hAnsiTheme="majorHAnsi" w:cstheme="majorHAnsi"/>
                <w:sz w:val="18"/>
                <w:szCs w:val="18"/>
                <w:lang w:val="id-ID"/>
              </w:rPr>
              <w:t>–19</w:t>
            </w:r>
            <w:r w:rsidRPr="00395D1C">
              <w:rPr>
                <w:rFonts w:asciiTheme="majorHAnsi" w:hAnsiTheme="majorHAnsi" w:cstheme="majorHAnsi"/>
                <w:sz w:val="18"/>
                <w:szCs w:val="18"/>
                <w:vertAlign w:val="superscript"/>
                <w:lang w:val="id-ID"/>
              </w:rPr>
              <w:t>t</w:t>
            </w:r>
            <w:r w:rsidRPr="00395D1C">
              <w:rPr>
                <w:rFonts w:asciiTheme="majorHAnsi" w:hAnsiTheme="majorHAnsi" w:cstheme="majorHAnsi"/>
                <w:sz w:val="18"/>
                <w:szCs w:val="18"/>
                <w:lang w:val="id-ID"/>
              </w:rPr>
              <w:t>h centuries CE (11</w:t>
            </w:r>
            <w:r w:rsidRPr="00395D1C">
              <w:rPr>
                <w:rFonts w:asciiTheme="majorHAnsi" w:hAnsiTheme="majorHAnsi" w:cstheme="majorHAnsi"/>
                <w:sz w:val="18"/>
                <w:szCs w:val="18"/>
                <w:vertAlign w:val="superscript"/>
                <w:lang w:val="id-ID"/>
              </w:rPr>
              <w:t>th</w:t>
            </w:r>
            <w:r w:rsidRPr="00395D1C">
              <w:rPr>
                <w:rFonts w:asciiTheme="majorHAnsi" w:hAnsiTheme="majorHAnsi" w:cstheme="majorHAnsi"/>
                <w:sz w:val="18"/>
                <w:szCs w:val="18"/>
                <w:lang w:val="id-ID"/>
              </w:rPr>
              <w:t>–13</w:t>
            </w:r>
            <w:r w:rsidRPr="00395D1C">
              <w:rPr>
                <w:rFonts w:asciiTheme="majorHAnsi" w:hAnsiTheme="majorHAnsi" w:cstheme="majorHAnsi"/>
                <w:sz w:val="18"/>
                <w:szCs w:val="18"/>
                <w:vertAlign w:val="superscript"/>
                <w:lang w:val="id-ID"/>
              </w:rPr>
              <w:t>th</w:t>
            </w:r>
            <w:r w:rsidRPr="00395D1C">
              <w:rPr>
                <w:rFonts w:asciiTheme="majorHAnsi" w:hAnsiTheme="majorHAnsi" w:cstheme="majorHAnsi"/>
                <w:sz w:val="18"/>
                <w:szCs w:val="18"/>
                <w:lang w:val="id-ID"/>
              </w:rPr>
              <w:t xml:space="preserve"> centuries AH). Archaeological heritage in the form of material culture plays an important role in illustrating the adaptation of local communities to Islamic traditions. The notion of Islam as a “religion of the ruling elite” also contributed to the conversion of local populations. This study presents an archaeological discourse grounded in a historical approach, supported by tangible material evidence, including gravestones and burial complexes, in Bolaang Mongondow, North Sulawesi. Through morphological and technological analyses, the research aims to identify, interpret, and understand the contextual dynamics of local Islamic culture, thereby contributing to a deeper understanding of the region’s Islamic civilizational heritage. The findings reveal a process of adaptation and acculturation closely intertwined with Islamic ideals and concepts. The artefacts uncovered, particularly those from the Kapulo and Jere sites, serve as concrete evidence of the early development of Islamic civilization in Bolaang Mongondow</w:t>
            </w:r>
            <w:r w:rsidR="00B46F2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23A31CE" w:rsidR="001D517C" w:rsidRPr="004C7CB9" w:rsidRDefault="00395D1C" w:rsidP="001D517C">
            <w:pPr>
              <w:jc w:val="both"/>
              <w:rPr>
                <w:rFonts w:asciiTheme="majorHAnsi" w:hAnsiTheme="majorHAnsi" w:cstheme="majorHAnsi"/>
                <w:sz w:val="18"/>
                <w:szCs w:val="18"/>
                <w:lang w:val="en-US"/>
              </w:rPr>
            </w:pPr>
            <w:r w:rsidRPr="00395D1C">
              <w:rPr>
                <w:rFonts w:asciiTheme="majorHAnsi" w:hAnsiTheme="majorHAnsi" w:cstheme="majorHAnsi"/>
                <w:sz w:val="18"/>
                <w:szCs w:val="18"/>
                <w:lang w:val="id-ID"/>
              </w:rPr>
              <w:t>Islamic</w:t>
            </w:r>
            <w:r w:rsidRPr="00395D1C">
              <w:rPr>
                <w:rFonts w:asciiTheme="majorHAnsi" w:hAnsiTheme="majorHAnsi" w:cstheme="majorHAnsi"/>
                <w:sz w:val="18"/>
                <w:szCs w:val="18"/>
              </w:rPr>
              <w:t>-</w:t>
            </w:r>
            <w:r w:rsidRPr="00395D1C">
              <w:rPr>
                <w:rFonts w:asciiTheme="majorHAnsi" w:hAnsiTheme="majorHAnsi" w:cstheme="majorHAnsi"/>
                <w:sz w:val="18"/>
                <w:szCs w:val="18"/>
                <w:lang w:val="id-ID"/>
              </w:rPr>
              <w:t xml:space="preserve">Archaeology; </w:t>
            </w:r>
            <w:r w:rsidRPr="00395D1C">
              <w:rPr>
                <w:rFonts w:asciiTheme="majorHAnsi" w:hAnsiTheme="majorHAnsi" w:cstheme="majorHAnsi"/>
                <w:sz w:val="18"/>
                <w:szCs w:val="18"/>
              </w:rPr>
              <w:t xml:space="preserve">Indonesia; Islam; </w:t>
            </w:r>
            <w:r w:rsidRPr="00395D1C">
              <w:rPr>
                <w:rFonts w:asciiTheme="majorHAnsi" w:hAnsiTheme="majorHAnsi" w:cstheme="majorHAnsi"/>
                <w:sz w:val="18"/>
                <w:szCs w:val="18"/>
                <w:lang w:val="id-ID"/>
              </w:rPr>
              <w:t>Bolaang Mongondow;</w:t>
            </w:r>
            <w:r w:rsidRPr="00395D1C">
              <w:rPr>
                <w:rFonts w:asciiTheme="majorHAnsi" w:hAnsiTheme="majorHAnsi" w:cstheme="majorHAnsi"/>
                <w:sz w:val="18"/>
                <w:szCs w:val="18"/>
              </w:rPr>
              <w:t xml:space="preserve"> North Sulawesi</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8115F3E"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0FCB4C2E"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The process of Islamization in the Malay Archipelago has undergone complex dynamics that have endured to the present day</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{"citationItems":[{"id":"ITEM-1","itemData":{"DOI":"10.15575/hanifiya.v2i1.4270","ISSN":"2089-8835","abstract":"This study examines the relation of Religion and the Traditional Medicine System to rural communities. The big conclusion of this dissertation shows that there are religious relations with the traditional medical system in the form of integration of religious functions into the traditional medicine system. Acculturation of religion and culture is evident in the traditional medicine system. The most important thing that characterizes traditional medicine is that at the practical level the traditional medical system in rural communities is inseparable from the magical and religious elements. So based on that religious function can be used as a function of therapy. This study uses qualitative methods, using two data sources. First, primary data obtained from document studies, field observations, In-depth Interview and Focus Group Discussion. The informant is obtained by Purposive and snowballing. Secondary data is supporting data obtained from books, journals, and magazines. To analyze the relationship between religion and the traditional medical system in rural communities, it was analyzed with three approaches to sociology, anthropology and psychology.","author":[{"dropping-particle":"","family":"Nasrudin","given":"Juhana","non-dropping-particle":"","parse-names":false,"suffix":""}],"container-title":"Hanifiya: Jurnal Studi Agama-Agama","id":"ITEM-1","issue":"1","issued":{"date-parts":[["2019","2","25"]]},"page":"42-58","publisher":"Sunan Gunung Djati State Islamic University of Bandung","title":"Relasi Agama, Magi, Sains dengan Sistem Pengobatan Tradisional-Modern pada Masyarakat Pedesaan","type":"article-journal","volume":"2"},"uris":["http://www.mendeley.com/documents/?uuid=475eb40d-d6e0-3041-ae7b-156ae1e8ece5"]}],"mendeley":{"formattedCitation":"[1]","plainTextFormattedCitation":"[1]","previouslyFormattedCitation":"[1]"},"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The Islamization of the Malay Archipelago occurred over several periods, which, according to scholars, led to the widespread acceptance of Islamic teachings</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{"citationItems":[{"id":"ITEM-1","itemData":{"DOI":"10.14421/esensia.v18i2.1476","ISSN":"1411-3775","abstract":"The development of Islam tend to shows the diversity according to the age and socio-cultural region of its adherents. This is the case with the development of Islam in the archipelago, which shows a diversity in the pattern of development of the teachings and religious aspects, along with the diversity of its society which includes various ethnicities and cultures. One such pattern of Islam is Sufism, the Islamic aspect which emphasizes the inner or esoteric aspects, based on the Sufi doctrine and comprehension. This paper focuses on the development of Sufism in the archipelago, viewed in terms of history, thought, and tarekat movements. The archipelago Sufism is studied in historical and socio-anthropological perspectives. Broadly speaking, it can be stated that Firstly, in the process of Islamization of the archipelago, Sufism acts as a media of Islamic society carried out by the Sufi in their preaching about the XIII century until the XVI century; Second, the development of Sufism in the archipelago in the XVII century until the XIX century experienced a shift in the pattern of development, role and movement. Their role is mainly to establish the spiritual aspect of religious life and development, but through the power and social communities of the tarekat they can also carry out social movements, especially in mobilizing the people’s struggles against Dutch colonialism in the nineteenth century. Finally, the Sufism of Nusantara (Archipelago) that is netted in tarekat movements continues to show its wider role in the twentieth century. Some tarekat communities not only maintain religious traditions that are spiritual, but also work in education, economics, and politics. Thus, the contribution of sufism is very beneficial to society in general, both in order to fulfill their spiritual needs and worldly life.[Perkembangan Islam selalu menunjukkan keragaman sesuai zaman dan wilayah sosial-budaya masyarakat pemeluknya. Sebagaimana Islam di Nusantara menunjukkan keragaman pola pengembangan ajaran dan aspek keagamaan itu adalah seiring masyarakatnya yang meliputi beragam etnis dan budaya. Salah satu pola keislaman tersebut adalah sufisme, yakni aspek keislaman yang lebih menekankan segi batiniah atau esoterik berdasarkan faham dan ajaran para Sufi. Tulisan ini memfokuskan pembahasannya tentang perkembangan sufisme di Nusantara, baik dilihat dari segi sejarah, pemikiran, maupun gerakan-gerakan tarekat. Sufisme Nusantara tersebut dipelajari dalam perspektif …","author":[{"dropping-particle":"","family":"Nur","given":"Syaifan","non-dropping-particle":"","parse-names":false,"suffix":""},{"dropping-particle":"","family":"Abdurahman","given":"Dudung","non-dropping-particle":"","parse-names":false,"suffix":""}],"container-title":"ESENSIA: Jurnal Ilmu-Ilmu Ushuluddin","id":"ITEM-1","issue":"2","issued":{"date-parts":[["2018"]]},"title":"Sufism of Archipelago: History, Thought, and Movement","type":"article-journal","volume":"18"},"uris":["http://www.mendeley.com/documents/?uuid=208c6293-15b1-3730-a009-6d3c958cd210"]}],"mendeley":{"formattedCitation":"[2]","plainTextFormattedCitation":"[2]","previouslyFormattedCitation":"[2]"},"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[2]</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The introduction of Islam began with the presence of Muslim sailors and traders believed to have originated from the Arabian Peninsula from the 7</w:t>
      </w:r>
      <w:r w:rsidRPr="00395D1C">
        <w:rPr>
          <w:rFonts w:asciiTheme="majorHAnsi" w:hAnsiTheme="majorHAnsi" w:cstheme="majorHAnsi"/>
          <w:sz w:val="20"/>
          <w:szCs w:val="20"/>
          <w:vertAlign w:val="superscript"/>
          <w:lang w:val="en-US"/>
        </w:rPr>
        <w:t>th</w:t>
      </w:r>
      <w:r w:rsidRPr="00395D1C">
        <w:rPr>
          <w:rFonts w:asciiTheme="majorHAnsi" w:hAnsiTheme="majorHAnsi" w:cstheme="majorHAnsi"/>
          <w:sz w:val="20"/>
          <w:szCs w:val="20"/>
          <w:lang w:val="en-US"/>
        </w:rPr>
        <w:t xml:space="preserve"> to the 13</w:t>
      </w:r>
      <w:r w:rsidRPr="00395D1C">
        <w:rPr>
          <w:rFonts w:asciiTheme="majorHAnsi" w:hAnsiTheme="majorHAnsi" w:cstheme="majorHAnsi"/>
          <w:sz w:val="20"/>
          <w:szCs w:val="20"/>
          <w:vertAlign w:val="superscript"/>
          <w:lang w:val="en-US"/>
        </w:rPr>
        <w:t>th</w:t>
      </w:r>
      <w:r w:rsidRPr="00395D1C">
        <w:rPr>
          <w:rFonts w:asciiTheme="majorHAnsi" w:hAnsiTheme="majorHAnsi" w:cstheme="majorHAnsi"/>
          <w:sz w:val="20"/>
          <w:szCs w:val="20"/>
          <w:lang w:val="en-US"/>
        </w:rPr>
        <w:t xml:space="preserve"> centuries CE</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{"citationItems":[{"id":"ITEM-1","itemData":{"DOI":"10.15408/sdi.v20i1.352","ISSN":"0215-0492","abstract":"Karya Ricklefs terakhir ini merupakan sekuel ketiga atau terakhir dari dua karya sebelumnya: Mystic Synthesis in Java: A History of Islamisation from the Fourteenth to the Early Nineteenth Centuries (2006), dan Polarising Javanese Society: Islamic and Other Visions c. 1830-1930 (2007). Ketiga karya ini secara komprehensif membahas Islamisasi Jawa sejak abad ke-14 sampai sekarang. Mengamati proses dan dinamika Islamisasi masyarakat Jawa selama berabad-abad hingga sekarang Ricklefs menyimpulkan bahwa masyarakat Muslim Jawa telah melewati masa sulit sejak awal penyebaran Islam, penjajahan kolonialisme Belanda dan Jepang, periode kemerdekaan, pemerintahan Presiden Soekarno yang kacau, totalitarianisme Presiden Soeharto, dan demokrasi kontemporer. Menempuh berbagai perubahan, masyarakat Muslim Jawa kini menjadi contoh luar biasa dalam hal peningkatan relijiusitas keislaman. Ketiga karya itu sekaligus membantah anggapan banyak kalangan bahwa sebagian besar Muslim Jawa ‘abangan’ atau Muslim nominal. Kata","author":[{"dropping-particle":"","family":"Azra","given":"Azyumardi","non-dropping-particle":"","parse-names":false,"suffix":""}],"container-title":"Studia Islamika","id":"ITEM-1","issue":"1","issued":{"date-parts":[["2013"]]},"title":"Islamisasi Jawa","type":"article-journal","volume":"20"},"uris":["http://www.mendeley.com/documents/?uuid=fc059db6-6a2e-3f7e-957c-59afffa0f73e"]},{"id":"ITEM-2","itemData":{"DOI":"10.1163/9789004491946_023","author":[{"dropping-particle":"","family":"Farid Alatas","given":"Syed","non-dropping-particle":"","parse-names":false,"suffix":""},{"dropping-particle":"","family":"Azra","given":"Azyumardi","non-dropping-particle":"","parse-names":false,"suffix":""},{"dropping-particle":"","family":"Boxberger","given":"Linda","non-dropping-particle":"","parse-names":false,"suffix":""},{"dropping-particle":"","family":"Camelin","given":"Sylvaine","non-dropping-particle":"","parse-names":false,"suffix":""},{"dropping-particle":"","family":"Clarence-Smith","given":"William","non-dropping-particle":"","parse-names":false,"suffix":""},{"dropping-particle":"","family":"Dale","given":"Stephen","non-dropping-particle":"","parse-names":false,"suffix":""},{"dropping-particle":"","family":"Ewald","given":"Janes","non-dropping-particle":"","parse-names":false,"suffix":""},{"dropping-particle":"","family":"Freitag","given":"Ulrike","non-dropping-particle":"","parse-names":false,"suffix":""},{"dropping-particle":"","family":"Hartwig","given":"Friedhelm","non-dropping-particle":"","parse-names":false,"suffix":""},{"dropping-particle":"","family":"Ho","given":"Engseng","non-dropping-particle":"","parse-names":false,"suffix":""},{"dropping-particle":"","family":"Jonge","given":"M.","non-dropping-particle":"de","parse-names":false,"suffix":""},{"dropping-particle":"","family":"Khalidi","given":"Omar","non-dropping-particle":"","parse-names":false,"suffix":""},{"dropping-particle":"","family":"Knysh","given":"Alexander","non-dropping-particle":"","parse-names":false,"suffix":""},{"dropping-particle":"","family":"Guennec-Coppens","given":"Françoise","non-dropping-particle":"Le","parse-names":false,"suffix":""},{"dropping-particle":"","family":"Lekon","given":"Christian","non-dropping-particle":"","parse-names":false,"suffix":""},{"dropping-particle":"","family":"Mandal","given":"Sumit","non-dropping-particle":"","parse-names":false,"suffix":""},{"dropping-particle":"","family":"Mobini-Kesheh","given":"Natalie","non-dropping-particle":"","parse-names":false,"suffix":""},{"dropping-particle":"","family":"Redzuan Othman","given":"Mohammad","non-dropping-particle":"","parse-names":false,"suffix":""},{"dropping-particle":"","family":"Riddell","given":"Peter","non-dropping-particle":"","parse-names":false,"suffix":""}],"container-title":"Hadhrami Traders, Scholars and Statesmen in the Indian Ocean, 1750s-1960s","id":"ITEM-2","issued":{"date-parts":[["2021"]]},"title":"Hadhrami Entrepreneurs in the Malay World, c. 1750 tO c. 1940","type":"chapter"},"uris":["http://www.mendeley.com/documents/?uuid=a4ece824-37dd-3ec8-ab5d-544e90225f63"]}],"mendeley":{"formattedCitation":"[3], [4]","plainTextFormattedCitation":"[3], [4]","previouslyFormattedCitation":"[3], [4]"},"properties":{"noteIndex":0},"schema":"https://github.com/citation-style-language/schema/raw/master/csl-citation.json"}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[3], [4]</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This influence was reinforced by the emergence of local political powers based on Islamic ideology. Early records indicate that Islam developed in the Malay Archipelago from the late 13</w:t>
      </w:r>
      <w:r w:rsidRPr="00395D1C">
        <w:rPr>
          <w:rFonts w:asciiTheme="majorHAnsi" w:hAnsiTheme="majorHAnsi" w:cstheme="majorHAnsi"/>
          <w:sz w:val="20"/>
          <w:szCs w:val="20"/>
          <w:vertAlign w:val="superscript"/>
          <w:lang w:val="en-US"/>
        </w:rPr>
        <w:t>th</w:t>
      </w:r>
      <w:r w:rsidRPr="00395D1C">
        <w:rPr>
          <w:rFonts w:asciiTheme="majorHAnsi" w:hAnsiTheme="majorHAnsi" w:cstheme="majorHAnsi"/>
          <w:sz w:val="20"/>
          <w:szCs w:val="20"/>
          <w:lang w:val="en-US"/>
        </w:rPr>
        <w:t xml:space="preserve"> century onwards, subsequently influencing the local populace to embrace Islamic teachings. Interestingly, this development was bolstered by the spice trade network and commercial relations that flourished within the community. These developments had implications for perspectives, lifestyles, customs, and daily practices, ultimately shaping the civilization and culture of the Malay Archipelago to the present day</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{"citationItems":[{"id":"ITEM-1","itemData":{"ISSN":"01471767","abstract":"This bestselling intercultural communication text gives readers an understanding and appreciation of different cultures and helps them develop practical skills for improving their communication with people from other cultures. COMMUNICATION BETWEEN CULTURES is renowned for being the only text on the market to consistently emphasize religion and history as key variables in intercultural communication. Packed with the latest research and filled with numerous compelling examples that force readers to examine their own assumptions and cultural biases, this book helps students understand the subtle and profound ways culture affects communication. The book is divided into four interrelated parts: Part I introduces the study of communication and culture; Part II focuses on the ability of culture to shape and modify our view of reality; Part III puts the theory of intercultural communication into practice; and Part IV converts knowledge into action.","author":[{"dropping-particle":"","family":"Samovar","given":"Larry A.","non-dropping-particle":"","parse-names":false,"suffix":""},{"dropping-particle":"","family":"Porter","given":"Richard E.","non-dropping-particle":"","parse-names":false,"suffix":""},{"dropping-particle":"","family":"McDaniel","given":"Edwin R.","non-dropping-particle":"","parse-names":false,"suffix":""}],"container-title":"Communication Between Cultures","id":"ITEM-1","issued":{"date-parts":[["2010"]]},"title":"Venturing into a New Culture: Becoming Competent. Culture Shock","type":"chapter"},"uris":["http://www.mendeley.com/documents/?uuid=db8fa9c6-7e09-3eaf-8a16-71111a85a96b"]}],"mendeley":{"formattedCitation":"[5]","plainTextFormattedCitation":"[5]","previouslyFormattedCitation":"[5]"},"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[5]</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w:t>
      </w:r>
    </w:p>
    <w:p w14:paraId="05364114"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One significant factor in the development of Islamic teachings in the Malay Archipelago is the archaeological evidence found in the form of Islamic-patterned gravestones</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{"citationItems":[{"id":"ITEM-1","itemData":{"DOI":"10.1080/13639811.2021.1873564","ISSN":"14698382","abstract":"This study presents a distinctive type of Muslim gravestone found on the northern coast of Sumatra, Indonesia, that dates to the 15th century. These grave markers, locally known as plang-pleng, provide evidence for the formation and disappearance of an early form of vernacular Muslim material culture in Southeast Asia. We documented over 200 of these gravestones during a large-scale archaeological landscape survey. In this article, we present a typology of these gravestones based upon shape, morphology and ornamentation. We then discuss their geographical distribution and periodisation based on examples with dated Arabic inscriptions. Our results show that these gravestones were initially a cultural product of the historic trading settlement of Lamri dating from the early 15th century. By the middle of the 15th century, variations of these stones started to appear widely near the Aceh river. The plang-pleng tradition was displaced in the early 16th century by the batu Aceh gravestones associated with the Aceh sultanate, which became a standardised part of Muslim material culture in the region for the next two centuries.","author":[{"dropping-particle":"","family":"Feener","given":"R. Michael","non-dropping-particle":"","parse-names":false,"suffix":""},{"dropping-particle":"","family":"Daly","given":"Patrick","non-dropping-particle":"","parse-names":false,"suffix":""},{"dropping-particle":"","family":"Edwards McKinnon","given":"E.","non-dropping-particle":"","parse-names":false,"suffix":""},{"dropping-particle":"","family":"En-Ci","given":"Luca Lum","non-dropping-particle":"","parse-names":false,"suffix":""},{"dropping-particle":"","family":"Ardiansyah","given":"","non-dropping-particle":"","parse-names":false,"suffix":""},{"dropping-particle":"","family":"Nizamuddin","given":"","non-dropping-particle":"","parse-names":false,"suffix":""},{"dropping-particle":"","family":"Ismail","given":"Nazli","non-dropping-particle":"","parse-names":false,"suffix":""},{"dropping-particle":"","family":"Seng","given":"Tai Yew","non-dropping-particle":"","parse-names":false,"suffix":""},{"dropping-particle":"","family":"Rahardjo","given":"Jessica","non-dropping-particle":"","parse-names":false,"suffix":""},{"dropping-particle":"","family":"Sieh","given":"Kerry","non-dropping-particle":"","parse-names":false,"suffix":""}],"container-title":"Indonesia and the Malay World","id":"ITEM-1","issue":"143","issued":{"date-parts":[["2021"]]},"title":"Islamisation and the formation of vernacular Muslim material culture in 15th-century northern Sumatra","type":"article-journal","volume":"49"},"uris":["http://www.mendeley.com/documents/?uuid=00a5695f-222a-3f17-92ce-bed6796b1402"]}],"mendeley":{"formattedCitation":"[6]","plainTextFormattedCitation":"[6]","previouslyFormattedCitation":"[6]"},"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[6]</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xml:space="preserve">. These artifacts represent a distinct phase in tracing the footprint and civilization of Islam, known as 'Islamic Archaeology.' Islamic Archaeology is understood as a study that discusses cultural heritage, particularly in the form of material or physical remains, originating from or influenced by Islamic teachings from the time of its introduction to the present day. Specifically, Islamic Archaeology is regarded as a discourse for understanding the spread and influence of Islam within society through material remains or artifacts. Thus, Islamic archaeology represents a phase that influenced the formation of Indonesian Muslim society from the past to the present. Islamic archaeology encompasses the remnants, traces, and physical evidence that manifest Islamic civilization, particularly in the form of buildings, places of worship </w:t>
      </w:r>
      <w:r w:rsidRPr="00395D1C">
        <w:rPr>
          <w:rFonts w:asciiTheme="majorHAnsi" w:hAnsiTheme="majorHAnsi" w:cstheme="majorHAnsi"/>
          <w:sz w:val="20"/>
          <w:szCs w:val="20"/>
          <w:lang w:val="en-US"/>
        </w:rPr>
        <w:lastRenderedPageBreak/>
        <w:t>(mosques), gravestones, and burial complexes</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{"citationItems":[{"id":"ITEM-1","itemData":{"DOI":"10.15408/sdi.v22i3.2352","ISSN":"23556145","abstract":"In a recently published book, the present author argues that Asia is \"the great laboratory of religious pluralism.\" The jostling together of mosques, viharas, churches and all kinds of temples has long been a feature of the vibrant cities of Southeast Asia, while anthropologists have celebrated the diversity of its rural people. Yet there is a paradox. At the level of formal religious adherence, Southeast Asia looks to be one of the world's least diverse regions. This article addresses both the deeper sources of religious tolerance and the modern factors tending, notably in Indonesia, to replace that pattern with one of greater religious conformity. The Indonesian state motto is the epitome of this paradox .Bhinneka Tunggal Ika, 'They are many, yet they are one.' The article concludes that while the older tolerance of diversity is indeed under threat today, Southeast Asia's own traditions should prove a valuable supplement to modern human rights concepts in maintaining the balance.","author":[{"dropping-particle":"","family":"Reid","given":"Anthony","non-dropping-particle":"","parse-names":false,"suffix":""}],"container-title":"Studia Islamika","id":"ITEM-1","issue":"3","issued":{"date-parts":[["2015"]]},"title":"Religious Pluralism or Conformity in Southeast Asia's Cultural Legacy","type":"article-journal","volume":"22"},"uris":["http://www.mendeley.com/documents/?uuid=5450184e-fb0f-390c-b55c-c65f0b5da277"]}],"mendeley":{"formattedCitation":"[7]","plainTextFormattedCitation":"[7]","previouslyFormattedCitation":"[7]"},"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[7]</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The spread of Islam left distinctive traces, evident in patterns or typologies. For instance, inscriptions on gravestones serve as primary indicators in the initial identification of these remnants and the influence of Islamic culture. The information contained within these inscriptions can then serve as the basis for estimating the influence and processes involved in the formation of Islamic civilization within society.</w:t>
      </w:r>
    </w:p>
    <w:p w14:paraId="0D6B50DE" w14:textId="77777777" w:rsidR="00395D1C" w:rsidRPr="00395D1C" w:rsidRDefault="00395D1C" w:rsidP="00395D1C">
      <w:pPr>
        <w:ind w:firstLine="284"/>
        <w:jc w:val="both"/>
        <w:rPr>
          <w:rFonts w:asciiTheme="majorHAnsi" w:hAnsiTheme="majorHAnsi" w:cstheme="majorHAnsi"/>
          <w:sz w:val="20"/>
          <w:szCs w:val="20"/>
          <w:lang w:val="en-US"/>
        </w:rPr>
      </w:pP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is one of the regions that experienced the influence of Islamization, impacting its societal civilization.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is known as a local power that embraced Islam from the 18th century onwards through the networks of Nusantara Muslims. Gravestones and tombs serve as evidence of the acculturation and assimilation between Islam and local culture in the Kingdom of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hAnsiTheme="majorHAnsi" w:cstheme="majorHAnsi"/>
          <w:sz w:val="20"/>
          <w:szCs w:val="20"/>
          <w:lang w:val="en-US"/>
        </w:rPr>
        <w:softHyphen/>
        <w:instrText>tured in the bureaucracy of the royal government (top down). This paper is a historical writing, using the historical method; heuristics, cri</w:instrText>
      </w:r>
      <w:r w:rsidRPr="00395D1C">
        <w:rPr>
          <w:rFonts w:asciiTheme="majorHAnsi" w:hAnsiTheme="majorHAnsi" w:cstheme="majorHAnsi"/>
          <w:sz w:val="20"/>
          <w:szCs w:val="20"/>
          <w:lang w:val="en-US"/>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hAnsiTheme="majorHAnsi" w:cstheme="majorHAnsi"/>
          <w:sz w:val="20"/>
          <w:szCs w:val="20"/>
          <w:lang w:val="en-US"/>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hAnsiTheme="majorHAnsi" w:cstheme="majorHAnsi"/>
          <w:sz w:val="20"/>
          <w:szCs w:val="20"/>
          <w:lang w:val="en-US"/>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hAnsiTheme="majorHAnsi" w:cstheme="majorHAnsi"/>
          <w:sz w:val="20"/>
          <w:szCs w:val="20"/>
          <w:lang w:val="en-US"/>
        </w:rPr>
        <w:softHyphen/>
        <w:instrText>nya Islam. Dinamika Islamisasi di Bolaang Mongondow Utara yang pen</w:instrText>
      </w:r>
      <w:r w:rsidRPr="00395D1C">
        <w:rPr>
          <w:rFonts w:asciiTheme="majorHAnsi" w:hAnsiTheme="majorHAnsi" w:cstheme="majorHAnsi"/>
          <w:sz w:val="20"/>
          <w:szCs w:val="20"/>
          <w:lang w:val="en-US"/>
        </w:rPr>
        <w:softHyphen/>
        <w:instrText>ting dicatat diantaranya: pada mulanya Islamisasi di wilayah Bolaang Mongondow Utara melalui j…","author":[{"dropping-particle":"","family":"Tungkagi","given":"Donald Qomaidiansyah","non-dropping-particle":"","parse-names":false,"suffix":""}],"container-title":"Jurnal Lektur Keagamaan","id":"ITEM-1","issue":"2","issued":{"date-parts":[["2020"]]},"title":"Islam di Bolaang Mongondow Utara, Sulawesi Utara: Dinamika Islamisasi di Kerajaan Kaidipang Besar dan Bintauna Abad ke-7-19 M","type":"article-journal","volume":"17"},"uris":["http://www.mendeley.com/documents/?uuid=856c546c-837e-3c80-ad66-07afa4b2559e"]}],"mendeley":{"formattedCitation":"[8]","plainTextFormattedCitation":"[8]","previouslyFormattedCitation":"[8]"},"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[8]</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xml:space="preserve">. Two such gravestone artifacts are located at the </w:t>
      </w:r>
      <w:proofErr w:type="spellStart"/>
      <w:r w:rsidRPr="00395D1C">
        <w:rPr>
          <w:rFonts w:asciiTheme="majorHAnsi" w:hAnsiTheme="majorHAnsi" w:cstheme="majorHAnsi"/>
          <w:sz w:val="20"/>
          <w:szCs w:val="20"/>
          <w:lang w:val="en-US"/>
        </w:rPr>
        <w:t>Kapulo</w:t>
      </w:r>
      <w:proofErr w:type="spellEnd"/>
      <w:r w:rsidRPr="00395D1C">
        <w:rPr>
          <w:rFonts w:asciiTheme="majorHAnsi" w:hAnsiTheme="majorHAnsi" w:cstheme="majorHAnsi"/>
          <w:sz w:val="20"/>
          <w:szCs w:val="20"/>
          <w:lang w:val="en-US"/>
        </w:rPr>
        <w:t xml:space="preserve"> and Jere Sites, which illustrate the integration of religious conversion and acceptance. Thus, these artifacts serve as the foundation for determining the presence of external influences in the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region, particularly in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w:t>
      </w:r>
    </w:p>
    <w:p w14:paraId="690A1BC1"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In summary, the </w:t>
      </w:r>
      <w:proofErr w:type="spellStart"/>
      <w:r w:rsidRPr="00395D1C">
        <w:rPr>
          <w:rFonts w:asciiTheme="majorHAnsi" w:hAnsiTheme="majorHAnsi" w:cstheme="majorHAnsi"/>
          <w:sz w:val="20"/>
          <w:szCs w:val="20"/>
          <w:lang w:val="en-US"/>
        </w:rPr>
        <w:t>Kapulo</w:t>
      </w:r>
      <w:proofErr w:type="spellEnd"/>
      <w:r w:rsidRPr="00395D1C">
        <w:rPr>
          <w:rFonts w:asciiTheme="majorHAnsi" w:hAnsiTheme="majorHAnsi" w:cstheme="majorHAnsi"/>
          <w:sz w:val="20"/>
          <w:szCs w:val="20"/>
          <w:lang w:val="en-US"/>
        </w:rPr>
        <w:t xml:space="preserve"> site is evidence of the pre-Islamic civilization of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However, this site also marks the occurrence of religious conversion and political transition, which subsequently influenced the development of the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Kingdom. Meanwhile, the Jere site provides evidence of the success of religious influence and conversion, serving as an initial indicator of the date of acceptance of Islamic teachings in the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region. Thus, these two gravestone artifacts serve as a common thread for tracing the spread of religious conversion processes and local political conditions from pre-Islamic times to the acceptance of Islamic teachings </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{"citationItems":[{"id":"ITEM-1","itemData":{"DOI":"10.24832/kapata.v14i1.475","ISSN":"18584101","abstract":"Kema merupakan salah satu kecamatan di Kabupaten Minahasa Utara yang berada di pesisir selatan Sulawesi. Saat ini Kema dikenal sebagai perkampungan nelayan padat penduduk yang terbagi menjadi Kema I, Kema II, dan Kema III. Riwayat sejarah Kema sudah dikenal semenjak abad XVI oleh pelaut-pelaut Eropa yang singgah untuk mengisi air minum, kemudian berkembang hingga menjadi sebuah kota pelabuhan. Penelitian ini bertujuan untuk mengetahui pasang surut keberadaan pelabuhan kema dalam perdagangan global Laut Sulawesi masa kolonial berdasarkan data arkeologi dan sejarah. Penelitian ini menggunakan pendekatan arkeologi kesejarahan yang memadukan data arkeologi dengan data sejarah. Tahapan penelitian meliputi tahap pengumpulan data, analisis data, dan penarikan kesimpulan. Hasil penelitian menunjukkan adanya bukti-bukti arkeologis yang mengindikasikan Kema dahulu merupakan sebuah permukiman yang sudah maju, meliputi pola permukiman dan jaringan jalan, pelabuhan dan saran pendukungnya, rumah ibadah, bangunan perumahan, pasar, dan jaringan komunikasi. Bukti arkeologis dan data sejarah mengungkap bahwa Kema dikenal sebagai pelabuhan laut yang memegang peranan penting dalam perdagangan global pada masa Kolonial. Pelabuhan Kema bahkan ditetapkan sebagai salah satu pelabuhan bebas di perairan Laut Sulawesi. Peran pelabuhan Kema saat ini mengalami kemunduran, hanya sebagai pelabuhan perikanan tidak lagi sebagai pelabuhan samudera.Kema is one of the districts in Minahasa Utara Regency located on the southern coast of Sulawesi Utara. Currently, Kema is known as a densely populated fishing village which is divided into Kema Satu, Kema Dua, and Kema Tiga. Based on historical data, Kema has been known since the 16 century by European sailors who stopped to fill drinking water, then expanded into a port city. This study aims to determine the rise and fall of the existence of Kema in the global trade of the Sulawesi Sea in the colonial period based on archaeological and historical data. This study uses a historical archeology approach that combines archaeological data with historical data. Research stages include data collection phase, data analysis, and conclusion. The results indicate archaeological evidence shows that Kema was an advanced settlement, covering the settlement patterns and road networks, ports and supporting facilities, houses of worship, residential buildings, markets, and communications networks. Archaeological evidence and historical data reveal that Kema …","author":[{"dropping-particle":"","family":"Marzuki","given":"Irfanuddin Wahid","non-dropping-particle":"","parse-names":false,"suffix":""}],"container-title":"Kapata Arkeologi","id":"ITEM-1","issue":"1","issued":{"date-parts":[["2018"]]},"title":"Rise and Fall of Kema Port in Sulawesi Sea Trade Routes During Colonial Period: Based on Infrastructure Data","type":"article-journal","volume":"14"},"uris":["http://www.mendeley.com/documents/?uuid=43f453ad-2e93-3879-b2ec-6e76b2aafffc"]},{"id":"ITEM-2","itemData":{"DOI":"10.36424/jpsb.v5i1.14","ISSN":"2502-6798","abstract":"Islamisasi yang terjadi di Nusantara pada abad ke-19  tidak terlepas dari peran dan pengaruh para pedagang sekaligus ulama dari Timur Tengah yang membawa ajaran Islam. Proses Islamisasi dan konversi agama membutuhkan waktu dan proses panjang, hingga sampai  diterima oleh masyarakat setempat. Penerimaan ajaran Islam dilakukan melalui beberapa saluran, terutama dalam jaringan perdagangan. Kawasan Laut Sulawesi, sebagai entrepot, merupakan salah satu jalur Islamisasi karena perkembangan perdagangan rempah-rempah  di Maluku sebagai wilayah penghasil rempah-rempah.Tulisan ini bertujuan mengungkap proses Islamisasi di sekitar Kawasan Laut Sulawesi pada abad XIX.Tulisan ini merupakan tulisan sejarah, dengan menggunakan metode sejarah; heuristik, kritik, interpretasi, dan historiografi yang bersifat analisis-kualitatif dan mampu menunjukkan satu rangkaian proses Islamisasi yang terjadi di Nusantara sekitar abad XIX. Hasil kajian ini menunjukkan bahwa pengaruh Islam diawali dari proses perdagangan, di kawasan Laut Sulawesi, bagi pedagang yang menghubungkan ke Maluku sebagai satu pola Islamisasi, sehingga di masa berikutnya komunitas Muslim mampu menciptakan Moslemen clave di Semenanjung Laut Sulawesi.","author":[{"dropping-particle":"","family":"Ichsan Azis","given":"Muhammad Nur","non-dropping-particle":"","parse-names":false,"suffix":""}],"container-title":"JURNAL PENELITIAN SEJARAH DAN BUDAYA","id":"ITEM-2","issue":"1","issued":{"date-parts":[["2019"]]},"title":"ISLAMISASI DI KAWASAN LAUT SULAWESI PADA ABAD KE-19","type":"article-journal","volume":"5"},"uris":["http://www.mendeley.com/documents/?uuid=e76a06bd-7403-3ac0-ab33-09acebd920d8"]}],"mendeley":{"formattedCitation":"[9], [10]","plainTextFormattedCitation":"[9], [10]","previouslyFormattedCitation":"[9], [10]"},"properties":{"noteIndex":0},"schema":"https://github.com/citation-style-language/schema/raw/master/csl-citation.json"}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[9], [10]</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w:t>
      </w:r>
    </w:p>
    <w:p w14:paraId="43D7A36A"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Based on the brief data above, this study analyzes the process of religious conversion from pre-Islamic times to the acceptance of Islamic teachings in the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region, culminating in </w:t>
      </w:r>
      <w:proofErr w:type="spellStart"/>
      <w:r w:rsidRPr="00395D1C">
        <w:rPr>
          <w:rFonts w:asciiTheme="majorHAnsi" w:hAnsiTheme="majorHAnsi" w:cstheme="majorHAnsi"/>
          <w:sz w:val="20"/>
          <w:szCs w:val="20"/>
          <w:lang w:val="en-US"/>
        </w:rPr>
        <w:t>Kaidipang's</w:t>
      </w:r>
      <w:proofErr w:type="spellEnd"/>
      <w:r w:rsidRPr="00395D1C">
        <w:rPr>
          <w:rFonts w:asciiTheme="majorHAnsi" w:hAnsiTheme="majorHAnsi" w:cstheme="majorHAnsi"/>
          <w:sz w:val="20"/>
          <w:szCs w:val="20"/>
          <w:lang w:val="en-US"/>
        </w:rPr>
        <w:t xml:space="preserve"> recognition as one of the influential Islamic kingdoms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Furthermore, the remnants in the form of gravestone sites and burial complexes, namely the Jere and </w:t>
      </w:r>
      <w:proofErr w:type="spellStart"/>
      <w:r w:rsidRPr="00395D1C">
        <w:rPr>
          <w:rFonts w:asciiTheme="majorHAnsi" w:hAnsiTheme="majorHAnsi" w:cstheme="majorHAnsi"/>
          <w:sz w:val="20"/>
          <w:szCs w:val="20"/>
          <w:lang w:val="en-US"/>
        </w:rPr>
        <w:t>Kapulo</w:t>
      </w:r>
      <w:proofErr w:type="spellEnd"/>
      <w:r w:rsidRPr="00395D1C">
        <w:rPr>
          <w:rFonts w:asciiTheme="majorHAnsi" w:hAnsiTheme="majorHAnsi" w:cstheme="majorHAnsi"/>
          <w:sz w:val="20"/>
          <w:szCs w:val="20"/>
          <w:lang w:val="en-US"/>
        </w:rPr>
        <w:t xml:space="preserve"> Sites, provide strong evidence of pre-Islamic and post-acceptance of Islamic civilization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Therefore, the religious development in the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region is intriguing to study, especially through archaeological evidence, such as remnants of the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Kingdom</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hAnsiTheme="majorHAnsi" w:cstheme="majorHAnsi"/>
          <w:sz w:val="20"/>
          <w:szCs w:val="20"/>
          <w:lang w:val="en-US"/>
        </w:rPr>
        <w:softHyphen/>
        <w:instrText>tured in the bureaucracy of the royal government (top down). This paper is a historical writing, using the historical method; heuristics, cri</w:instrText>
      </w:r>
      <w:r w:rsidRPr="00395D1C">
        <w:rPr>
          <w:rFonts w:asciiTheme="majorHAnsi" w:hAnsiTheme="majorHAnsi" w:cstheme="majorHAnsi"/>
          <w:sz w:val="20"/>
          <w:szCs w:val="20"/>
          <w:lang w:val="en-US"/>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hAnsiTheme="majorHAnsi" w:cstheme="majorHAnsi"/>
          <w:sz w:val="20"/>
          <w:szCs w:val="20"/>
          <w:lang w:val="en-US"/>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hAnsiTheme="majorHAnsi" w:cstheme="majorHAnsi"/>
          <w:sz w:val="20"/>
          <w:szCs w:val="20"/>
          <w:lang w:val="en-US"/>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hAnsiTheme="majorHAnsi" w:cstheme="majorHAnsi"/>
          <w:sz w:val="20"/>
          <w:szCs w:val="20"/>
          <w:lang w:val="en-US"/>
        </w:rPr>
        <w:softHyphen/>
        <w:instrText>nya Islam. Dinamika Islamisasi di Bolaang Mongondow Utara yang pen</w:instrText>
      </w:r>
      <w:r w:rsidRPr="00395D1C">
        <w:rPr>
          <w:rFonts w:asciiTheme="majorHAnsi" w:hAnsiTheme="majorHAnsi" w:cstheme="majorHAnsi"/>
          <w:sz w:val="20"/>
          <w:szCs w:val="20"/>
          <w:lang w:val="en-US"/>
        </w:rPr>
        <w:softHyphen/>
        <w:instrText>ting dicatat diantaranya: pada mulanya Islamisasi di wilayah Bolaang Mongondow Utara melalui j…","author":[{"dropping-particle":"","family":"Tungkagi","given":"Donald Qomaidiansyah","non-dropping-particle":"","parse-names":false,"suffix":""}],"container-title":"Jurnal Lektur Keagamaan","id":"ITEM-1","issue":"2","issued":{"date-parts":[["2020"]]},"title":"Islam di Bolaang Mongondow Utara, Sulawesi Utara: Dinamika Islamisasi di Kerajaan Kaidipang Besar dan Bintauna Abad ke-7-19 M","type":"article-journal","volume":"17"},"uris":["http://www.mendeley.com/documents/?uuid=856c546c-837e-3c80-ad66-07afa4b2559e"]}],"mendeley":{"formattedCitation":"[8]","plainTextFormattedCitation":"[8]","previouslyFormattedCitation":"[8]"},"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[8]</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{"citationItems":[{"id":"ITEM-1","itemData":{"DOI":"10.2991/assehr.k.220408.004","abstract":"North Bolaang Mongondow is one of the areas in North Sulawesi Province that has the potential for archaeological remains, especially those from the royal period. Historical data and oral traditions in the community contain information about the kingdoms that existed in this region in the past, namely the Bintauna Kingdom, Kaidipang Kingdom, and the Bolaang Itang Kingdom. Concerning strengthening the history of these kingdoms, it needs to be supported by relevant archaeological data. The archaeological method applied in the form of field data collection in the form of surveys and observations succeeded in identifying and mapping the distribution of archaeological sites related to the existence of the three kingdoms. These archaeological sites are scattered almost throughout the North Bolaang Mongondow area, in the form of ancient graves, king's palaces, old mosques, and former residential structures. Based on the results of analysis and interpretation, these sites verify the existence of the three kingdoms in Bolaang Mongondow. The distribution of the site covers coastal areas to inland and mountains. As for strengthening the chronological aspect, it is necessary to do a dating analysis on each of these sites.","author":[{"dropping-particle":"","family":"Asmunandar","given":"Asmunandar","non-dropping-particle":"","parse-names":false,"suffix":""},{"dropping-particle":"","family":"Mulyadi","given":"Yadi","non-dropping-particle":"","parse-names":false,"suffix":""},{"dropping-particle":"","family":"Rustamawat","given":"Rustamawat","non-dropping-particle":"","parse-names":false,"suffix":""},{"dropping-particle":"","family":"Purba","given":"Jhon Rivel","non-dropping-particle":"","parse-names":false,"suffix":""},{"dropping-particle":"","family":"Handoko","given":"Wuri","non-dropping-particle":"","parse-names":false,"suffix":""},{"dropping-particle":"","family":"Mokodongan","given":"Annita I.","non-dropping-particle":"","parse-names":false,"suffix":""},{"dropping-particle":"","family":"Pratama","given":"Henki Riko","non-dropping-particle":"","parse-names":false,"suffix":""},{"dropping-particle":"","family":"Akil","given":"Muh.","non-dropping-particle":"","parse-names":false,"suffix":""}],"container-title":"Proceedings of the 9th Asbam International Conference (Archeology, History, &amp; Culture In The Nature of Malay) (ASBAM 2021)","id":"ITEM-1","issued":{"date-parts":[["2022"]]},"title":"Potential and Distribution of Archaeological Sites in North Bolaang Mongondow Region, North Sulawesi Province","type":"paper-conference","volume":"660"},"uris":["http://www.mendeley.com/documents/?uuid=5861be41-4cb8-3318-ae38-ce764d5c30e5"]}],"mendeley":{"formattedCitation":"[11]","plainTextFormattedCitation":"[11]","previouslyFormattedCitation":"[11]"},"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[11]</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w:t>
      </w:r>
    </w:p>
    <w:p w14:paraId="42A4ED5A"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The process of religious conversion is complex and requires careful examination in this article. Referring to the contextualization and periodization of history, an interesting issue to strengthen this study is the practice of acculturation of influential cultures in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society. On the other hand, religious conversion is understood as individuals or communities changing, accepting, or assimilating influences from external sources that contradict their previous beliefs or convictions. This understanding indirectly indicates an intriguing process for individuals or communities to explore or experience the situation and conditions when they are in such a position. In this regard, the process may be influenced by various factors, including politics, society, economy, and culture, that have evolved.</w:t>
      </w:r>
    </w:p>
    <w:p w14:paraId="59C7ADD3" w14:textId="00BCEAC2" w:rsid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Thus, the above discussion becomes intriguing when attempting to describe and analyze the remnants of sites as physical evidence in the historical process within the context of their past society. Sites not only serve as tangible physical evidence but also as intangible cultural resources that reveal interesting aspects of historical processes and societal development </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{"citationItems":[{"id":"ITEM-1","itemData":{"DOI":"10.1016/B978-0-08-097086-8.62034-2","abstract":"Southeast Asian literary traditions, extant from the fifteenth and sixteenth centuries, included Chinese-style dynastic histories, narratives of Buddhist sacred sites, and royal chronicles influenced by both Buddhist and Islamic patterns. More modern types of religious and secular narratives developed by the late eighteenth and early nineteenth centuries. For some of these, we can trace the external stimuli, but others appear to have developed autonomously. These traditions were overwhelmed in the late nineteenth and early twentieth centuries by Western narratives taught in colonial schools, often of a triumphalist imperial kind. These were adapted for their own purposes by Marxist and nationalist writers intent on change. Initially ignorant, embarrassed, or romantic about the older indigenous writing, Southeast Asia's new national historians rediscovered the great diversity of these traditions as they became professionalized with the development of university systems. International historians writing in English remain influential in these professional circles, particularly in the growing fields of social, intellectual, economic, and environmental history and transnational trends across the region. Controversies continue to swirl around the definition of the nation, violent traumas such as 1965-66 in Indonesia and 1975-78 in Cambodia, and the monarchy in Thailand.","author":[{"dropping-particle":"","family":"Reid","given":"Anthony","non-dropping-particle":"","parse-names":false,"suffix":""}],"container-title":"International Encyclopedia of the Social &amp; Behavioral Sciences: Second Edition","id":"ITEM-1","issued":{"date-parts":[["2015"]]},"title":"Historical Thought and Historiography: Southeast Asia","type":"chapter"},"uris":["http://www.mendeley.com/documents/?uuid=269a35be-3cf9-3a8c-be10-6133f0ba18e5"]}],"mendeley":{"formattedCitation":"[12]","plainTextFormattedCitation":"[12]","previouslyFormattedCitation":"[12]"},"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[12]</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This practice then demonstrates that historical evidence also needs to be described, deconstructed, and reanalyzed based on the influencing context</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{"citationItems":[{"id":"ITEM-1","itemData":{"DOI":"10.1515/9781474470919-062","author":[{"dropping-particle":"","family":"Derrida","given":"Jacques","non-dropping-particle":"","parse-names":false,"suffix":""}],"container-title":"Deconstruction: A Reader","id":"ITEM-1","issued":{"date-parts":[["2017"]]},"title":"'The deconstruction of actuality: An interview with Jacques Derrida'","type":"chapter"},"uris":["http://www.mendeley.com/documents/?uuid=efe6ebb2-415e-3a34-ae35-7ddd5f481188"]}],"mendeley":{"formattedCitation":"[13]","plainTextFormattedCitation":"[13]","previouslyFormattedCitation":"[13]"},"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[13]</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thereby becoming integrated parts of societal dynamics in the present day</w:t>
      </w:r>
      <w:r>
        <w:rPr>
          <w:rFonts w:asciiTheme="majorHAnsi" w:hAnsiTheme="majorHAnsi" w:cstheme="majorHAnsi"/>
          <w:sz w:val="20"/>
          <w:szCs w:val="20"/>
          <w:lang w:val="en-US"/>
        </w:rPr>
        <w:t>.</w:t>
      </w:r>
    </w:p>
    <w:p w14:paraId="4E97F9FD" w14:textId="77777777" w:rsidR="00395D1C" w:rsidRDefault="00395D1C" w:rsidP="00395D1C">
      <w:pPr>
        <w:ind w:firstLine="284"/>
        <w:jc w:val="both"/>
        <w:rPr>
          <w:rFonts w:asciiTheme="majorHAnsi" w:hAnsiTheme="majorHAnsi" w:cstheme="majorHAnsi"/>
          <w:sz w:val="20"/>
          <w:szCs w:val="20"/>
          <w:lang w:val="en-US"/>
        </w:rPr>
      </w:pPr>
    </w:p>
    <w:p w14:paraId="45D0AAA5" w14:textId="3D5CE976" w:rsidR="00395D1C" w:rsidRDefault="00395D1C" w:rsidP="00395D1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5C7233F2"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This article constitutes a study in </w:t>
      </w:r>
      <w:proofErr w:type="spellStart"/>
      <w:r w:rsidRPr="00395D1C">
        <w:rPr>
          <w:rFonts w:asciiTheme="majorHAnsi" w:hAnsiTheme="majorHAnsi" w:cstheme="majorHAnsi"/>
          <w:sz w:val="20"/>
          <w:szCs w:val="20"/>
          <w:lang w:val="en-US"/>
        </w:rPr>
        <w:t>archaeo</w:t>
      </w:r>
      <w:proofErr w:type="spellEnd"/>
      <w:r w:rsidRPr="00395D1C">
        <w:rPr>
          <w:rFonts w:asciiTheme="majorHAnsi" w:hAnsiTheme="majorHAnsi" w:cstheme="majorHAnsi"/>
          <w:sz w:val="20"/>
          <w:szCs w:val="20"/>
          <w:lang w:val="en-US"/>
        </w:rPr>
        <w:t xml:space="preserve">-history aiming to analyze remnants from the past as part of the processes, patterns, motifs, and symbols inherent in the spread of Islam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specifically the remnants in the form of sites, namely the Jere and </w:t>
      </w:r>
      <w:proofErr w:type="spellStart"/>
      <w:r w:rsidRPr="00395D1C">
        <w:rPr>
          <w:rFonts w:asciiTheme="majorHAnsi" w:hAnsiTheme="majorHAnsi" w:cstheme="majorHAnsi"/>
          <w:sz w:val="20"/>
          <w:szCs w:val="20"/>
          <w:lang w:val="en-US"/>
        </w:rPr>
        <w:t>Kapulo</w:t>
      </w:r>
      <w:proofErr w:type="spellEnd"/>
      <w:r w:rsidRPr="00395D1C">
        <w:rPr>
          <w:rFonts w:asciiTheme="majorHAnsi" w:hAnsiTheme="majorHAnsi" w:cstheme="majorHAnsi"/>
          <w:sz w:val="20"/>
          <w:szCs w:val="20"/>
          <w:lang w:val="en-US"/>
        </w:rPr>
        <w:t xml:space="preserve"> Sites. Historical methods, heuristics, criticism/verification, interpretation, and historiography [14], supported by an archaeological conceptual framework, are employed to interpret and explain the findings. Conceptually, the archaeological approach is understood as a series of procedures and techniques in excavation, documentation, analysis, and interpretation of the material remains of the past, artifacts produced by humans as civilizations in their time.</w:t>
      </w:r>
    </w:p>
    <w:p w14:paraId="243FBDDB"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One approach in archaeological studies is materiality, which seeks to highlight the primary urgency of artifacts and material remnants as objects of study and interpretation; this approach views physicality as objects analyzed to demonstrate human life in the past in creating civilizations. Civilizations that emerged in the past represent cultures, politics, and ideologies that evolved within society, with various aspects and dimensions influencing them. In this study, symbols also indicate the tendency of societal thinking and influence the resulting interpretation within the community's cultural context, shaping society's ideas and concepts about space </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{"citationItems":[{"id":"ITEM-1","itemData":{"DOI":"10.2991/assehr.k.220408.004","abstract":"North Bolaang Mongondow is one of the areas in North Sulawesi Province that has the potential for archaeological remains, especially those from the royal period. Historical data and oral traditions in the community contain information about the kingdoms that existed in this region in the past, namely the Bintauna Kingdom, Kaidipang Kingdom, and the Bolaang Itang Kingdom. Concerning strengthening the history of these kingdoms, it needs to be supported by relevant archaeological data. The archaeological method applied in the form of field data collection in the form of surveys and observations succeeded in identifying and mapping the distribution of archaeological sites related to the existence of the three kingdoms. These archaeological sites are scattered almost throughout the North Bolaang Mongondow area, in the form of ancient graves, king's palaces, old mosques, and former residential structures. Based on the results of analysis and interpretation, these sites verify the existence of the three kingdoms in Bolaang Mongondow. The distribution of the site covers coastal areas to inland and mountains. As for strengthening the chronological aspect, it is necessary to do a dating analysis on each of these sites.","author":[{"dropping-particle":"","family":"Asmunandar","given":"Asmunandar","non-dropping-particle":"","parse-names":false,"suffix":""},{"dropping-particle":"","family":"Mulyadi","given":"Yadi","non-dropping-particle":"","parse-names":false,"suffix":""},{"dropping-particle":"","family":"Rustamawat","given":"Rustamawat","non-dropping-particle":"","parse-names":false,"suffix":""},{"dropping-particle":"","family":"Purba","given":"Jhon Rivel","non-dropping-particle":"","parse-names":false,"suffix":""},{"dropping-particle":"","family":"Handoko","given":"Wuri","non-dropping-particle":"","parse-names":false,"suffix":""},{"dropping-particle":"","family":"Mokodongan","given":"Annita I.","non-dropping-particle":"","parse-names":false,"suffix":""},{"dropping-particle":"","family":"Pratama","given":"Henki Riko","non-dropping-particle":"","parse-names":false,"suffix":""},{"dropping-particle":"","family":"Akil","given":"Muh.","non-dropping-particle":"","parse-names":false,"suffix":""}],"container-title":"Proceedings of the 9th Asbam International Conference (Archeology, History, &amp; Culture In The Nature of Malay) (ASBAM 2021)","id":"ITEM-1","issued":{"date-parts":[["2022"]]},"title":"Potential and Distribution of Archaeological Sites in North Bolaang Mongondow Region, North Sulawesi Province","type":"paper-conference","volume":"660"},"uris":["http://www.mendeley.com/documents/?uuid=5861be41-4cb8-3318-ae38-ce764d5c30e5"]},{"id":"ITEM-2","itemData":{"DOI":"10.1093/pubmed/fdab152","ISSN":"17413850","abstract":"The SARS-CoV-2 (COVID-19) does not discriminate; it affects everyone regardless of beliefs, gender, nationality, skin color, and social class. A recent correspondence published in the Journal of Public Health proposed the 'collaboration of science and religion in COVID-19 vaccine promotion.' The said article was in response to a previously published correspondence, which proposed a multi-sectoral approach on coronavirus disease 2019 (COVID-19) vaccination hesitancy. This article further adds that science, religion and state are not mutually exclusive with each other. What this article, therefore, proposes is a multidimensional relationship of science, religion and state to promote the COVID-19 vaccine and other science-based findings to combat the public fear of the public on vaccine and virus.","author":[{"dropping-particle":"","family":"Corpuz","given":"Jeff Clyde G.","non-dropping-particle":"","parse-names":false,"suffix":""}],"container-title":"Journal of Public Health (United Kingdom)","id":"ITEM-2","issue":"3","issued":{"date-parts":[["2021"]]},"title":"Science, religion and state: A multidimensional perspective","type":"article-journal","volume":"43"},"uris":["http://www.mendeley.com/documents/?uuid=07f309c2-59d8-335d-bc1c-1873479ec362"]}],"mendeley":{"formattedCitation":"[11], [15]","plainTextFormattedCitation":"[11], [15]","previouslyFormattedCitation":"[11], [15]"},"properties":{"noteIndex":0},"schema":"https://github.com/citation-style-language/schema/raw/master/csl-citation.json"}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[11], [15]</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xml:space="preserve">. The Islamic archaeological approach in this study supports the analysis of findings, whether based on literature or artifact evidence. Islamic archaeology is understood as the study of ancient objects containing Islamic </w:t>
      </w:r>
      <w:r w:rsidRPr="00395D1C">
        <w:rPr>
          <w:rFonts w:asciiTheme="majorHAnsi" w:hAnsiTheme="majorHAnsi" w:cstheme="majorHAnsi"/>
          <w:sz w:val="20"/>
          <w:szCs w:val="20"/>
          <w:lang w:val="en-US"/>
        </w:rPr>
        <w:lastRenderedPageBreak/>
        <w:t xml:space="preserve">elements, used to reconstruct past societies. These Islamic elements are then reconstructed using Islamic studies as a connector of data and information, resulting in a new study intersecting with Islamic culture and heritage. This study also serves as a tentative discourse to demonstrate that these artifact remnants are part of Islamic archaeology or </w:t>
      </w:r>
      <w:proofErr w:type="spellStart"/>
      <w:r w:rsidRPr="00395D1C">
        <w:rPr>
          <w:rFonts w:asciiTheme="majorHAnsi" w:hAnsiTheme="majorHAnsi" w:cstheme="majorHAnsi"/>
          <w:sz w:val="20"/>
          <w:szCs w:val="20"/>
          <w:lang w:val="en-US"/>
        </w:rPr>
        <w:t>archaeo-Islamology</w:t>
      </w:r>
      <w:proofErr w:type="spellEnd"/>
      <w:r w:rsidRPr="00395D1C">
        <w:rPr>
          <w:rFonts w:asciiTheme="majorHAnsi" w:hAnsiTheme="majorHAnsi" w:cstheme="majorHAnsi"/>
          <w:sz w:val="20"/>
          <w:szCs w:val="20"/>
          <w:lang w:val="en-US"/>
        </w:rPr>
        <w:t xml:space="preserve"> </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{"citationItems":[{"id":"ITEM-1","itemData":{"author":[{"dropping-particle":"","family":"Uka Tjandrasasmita","given":"","non-dropping-particle":"","parse-names":false,"suffix":""}],"edition":"I","id":"ITEM-1","issued":{"date-parts":[["2009"]]},"number-of-pages":"370","publisher":"Kepustakaan Populer Gramedia bekerja sama dengan École française d'Extrême-Orient dan Fakultas Adab dan Humaniora UIN Syarif Hidayatullah","publisher-place":"Jakarta, Indonesia","title":"Arkeologi Islam Nusantara","type":"book"},"locator":"287","uris":["http://www.mendeley.com/documents/?uuid=c14c56a0-978d-467a-8bcb-eadc92ce9c06"]}],"mendeley":{"formattedCitation":"[16, p. 287]","plainTextFormattedCitation":"[16, p. 287]","previouslyFormattedCitation":"[16, p. 287]"},"properties":{"noteIndex":0},"schema":"https://github.com/citation-style-language/schema/raw/master/csl-citation.json"}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[16]</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w:t>
      </w:r>
    </w:p>
    <w:p w14:paraId="3C634676"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This study is qualitative, with inductive reasoning based on observations of objects described in the Jere and </w:t>
      </w:r>
      <w:proofErr w:type="spellStart"/>
      <w:r w:rsidRPr="00395D1C">
        <w:rPr>
          <w:rFonts w:asciiTheme="majorHAnsi" w:hAnsiTheme="majorHAnsi" w:cstheme="majorHAnsi"/>
          <w:sz w:val="20"/>
          <w:szCs w:val="20"/>
          <w:lang w:val="en-US"/>
        </w:rPr>
        <w:t>Kapulo</w:t>
      </w:r>
      <w:proofErr w:type="spellEnd"/>
      <w:r w:rsidRPr="00395D1C">
        <w:rPr>
          <w:rFonts w:asciiTheme="majorHAnsi" w:hAnsiTheme="majorHAnsi" w:cstheme="majorHAnsi"/>
          <w:sz w:val="20"/>
          <w:szCs w:val="20"/>
          <w:lang w:val="en-US"/>
        </w:rPr>
        <w:t xml:space="preserve"> Sites, particularly the understanding and interpretation of the chronological framework, forms, spatial elements, and relationships among various research variables </w:t>
      </w:r>
      <w:r w:rsidRPr="00395D1C">
        <w:rPr>
          <w:rFonts w:asciiTheme="majorHAnsi" w:hAnsiTheme="majorHAnsi" w:cstheme="majorHAnsi"/>
          <w:sz w:val="20"/>
          <w:szCs w:val="20"/>
          <w:lang w:val="en-US"/>
        </w:rPr>
        <w:fldChar w:fldCharType="begin" w:fldLock="1"/>
      </w:r>
      <w:r w:rsidRPr="00395D1C">
        <w:rPr>
          <w:rFonts w:asciiTheme="majorHAnsi" w:hAnsiTheme="majorHAnsi" w:cstheme="majorHAnsi"/>
          <w:sz w:val="20"/>
          <w:szCs w:val="20"/>
          <w:lang w:val="en-US"/>
        </w:rPr>
        <w:instrText>ADDIN CSL_CITATION {"citationItems":[{"id":"ITEM-1","itemData":{"abstract":"Studi ini menelusuri Inkulturasi dan Akulturasi Etnis Bolaang Mongondow, salah satu kelompok sosial di Sulawesi Utara. Elemen dari Inkulturasi yang diteliti terdiri dari Sejarah dan Konteks Sosial, sedangkan Elemen dari Akulturasi yang diteliti terdiri dari Sikap Orang Bolaang Mongondow kepada Keterbukaan dan Perubahan. Studi ini memperlihatkan bahwa etnik Bolaang Mongondow secara historis berasal dari latar belakang masyarakat tradisional yang memiliki kekayaan seni budaya yang kemudian oleh interaksi dan pengaruh dari masyarakat luar telah memiliki sikap terbuka terhadap orang luar dan perubahan. Dengan demikian studi ini akan memberikan kontribusi dan rangsangan bagi upaya-upaya pendekatan pelayanan dan pembangunan yang utuh, baik secara fisik, emosi dan spiritual serta kontekstual bagi etnis Bolaang Mongondow","author":[{"dropping-particle":"","family":"Mawikere","given":"Marde Christian Stenly","non-dropping-particle":"","parse-names":false,"suffix":""},{"dropping-particle":"","family":"Hura","given":"Sudiria","non-dropping-particle":"","parse-names":false,"suffix":""}],"container-title":"Jurnal Teologi Dan Pendidikan Kristen","id":"ITEM-1","issue":"1","issued":{"date-parts":[["2020"]]},"title":"Menelusuri Dinamika Inkulturasi dan Akulturasi Etnis Bolaang Mongondow di Sulawesi Utara","type":"article-journal","volume":"1"},"uris":["http://www.mendeley.com/documents/?uuid=b1dd85a9-248e-3ed1-80db-c78eefffffca"]}],"mendeley":{"formattedCitation":"[17]","plainTextFormattedCitation":"[17]","previouslyFormattedCitation":"[17]"},"properties":{"noteIndex":0},"schema":"https://github.com/citation-style-language/schema/raw/master/csl-citation.json"}</w:instrText>
      </w:r>
      <w:r w:rsidRPr="00395D1C">
        <w:rPr>
          <w:rFonts w:asciiTheme="majorHAnsi" w:hAnsiTheme="majorHAnsi" w:cstheme="majorHAnsi"/>
          <w:sz w:val="20"/>
          <w:szCs w:val="20"/>
          <w:lang w:val="en-US"/>
        </w:rPr>
        <w:fldChar w:fldCharType="separate"/>
      </w:r>
      <w:r w:rsidRPr="00395D1C">
        <w:rPr>
          <w:rFonts w:asciiTheme="majorHAnsi" w:hAnsiTheme="majorHAnsi" w:cstheme="majorHAnsi"/>
          <w:sz w:val="20"/>
          <w:szCs w:val="20"/>
          <w:lang w:val="en-US"/>
        </w:rPr>
        <w:t>[17]</w:t>
      </w:r>
      <w:r w:rsidRPr="00395D1C">
        <w:rPr>
          <w:rFonts w:asciiTheme="majorHAnsi" w:hAnsiTheme="majorHAnsi" w:cstheme="majorHAnsi"/>
          <w:sz w:val="20"/>
          <w:szCs w:val="20"/>
        </w:rPr>
        <w:fldChar w:fldCharType="end"/>
      </w:r>
      <w:r w:rsidRPr="00395D1C">
        <w:rPr>
          <w:rFonts w:asciiTheme="majorHAnsi" w:hAnsiTheme="majorHAnsi" w:cstheme="majorHAnsi"/>
          <w:sz w:val="20"/>
          <w:szCs w:val="20"/>
          <w:lang w:val="en-US"/>
        </w:rPr>
        <w:t xml:space="preserve">. The primary sources in the study are the remnants of sites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namely the Jere and </w:t>
      </w:r>
      <w:proofErr w:type="spellStart"/>
      <w:r w:rsidRPr="00395D1C">
        <w:rPr>
          <w:rFonts w:asciiTheme="majorHAnsi" w:hAnsiTheme="majorHAnsi" w:cstheme="majorHAnsi"/>
          <w:sz w:val="20"/>
          <w:szCs w:val="20"/>
          <w:lang w:val="en-US"/>
        </w:rPr>
        <w:t>Kapulo</w:t>
      </w:r>
      <w:proofErr w:type="spellEnd"/>
      <w:r w:rsidRPr="00395D1C">
        <w:rPr>
          <w:rFonts w:asciiTheme="majorHAnsi" w:hAnsiTheme="majorHAnsi" w:cstheme="majorHAnsi"/>
          <w:sz w:val="20"/>
          <w:szCs w:val="20"/>
          <w:lang w:val="en-US"/>
        </w:rPr>
        <w:t xml:space="preserve"> Sites located in the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Subdistrict, North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Regency. In addition to using material sources, this study also draws on various literary references, including colonial archives, books, and colonial newspapers, to discuss the conditions of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Mongodow</w:t>
      </w:r>
      <w:proofErr w:type="spellEnd"/>
      <w:r w:rsidRPr="00395D1C">
        <w:rPr>
          <w:rFonts w:asciiTheme="majorHAnsi" w:hAnsiTheme="majorHAnsi" w:cstheme="majorHAnsi"/>
          <w:sz w:val="20"/>
          <w:szCs w:val="20"/>
          <w:lang w:val="en-US"/>
        </w:rPr>
        <w:t xml:space="preserve"> in pre-Islamic times and after the acceptance of Islamic teachings. These colonial archives were obtained by accessing </w:t>
      </w:r>
      <w:hyperlink r:id="rId9" w:history="1">
        <w:r w:rsidRPr="00395D1C">
          <w:rPr>
            <w:rStyle w:val="Hyperlink"/>
            <w:rFonts w:asciiTheme="majorHAnsi" w:hAnsiTheme="majorHAnsi" w:cstheme="majorHAnsi"/>
            <w:color w:val="000000" w:themeColor="text1"/>
            <w:sz w:val="20"/>
            <w:szCs w:val="20"/>
            <w:u w:val="none"/>
            <w:lang w:val="en-US"/>
          </w:rPr>
          <w:t>www.delpher.nl</w:t>
        </w:r>
      </w:hyperlink>
      <w:r w:rsidRPr="00395D1C">
        <w:rPr>
          <w:rFonts w:asciiTheme="majorHAnsi" w:hAnsiTheme="majorHAnsi" w:cstheme="majorHAnsi"/>
          <w:sz w:val="20"/>
          <w:szCs w:val="20"/>
          <w:lang w:val="en-US"/>
        </w:rPr>
        <w:t xml:space="preserve"> and several archive copies obtained from the National Archives of the Republic of Indonesia, ANRI. Other sources were obtained from various government agencies and institutions, including Sam Ratulangi University, the ex-North Sulawesi Archaeological Library, and the National Library. The data obtained underwent criticism and verification, demonstrating the credibility of the information regarding the study objects. In this process, artifact studies serve as factual data used as a reference throughout the analysis and interpretation, up to the compilation of the findings.</w:t>
      </w:r>
    </w:p>
    <w:p w14:paraId="4792F6C8"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Thus, the interpretation of field data will indicate the historical tendencies and values of past cultures through the construction of narratives, artifact evidence, and the complexity of the social and cultural contexts of archaeological evidence itself. As a result, remnants, including sites, reflect social, political, and economic practices that influence the ideological views of their creators. Consequently, this article serves as a multidisciplinary Islamic study to reconstruct historical processes and religious conversions reflected in Islamic-related remnants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particularly in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This study also contributes to efforts to preserve Islamic culture in Indonesia, including the conservation of artifacts and other material objects. To enrich the description of these findings, anthropology plays a crucial role in showing the process of acculturation between Islamic and pre-Islamic cultures in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w:t>
      </w:r>
    </w:p>
    <w:p w14:paraId="6C122F4B"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Several previous studies of Islamic archaeological remains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are scarce, making it an interesting area for further research to enrich Indonesia's Islamic cultural heritage. These studies discuss Islamic civilization in socio-factual and </w:t>
      </w:r>
      <w:proofErr w:type="spellStart"/>
      <w:r w:rsidRPr="00395D1C">
        <w:rPr>
          <w:rFonts w:asciiTheme="majorHAnsi" w:hAnsiTheme="majorHAnsi" w:cstheme="majorHAnsi"/>
          <w:sz w:val="20"/>
          <w:szCs w:val="20"/>
          <w:lang w:val="en-US"/>
        </w:rPr>
        <w:t>manti</w:t>
      </w:r>
      <w:proofErr w:type="spellEnd"/>
      <w:r w:rsidRPr="00395D1C">
        <w:rPr>
          <w:rFonts w:asciiTheme="majorHAnsi" w:hAnsiTheme="majorHAnsi" w:cstheme="majorHAnsi"/>
          <w:sz w:val="20"/>
          <w:szCs w:val="20"/>
          <w:lang w:val="en-US"/>
        </w:rPr>
        <w:t xml:space="preserve">-factual contexts, using various interdisciplinary and multidisciplinary approaches. </w:t>
      </w:r>
      <w:proofErr w:type="spellStart"/>
      <w:r w:rsidRPr="00395D1C">
        <w:rPr>
          <w:rFonts w:asciiTheme="majorHAnsi" w:hAnsiTheme="majorHAnsi" w:cstheme="majorHAnsi"/>
          <w:sz w:val="20"/>
          <w:szCs w:val="20"/>
          <w:lang w:val="en-US"/>
        </w:rPr>
        <w:t>Tungkagi's</w:t>
      </w:r>
      <w:proofErr w:type="spellEnd"/>
      <w:r w:rsidRPr="00395D1C">
        <w:rPr>
          <w:rFonts w:asciiTheme="majorHAnsi" w:hAnsiTheme="majorHAnsi" w:cstheme="majorHAnsi"/>
          <w:sz w:val="20"/>
          <w:szCs w:val="20"/>
          <w:lang w:val="en-US"/>
        </w:rPr>
        <w:t xml:space="preserve"> study [8] discusses the process of Islamization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focusing on political perspectives. He uses the term "Religion of the King, Religion of the People" to emphasize that the Islamization process occurred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On the other hand, conflicts and confrontations between Islam and Christianity within it also provide insights, borrowing the term from </w:t>
      </w:r>
      <w:proofErr w:type="spellStart"/>
      <w:r w:rsidRPr="00395D1C">
        <w:rPr>
          <w:rFonts w:asciiTheme="majorHAnsi" w:hAnsiTheme="majorHAnsi" w:cstheme="majorHAnsi"/>
          <w:sz w:val="20"/>
          <w:szCs w:val="20"/>
          <w:lang w:val="en-US"/>
        </w:rPr>
        <w:t>Shrieke</w:t>
      </w:r>
      <w:proofErr w:type="spellEnd"/>
      <w:r w:rsidRPr="00395D1C">
        <w:rPr>
          <w:rFonts w:asciiTheme="majorHAnsi" w:hAnsiTheme="majorHAnsi" w:cstheme="majorHAnsi"/>
          <w:sz w:val="20"/>
          <w:szCs w:val="20"/>
          <w:lang w:val="en-US"/>
        </w:rPr>
        <w:t xml:space="preserve">, that Islamization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was caused by "race theory". Furthermore, Ariel C. Lopez's [18] describes in detail the process of religious conversion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The basic findings of his discussion emphasize the process of religious conversion among the 'elite' with various motivations, including political and economic ones. Interestingly, Lopez provides periodic explanations of religious conversion based on the prevailing situation and reasons at the time.</w:t>
      </w:r>
    </w:p>
    <w:p w14:paraId="10AD4BE2"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Kosel's work [23] provides the perspective that religious conversion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occurred intermittently. However, in the 19</w:t>
      </w:r>
      <w:r w:rsidRPr="00395D1C">
        <w:rPr>
          <w:rFonts w:asciiTheme="majorHAnsi" w:hAnsiTheme="majorHAnsi" w:cstheme="majorHAnsi"/>
          <w:sz w:val="20"/>
          <w:szCs w:val="20"/>
          <w:vertAlign w:val="superscript"/>
          <w:lang w:val="en-US"/>
        </w:rPr>
        <w:t>th</w:t>
      </w:r>
      <w:r w:rsidRPr="00395D1C">
        <w:rPr>
          <w:rFonts w:asciiTheme="majorHAnsi" w:hAnsiTheme="majorHAnsi" w:cstheme="majorHAnsi"/>
          <w:sz w:val="20"/>
          <w:szCs w:val="20"/>
          <w:lang w:val="en-US"/>
        </w:rPr>
        <w:t xml:space="preserve"> century, this process continued. Interestingly, Kosel presents this perception through the Weberian approach, arguing that conversion occurred through the systematization and codification of religious doctrines, leading to the formation of institutions that legitimize the acceptance of new ideologies. However, Kosel acknowledges that religious conversion can also occur for irrational reasons, even when it manifests in rational forms. This elaboration ultimately fosters communal thought among developing societies, enabling them to accept these new teachings.</w:t>
      </w:r>
    </w:p>
    <w:p w14:paraId="6344C57C"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Marzuki's study [9], which describes old tombstones in Manado, is an interesting piece of literature to include in this study. Furthermore, this study demonstrates the process of identifying tombstones by dating and morphology, showing that cultural acculturation occurred in the tombstone inscriptions at the </w:t>
      </w:r>
      <w:proofErr w:type="spellStart"/>
      <w:r w:rsidRPr="00395D1C">
        <w:rPr>
          <w:rFonts w:asciiTheme="majorHAnsi" w:hAnsiTheme="majorHAnsi" w:cstheme="majorHAnsi"/>
          <w:sz w:val="20"/>
          <w:szCs w:val="20"/>
          <w:lang w:val="en-US"/>
        </w:rPr>
        <w:t>Tuminting</w:t>
      </w:r>
      <w:proofErr w:type="spellEnd"/>
      <w:r w:rsidRPr="00395D1C">
        <w:rPr>
          <w:rFonts w:asciiTheme="majorHAnsi" w:hAnsiTheme="majorHAnsi" w:cstheme="majorHAnsi"/>
          <w:sz w:val="20"/>
          <w:szCs w:val="20"/>
          <w:lang w:val="en-US"/>
        </w:rPr>
        <w:t xml:space="preserve"> tombstone complex.</w:t>
      </w:r>
    </w:p>
    <w:p w14:paraId="60592293" w14:textId="77777777" w:rsidR="00395D1C" w:rsidRP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Specific discussion of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archaeological remnants is found in </w:t>
      </w:r>
      <w:proofErr w:type="spellStart"/>
      <w:r w:rsidRPr="00395D1C">
        <w:rPr>
          <w:rFonts w:asciiTheme="majorHAnsi" w:hAnsiTheme="majorHAnsi" w:cstheme="majorHAnsi"/>
          <w:sz w:val="20"/>
          <w:szCs w:val="20"/>
          <w:lang w:val="en-US"/>
        </w:rPr>
        <w:t>Mawikere</w:t>
      </w:r>
      <w:proofErr w:type="spellEnd"/>
      <w:r w:rsidRPr="00395D1C">
        <w:rPr>
          <w:rFonts w:asciiTheme="majorHAnsi" w:hAnsiTheme="majorHAnsi" w:cstheme="majorHAnsi"/>
          <w:sz w:val="20"/>
          <w:szCs w:val="20"/>
          <w:lang w:val="en-US"/>
        </w:rPr>
        <w:t xml:space="preserve"> &amp; Hura's study [17], which briefly discusses the results of the archaeological survey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This discussion is relatively general, discussing archaeological remnants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in various forms, including sites and artifacts.</w:t>
      </w:r>
    </w:p>
    <w:p w14:paraId="03E5E197" w14:textId="77777777" w:rsidR="00395D1C" w:rsidRDefault="00395D1C" w:rsidP="00395D1C">
      <w:pPr>
        <w:ind w:firstLine="284"/>
        <w:jc w:val="both"/>
        <w:rPr>
          <w:rFonts w:asciiTheme="majorHAnsi" w:hAnsiTheme="majorHAnsi" w:cstheme="majorHAnsi"/>
          <w:sz w:val="20"/>
          <w:szCs w:val="20"/>
          <w:lang w:val="en-US"/>
        </w:rPr>
      </w:pPr>
      <w:r w:rsidRPr="00395D1C">
        <w:rPr>
          <w:rFonts w:asciiTheme="majorHAnsi" w:hAnsiTheme="majorHAnsi" w:cstheme="majorHAnsi"/>
          <w:sz w:val="20"/>
          <w:szCs w:val="20"/>
          <w:lang w:val="en-US"/>
        </w:rPr>
        <w:t xml:space="preserve">Thus, several of the literature above have not yet discussed Archaeology-Islam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xml:space="preserve">, especially in </w:t>
      </w:r>
      <w:proofErr w:type="spellStart"/>
      <w:r w:rsidRPr="00395D1C">
        <w:rPr>
          <w:rFonts w:asciiTheme="majorHAnsi" w:hAnsiTheme="majorHAnsi" w:cstheme="majorHAnsi"/>
          <w:sz w:val="20"/>
          <w:szCs w:val="20"/>
          <w:lang w:val="en-US"/>
        </w:rPr>
        <w:t>Kaidipang</w:t>
      </w:r>
      <w:proofErr w:type="spellEnd"/>
      <w:r w:rsidRPr="00395D1C">
        <w:rPr>
          <w:rFonts w:asciiTheme="majorHAnsi" w:hAnsiTheme="majorHAnsi" w:cstheme="majorHAnsi"/>
          <w:sz w:val="20"/>
          <w:szCs w:val="20"/>
          <w:lang w:val="en-US"/>
        </w:rPr>
        <w:t xml:space="preserve">, making this study considered able to provide academic contributions and enrich the heritage of Islamic civilization. This study serves as a complementary part to several studies discussing Islamization in </w:t>
      </w:r>
      <w:proofErr w:type="spellStart"/>
      <w:r w:rsidRPr="00395D1C">
        <w:rPr>
          <w:rFonts w:asciiTheme="majorHAnsi" w:hAnsiTheme="majorHAnsi" w:cstheme="majorHAnsi"/>
          <w:sz w:val="20"/>
          <w:szCs w:val="20"/>
          <w:lang w:val="en-US"/>
        </w:rPr>
        <w:t>Bolaang</w:t>
      </w:r>
      <w:proofErr w:type="spellEnd"/>
      <w:r w:rsidRPr="00395D1C">
        <w:rPr>
          <w:rFonts w:asciiTheme="majorHAnsi" w:hAnsiTheme="majorHAnsi" w:cstheme="majorHAnsi"/>
          <w:sz w:val="20"/>
          <w:szCs w:val="20"/>
          <w:lang w:val="en-US"/>
        </w:rPr>
        <w:t xml:space="preserve"> </w:t>
      </w:r>
      <w:proofErr w:type="spellStart"/>
      <w:r w:rsidRPr="00395D1C">
        <w:rPr>
          <w:rFonts w:asciiTheme="majorHAnsi" w:hAnsiTheme="majorHAnsi" w:cstheme="majorHAnsi"/>
          <w:sz w:val="20"/>
          <w:szCs w:val="20"/>
          <w:lang w:val="en-US"/>
        </w:rPr>
        <w:t>Mongondow</w:t>
      </w:r>
      <w:proofErr w:type="spellEnd"/>
      <w:r w:rsidRPr="00395D1C">
        <w:rPr>
          <w:rFonts w:asciiTheme="majorHAnsi" w:hAnsiTheme="majorHAnsi" w:cstheme="majorHAnsi"/>
          <w:sz w:val="20"/>
          <w:szCs w:val="20"/>
          <w:lang w:val="en-US"/>
        </w:rPr>
        <w:t>, which specifically focus on the discourse of Archaeology-Islam.</w:t>
      </w:r>
    </w:p>
    <w:p w14:paraId="56A28A95" w14:textId="77777777" w:rsidR="00B46F29" w:rsidRDefault="00B46F29" w:rsidP="00395D1C">
      <w:pPr>
        <w:ind w:firstLine="284"/>
        <w:jc w:val="both"/>
        <w:rPr>
          <w:rFonts w:asciiTheme="majorHAnsi" w:hAnsiTheme="majorHAnsi" w:cstheme="majorHAnsi"/>
          <w:sz w:val="20"/>
          <w:szCs w:val="20"/>
          <w:lang w:val="en-US"/>
        </w:rPr>
      </w:pPr>
    </w:p>
    <w:p w14:paraId="59809B40" w14:textId="77777777" w:rsidR="00395D1C" w:rsidRDefault="00395D1C" w:rsidP="00395D1C">
      <w:pPr>
        <w:ind w:firstLine="284"/>
        <w:jc w:val="both"/>
        <w:rPr>
          <w:rFonts w:asciiTheme="majorHAnsi" w:hAnsiTheme="majorHAnsi" w:cstheme="majorHAnsi"/>
          <w:sz w:val="20"/>
          <w:szCs w:val="20"/>
          <w:lang w:val="en-US"/>
        </w:rPr>
      </w:pPr>
    </w:p>
    <w:p w14:paraId="5BC17048" w14:textId="7F82739B" w:rsidR="00395D1C" w:rsidRDefault="00395D1C" w:rsidP="00395D1C">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lastRenderedPageBreak/>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26FD6A53" w14:textId="2EFD8DB9" w:rsidR="00395D1C" w:rsidRDefault="00395D1C" w:rsidP="00395D1C">
      <w:pPr>
        <w:pStyle w:val="ListParagraph"/>
        <w:numPr>
          <w:ilvl w:val="1"/>
          <w:numId w:val="2"/>
        </w:numPr>
        <w:ind w:left="567" w:hanging="284"/>
        <w:jc w:val="both"/>
        <w:rPr>
          <w:rFonts w:asciiTheme="minorHAnsi" w:hAnsiTheme="minorHAnsi" w:cstheme="minorHAnsi"/>
          <w:b/>
          <w:bCs/>
          <w:sz w:val="18"/>
          <w:szCs w:val="18"/>
        </w:rPr>
      </w:pPr>
      <w:r w:rsidRPr="00395D1C">
        <w:rPr>
          <w:rFonts w:asciiTheme="minorHAnsi" w:hAnsiTheme="minorHAnsi" w:cstheme="minorHAnsi"/>
          <w:b/>
          <w:bCs/>
          <w:sz w:val="18"/>
          <w:szCs w:val="18"/>
          <w:lang w:val="id-ID"/>
        </w:rPr>
        <w:t>BOLAANG-MONGONDOW: DYNAMICS OF ISLAMIZATION AND POLITICAL CONTEXT</w:t>
      </w:r>
    </w:p>
    <w:p w14:paraId="58573EEB"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The history of the Nusantara archipelago has sparked numerous debates and discussions in the academic world. These discourses are not only focused on the establishment of a nation-state but also address more specific issues, such as the process of Islamization and the formation of heterogeneous and complex societies</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{"citationItems":[{"id":"ITEM-1","itemData":{"DOI":"10.15408/sdi.v1i3.848","ISSN":"23556145","author":[{"dropping-particle":"","family":"Abdullah","given":"Taufik","non-dropping-particle":"","parse-names":false,"suffix":""}],"container-title":"Studia Islamika","id":"ITEM-1","issue":"3","issued":{"date-parts":[["1994"]]},"title":"History, political images and cultural encounter the Dutch in the Indonesian archipelago","type":"article","volume":"1"},"uris":["http://www.mendeley.com/documents/?uuid=7f4f9d89-d506-3652-9867-ff3f1fa30af6"]}],"mendeley":{"formattedCitation":"[18]","plainTextFormattedCitation":"[18]","previouslyFormattedCitation":"[18]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[19]</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The complexity of these values can be traced through processes and axes that influence their growth and development, thereby forming various dimensions that constitute the Nusantara civilization heritage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{"citationItems":[{"id":"ITEM-1","itemData":{"DOI":"10.2307/2753005","ISSN":"0030851X","author":[{"dropping-particle":"","family":"Palmier","given":"Leslie H.","non-dropping-particle":"","parse-names":false,"suffix":""},{"dropping-particle":"","family":"Vlekke","given":"Bernard H. M.","non-dropping-particle":"","parse-names":false,"suffix":""}],"container-title":"Pacific Affairs","id":"ITEM-1","issue":"2","issued":{"date-parts":[["1961"]]},"title":"Nusantara: A History of Indonesia.","type":"article-journal","volume":"34"},"uris":["http://www.mendeley.com/documents/?uuid=6a7ac6e6-bd70-3d02-b2be-c6695695dd43"]}],"mendeley":{"formattedCitation":"[19]","plainTextFormattedCitation":"[19]","previouslyFormattedCitation":"[19]"},"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[20]</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w:t>
      </w:r>
    </w:p>
    <w:p w14:paraId="26159D82"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Among the discourses that have recently come into discussion is the presence of Islam across various regions of the Nusantara archipelago. Some regions that have been influenced by Islam are coastal areas that are part of the Islamization route in the Nusantara. Coastal areas are not only interpreted as coastal areas but also as front-line regions in receiving civilization influences from outside through maritime and trading networks. This context reinforces that trading networks can influence the development of ideological communities in coastal areas. This case describes how trading networks formed in the Indian Ocean region and influenced several surrounding areas, including the Nusantara</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{"citationItems":[{"id":"ITEM-1","itemData":{"DOI":"10.1353/jwh.2005.0073","ISBN":"9780813389110","ISSN":"0030851X","abstract":"The intersection of Islamic history and Indian Ocean history is vast but inadequately explored. It is essential to understanding how and why Islam influenced Asia and to determining the extent to which maritime success affected the mostly land-based Muslim political powers. This area of research has elicited a lively debate involving scholars as diverse as William McNeill, K. N. Chaudhuri, Niels Steensgaard, Philip Curtin, and Janet Abu-Lughod. Merchants and Faith provides an insightful overview of this debate and addresses the major questions raised by it: What were the relationships between littoral Asia and land-based empires? How can we best explain the role played by West Europeans? What difference did it make to be a Muslim merchant? Other considerations are the production roles of China and Hindu India and the nature of the Asian trade revolution.General histories of Islamic Asia seldom draw upon the rich literature on the Indian Ocean region; Indian Ocean studies are often couched in the technical jargon of economic theories and are occasionally marred by ideological bias. To make all of this literature more accessible to a general audience and to students, Merchants and Faith distills the results and implications of this research and connects them to the well-established features of Islamic political history.","author":[{"dropping-particle":"","family":"Wink","given":"Andre","non-dropping-particle":"","parse-names":false,"suffix":""}],"container-title":"Pacific Affairs","id":"ITEM-1","issue":"2","issued":{"date-parts":[["1996"]]},"page":"254","title":"Merchants and Faith: Muslim Commerce and Culture in the Indian Ocean","type":"article-journal","volume":"69"},"uris":["http://www.mendeley.com/documents/?uuid=6dbd99fb-fbed-4810-8d99-60ecc9945597"]}],"mendeley":{"formattedCitation":"[20]","plainTextFormattedCitation":"[20]","previouslyFormattedCitation":"[20]"},"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[21]</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Furthermore, maritime trade not only implies the emergence of trader groups but also the development of communities bound by ideological networks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{"citationItems":[{"id":"ITEM-1","itemData":{"DOI":"10.2307/j.ctv9zckps","abstract":"This book brings something new in both dimension and detail to our understanding of Southeast Asia from the first to the fourteenth centuries. It puts Southeast Asia in the context of the international trade that stretched from Rome to China and draws upon a wide range of recent scholarship in history and the social sciences to redefine the role that this trade played in the evolution of the classical states of Southeast Asia. By examining the sources of Southeast Asia's classical era with the tools of modern economic history, the author shows that well-developed socioeconomic and political networks existed in Southeast Asia before significant foreign economic penetration took place. With the growth of interest in Southeast Asian commodities and the refocusing of the major East-West commercial routes through the region during the early centuries of the Christian era, internal conditions within Southeast Asia adjusted to accommodate increased external contacts. Hall takes the view that Southeast Asia's response to international trade was a reflection of preexisting patterns of trade and statecraft. In the forty years since Coede's monumental work The Indianized States of Southeast Asia was published, a great deal of archaeological and epigraphical work has been done and new interpretations advanced. By integrating new theoretical constructs, recent archaeological finds and interpretations, and his own informed reading and research, Kenneth R. Hall puts his historical narrative on a large canvas and treats areas not previously brought together for discussion along comparative lines. Like Coedes' work, his book will be important as a basic text for the teaching of early Southeast Asian history.","author":[{"dropping-particle":"","family":"Hall","given":"Kenneth R.","non-dropping-particle":"","parse-names":false,"suffix":""}],"container-title":"Maritime Trade and State Development in Early Southeast Asia","id":"ITEM-1","issued":{"date-parts":[["2019"]]},"title":"Maritime Trade and State Development in Early Southeast Asia","type":"book"},"uris":["http://www.mendeley.com/documents/?uuid=83765573-3edc-38e7-b3c7-7757ea076344"]},{"id":"ITEM-2","itemData":{"DOI":"10.36424/jpsb.v5i1.14","ISSN":"2502-6798","abstract":"Islamisasi yang terjadi di Nusantara pada abad ke-19  tidak terlepas dari peran dan pengaruh para pedagang sekaligus ulama dari Timur Tengah yang membawa ajaran Islam. Proses Islamisasi dan konversi agama membutuhkan waktu dan proses panjang, hingga sampai  diterima oleh masyarakat setempat. Penerimaan ajaran Islam dilakukan melalui beberapa saluran, terutama dalam jaringan perdagangan. Kawasan Laut Sulawesi, sebagai entrepot, merupakan salah satu jalur Islamisasi karena perkembangan perdagangan rempah-rempah  di Maluku sebagai wilayah penghasil rempah-rempah.Tulisan ini bertujuan mengungkap proses Islamisasi di sekitar Kawasan Laut Sulawesi pada abad XIX.Tulisan ini merupakan tulisan sejarah, dengan menggunakan metode sejarah; heuristik, kritik, interpretasi, dan historiografi yang bersifat analisis-kualitatif dan mampu menunjukkan satu rangkaian proses Islamisasi yang terjadi di Nusantara sekitar abad XIX. Hasil kajian ini menunjukkan bahwa pengaruh Islam diawali dari proses perdagangan, di kawasan Laut Sulawesi, bagi pedagang yang menghubungkan ke Maluku sebagai satu pola Islamisasi, sehingga di masa berikutnya komunitas Muslim mampu menciptakan Moslemen clave di Semenanjung Laut Sulawesi.","author":[{"dropping-particle":"","family":"Ichsan Azis","given":"Muhammad Nur","non-dropping-particle":"","parse-names":false,"suffix":""}],"container-title":"JURNAL PENELITIAN SEJARAH DAN BUDAYA","id":"ITEM-2","issue":"1","issued":{"date-parts":[["2019"]]},"title":"ISLAMISASI DI KAWASAN LAUT SULAWESI PADA ABAD KE-19","type":"article-journal","volume":"5"},"uris":["http://www.mendeley.com/documents/?uuid=e76a06bd-7403-3ac0-ab33-09acebd920d8"]}],"mendeley":{"formattedCitation":"[10], [21]","plainTextFormattedCitation":"[10], [21]","previouslyFormattedCitation":"[10], [21]"},"properties":{"noteIndex":0},"schema":"https://github.com/citation-style-language/schema/raw/master/csl-citation.json"}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[10], [22]</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w:t>
      </w:r>
    </w:p>
    <w:p w14:paraId="2648396D"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In the case of the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region, ideological influences followed the trade network route connecting Malacca and the Maluku Islands as spice producers</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{"citationItems":[{"id":"ITEM-1","itemData":{"DOI":"10.1080/13639811003665397","ISSN":"13639811","abstract":"This article describes the spread of Islam in the Bolaang Mongondow region of the province of North Sulawesi and shows that religious conversion was an intermittent if ongoing process. It is characterised by changes very much along the lines of religious rationalisation in the Weberian sense including systematisation and codification of doctrine, building of formal institutions, professionalisation of the clergy and a universalistic claim to truth transcending ethnic and national boundaries. The emphasis on aspects of rationalisation also serves to shed more light on processes that run in the opposite direction since rationalisation of Islam facilitated the carving out of an increasingly separate sphere of popular beliefs and practices. I will refer to this sphere as folk beliefs in contrast to rationalised scriptural religions (in this case Islam) and the traditional local religion of Bolaang Mongondow, because folk beliefs include elements and adaptations of both religions but in markedly derationalised form. © 2010 Editors.","author":[{"dropping-particle":"","family":"Kosel","given":"Sven","non-dropping-particle":"","parse-names":false,"suffix":""}],"container-title":"Indonesia and the Malay World","id":"ITEM-1","issue":"110","issued":{"date-parts":[["2010"]]},"title":"The History of islam in bolaang mongondow, North Sulawesi: Rationalisation and derationalisation of religion","type":"article-journal","volume":"38"},"uris":["http://www.mendeley.com/documents/?uuid=fbdbb4b3-e907-3eb3-b4a1-d651fb02f4d7"]}],"mendeley":{"formattedCitation":"[22]","plainTextFormattedCitation":"[22]","previouslyFormattedCitation":"[22]"},"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[23]</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This development was utilized by the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community residing in coastal areas such as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on the northern coast of the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mainland, or south of the Sulawesi Sea. The community utilized this area as a trading port or simply a transit port for sailor-traders. In this network [24], [25], the map below provides reinforcing evidence that the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region is a strategic area for encounters between immigrant communities and residents, especially after the 16th century, when commodity exchange activities increased. However,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is not a region that can stand alone but is also supported by several regions that act as links between Malacca and the Maluku Islands</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eastAsia="Times New Roman" w:hAnsiTheme="majorHAnsi" w:cstheme="majorHAnsi"/>
          <w:sz w:val="20"/>
          <w:szCs w:val="20"/>
          <w:lang w:val="en-US" w:eastAsia="ko-KR"/>
        </w:rPr>
        <w:softHyphen/>
        <w:instrText>tured in the bureaucracy of the royal government (top down). This paper is a historical writing, using the historical method; heuristics, cri</w:instrText>
      </w:r>
      <w:r w:rsidRPr="00395D1C">
        <w:rPr>
          <w:rFonts w:asciiTheme="majorHAnsi" w:eastAsia="Times New Roman" w:hAnsiTheme="majorHAnsi" w:cstheme="majorHAnsi"/>
          <w:sz w:val="20"/>
          <w:szCs w:val="20"/>
          <w:lang w:val="en-US" w:eastAsia="ko-KR"/>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eastAsia="Times New Roman" w:hAnsiTheme="majorHAnsi" w:cstheme="majorHAnsi"/>
          <w:sz w:val="20"/>
          <w:szCs w:val="20"/>
          <w:lang w:val="en-US" w:eastAsia="ko-KR"/>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eastAsia="Times New Roman" w:hAnsiTheme="majorHAnsi" w:cstheme="majorHAnsi"/>
          <w:sz w:val="20"/>
          <w:szCs w:val="20"/>
          <w:lang w:val="en-US" w:eastAsia="ko-KR"/>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eastAsia="Times New Roman" w:hAnsiTheme="majorHAnsi" w:cstheme="majorHAnsi"/>
          <w:sz w:val="20"/>
          <w:szCs w:val="20"/>
          <w:lang w:val="en-US" w:eastAsia="ko-KR"/>
        </w:rPr>
        <w:softHyphen/>
        <w:instrText>nya Islam. Dinamika Islamisasi di Bolaang Mongondow Utara yang pen</w:instrText>
      </w:r>
      <w:r w:rsidRPr="00395D1C">
        <w:rPr>
          <w:rFonts w:asciiTheme="majorHAnsi" w:eastAsia="Times New Roman" w:hAnsiTheme="majorHAnsi" w:cstheme="majorHAnsi"/>
          <w:sz w:val="20"/>
          <w:szCs w:val="20"/>
          <w:lang w:val="en-US" w:eastAsia="ko-KR"/>
        </w:rPr>
        <w:softHyphen/>
        <w:instrText>ting dicatat diantaranya: pada mulanya Islamisasi di wilayah Bolaang Mongondow Utara melalui j…","author":[{"dropping-particle":"","family":"Tungkagi","given":"Donald Qomaidiansyah","non-dropping-particle":"","parse-names":false,"suffix":""}],"container-title":"Jurnal Lektur Keagamaan","id":"ITEM-1","issue":"2","issued":{"date-parts":[["2020"]]},"title":"Islam di Bolaang Mongondow Utara, Sulawesi Utara: Dinamika Islamisasi di Kerajaan Kaidipang Besar dan Bintauna Abad ke-7-19 M","type":"article-journal","volume":"17"},"uris":["http://www.mendeley.com/documents/?uuid=856c546c-837e-3c80-ad66-07afa4b2559e"]}],"mendeley":{"formattedCitation":"[8]","plainTextFormattedCitation":"[8]","previouslyFormattedCitation":"[8]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[8]</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w:t>
      </w:r>
    </w:p>
    <w:p w14:paraId="3BCFE317"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nobility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Mogondow</w:t>
      </w:r>
      <w:proofErr w:type="spellEnd"/>
      <w:r w:rsidRPr="00395D1C">
        <w:rPr>
          <w:rFonts w:asciiTheme="majorHAnsi" w:eastAsia="Times New Roman" w:hAnsiTheme="majorHAnsi" w:cstheme="majorHAnsi"/>
          <w:sz w:val="20"/>
          <w:szCs w:val="20"/>
          <w:lang w:val="en-US" w:eastAsia="ko-KR"/>
        </w:rPr>
        <w:t xml:space="preserve"> sought to expand their networks and relations, not only focusing on political power but also on marriage relations. The nobility and political elite forged relationships through marriage, as seen in the union of Princess Sarah, the daughter of King Cornelis Manoppo, with an Arab merchant named </w:t>
      </w:r>
      <w:proofErr w:type="spellStart"/>
      <w:r w:rsidRPr="00395D1C">
        <w:rPr>
          <w:rFonts w:asciiTheme="majorHAnsi" w:eastAsia="Times New Roman" w:hAnsiTheme="majorHAnsi" w:cstheme="majorHAnsi"/>
          <w:sz w:val="20"/>
          <w:szCs w:val="20"/>
          <w:lang w:val="en-US" w:eastAsia="ko-KR"/>
        </w:rPr>
        <w:t>Syarif</w:t>
      </w:r>
      <w:proofErr w:type="spellEnd"/>
      <w:r w:rsidRPr="00395D1C">
        <w:rPr>
          <w:rFonts w:asciiTheme="majorHAnsi" w:eastAsia="Times New Roman" w:hAnsiTheme="majorHAnsi" w:cstheme="majorHAnsi"/>
          <w:sz w:val="20"/>
          <w:szCs w:val="20"/>
          <w:lang w:val="en-US" w:eastAsia="ko-KR"/>
        </w:rPr>
        <w:t xml:space="preserve"> Aluwi. This network had implications for trade and politics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as it appointed his son-in-law, </w:t>
      </w:r>
      <w:proofErr w:type="spellStart"/>
      <w:r w:rsidRPr="00395D1C">
        <w:rPr>
          <w:rFonts w:asciiTheme="majorHAnsi" w:eastAsia="Times New Roman" w:hAnsiTheme="majorHAnsi" w:cstheme="majorHAnsi"/>
          <w:sz w:val="20"/>
          <w:szCs w:val="20"/>
          <w:lang w:val="en-US" w:eastAsia="ko-KR"/>
        </w:rPr>
        <w:t>Syarif</w:t>
      </w:r>
      <w:proofErr w:type="spellEnd"/>
      <w:r w:rsidRPr="00395D1C">
        <w:rPr>
          <w:rFonts w:asciiTheme="majorHAnsi" w:eastAsia="Times New Roman" w:hAnsiTheme="majorHAnsi" w:cstheme="majorHAnsi"/>
          <w:sz w:val="20"/>
          <w:szCs w:val="20"/>
          <w:lang w:val="en-US" w:eastAsia="ko-KR"/>
        </w:rPr>
        <w:t xml:space="preserve"> Aluwi, as his successor in the government position the following year. On the other hand, this business network also extended to Singapore, attracting rulers from other areas, such as the rulers of Siau and Passi, who were interested in strengthening trade and political relations with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Mongondow</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{"citationItems":[{"id":"ITEM-1","itemData":{"abstract":"Gerakan Tarekat merupakan isu yang berkembang di Nusantara pada masa-masa awal penyebaran Islam, terutama abad ke-14 M. Perkembangan gerakan ini tidak lepas dari banyaknya penyebar ajaran Islam yang melihat bahwa masyarakat Nusantara memiliki keunikan khusus dalam mempraktikkan kehidupan beragama. Pada akhir abad ke-19 hingga awal abad ke-20 gerakan tarekat menjadi salah satu altrenatif masyarakat Muslim untuk dapat terus eksis. Tulisan ini menggunakan metode sejarah: heuristik, kritik, interpretasi, dan historiografi. Hasil dari kajian ini dtemukan bahwa gerakan tarekat yang berkembang di Sulawesi Tengah membentuk jejaring, baik melalui relasi guru-murid, atau bahkan jejaring niaga. Mereka juga mengembangkan cara berfikirnya melalui gerakan-gerakan keagamaan yang mudah diterima di tengah masyarakat. Tidak hanya melalui afiliasi dan gerakan politik, namun juga pada ranah pendidikan. Di Sulawesi Tengah jaringan tarekat berkembang melalui relasi pendidikan atau hubungan guru-murid yang mendalami ajaran Islam hingga sampai ke Haramayn. Selain itu, mereka juga menanamkan ajaran pemikiran yang tetap melihat konteks masyarakat Muslim di daerah tersebut.","author":[{"dropping-particle":"","family":"Azis","given":"Muhammad Nur Ichsan","non-dropping-particle":"","parse-names":false,"suffix":""}],"container-title":"Jurnal El-Tarikh, Journal of History, Culutre and Civilization","id":"ITEM-1","issue":"1","issued":{"date-parts":[["2021"]]},"title":"Jaringan Tarekat: Pemikiran dan Gerakan Keagamaan Di Sulawesi Tengah Abad XIX-XX M","type":"article-journal","volume":"2"},"uris":["http://www.mendeley.com/documents/?uuid=c37bb896-8ec0-3edb-bd7d-73a71c6de128"]}],"mendeley":{"formattedCitation":"[25]","plainTextFormattedCitation":"[25]","previouslyFormattedCitation":"[25]"},"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[26]</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{"citationItems":[{"id":"ITEM-1","itemData":{"author":[{"dropping-particle":"","family":"J.G.F. Riedel","given":"","non-dropping-particle":"","parse-names":false,"suffix":""}],"container-title":"Tijdschrift voor Indische Taal-, Land- en Volkenkunde","id":"ITEM-1","issued":{"date-parts":[["1864"]]},"page":"266-284","title":"Het landschap Bolaäng-Mongondow","type":"article-journal"},"uris":["http://www.mendeley.com/documents/?uuid=abe9adf5-b024-420a-bf37-e9baf5a19bfd"]}],"mendeley":{"formattedCitation":"[26]","plainTextFormattedCitation":"[26]","previouslyFormattedCitation":"[26]"},"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[27]</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w:t>
      </w:r>
    </w:p>
    <w:p w14:paraId="3147B0B0"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In a broader context,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becomes a region connected to Ternate, where the main currents are maritime and general trading networks that demonstrate the interconnectedness of society, ideology, local power, and the emergence of religious communities in the area. Merchant groups such as Malays, Arabs, </w:t>
      </w:r>
      <w:proofErr w:type="spellStart"/>
      <w:r w:rsidRPr="00395D1C">
        <w:rPr>
          <w:rFonts w:asciiTheme="majorHAnsi" w:eastAsia="Times New Roman" w:hAnsiTheme="majorHAnsi" w:cstheme="majorHAnsi"/>
          <w:sz w:val="20"/>
          <w:szCs w:val="20"/>
          <w:lang w:val="en-US" w:eastAsia="ko-KR"/>
        </w:rPr>
        <w:t>Makassars</w:t>
      </w:r>
      <w:proofErr w:type="spellEnd"/>
      <w:r w:rsidRPr="00395D1C">
        <w:rPr>
          <w:rFonts w:asciiTheme="majorHAnsi" w:eastAsia="Times New Roman" w:hAnsiTheme="majorHAnsi" w:cstheme="majorHAnsi"/>
          <w:sz w:val="20"/>
          <w:szCs w:val="20"/>
          <w:lang w:val="en-US" w:eastAsia="ko-KR"/>
        </w:rPr>
        <w:t xml:space="preserve">, Bugis, Mandars, and even </w:t>
      </w:r>
      <w:proofErr w:type="spellStart"/>
      <w:r w:rsidRPr="00395D1C">
        <w:rPr>
          <w:rFonts w:asciiTheme="majorHAnsi" w:eastAsia="Times New Roman" w:hAnsiTheme="majorHAnsi" w:cstheme="majorHAnsi"/>
          <w:sz w:val="20"/>
          <w:szCs w:val="20"/>
          <w:lang w:val="en-US" w:eastAsia="ko-KR"/>
        </w:rPr>
        <w:t>Ternateans</w:t>
      </w:r>
      <w:proofErr w:type="spellEnd"/>
      <w:r w:rsidRPr="00395D1C">
        <w:rPr>
          <w:rFonts w:asciiTheme="majorHAnsi" w:eastAsia="Times New Roman" w:hAnsiTheme="majorHAnsi" w:cstheme="majorHAnsi"/>
          <w:sz w:val="20"/>
          <w:szCs w:val="20"/>
          <w:lang w:val="en-US" w:eastAsia="ko-KR"/>
        </w:rPr>
        <w:t xml:space="preserve"> are connected to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through their arrival, presence, development, influence, and the acceptance and institutionalization processes that occurred within the community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{"citationItems":[{"id":"ITEM-1","itemData":{"abstract":"Lombard Dennis, 2005, Nusa Jawa: Silang Budaya, Warisan Kerajaan-Kerajaan konsentris, Buku 3, Gramedia Pustaka Utama, Jakarta.","author":[{"dropping-particle":"","family":"Lombard","given":"Denys","non-dropping-particle":"","parse-names":false,"suffix":""}],"container-title":"Le Carrefour Javanais","id":"ITEM-1","issued":{"date-parts":[["2008"]]},"title":"Nusa Jawa: Silang Budaya Bagian II (Jaringan Asia)","type":"article"},"uris":["http://www.mendeley.com/documents/?uuid=e986885d-f54b-3e00-8e4c-5f24755195a8"]}],"mendeley":{"formattedCitation":"[27]","plainTextFormattedCitation":"[27]","previouslyFormattedCitation":"[27]"},"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[28]</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This approach reinforces that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not only strengthened its position through political power but also through maritime trade network activities. This context strengthens the notion that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was also involved in maritime trade networks, serving as a catalyst for the spice-producing region in Ternate.</w:t>
      </w:r>
    </w:p>
    <w:p w14:paraId="265226C8"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Religious conversion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was supported through trade networks, as local rulers sought to be open to all segments of society, including trader groups and religious propagators, thereby creating Muslim enclaves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When the conversion process occurred, changes in social structure affected the local community, suggesting a religious revolution from above. This means that rulers played a significant role in the acceptance of Islamic teachings within the community, although conflicts, competition, and even hostility occurred on the other side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{"citationItems":[{"id":"ITEM-1","itemData":{"DOI":"10.2307/588149","ISSN":"00071315","author":[{"dropping-particle":"","family":"M.","given":"D. G.","non-dropping-particle":"","parse-names":false,"suffix":""},{"dropping-particle":"","family":"Schrieke","given":"B.","non-dropping-particle":"","parse-names":false,"suffix":""},{"dropping-particle":"Van","family":"Hoeve","given":"W.","non-dropping-particle":"","parse-names":false,"suffix":""}],"container-title":"The British Journal of Sociology","id":"ITEM-1","issue":"1","issued":{"date-parts":[["1956"]]},"title":"Indonesian Sociological Studies","type":"article-journal","volume":"7"},"uris":["http://www.mendeley.com/documents/?uuid=41a55d99-5bdb-3d58-b8c7-168d5640039e"]}],"mendeley":{"formattedCitation":"[23]","plainTextFormattedCitation":"[23]","previouslyFormattedCitation":"[23]"},"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[24]</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This condition suggests that religious conversion led to polarization among the local population between adherents of local teachings and those influenced by Islam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{"citationItems":[{"id":"ITEM-1","itemData":{"DOI":"10.15408/bat.v2i5.6764","ISSN":"0853-1692","abstract":"Jalur pelayaran menghubungkan pelabuhan yang satu dengan yang lain. pertanyaanpokok adalah : manakah yang lebih dulu, pelabuhan atau jalur pelayaran? dengan kata lain, apakahunculnya sebuah pelabuhan ditentukan oleh jalur pelayaran, ataukah sebaliknya:terjadinya jalur pelayaran ditentukan oleh pelabuhan? Hingga sekarang pertanyaan ini belum bisa dijawab secara memuaskan. mungkin kedua-duanya benar. ada kalanya sebuah pelabuhanmuncul karena lokasi yang strategis pada jalur pelayaran, sedangkan sebaliknya sebuah pelabuhan entrepot tempat perdagangan yang ramai yang memberi kemudahan-kemudahan untukmengisi air dan makanan dan memperbaiki kapal. tentu akan menjadi tempat tujuan sebuahjalur pelayaran.keywords:","author":[{"dropping-particle":"","family":"Lapian","given":"Adrian B","non-dropping-particle":"","parse-names":false,"suffix":""}],"container-title":"Buletin Al-Turas","id":"ITEM-1","issue":"3","issued":{"date-parts":[["2018"]]},"title":"Peta pelayaran Nusantara dari Masa ke Mas","type":"article-journal","volume":"2"},"uris":["http://www.mendeley.com/documents/?uuid=6d288ebc-ef93-3e31-b509-186d498bf72b"]}],"mendeley":{"formattedCitation":"[28]","plainTextFormattedCitation":"[28]","previouslyFormattedCitation":"[28]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[29]</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w:t>
      </w:r>
    </w:p>
    <w:p w14:paraId="38A68E23"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struggle for space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has implications for the intersection of religious confrontation and political intrigue, which is interestingly studied as part of the Islamization process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The rulers, initially Christian adherents from </w:t>
      </w:r>
      <w:proofErr w:type="spellStart"/>
      <w:r w:rsidRPr="00395D1C">
        <w:rPr>
          <w:rFonts w:asciiTheme="majorHAnsi" w:eastAsia="Times New Roman" w:hAnsiTheme="majorHAnsi" w:cstheme="majorHAnsi"/>
          <w:sz w:val="20"/>
          <w:szCs w:val="20"/>
          <w:lang w:val="en-US" w:eastAsia="ko-KR"/>
        </w:rPr>
        <w:t>Datoe</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Binangkal</w:t>
      </w:r>
      <w:proofErr w:type="spellEnd"/>
      <w:r w:rsidRPr="00395D1C">
        <w:rPr>
          <w:rFonts w:asciiTheme="majorHAnsi" w:eastAsia="Times New Roman" w:hAnsiTheme="majorHAnsi" w:cstheme="majorHAnsi"/>
          <w:sz w:val="20"/>
          <w:szCs w:val="20"/>
          <w:lang w:val="en-US" w:eastAsia="ko-KR"/>
        </w:rPr>
        <w:t xml:space="preserve"> (1630-1677) to </w:t>
      </w:r>
      <w:proofErr w:type="spellStart"/>
      <w:r w:rsidRPr="00395D1C">
        <w:rPr>
          <w:rFonts w:asciiTheme="majorHAnsi" w:eastAsia="Times New Roman" w:hAnsiTheme="majorHAnsi" w:cstheme="majorHAnsi"/>
          <w:sz w:val="20"/>
          <w:szCs w:val="20"/>
          <w:lang w:val="en-US" w:eastAsia="ko-KR"/>
        </w:rPr>
        <w:t>Gonggala</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Korompot</w:t>
      </w:r>
      <w:proofErr w:type="spellEnd"/>
      <w:r w:rsidRPr="00395D1C">
        <w:rPr>
          <w:rFonts w:asciiTheme="majorHAnsi" w:eastAsia="Times New Roman" w:hAnsiTheme="majorHAnsi" w:cstheme="majorHAnsi"/>
          <w:sz w:val="20"/>
          <w:szCs w:val="20"/>
          <w:lang w:val="en-US" w:eastAsia="ko-KR"/>
        </w:rPr>
        <w:t xml:space="preserve"> (1745-1770), indicated religious conversion to Islam when </w:t>
      </w:r>
      <w:proofErr w:type="spellStart"/>
      <w:r w:rsidRPr="00395D1C">
        <w:rPr>
          <w:rFonts w:asciiTheme="majorHAnsi" w:eastAsia="Times New Roman" w:hAnsiTheme="majorHAnsi" w:cstheme="majorHAnsi"/>
          <w:sz w:val="20"/>
          <w:szCs w:val="20"/>
          <w:lang w:val="en-US" w:eastAsia="ko-KR"/>
        </w:rPr>
        <w:t>Wellem</w:t>
      </w:r>
      <w:proofErr w:type="spellEnd"/>
      <w:r w:rsidRPr="00395D1C">
        <w:rPr>
          <w:rFonts w:asciiTheme="majorHAnsi" w:eastAsia="Times New Roman" w:hAnsiTheme="majorHAnsi" w:cstheme="majorHAnsi"/>
          <w:sz w:val="20"/>
          <w:szCs w:val="20"/>
          <w:lang w:val="en-US" w:eastAsia="ko-KR"/>
        </w:rPr>
        <w:t xml:space="preserve"> David </w:t>
      </w:r>
      <w:proofErr w:type="spellStart"/>
      <w:r w:rsidRPr="00395D1C">
        <w:rPr>
          <w:rFonts w:asciiTheme="majorHAnsi" w:eastAsia="Times New Roman" w:hAnsiTheme="majorHAnsi" w:cstheme="majorHAnsi"/>
          <w:sz w:val="20"/>
          <w:szCs w:val="20"/>
          <w:lang w:val="en-US" w:eastAsia="ko-KR"/>
        </w:rPr>
        <w:t>Korompot</w:t>
      </w:r>
      <w:proofErr w:type="spellEnd"/>
      <w:r w:rsidRPr="00395D1C">
        <w:rPr>
          <w:rFonts w:asciiTheme="majorHAnsi" w:eastAsia="Times New Roman" w:hAnsiTheme="majorHAnsi" w:cstheme="majorHAnsi"/>
          <w:sz w:val="20"/>
          <w:szCs w:val="20"/>
          <w:lang w:val="en-US" w:eastAsia="ko-KR"/>
        </w:rPr>
        <w:t xml:space="preserve"> (1779-1817 M/ 1193-1232 H) ruled with the title </w:t>
      </w:r>
      <w:proofErr w:type="spellStart"/>
      <w:r w:rsidRPr="00395D1C">
        <w:rPr>
          <w:rFonts w:asciiTheme="majorHAnsi" w:eastAsia="Times New Roman" w:hAnsiTheme="majorHAnsi" w:cstheme="majorHAnsi"/>
          <w:i/>
          <w:iCs/>
          <w:sz w:val="20"/>
          <w:szCs w:val="20"/>
          <w:lang w:val="en-US" w:eastAsia="ko-KR"/>
        </w:rPr>
        <w:t>Waladin</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Korompot</w:t>
      </w:r>
      <w:proofErr w:type="spellEnd"/>
      <w:r w:rsidRPr="00395D1C">
        <w:rPr>
          <w:rFonts w:asciiTheme="majorHAnsi" w:eastAsia="Times New Roman" w:hAnsiTheme="majorHAnsi" w:cstheme="majorHAnsi"/>
          <w:sz w:val="20"/>
          <w:szCs w:val="20"/>
          <w:lang w:val="en-US" w:eastAsia="ko-KR"/>
        </w:rPr>
        <w:t xml:space="preserve">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{"citationItems":[{"id":"ITEM-1","itemData":{"DOI":"10.1163/22134379-90000917","ISSN":"2213-4379","author":[{"dropping-particle":"","family":"Padt-Brugge","given":"Robertus","non-dropping-particle":"","parse-names":false,"suffix":""}],"container-title":"Bijdragen tot de Taal-, Land- en Volkenkunde","id":"ITEM-1","issue":"1","issued":{"date-parts":[["2013"]]},"title":"Beschrijving der Zeden en Gewoonten van de Bewoners der Minahassa","type":"article-journal","volume":"13"},"uris":["http://www.mendeley.com/documents/?uuid=84ae3d91-a2cf-352d-a9a6-9aef1714067c"]},{"id":"ITEM-2","itemData":{"DOI":"10.31291/jlk.v17i2.747","ISSN":"1693-7139","abstract":"The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eastAsia="Times New Roman" w:hAnsiTheme="majorHAnsi" w:cstheme="majorHAnsi"/>
          <w:sz w:val="20"/>
          <w:szCs w:val="20"/>
          <w:lang w:val="en-US" w:eastAsia="ko-KR"/>
        </w:rPr>
        <w:softHyphen/>
        <w:instrText>tured in the bureaucracy of the royal government (top down). This paper is a historical writing, using the historical method; heuristics, cri</w:instrText>
      </w:r>
      <w:r w:rsidRPr="00395D1C">
        <w:rPr>
          <w:rFonts w:asciiTheme="majorHAnsi" w:eastAsia="Times New Roman" w:hAnsiTheme="majorHAnsi" w:cstheme="majorHAnsi"/>
          <w:sz w:val="20"/>
          <w:szCs w:val="20"/>
          <w:lang w:val="en-US" w:eastAsia="ko-KR"/>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eastAsia="Times New Roman" w:hAnsiTheme="majorHAnsi" w:cstheme="majorHAnsi"/>
          <w:sz w:val="20"/>
          <w:szCs w:val="20"/>
          <w:lang w:val="en-US" w:eastAsia="ko-KR"/>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eastAsia="Times New Roman" w:hAnsiTheme="majorHAnsi" w:cstheme="majorHAnsi"/>
          <w:sz w:val="20"/>
          <w:szCs w:val="20"/>
          <w:lang w:val="en-US" w:eastAsia="ko-KR"/>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eastAsia="Times New Roman" w:hAnsiTheme="majorHAnsi" w:cstheme="majorHAnsi"/>
          <w:sz w:val="20"/>
          <w:szCs w:val="20"/>
          <w:lang w:val="en-US" w:eastAsia="ko-KR"/>
        </w:rPr>
        <w:softHyphen/>
        <w:instrText>nya Islam. Dinamika Islamisasi di Bolaang Mongondow Utara yang pen</w:instrText>
      </w:r>
      <w:r w:rsidRPr="00395D1C">
        <w:rPr>
          <w:rFonts w:asciiTheme="majorHAnsi" w:eastAsia="Times New Roman" w:hAnsiTheme="majorHAnsi" w:cstheme="majorHAnsi"/>
          <w:sz w:val="20"/>
          <w:szCs w:val="20"/>
          <w:lang w:val="en-US" w:eastAsia="ko-KR"/>
        </w:rPr>
        <w:softHyphen/>
        <w:instrText>ting dicatat diantaranya: pada mulanya Islamisasi di wilayah Bolaang Mongondow Utara melalui j…","author":[{"dropping-particle":"","family":"Tungkagi","given":"Donald Qomaidiansyah","non-dropping-particle":"","parse-names":false,"suffix":""}],"container-title":"Jurnal Lektur Keagamaan","id":"ITEM-2","issue":"2","issued":{"date-parts":[["2020"]]},"title":"Islam di Bolaang Mongondow Utara, Sulawesi Utara: Dinamika Islamisasi di Kerajaan Kaidipang Besar dan Bintauna Abad ke-7-19 M","type":"article-journal","volume":"17"},"uris":["http://www.mendeley.com/documents/?uuid=856c546c-837e-3c80-ad66-07afa4b2559e"]}],"mendeley":{"formattedCitation":"[8], [29]","plainTextFormattedCitation":"[8], [29]","previouslyFormattedCitation":"[8], [29]"},"properties":{"noteIndex":0},"schema":"https://github.com/citation-style-language/schema/raw/master/csl-citation.json"}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[8], [30]</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Due to top-down influence, it is estimated that acceptance of Islam among rulers and the elite occurred around 1831-1844 through Muslim traders, including Arabs who </w:t>
      </w:r>
      <w:r w:rsidRPr="00395D1C">
        <w:rPr>
          <w:rFonts w:asciiTheme="majorHAnsi" w:eastAsia="Times New Roman" w:hAnsiTheme="majorHAnsi" w:cstheme="majorHAnsi"/>
          <w:sz w:val="20"/>
          <w:szCs w:val="20"/>
          <w:lang w:val="en-US" w:eastAsia="ko-KR"/>
        </w:rPr>
        <w:lastRenderedPageBreak/>
        <w:t xml:space="preserve">had settled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{"citationItems":[{"id":"ITEM-1","itemData":{"DOI":"10.1080/03062847908723731","ISSN":"0306-2848","author":[{"dropping-particle":"","family":"Stickings","given":"Jeremy","non-dropping-particle":"","parse-names":false,"suffix":""}],"container-title":"Indonesia Circle. School of Oriental &amp; African Studies. Newsletter","id":"ITEM-1","issue":"18","issued":{"date-parts":[["1979"]]},"title":"Bolaang‐Mongondow: Some notes on history and adat","type":"article-journal","volume":"7"},"uris":["http://www.mendeley.com/documents/?uuid=35ce299b-fcce-3ac6-b62b-7a3340d472d1"]}],"mendeley":{"formattedCitation":"[30]","plainTextFormattedCitation":"[30]","previouslyFormattedCitation":"[30]"},"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[31]</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This political power struggle in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coincided with a dynamic religious conversion process, indicating that the rulers were the driving force behind the acceptance of Islamic teachings in the region. The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Kingdom, which persisted until the 20th century, made Islam the official religion of the government and was recognized by the people. However, ultimately, this power had to undergo a merger due to the lack of a successor to the last king, who died in 1910. The last ruler of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was </w:t>
      </w:r>
      <w:proofErr w:type="spellStart"/>
      <w:r w:rsidRPr="00395D1C">
        <w:rPr>
          <w:rFonts w:asciiTheme="majorHAnsi" w:eastAsia="Times New Roman" w:hAnsiTheme="majorHAnsi" w:cstheme="majorHAnsi"/>
          <w:sz w:val="20"/>
          <w:szCs w:val="20"/>
          <w:lang w:val="en-US" w:eastAsia="ko-KR"/>
        </w:rPr>
        <w:t>Manoppo</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Karompot</w:t>
      </w:r>
      <w:proofErr w:type="spellEnd"/>
      <w:r w:rsidRPr="00395D1C">
        <w:rPr>
          <w:rFonts w:asciiTheme="majorHAnsi" w:eastAsia="Times New Roman" w:hAnsiTheme="majorHAnsi" w:cstheme="majorHAnsi"/>
          <w:sz w:val="20"/>
          <w:szCs w:val="20"/>
          <w:lang w:val="en-US" w:eastAsia="ko-KR"/>
        </w:rPr>
        <w:t xml:space="preserve">, who established relations with the Dutch East Indies colonial government. </w:t>
      </w:r>
      <w:proofErr w:type="spellStart"/>
      <w:r w:rsidRPr="00395D1C">
        <w:rPr>
          <w:rFonts w:asciiTheme="majorHAnsi" w:eastAsia="Times New Roman" w:hAnsiTheme="majorHAnsi" w:cstheme="majorHAnsi"/>
          <w:sz w:val="20"/>
          <w:szCs w:val="20"/>
          <w:lang w:val="en-US" w:eastAsia="ko-KR"/>
        </w:rPr>
        <w:t>Manoppo</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Korompot</w:t>
      </w:r>
      <w:proofErr w:type="spellEnd"/>
      <w:r w:rsidRPr="00395D1C">
        <w:rPr>
          <w:rFonts w:asciiTheme="majorHAnsi" w:eastAsia="Times New Roman" w:hAnsiTheme="majorHAnsi" w:cstheme="majorHAnsi"/>
          <w:sz w:val="20"/>
          <w:szCs w:val="20"/>
          <w:lang w:val="en-US" w:eastAsia="ko-KR"/>
        </w:rPr>
        <w:t xml:space="preserve"> succeeded in strengthening </w:t>
      </w:r>
      <w:proofErr w:type="spellStart"/>
      <w:r w:rsidRPr="00395D1C">
        <w:rPr>
          <w:rFonts w:asciiTheme="majorHAnsi" w:eastAsia="Times New Roman" w:hAnsiTheme="majorHAnsi" w:cstheme="majorHAnsi"/>
          <w:sz w:val="20"/>
          <w:szCs w:val="20"/>
          <w:lang w:val="en-US" w:eastAsia="ko-KR"/>
        </w:rPr>
        <w:t>Kaidipang's</w:t>
      </w:r>
      <w:proofErr w:type="spellEnd"/>
      <w:r w:rsidRPr="00395D1C">
        <w:rPr>
          <w:rFonts w:asciiTheme="majorHAnsi" w:eastAsia="Times New Roman" w:hAnsiTheme="majorHAnsi" w:cstheme="majorHAnsi"/>
          <w:sz w:val="20"/>
          <w:szCs w:val="20"/>
          <w:lang w:val="en-US" w:eastAsia="ko-KR"/>
        </w:rPr>
        <w:t xml:space="preserve"> status, with its boundaries recognized by the Governor-General's government represented by Assistant Resident A. </w:t>
      </w:r>
      <w:proofErr w:type="spellStart"/>
      <w:r w:rsidRPr="00395D1C">
        <w:rPr>
          <w:rFonts w:asciiTheme="majorHAnsi" w:eastAsia="Times New Roman" w:hAnsiTheme="majorHAnsi" w:cstheme="majorHAnsi"/>
          <w:sz w:val="20"/>
          <w:szCs w:val="20"/>
          <w:lang w:val="en-US" w:eastAsia="ko-KR"/>
        </w:rPr>
        <w:t>Commans</w:t>
      </w:r>
      <w:proofErr w:type="spellEnd"/>
      <w:r w:rsidRPr="00395D1C">
        <w:rPr>
          <w:rFonts w:asciiTheme="majorHAnsi" w:eastAsia="Times New Roman" w:hAnsiTheme="majorHAnsi" w:cstheme="majorHAnsi"/>
          <w:sz w:val="20"/>
          <w:szCs w:val="20"/>
          <w:lang w:val="en-US" w:eastAsia="ko-KR"/>
        </w:rPr>
        <w:t xml:space="preserve"> Jr.</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{"citationItems":[{"id":"ITEM-1","itemData":{"author":[{"dropping-particle":"","family":"Kolonial Verlsag","given":"","non-dropping-particle":"","parse-names":false,"suffix":""}],"id":"ITEM-1","issued":{"date-parts":[["1913"]]},"title":"Kolonial Verslag 1913, Nederlandsch-Indie","type":"report"},"uris":["http://www.mendeley.com/documents/?uuid=4db956c6-5416-4052-a87a-da6ac2496648"]},{"id":"ITEM-2","itemData":{"author":[{"dropping-particle":"","family":"Suwondo","given":"Bambang (et al.)","non-dropping-particle":"","parse-names":false,"suffix":""}],"editor":[{"dropping-particle":"","family":"Bambang Suwondo","given":"","non-dropping-particle":"","parse-names":false,"suffix":""}],"id":"ITEM-2","issued":{"date-parts":[["0"]]},"publisher":"Departemen Pendidikan Dan Kebudayaan","publisher-place":"Jakarta, Indonesia","title":"Sejarah Daerah Sulawesi Utara","type":"book"},"uris":["http://www.mendeley.com/documents/?uuid=8636d56e-ea6b-4afb-b292-5dd089e7f9cc"]}],"mendeley":{"formattedCitation":"[31], [32]","plainTextFormattedCitation":"[31], [32]","previouslyFormattedCitation":"[31], [32]"},"properties":{"noteIndex":0},"schema":"https://github.com/citation-style-language/schema/raw/master/csl-citation.json"}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[32], [33]</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which ultimately led to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being merged with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Itang</w:t>
      </w:r>
      <w:proofErr w:type="spellEnd"/>
      <w:r w:rsidRPr="00395D1C">
        <w:rPr>
          <w:rFonts w:asciiTheme="majorHAnsi" w:eastAsia="Times New Roman" w:hAnsiTheme="majorHAnsi" w:cstheme="majorHAnsi"/>
          <w:sz w:val="20"/>
          <w:szCs w:val="20"/>
          <w:lang w:val="en-US" w:eastAsia="ko-KR"/>
        </w:rPr>
        <w:t xml:space="preserve">, resulting in the area being known as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Besar.</w:t>
      </w:r>
    </w:p>
    <w:p w14:paraId="68A7B97E"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dynamics of Islamization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Itang</w:t>
      </w:r>
      <w:proofErr w:type="spellEnd"/>
      <w:r w:rsidRPr="00395D1C">
        <w:rPr>
          <w:rFonts w:asciiTheme="majorHAnsi" w:eastAsia="Times New Roman" w:hAnsiTheme="majorHAnsi" w:cstheme="majorHAnsi"/>
          <w:sz w:val="20"/>
          <w:szCs w:val="20"/>
          <w:lang w:val="en-US" w:eastAsia="ko-KR"/>
        </w:rPr>
        <w:t xml:space="preserve"> are quite complex to describe, especially the issue of the acceptance of Islamic teachings that have influenced the community. Records indicate that Islam was introduced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Itang</w:t>
      </w:r>
      <w:proofErr w:type="spellEnd"/>
      <w:r w:rsidRPr="00395D1C">
        <w:rPr>
          <w:rFonts w:asciiTheme="majorHAnsi" w:eastAsia="Times New Roman" w:hAnsiTheme="majorHAnsi" w:cstheme="majorHAnsi"/>
          <w:sz w:val="20"/>
          <w:szCs w:val="20"/>
          <w:lang w:val="en-US" w:eastAsia="ko-KR"/>
        </w:rPr>
        <w:t xml:space="preserve"> around 1863-1880 M/1280-1297 H, which coincided with the reign of Israel </w:t>
      </w:r>
      <w:proofErr w:type="spellStart"/>
      <w:r w:rsidRPr="00395D1C">
        <w:rPr>
          <w:rFonts w:asciiTheme="majorHAnsi" w:eastAsia="Times New Roman" w:hAnsiTheme="majorHAnsi" w:cstheme="majorHAnsi"/>
          <w:sz w:val="20"/>
          <w:szCs w:val="20"/>
          <w:lang w:val="en-US" w:eastAsia="ko-KR"/>
        </w:rPr>
        <w:t>Pontoh</w:t>
      </w:r>
      <w:proofErr w:type="spellEnd"/>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eastAsia="Times New Roman" w:hAnsiTheme="majorHAnsi" w:cstheme="majorHAnsi"/>
          <w:sz w:val="20"/>
          <w:szCs w:val="20"/>
          <w:lang w:val="en-US" w:eastAsia="ko-KR"/>
        </w:rPr>
        <w:softHyphen/>
        <w:instrText>tured in the bureaucracy of the royal government (top down). This paper is a historical writing, using the historical method; heuristics, cri</w:instrText>
      </w:r>
      <w:r w:rsidRPr="00395D1C">
        <w:rPr>
          <w:rFonts w:asciiTheme="majorHAnsi" w:eastAsia="Times New Roman" w:hAnsiTheme="majorHAnsi" w:cstheme="majorHAnsi"/>
          <w:sz w:val="20"/>
          <w:szCs w:val="20"/>
          <w:lang w:val="en-US" w:eastAsia="ko-KR"/>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eastAsia="Times New Roman" w:hAnsiTheme="majorHAnsi" w:cstheme="majorHAnsi"/>
          <w:sz w:val="20"/>
          <w:szCs w:val="20"/>
          <w:lang w:val="en-US" w:eastAsia="ko-KR"/>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eastAsia="Times New Roman" w:hAnsiTheme="majorHAnsi" w:cstheme="majorHAnsi"/>
          <w:sz w:val="20"/>
          <w:szCs w:val="20"/>
          <w:lang w:val="en-US" w:eastAsia="ko-KR"/>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eastAsia="Times New Roman" w:hAnsiTheme="majorHAnsi" w:cstheme="majorHAnsi"/>
          <w:sz w:val="20"/>
          <w:szCs w:val="20"/>
          <w:lang w:val="en-US" w:eastAsia="ko-KR"/>
        </w:rPr>
        <w:softHyphen/>
        <w:instrText>nya Islam. Dinamika Islamisasi di Bolaang Mongondow Utara yang pen</w:instrText>
      </w:r>
      <w:r w:rsidRPr="00395D1C">
        <w:rPr>
          <w:rFonts w:asciiTheme="majorHAnsi" w:eastAsia="Times New Roman" w:hAnsiTheme="majorHAnsi" w:cstheme="majorHAnsi"/>
          <w:sz w:val="20"/>
          <w:szCs w:val="20"/>
          <w:lang w:val="en-US" w:eastAsia="ko-KR"/>
        </w:rPr>
        <w:softHyphen/>
        <w:instrText>ting dicatat diantaranya: pada mulanya Islamisasi di wilayah Bolaang Mongondow Utara melalui j…","author":[{"dropping-particle":"","family":"Tungkagi","given":"Donald Qomaidiansyah","non-dropping-particle":"","parse-names":false,"suffix":""}],"container-title":"Jurnal Lektur Keagamaan","id":"ITEM-1","issue":"2","issued":{"date-parts":[["2020"]]},"title":"Islam di Bolaang Mongondow Utara, Sulawesi Utara: Dinamika Islamisasi di Kerajaan Kaidipang Besar dan Bintauna Abad ke-7-19 M","type":"article-journal","volume":"17"},"uris":["http://www.mendeley.com/documents/?uuid=856c546c-837e-3c80-ad66-07afa4b2559e"]}],"mendeley":{"formattedCitation":"[8]","plainTextFormattedCitation":"[8]","previouslyFormattedCitation":"[8]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[8]</w:t>
      </w:r>
      <w:r w:rsidRPr="00395D1C">
        <w:rPr>
          <w:rFonts w:asciiTheme="majorHAnsi" w:eastAsia="Times New Roman" w:hAnsiTheme="majorHAnsi" w:cstheme="majorHAnsi"/>
          <w:sz w:val="20"/>
          <w:szCs w:val="20"/>
          <w:lang w:val="id-ID" w:eastAsia="ko-KR"/>
        </w:rPr>
        <w:fldChar w:fldCharType="end"/>
      </w:r>
      <w:r w:rsidRPr="00395D1C">
        <w:rPr>
          <w:rFonts w:asciiTheme="majorHAnsi" w:eastAsia="Times New Roman" w:hAnsiTheme="majorHAnsi" w:cstheme="majorHAnsi"/>
          <w:sz w:val="20"/>
          <w:szCs w:val="20"/>
          <w:lang w:val="en-US" w:eastAsia="ko-KR"/>
        </w:rPr>
        <w:t xml:space="preserve">. The </w:t>
      </w:r>
      <w:proofErr w:type="spellStart"/>
      <w:r w:rsidRPr="00395D1C">
        <w:rPr>
          <w:rFonts w:asciiTheme="majorHAnsi" w:eastAsia="Times New Roman" w:hAnsiTheme="majorHAnsi" w:cstheme="majorHAnsi"/>
          <w:sz w:val="20"/>
          <w:szCs w:val="20"/>
          <w:lang w:val="en-US" w:eastAsia="ko-KR"/>
        </w:rPr>
        <w:t>Islamicization</w:t>
      </w:r>
      <w:proofErr w:type="spellEnd"/>
      <w:r w:rsidRPr="00395D1C">
        <w:rPr>
          <w:rFonts w:asciiTheme="majorHAnsi" w:eastAsia="Times New Roman" w:hAnsiTheme="majorHAnsi" w:cstheme="majorHAnsi"/>
          <w:sz w:val="20"/>
          <w:szCs w:val="20"/>
          <w:lang w:val="en-US" w:eastAsia="ko-KR"/>
        </w:rPr>
        <w:t xml:space="preserve"> context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Itang</w:t>
      </w:r>
      <w:proofErr w:type="spellEnd"/>
      <w:r w:rsidRPr="00395D1C">
        <w:rPr>
          <w:rFonts w:asciiTheme="majorHAnsi" w:eastAsia="Times New Roman" w:hAnsiTheme="majorHAnsi" w:cstheme="majorHAnsi"/>
          <w:sz w:val="20"/>
          <w:szCs w:val="20"/>
          <w:lang w:val="en-US" w:eastAsia="ko-KR"/>
        </w:rPr>
        <w:t xml:space="preserve"> is inseparable from the top-down approach of Islamic propagators, in which rulers served as the main actors in accepting Islamic teachings from preachers. The subsequent </w:t>
      </w:r>
      <w:proofErr w:type="spellStart"/>
      <w:r w:rsidRPr="00395D1C">
        <w:rPr>
          <w:rFonts w:asciiTheme="majorHAnsi" w:eastAsia="Times New Roman" w:hAnsiTheme="majorHAnsi" w:cstheme="majorHAnsi"/>
          <w:sz w:val="20"/>
          <w:szCs w:val="20"/>
          <w:lang w:val="en-US" w:eastAsia="ko-KR"/>
        </w:rPr>
        <w:t>Islamicization</w:t>
      </w:r>
      <w:proofErr w:type="spellEnd"/>
      <w:r w:rsidRPr="00395D1C">
        <w:rPr>
          <w:rFonts w:asciiTheme="majorHAnsi" w:eastAsia="Times New Roman" w:hAnsiTheme="majorHAnsi" w:cstheme="majorHAnsi"/>
          <w:sz w:val="20"/>
          <w:szCs w:val="20"/>
          <w:lang w:val="en-US" w:eastAsia="ko-KR"/>
        </w:rPr>
        <w:t xml:space="preserve"> followed patterns similar to those in other regions of the Nusantara, making elites mediators and educators of Islam.</w:t>
      </w:r>
    </w:p>
    <w:p w14:paraId="0583FC61"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However, the specific figure who spread Islam and influenced the rulers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has not yet been definitively identified. Various sources only mention that Islamic influence entered the royal court during the time of Wellen </w:t>
      </w:r>
      <w:proofErr w:type="spellStart"/>
      <w:r w:rsidRPr="00395D1C">
        <w:rPr>
          <w:rFonts w:asciiTheme="majorHAnsi" w:eastAsia="Times New Roman" w:hAnsiTheme="majorHAnsi" w:cstheme="majorHAnsi"/>
          <w:sz w:val="20"/>
          <w:szCs w:val="20"/>
          <w:lang w:val="en-US" w:eastAsia="ko-KR"/>
        </w:rPr>
        <w:t>Korompot</w:t>
      </w:r>
      <w:proofErr w:type="spellEnd"/>
      <w:r w:rsidRPr="00395D1C">
        <w:rPr>
          <w:rFonts w:asciiTheme="majorHAnsi" w:eastAsia="Times New Roman" w:hAnsiTheme="majorHAnsi" w:cstheme="majorHAnsi"/>
          <w:sz w:val="20"/>
          <w:szCs w:val="20"/>
          <w:lang w:val="en-US" w:eastAsia="ko-KR"/>
        </w:rPr>
        <w:t>, who was later titled "</w:t>
      </w:r>
      <w:proofErr w:type="spellStart"/>
      <w:r w:rsidRPr="00395D1C">
        <w:rPr>
          <w:rFonts w:asciiTheme="majorHAnsi" w:eastAsia="Times New Roman" w:hAnsiTheme="majorHAnsi" w:cstheme="majorHAnsi"/>
          <w:sz w:val="20"/>
          <w:szCs w:val="20"/>
          <w:lang w:val="en-US" w:eastAsia="ko-KR"/>
        </w:rPr>
        <w:t>Waladin</w:t>
      </w:r>
      <w:proofErr w:type="spellEnd"/>
      <w:r w:rsidRPr="00395D1C">
        <w:rPr>
          <w:rFonts w:asciiTheme="majorHAnsi" w:eastAsia="Times New Roman" w:hAnsiTheme="majorHAnsi" w:cstheme="majorHAnsi"/>
          <w:sz w:val="20"/>
          <w:szCs w:val="20"/>
          <w:lang w:val="en-US" w:eastAsia="ko-KR"/>
        </w:rPr>
        <w:t>." This situation suggests that the spread of Islam occurred through a top-down process within a complex societal dynamic.</w:t>
      </w:r>
    </w:p>
    <w:p w14:paraId="546E6611" w14:textId="3375D467" w:rsid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From these explanations, it can be concluded that Islamization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occurred in three stages: introduction, dissemination and teaching, and institutionalization, which took place from the mid-17th to mid-19th centuries. Islam was introduced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through Muslim sailor-traders seeking to reach the Maluku Islands during the peak of the spice maritime network. The dissemination and teaching process occurred when rulers received Islamic influences from Islamic propagators, who then sought to teach them to the general population. From a socio-political perspective, this view is part of the process of spreading Islam, which can be considered as a top-down or patron-client network. Institutionalization occurred when rulers sought to strengthen their positions by appointing Muslim figures as advisors in the kingdom, leading to the establishment of educational institutions to reinforce Islam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w:t>
      </w:r>
    </w:p>
    <w:p w14:paraId="68AEFC58"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6451A653" w14:textId="4AA56F0C" w:rsidR="00395D1C" w:rsidRDefault="00395D1C" w:rsidP="00395D1C">
      <w:pPr>
        <w:pStyle w:val="ListParagraph"/>
        <w:numPr>
          <w:ilvl w:val="1"/>
          <w:numId w:val="2"/>
        </w:numPr>
        <w:ind w:left="567" w:hanging="284"/>
        <w:jc w:val="both"/>
        <w:rPr>
          <w:rFonts w:asciiTheme="minorHAnsi" w:hAnsiTheme="minorHAnsi" w:cstheme="minorHAnsi"/>
          <w:b/>
          <w:bCs/>
          <w:sz w:val="18"/>
          <w:szCs w:val="18"/>
        </w:rPr>
      </w:pPr>
      <w:r w:rsidRPr="00395D1C">
        <w:rPr>
          <w:rFonts w:asciiTheme="minorHAnsi" w:hAnsiTheme="minorHAnsi" w:cstheme="minorHAnsi"/>
          <w:b/>
          <w:bCs/>
          <w:sz w:val="18"/>
          <w:szCs w:val="18"/>
        </w:rPr>
        <w:t>ISLAMIC CIVILIZATION HERITAGE IN BOLAANG MONGONDOW</w:t>
      </w:r>
      <w:r>
        <w:rPr>
          <w:rFonts w:asciiTheme="minorHAnsi" w:hAnsiTheme="minorHAnsi" w:cstheme="minorHAnsi"/>
          <w:b/>
          <w:bCs/>
          <w:sz w:val="18"/>
          <w:szCs w:val="18"/>
        </w:rPr>
        <w:t xml:space="preserve"> </w:t>
      </w:r>
    </w:p>
    <w:p w14:paraId="727F9BD1"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influence of Islamic teachings has transformed the social, political, and cultural structures of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resulting in a legacy of 19</w:t>
      </w:r>
      <w:r w:rsidRPr="00395D1C">
        <w:rPr>
          <w:rFonts w:asciiTheme="majorHAnsi" w:eastAsia="Times New Roman" w:hAnsiTheme="majorHAnsi" w:cstheme="majorHAnsi"/>
          <w:sz w:val="20"/>
          <w:szCs w:val="20"/>
          <w:vertAlign w:val="superscript"/>
          <w:lang w:val="en-US" w:eastAsia="ko-KR"/>
        </w:rPr>
        <w:t>th</w:t>
      </w:r>
      <w:r w:rsidRPr="00395D1C">
        <w:rPr>
          <w:rFonts w:asciiTheme="majorHAnsi" w:eastAsia="Times New Roman" w:hAnsiTheme="majorHAnsi" w:cstheme="majorHAnsi"/>
          <w:sz w:val="20"/>
          <w:szCs w:val="20"/>
          <w:lang w:val="en-US" w:eastAsia="ko-KR"/>
        </w:rPr>
        <w:t xml:space="preserve">-century artifacts. This acculturation indicates that the process of Islamization is a complex and layered part of the description of Islam spread. The influence of Islamic teachings blends with and shapes local traditions, as evidenced by historical artifacts, including sites, buildings, and ideas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{"citationItems":[{"id":"ITEM-1","itemData":{"DOI":"10.1080/03062847908723731","ISSN":"0306-2848","author":[{"dropping-particle":"","family":"Stickings","given":"Jeremy","non-dropping-particle":"","parse-names":false,"suffix":""}],"container-title":"Indonesia Circle. School of Oriental &amp; African Studies. Newsletter","id":"ITEM-1","issue":"18","issued":{"date-parts":[["1979"]]},"title":"Bolaang‐Mongondow: Some notes on history and adat","type":"article-journal","volume":"7"},"uris":["http://www.mendeley.com/documents/?uuid=35ce299b-fcce-3ac6-b62b-7a3340d472d1"]}],"mendeley":{"formattedCitation":"[30]","plainTextFormattedCitation":"[30]","previouslyFormattedCitation":"[30]"},"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[31]</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w:t>
      </w:r>
    </w:p>
    <w:p w14:paraId="2489A896"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people of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have a close relationship with customary practices and cosmological cultures that reflect their worldview. A document indicates that syncretism has played a role in shaping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society to the present day, so that some customary practices and habits still reflect these ideas. However, with the spread of Islamic teachings, these practices have been integrated into the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community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{"citationItems":[{"id":"ITEM-1","itemData":{"DOI":"10.1080/13639811003665397","ISSN":"1363-9811","abstract":"This article describes the spread of Islam in the Bolaang Mongondow region of the province of North Sulawesi and shows that religious conversion was an intermittent if ongoing process. It is characterised by changes very much along the lines of religious rationalisation in the Weberian sense including systematisation and codification of doctrine, building of formal institutions, professionalisation of the clergy and a universalistic claim to truth transcending ethnic and national boundaries. The emphasis on aspects of rationalisation also serves to shed more light on processes that run in the opposite direction since rationalisation of Islam facilitated the carving out of an increasingly separate sphere of popular beliefs and practices. I will refer to this sphere as folk beliefs in contrast to rationalised scriptural religions (in this case Islam) and the traditional local religion of Bolaang Mongondow, because folk beliefs include elements and adaptations of both religions but in markedly derationalised...","author":[{"dropping-particle":"","family":"Kosel","given":"Sven","non-dropping-particle":"","parse-names":false,"suffix":""}],"container-title":"Indonesia and the Malay World","id":"ITEM-1","issue":"110","issued":{"date-parts":[["2010"]]},"title":"THE HISTORY OF ISLAM IN BOLAANG MONGONDOW, NORTH SULAWESI","type":"article-journal","volume":"38"},"uris":["http://www.mendeley.com/documents/?uuid=7678e197-5c55-3636-86a1-ce51859c7940"]},{"id":"ITEM-2","itemData":{"DOI":"10.2991/assehr.k.220408.004","abstract":"North Bolaang Mongondow is one of the areas in North Sulawesi Province that has the potential for archaeological remains, especially those from the royal period. Historical data and oral traditions in the community contain information about the kingdoms that existed in this region in the past, namely the Bintauna Kingdom, Kaidipang Kingdom, and the Bolaang Itang Kingdom. Concerning strengthening the history of these kingdoms, it needs to be supported by relevant archaeological data. The archaeological method applied in the form of field data collection in the form of surveys and observations succeeded in identifying and mapping the distribution of archaeological sites related to the existence of the three kingdoms. These archaeological sites are scattered almost throughout the North Bolaang Mongondow area, in the form of ancient graves, king's palaces, old mosques, and former residential structures. Based on the results of analysis and interpretation, these sites verify the existence of the three kingdoms in Bolaang Mongondow. The distribution of the site covers coastal areas to inland and mountains. As for strengthening the chronological aspect, it is necessary to do a dating analysis on each of these sites.","author":[{"dropping-particle":"","family":"Asmunandar","given":"Asmunandar","non-dropping-particle":"","parse-names":false,"suffix":""},{"dropping-particle":"","family":"Mulyadi","given":"Yadi","non-dropping-particle":"","parse-names":false,"suffix":""},{"dropping-particle":"","family":"Rustamawat","given":"Rustamawat","non-dropping-particle":"","parse-names":false,"suffix":""},{"dropping-particle":"","family":"Purba","given":"Jhon Rivel","non-dropping-particle":"","parse-names":false,"suffix":""},{"dropping-particle":"","family":"Handoko","given":"Wuri","non-dropping-particle":"","parse-names":false,"suffix":""},{"dropping-particle":"","family":"Mokodongan","given":"Annita I.","non-dropping-particle":"","parse-names":false,"suffix":""},{"dropping-particle":"","family":"Pratama","given":"Henki Riko","non-dropping-particle":"","parse-names":false,"suffix":""},{"dropping-particle":"","family":"Akil","given":"Muh.","non-dropping-particle":"","parse-names":false,"suffix":""}],"container-title":"Proceedings of the 9th Asbam International Conference (Archeology, History, &amp; Culture In The Nature of Malay) (ASBAM 2021)","id":"ITEM-2","issued":{"date-parts":[["2022"]]},"title":"Potential and Distribution of Archaeological Sites in North Bolaang Mongondow Region, North Sulawesi Province","type":"paper-conference","volume":"660"},"uris":["http://www.mendeley.com/documents/?uuid=5861be41-4cb8-3318-ae38-ce764d5c30e5"]}],"mendeley":{"formattedCitation":"[11], [33]","plainTextFormattedCitation":"[11], [33]","previouslyFormattedCitation":"[11], [33]"},"properties":{"noteIndex":0},"schema":"https://github.com/citation-style-language/schema/raw/master/csl-citation.json"}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[11], [23]</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 xml:space="preserve">. This process began with acculturation, inculturation, and internalization, indicating the integration of Islamic teachings with local customs and traditions. Religious rituals incorporating local elements influenced by Islamic teachings, such as dance, music, and traditional ceremonies, continue to shape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society to this day. These practices also indicate that the religious process influenced the establishment of Islamic teachings in the 19th century, as evidenced by the appointment of a qadi to assist the ruler in making religious decisions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{"citationItems":[{"id":"ITEM-1","itemData":{"DOI":"10.1163/22134379-90002494","author":[{"dropping-particle":"","family":"Dunnebier","given":"W.","non-dropping-particle":"","parse-names":false,"suffix":""}],"container-title":"Bijdragen tot de Taal-, Land- en Volkenkunde","id":"ITEM-1","issue":"1","issued":{"date-parts":[["2013"]]},"title":"Over de Vorsten van Bolaang Mongondow","type":"article-journal","volume":"105"},"uris":["http://www.mendeley.com/documents/?uuid=d62be8f7-1a6e-3d42-ae82-973faba014be"]}],"mendeley":{"formattedCitation":"[34]","plainTextFormattedCitation":"[34]","previouslyFormattedCitation":"[34]"},"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[34]</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w:t>
      </w:r>
    </w:p>
    <w:p w14:paraId="2213F791" w14:textId="501543E7" w:rsid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In local traditions, the adaptation of religion and culture is represented through open arts between the noble class and traditional practices within the community. In ritual music, the adaptation of cultural practices undergoes a process of new meaning. Ritual practices that were initially monolithic then underwent an enculturation process between Islamic teachings and local culture, creating unique Islamic forms in the region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{"citationItems":[{"id":"ITEM-1","itemData":{"DOI":"10.1080/13639811003665397","ISSN":"13639811","abstract":"This article describes the spread of Islam in the Bolaang Mongondow region of the province of North Sulawesi and shows that religious conversion was an intermittent if ongoing process. It is characterised by changes very much along the lines of religious rationalisation in the Weberian sense including systematisation and codification of doctrine, building of formal institutions, professionalisation of the clergy and a universalistic claim to truth transcending ethnic and national boundaries. The emphasis on aspects of rationalisation also serves to shed more light on processes that run in the opposite direction since rationalisation of Islam facilitated the carving out of an increasingly separate sphere of popular beliefs and practices. I will refer to this sphere as folk beliefs in contrast to rationalised scriptural religions (in this case Islam) and the traditional local religion of Bolaang Mongondow, because folk beliefs include elements and adaptations of both religions but in markedly derationalised form. © 2010 Editors.","author":[{"dropping-particle":"","family":"Kosel","given":"Sven","non-dropping-particle":"","parse-names":false,"suffix":""}],"container-title":"Indonesia and the Malay World","id":"ITEM-1","issue":"110","issued":{"date-parts":[["2010"]]},"title":"The History of islam in bolaang mongondow, North Sulawesi: Rationalisation and derationalisation of religion","type":"article-journal","volume":"38"},"uris":["http://www.mendeley.com/documents/?uuid=fbdbb4b3-e907-3eb3-b4a1-d651fb02f4d7"]},{"id":"ITEM-2","itemData":{"author":[{"dropping-particle":"","family":"J.G.F. Riedel","given":"","non-dropping-particle":"","parse-names":false,"suffix":""}],"container-title":"Tijdschrift voor Indische Taal-, Land- en Volkenkunde","id":"ITEM-2","issued":{"date-parts":[["1864"]]},"page":"266-284","title":"Het landschap Bolaäng-Mongondow","type":"article-journal"},"uris":["http://www.mendeley.com/documents/?uuid=abe9adf5-b024-420a-bf37-e9baf5a19bfd"]}],"mendeley":{"formattedCitation":"[22], [26]","plainTextFormattedCitation":"[22], [26]","previouslyFormattedCitation":"[22], [26]"},"properties":{"noteIndex":0},"schema":"https://github.com/citation-style-language/schema/raw/master/csl-citation.json"}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[23], [27]</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 xml:space="preserve">. In the development of other cultural aspects, the language and literature of the local community undergo adjustments to some local terms in Islamic teachings. The use of symbols is also an interesting aspect for observing the adaptation of Islam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The mosque is an important part of the local community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where Islamic teachings are accepted through religious practices and as a center of Muslim civilization.</w:t>
      </w:r>
    </w:p>
    <w:p w14:paraId="75B1A2C4" w14:textId="0960C197" w:rsidR="00395D1C" w:rsidRDefault="00395D1C" w:rsidP="00395D1C">
      <w:pPr>
        <w:ind w:left="283" w:firstLine="284"/>
        <w:jc w:val="center"/>
        <w:rPr>
          <w:rFonts w:asciiTheme="majorHAnsi" w:eastAsia="Times New Roman" w:hAnsiTheme="majorHAnsi" w:cstheme="majorHAnsi"/>
          <w:sz w:val="20"/>
          <w:szCs w:val="20"/>
          <w:lang w:val="en-US" w:eastAsia="ko-KR"/>
        </w:rPr>
      </w:pPr>
      <w:r>
        <w:rPr>
          <w:noProof/>
        </w:rPr>
        <w:lastRenderedPageBreak/>
        <w:drawing>
          <wp:inline distT="0" distB="0" distL="0" distR="0" wp14:anchorId="5FEF8376" wp14:editId="4A47B1F2">
            <wp:extent cx="3289110" cy="2140874"/>
            <wp:effectExtent l="0" t="0" r="698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4249" cy="2144219"/>
                    </a:xfrm>
                    <a:prstGeom prst="rect">
                      <a:avLst/>
                    </a:prstGeom>
                    <a:noFill/>
                  </pic:spPr>
                </pic:pic>
              </a:graphicData>
            </a:graphic>
          </wp:inline>
        </w:drawing>
      </w:r>
    </w:p>
    <w:p w14:paraId="2D4162FB" w14:textId="77777777" w:rsidR="00395D1C" w:rsidRDefault="00395D1C" w:rsidP="00395D1C">
      <w:pPr>
        <w:ind w:left="283" w:firstLine="284"/>
        <w:jc w:val="center"/>
        <w:rPr>
          <w:rFonts w:asciiTheme="majorHAnsi" w:eastAsia="Times New Roman" w:hAnsiTheme="majorHAnsi" w:cstheme="majorHAnsi"/>
          <w:sz w:val="20"/>
          <w:szCs w:val="20"/>
          <w:lang w:val="en-US" w:eastAsia="ko-KR"/>
        </w:rPr>
      </w:pPr>
    </w:p>
    <w:p w14:paraId="63E859EE" w14:textId="7C72BBE7" w:rsidR="00395D1C" w:rsidRPr="00395D1C" w:rsidRDefault="00395D1C" w:rsidP="00395D1C">
      <w:pPr>
        <w:ind w:left="283" w:firstLine="284"/>
        <w:jc w:val="center"/>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eastAsia="ko-KR"/>
        </w:rPr>
        <w:t xml:space="preserve">Figure 1. The Maps of </w:t>
      </w:r>
      <w:proofErr w:type="spellStart"/>
      <w:r w:rsidRPr="00395D1C">
        <w:rPr>
          <w:rFonts w:asciiTheme="majorHAnsi" w:eastAsia="Times New Roman" w:hAnsiTheme="majorHAnsi" w:cstheme="majorHAnsi"/>
          <w:sz w:val="16"/>
          <w:szCs w:val="16"/>
          <w:lang w:eastAsia="ko-KR"/>
        </w:rPr>
        <w:t>Bolaang</w:t>
      </w:r>
      <w:proofErr w:type="spellEnd"/>
      <w:r w:rsidRPr="00395D1C">
        <w:rPr>
          <w:rFonts w:asciiTheme="majorHAnsi" w:eastAsia="Times New Roman" w:hAnsiTheme="majorHAnsi" w:cstheme="majorHAnsi"/>
          <w:sz w:val="16"/>
          <w:szCs w:val="16"/>
          <w:lang w:eastAsia="ko-KR"/>
        </w:rPr>
        <w:t xml:space="preserve"> </w:t>
      </w:r>
      <w:proofErr w:type="spellStart"/>
      <w:r w:rsidRPr="00395D1C">
        <w:rPr>
          <w:rFonts w:asciiTheme="majorHAnsi" w:eastAsia="Times New Roman" w:hAnsiTheme="majorHAnsi" w:cstheme="majorHAnsi"/>
          <w:sz w:val="16"/>
          <w:szCs w:val="16"/>
          <w:lang w:eastAsia="ko-KR"/>
        </w:rPr>
        <w:t>Mongondow</w:t>
      </w:r>
      <w:proofErr w:type="spellEnd"/>
      <w:r w:rsidRPr="00395D1C">
        <w:rPr>
          <w:rFonts w:asciiTheme="majorHAnsi" w:eastAsia="Times New Roman" w:hAnsiTheme="majorHAnsi" w:cstheme="majorHAnsi"/>
          <w:sz w:val="16"/>
          <w:szCs w:val="16"/>
          <w:lang w:eastAsia="ko-KR"/>
        </w:rPr>
        <w:fldChar w:fldCharType="begin" w:fldLock="1"/>
      </w:r>
      <w:r w:rsidRPr="00395D1C">
        <w:rPr>
          <w:rFonts w:asciiTheme="majorHAnsi" w:eastAsia="Times New Roman" w:hAnsiTheme="majorHAnsi" w:cstheme="majorHAnsi"/>
          <w:sz w:val="16"/>
          <w:szCs w:val="16"/>
          <w:lang w:eastAsia="ko-KR"/>
        </w:rPr>
        <w:instrText>ADDIN CSL_CITATION {"citationItems":[{"id":"ITEM-1","itemData":{"author":[{"dropping-particle":"","family":"C.L. Brinkman","given":"J.L. Beijeers","non-dropping-particle":"","parse-names":false,"suffix":""}],"id":"ITEM-1","issued":{"date-parts":[["0"]]},"number":"D B 56 3","title":"Schets van Bolaang Mongondow","type":"report"},"uris":["http://www.mendeley.com/documents/?uuid=bd8ab3d8-cf31-4110-ac68-dfdcbbf8e2a8"]}],"mendeley":{"formattedCitation":"[35]","plainTextFormattedCitation":"[35]","previouslyFormattedCitation":"[35]"},"properties":{"noteIndex":0},"schema":"https://github.com/citation-style-language/schema/raw/master/csl-citation.json"}</w:instrText>
      </w:r>
      <w:r w:rsidRPr="00395D1C">
        <w:rPr>
          <w:rFonts w:asciiTheme="majorHAnsi" w:eastAsia="Times New Roman" w:hAnsiTheme="majorHAnsi" w:cstheme="majorHAnsi"/>
          <w:sz w:val="16"/>
          <w:szCs w:val="16"/>
          <w:lang w:eastAsia="ko-KR"/>
        </w:rPr>
        <w:fldChar w:fldCharType="separate"/>
      </w:r>
      <w:r w:rsidRPr="00395D1C">
        <w:rPr>
          <w:rFonts w:asciiTheme="majorHAnsi" w:eastAsia="Times New Roman" w:hAnsiTheme="majorHAnsi" w:cstheme="majorHAnsi"/>
          <w:sz w:val="16"/>
          <w:szCs w:val="16"/>
          <w:lang w:eastAsia="ko-KR"/>
        </w:rPr>
        <w:t>[23]</w:t>
      </w:r>
      <w:r w:rsidRPr="00395D1C">
        <w:rPr>
          <w:rFonts w:asciiTheme="majorHAnsi" w:eastAsia="Times New Roman" w:hAnsiTheme="majorHAnsi" w:cstheme="majorHAnsi"/>
          <w:sz w:val="16"/>
          <w:szCs w:val="16"/>
          <w:lang w:val="en-US" w:eastAsia="ko-KR"/>
        </w:rPr>
        <w:fldChar w:fldCharType="end"/>
      </w:r>
    </w:p>
    <w:p w14:paraId="2C2379C2" w14:textId="77777777" w:rsidR="00395D1C" w:rsidRPr="00471CCE" w:rsidRDefault="00395D1C" w:rsidP="00395D1C">
      <w:pPr>
        <w:ind w:left="283" w:firstLine="284"/>
        <w:jc w:val="both"/>
        <w:rPr>
          <w:rFonts w:asciiTheme="majorHAnsi" w:eastAsia="Times New Roman" w:hAnsiTheme="majorHAnsi" w:cstheme="majorHAnsi"/>
          <w:sz w:val="14"/>
          <w:szCs w:val="14"/>
          <w:lang w:val="en-US" w:eastAsia="ko-KR"/>
        </w:rPr>
      </w:pPr>
    </w:p>
    <w:p w14:paraId="4331D40F"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In the broader context, Islamic civilization and culture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Mongonodow</w:t>
      </w:r>
      <w:proofErr w:type="spellEnd"/>
      <w:r w:rsidRPr="00395D1C">
        <w:rPr>
          <w:rFonts w:asciiTheme="majorHAnsi" w:eastAsia="Times New Roman" w:hAnsiTheme="majorHAnsi" w:cstheme="majorHAnsi"/>
          <w:sz w:val="20"/>
          <w:szCs w:val="20"/>
          <w:lang w:val="en-US" w:eastAsia="ko-KR"/>
        </w:rPr>
        <w:t xml:space="preserve">, which are intangible, have developed concurrently with tangible culture. Civilization, in the form of tangible culture, then becomes archaeological evidence of the fusion of religious ideologies and local community thought. This mainstreaming can manifest in visual forms, such as objects or even buildings adorned with various religious symbols.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besides the mosque as a symbol of Islamic civilization in tangible culture, graves and tombs also become integrated parts of religious thought, especially Islam. Despite the ambiguity of when the first mosque was established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historical records indicate that the influence of Islam developed concurrently with the Christianization mission around the 19th to 20th centuries. This influence strengthens the presence of places of worship that serve as markers of Muslim community entities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and influence kinship relations. According to records, the mosque becomes a central part of the rulers of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identified as a symbol of political-religious power. A mosque is estimated to have been built in 1876 in </w:t>
      </w:r>
      <w:proofErr w:type="spellStart"/>
      <w:r w:rsidRPr="00395D1C">
        <w:rPr>
          <w:rFonts w:asciiTheme="majorHAnsi" w:eastAsia="Times New Roman" w:hAnsiTheme="majorHAnsi" w:cstheme="majorHAnsi"/>
          <w:sz w:val="20"/>
          <w:szCs w:val="20"/>
          <w:lang w:val="en-US" w:eastAsia="ko-KR"/>
        </w:rPr>
        <w:t>Kotabangon</w:t>
      </w:r>
      <w:proofErr w:type="spellEnd"/>
      <w:r w:rsidRPr="00395D1C">
        <w:rPr>
          <w:rFonts w:asciiTheme="majorHAnsi" w:eastAsia="Times New Roman" w:hAnsiTheme="majorHAnsi" w:cstheme="majorHAnsi"/>
          <w:sz w:val="20"/>
          <w:szCs w:val="20"/>
          <w:lang w:val="en-US" w:eastAsia="ko-KR"/>
        </w:rPr>
        <w:t xml:space="preserve"> and has since become an important part of Islamic development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By the third decade, one of the important mosques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was the Al-Huda Mosque, which, according to reports, was built around 1926. This is reinforced by reports that the influence of the 'followers of Muhammad's teachings' contributed to the development of society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{"citationItems":[{"id":"ITEM-1","itemData":{"DOI":"10.1080/13639811003665397","ISSN":"13639811","abstract":"This article describes the spread of Islam in the Bolaang Mongondow region of the province of North Sulawesi and shows that religious conversion was an intermittent if ongoing process. It is characterised by changes very much along the lines of religious rationalisation in the Weberian sense including systematisation and codification of doctrine, building of formal institutions, professionalisation of the clergy and a universalistic claim to truth transcending ethnic and national boundaries. The emphasis on aspects of rationalisation also serves to shed more light on processes that run in the opposite direction since rationalisation of Islam facilitated the carving out of an increasingly separate sphere of popular beliefs and practices. I will refer to this sphere as folk beliefs in contrast to rationalised scriptural religions (in this case Islam) and the traditional local religion of Bolaang Mongondow, because folk beliefs include elements and adaptations of both religions but in markedly derationalised form. © 2010 Editors.","author":[{"dropping-particle":"","family":"Kosel","given":"Sven","non-dropping-particle":"","parse-names":false,"suffix":""}],"container-title":"Indonesia and the Malay World","id":"ITEM-1","issue":"110","issued":{"date-parts":[["2010"]]},"title":"The History of islam in bolaang mongondow, North Sulawesi: Rationalisation and derationalisation of religion","type":"article-journal","volume":"38"},"uris":["http://www.mendeley.com/documents/?uuid=fbdbb4b3-e907-3eb3-b4a1-d651fb02f4d7"]}],"mendeley":{"formattedCitation":"[22]","plainTextFormattedCitation":"[22]","previouslyFormattedCitation":"[22]"},"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[23]</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w:t>
      </w:r>
    </w:p>
    <w:p w14:paraId="69A11AF7"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In addition to buildings and religious symbols that influence the Muslim community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Islamic thought has also developed significantly through educational channels. The making of the strengthens of the development of Islamic education with the emergence of schools intended by the 'Dutch East Indies' community</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{"citationItems":[{"id":"ITEM-1","itemData":{"DOI":"10.21043/addin.v14i2.3624","ISSN":"0854-0594","abstract":"This article shed light on an archaeological study about the spread of Islam in the land of Minahasa of North Sulawesi Province. As the biggest ethnic group living in North Sulawesi Province, most of its people are Christians. Islam arrival in Minahasa carried by Arab traders, &lt;em&gt;habaib&lt;/em&gt; from Hadramaut, and political prisoners (Kiai Modjo, Tuanku Imam Bondjol, Kiai Ahmad Rivai, and Tubagus Buang). As a discipline with a focus on ancient cultural heritage, archaeology works based on the material culture taking the form of artifacts, ecofacts, or features. This study enables an investigation on Islamic history in Minahasa based existing physical cultural. The archaeological study on the history of spread of Islam in Minahasa is of novelty since the previous researches of the same topic were mostly conducted through manuscript and archive study. The result of the field observation reveals that the influence of Islamic culture in Minahasa comprises of some Islamic settlements, mosques, and Islamic cemetery. The influence of Islamic culture in Minahasa has a different character between coastal and inland areas.","author":[{"dropping-particle":"","family":"Marzuki","given":"Irfanuddin Wahid","non-dropping-particle":"","parse-names":false,"suffix":""}],"container-title":"ADDIN","id":"ITEM-1","issue":"2","issued":{"date-parts":[["2020"]]},"title":"Archaeological Study of Islamic History in Minahasa","type":"article-journal","volume":"14"},"uris":["http://www.mendeley.com/documents/?uuid=5449b1f3-f8ec-3ca8-8bd8-c0c3923c72dd"]}],"mendeley":{"formattedCitation":"[36]","plainTextFormattedCitation":"[36]","previouslyFormattedCitation":"[36]"},"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[36]</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 xml:space="preserve">. Furthermore, education became an indispensable part of the government. This is shown because the rulers of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at that time chose Islamic teachings as part of their lives. Therefore, it is not exaggerated to consider education as one of the symbols that strengthen the position of the Muslim community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eastAsia="Times New Roman" w:hAnsiTheme="majorHAnsi" w:cstheme="majorHAnsi"/>
          <w:sz w:val="20"/>
          <w:szCs w:val="20"/>
          <w:lang w:val="en-US" w:eastAsia="ko-KR"/>
        </w:rPr>
        <w:softHyphen/>
        <w:instrText>tured in the bureaucracy of the royal government (top down). This paper is a historical writing, using the historical method; heuristics, cri</w:instrText>
      </w:r>
      <w:r w:rsidRPr="00395D1C">
        <w:rPr>
          <w:rFonts w:asciiTheme="majorHAnsi" w:eastAsia="Times New Roman" w:hAnsiTheme="majorHAnsi" w:cstheme="majorHAnsi"/>
          <w:sz w:val="20"/>
          <w:szCs w:val="20"/>
          <w:lang w:val="en-US" w:eastAsia="ko-KR"/>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eastAsia="Times New Roman" w:hAnsiTheme="majorHAnsi" w:cstheme="majorHAnsi"/>
          <w:sz w:val="20"/>
          <w:szCs w:val="20"/>
          <w:lang w:val="en-US" w:eastAsia="ko-KR"/>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eastAsia="Times New Roman" w:hAnsiTheme="majorHAnsi" w:cstheme="majorHAnsi"/>
          <w:sz w:val="20"/>
          <w:szCs w:val="20"/>
          <w:lang w:val="en-US" w:eastAsia="ko-KR"/>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eastAsia="Times New Roman" w:hAnsiTheme="majorHAnsi" w:cstheme="majorHAnsi"/>
          <w:sz w:val="20"/>
          <w:szCs w:val="20"/>
          <w:lang w:val="en-US" w:eastAsia="ko-KR"/>
        </w:rPr>
        <w:softHyphen/>
        <w:instrText>nya Islam. Dinamika Islamisasi di Bolaang Mongondow Utara yang pen</w:instrText>
      </w:r>
      <w:r w:rsidRPr="00395D1C">
        <w:rPr>
          <w:rFonts w:asciiTheme="majorHAnsi" w:eastAsia="Times New Roman" w:hAnsiTheme="majorHAnsi" w:cstheme="majorHAnsi"/>
          <w:sz w:val="20"/>
          <w:szCs w:val="20"/>
          <w:lang w:val="en-US" w:eastAsia="ko-KR"/>
        </w:rPr>
        <w:softHyphen/>
        <w:instrText>ting dicatat diantaranya: pada mulanya Islamisasi di wilayah Bolaang Mongondow Utara melalui j…","author":[{"dropping-particle":"","family":"Tungkagi","given":"Donald Qomaidiansyah","non-dropping-particle":"","parse-names":false,"suffix":""}],"container-title":"Jurnal Lektur Keagamaan","id":"ITEM-1","issue":"2","issued":{"date-parts":[["2020"]]},"title":"Islam di Bolaang Mongondow Utara, Sulawesi Utara: Dinamika Islamisasi di Kerajaan Kaidipang Besar dan Bintauna Abad ke-7-19 M","type":"article-journal","volume":"17"},"uris":["http://www.mendeley.com/documents/?uuid=856c546c-837e-3c80-ad66-07afa4b2559e"]}],"mendeley":{"formattedCitation":"[8]","plainTextFormattedCitation":"[8]","previouslyFormattedCitation":"[8]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[8]</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w:t>
      </w:r>
    </w:p>
    <w:p w14:paraId="64945590"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This development is inseparable from the emergence of </w:t>
      </w:r>
      <w:proofErr w:type="spellStart"/>
      <w:r w:rsidRPr="00395D1C">
        <w:rPr>
          <w:rFonts w:asciiTheme="majorHAnsi" w:eastAsia="Times New Roman" w:hAnsiTheme="majorHAnsi" w:cstheme="majorHAnsi"/>
          <w:sz w:val="20"/>
          <w:szCs w:val="20"/>
          <w:lang w:val="en-US" w:eastAsia="ko-KR"/>
        </w:rPr>
        <w:t>Jogogu</w:t>
      </w:r>
      <w:proofErr w:type="spellEnd"/>
      <w:r w:rsidRPr="00395D1C">
        <w:rPr>
          <w:rFonts w:asciiTheme="majorHAnsi" w:eastAsia="Times New Roman" w:hAnsiTheme="majorHAnsi" w:cstheme="majorHAnsi"/>
          <w:sz w:val="20"/>
          <w:szCs w:val="20"/>
          <w:lang w:val="en-US" w:eastAsia="ko-KR"/>
        </w:rPr>
        <w:t xml:space="preserve">, Kadi, or Imams appointed by rulers from the 'Arab' community. In the political life practices in the Nusantara </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{"citationItems":[{"id":"ITEM-1","itemData":{"DOI":"10.1017/s0021911805001373","ISSN":"0021-9118","author":[{"dropping-particle":"","family":"Laffan","given":"M. F.","non-dropping-particle":"","parse-names":false,"suffix":""}],"container-title":"The Journal of Asian Studies","id":"ITEM-1","issue":"2","issued":{"date-parts":[["2005"]]},"title":"The Origins of Islamic Reformism in Southeast Asia: Networks of Malay-Indonesian and Middle Eastern “Ulamā” in the Seventeenth and Eighteenth Centuries. By Azyumardi Azra.Asian Studies Association of Australia Publication Series. Crows Nest, NSW: Allen and Unwin; Honolulu: University of Hawai'i Press, 2004. xi, 254 pp. $45.00 (cloth). A$35.00 (paper)","type":"article-journal","volume":"64"},"uris":["http://www.mendeley.com/documents/?uuid=eb263f02-2640-336b-86f8-25fafc2af5d6"]},{"id":"ITEM-2","itemData":{"DOI":"10.1163/9789004491946_023","author":[{"dropping-particle":"","family":"Farid Alatas","given":"Syed","non-dropping-particle":"","parse-names":false,"suffix":""},{"dropping-particle":"","family":"Azra","given":"Azyumardi","non-dropping-particle":"","parse-names":false,"suffix":""},{"dropping-particle":"","family":"Boxberger","given":"Linda","non-dropping-particle":"","parse-names":false,"suffix":""},{"dropping-particle":"","family":"Camelin","given":"Sylvaine","non-dropping-particle":"","parse-names":false,"suffix":""},{"dropping-particle":"","family":"Clarence-Smith","given":"William","non-dropping-particle":"","parse-names":false,"suffix":""},{"dropping-particle":"","family":"Dale","given":"Stephen","non-dropping-particle":"","parse-names":false,"suffix":""},{"dropping-particle":"","family":"Ewald","given":"Janes","non-dropping-particle":"","parse-names":false,"suffix":""},{"dropping-particle":"","family":"Freitag","given":"Ulrike","non-dropping-particle":"","parse-names":false,"suffix":""},{"dropping-particle":"","family":"Hartwig","given":"Friedhelm","non-dropping-particle":"","parse-names":false,"suffix":""},{"dropping-particle":"","family":"Ho","given":"Engseng","non-dropping-particle":"","parse-names":false,"suffix":""},{"dropping-particle":"","family":"Jonge","given":"M.","non-dropping-particle":"de","parse-names":false,"suffix":""},{"dropping-particle":"","family":"Khalidi","given":"Omar","non-dropping-particle":"","parse-names":false,"suffix":""},{"dropping-particle":"","family":"Knysh","given":"Alexander","non-dropping-particle":"","parse-names":false,"suffix":""},{"dropping-particle":"","family":"Guennec-Coppens","given":"Françoise","non-dropping-particle":"Le","parse-names":false,"suffix":""},{"dropping-particle":"","family":"Lekon","given":"Christian","non-dropping-particle":"","parse-names":false,"suffix":""},{"dropping-particle":"","family":"Mandal","given":"Sumit","non-dropping-particle":"","parse-names":false,"suffix":""},{"dropping-particle":"","family":"Mobini-Kesheh","given":"Natalie","non-dropping-particle":"","parse-names":false,"suffix":""},{"dropping-particle":"","family":"Redzuan Othman","given":"Mohammad","non-dropping-particle":"","parse-names":false,"suffix":""},{"dropping-particle":"","family":"Riddell","given":"Peter","non-dropping-particle":"","parse-names":false,"suffix":""}],"container-title":"Hadhrami Traders, Scholars and Statesmen in the Indian Ocean, 1750s-1960s","id":"ITEM-2","issued":{"date-parts":[["2021"]]},"title":"Hadhrami Entrepreneurs in the Malay World, c. 1750 tO c. 1940","type":"chapter"},"uris":["http://www.mendeley.com/documents/?uuid=a4ece824-37dd-3ec8-ab5d-544e90225f63"]},{"id":"ITEM-3","itemData":{"DOI":"10.1163/9789004491946_005","abstract":"This volume covers the long neglected history of Hadhramaut (southern Arabia) during the modern colonial era, together with the history of Hadhrami colonies\" in the Malay world, southern India, the Red Sea, and East Africa.After an introduction placing Hadhramis in the context of other diasporas, there are sections on local and international politics, social stratification and integration, religious and social reform, and economic dynamics. The conclusion brings the story to the present day and outlines a research agenda.Many aspects of Indian Ocean history are illuminated by this book, notably the role of non-Western merchants in the spread of capitalism, Islamisation and the controversies which raged within Islam, British and Ottoman strategic concerns, social antagonisms in southern Arabia, and the cosmopolitan character of coastal societies.\"","author":[{"dropping-particle":"","family":"Farid Alatas","given":"Syed","non-dropping-particle":"","parse-names":false,"suffix":""},{"dropping-particle":"","family":"Azra","given":"Azyumardi","non-dropping-particle":"","parse-names":false,"suffix":""},{"dropping-particle":"","family":"Boxberger","given":"Linda","non-dropping-particle":"","parse-names":false,"suffix":""},{"dropping-particle":"","family":"Camelin","given":"Sylvaine","non-dropping-particle":"","parse-names":false,"suffix":""},{"dropping-particle":"","family":"Clarence-Smith","given":"William","non-dropping-particle":"","parse-names":false,"suffix":""},{"dropping-particle":"","family":"Dale","given":"Stephen","non-dropping-particle":"","parse-names":false,"suffix":""},{"dropping-particle":"","family":"Ewald","given":"Janes","non-dropping-particle":"","parse-names":false,"suffix":""},{"dropping-particle":"","family":"Freitag","given":"Ulrike","non-dropping-particle":"","parse-names":false,"suffix":""},{"dropping-particle":"","family":"Hartwig","given":"Friedhelm","non-dropping-particle":"","parse-names":false,"suffix":""},{"dropping-particle":"","family":"Ho","given":"Engseng","non-dropping-particle":"","parse-names":false,"suffix":""},{"dropping-particle":"","family":"Jonge","given":"M.","non-dropping-particle":"de","parse-names":false,"suffix":""},{"dropping-particle":"","family":"Khalidi","given":"Omar","non-dropping-particle":"","parse-names":false,"suffix":""},{"dropping-particle":"","family":"Knysh","given":"Alexander","non-dropping-particle":"","parse-names":false,"suffix":""},{"dropping-particle":"","family":"Guennec-Coppens","given":"Françoise","non-dropping-particle":"Le","parse-names":false,"suffix":""},{"dropping-particle":"","family":"Lekon","given":"Christian","non-dropping-particle":"","parse-names":false,"suffix":""},{"dropping-particle":"","family":"Mandal","given":"Sumit","non-dropping-particle":"","parse-names":false,"suffix":""},{"dropping-particle":"","family":"Mobini-Kesheh","given":"Natalie","non-dropping-particle":"","parse-names":false,"suffix":""},{"dropping-particle":"","family":"Redzuan Othman","given":"Mohammad","non-dropping-particle":"","parse-names":false,"suffix":""},{"dropping-particle":"","family":"Riddell","given":"Peter","non-dropping-particle":"","parse-names":false,"suffix":""}],"container-title":"Hadhrami Traders, Scholars and Statesmen in the Indian Ocean, 1750s-1960s","id":"ITEM-3","issued":{"date-parts":[["2021"]]},"title":"Hadhramaut and the Hadhrami Diaspora: Problems in Theoretical History","type":"chapter"},"uris":["http://www.mendeley.com/documents/?uuid=42904f3b-71c6-376b-89ea-4945b5f26c54"]}],"mendeley":{"formattedCitation":"[4], [37], [38]","plainTextFormattedCitation":"[4], [37], [38]","previouslyFormattedCitation":"[4], [37], [38]"},"properties":{"noteIndex":0},"schema":"https://github.com/citation-style-language/schema/raw/master/csl-citation.json"}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[4], [37], [38]</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 xml:space="preserve">.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this practice strengthens the king's position, enabling him to legitimize rules that balance local law and Islamic teachings, thereby facilitating the acceptance of cultural-Islamic acculturation within the community. The </w:t>
      </w:r>
      <w:r w:rsidRPr="00395D1C">
        <w:rPr>
          <w:rFonts w:asciiTheme="majorHAnsi" w:eastAsia="Times New Roman" w:hAnsiTheme="majorHAnsi" w:cstheme="majorHAnsi"/>
          <w:i/>
          <w:iCs/>
          <w:sz w:val="20"/>
          <w:szCs w:val="20"/>
          <w:lang w:val="en-US" w:eastAsia="ko-KR"/>
        </w:rPr>
        <w:t>Kadi</w:t>
      </w:r>
      <w:r w:rsidRPr="00395D1C">
        <w:rPr>
          <w:rFonts w:asciiTheme="majorHAnsi" w:eastAsia="Times New Roman" w:hAnsiTheme="majorHAnsi" w:cstheme="majorHAnsi"/>
          <w:sz w:val="20"/>
          <w:szCs w:val="20"/>
          <w:lang w:val="en-US" w:eastAsia="ko-KR"/>
        </w:rPr>
        <w:t xml:space="preserve">, Imam, and religious leaders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are the highest authority for interpreting and applying Islamic teachings to their adherents. This practice can respond to integrating local traditions and Islamic teachings in a contextualized way.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society, various practices across rituals, cultures, and community views combine Islamic teachings with local culture. Therefore, through this process, the legitimacy of rulers, kings, and religious advisors, imams or qadis, becomes reinforcement in the position of rulers who, in the view of the Muslim community of the Nusantara, are seen as a 'gentle' approach to religious teachings</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{"citationItems":[{"id":"ITEM-1","itemData":{"DOI":"10.31291/jlk.v17i2.747","ISSN":"1693-7139","abstract":"The position of North Bolaang Mongondow is very strategic for trade routes as a former coastal kingdom region. Even this area is included in the spice routes to Maluku as the center of the Islamic kingdom in the eastern archipelago. The dynamics of Islamization in North Bolaang Mongondow occur through various channels of Islamization, the most striking is the influence of the trade route in the Sulawesi Sea region and its relations with the tetanga kingdoms, especially the Sultanate of Ternate. Unlike other regions, Catholicism became the religion of the kings in the North Bolaang Mongondow region before the entry of Islam. The important dynamics of Islamization in North Bolaang Mongondow are: in the beginning Islamization in the North Bolaang Mongondow region was bottom up, and from the 17th to the 19th centuries it was struc</w:instrText>
      </w:r>
      <w:r w:rsidRPr="00395D1C">
        <w:rPr>
          <w:rFonts w:asciiTheme="majorHAnsi" w:eastAsia="Times New Roman" w:hAnsiTheme="majorHAnsi" w:cstheme="majorHAnsi"/>
          <w:sz w:val="20"/>
          <w:szCs w:val="20"/>
          <w:lang w:val="en-US" w:eastAsia="ko-KR"/>
        </w:rPr>
        <w:softHyphen/>
        <w:instrText>tured in the bureaucracy of the royal government (top down). This paper is a historical writing, using the historical method; heuristics, cri</w:instrText>
      </w:r>
      <w:r w:rsidRPr="00395D1C">
        <w:rPr>
          <w:rFonts w:asciiTheme="majorHAnsi" w:eastAsia="Times New Roman" w:hAnsiTheme="majorHAnsi" w:cstheme="majorHAnsi"/>
          <w:sz w:val="20"/>
          <w:szCs w:val="20"/>
          <w:lang w:val="en-US" w:eastAsia="ko-KR"/>
        </w:rPr>
        <w:softHyphen/>
        <w:instrText>ticisms, interpretations, and historiography that are qualitative-analysis and are able to show a series of Islamization processes that took place in North Bolaang Mongondow in the 17th century to the 19th century. The results of this study indicate that the influence of Islam begins with the trade net</w:instrText>
      </w:r>
      <w:r w:rsidRPr="00395D1C">
        <w:rPr>
          <w:rFonts w:asciiTheme="majorHAnsi" w:eastAsia="Times New Roman" w:hAnsiTheme="majorHAnsi" w:cstheme="majorHAnsi"/>
          <w:sz w:val="20"/>
          <w:szCs w:val="20"/>
          <w:lang w:val="en-US" w:eastAsia="ko-KR"/>
        </w:rPr>
        <w:softHyphen/>
        <w:instrText>work in the Sulawesi Sea region, for traders who connect to Maluku as a pattern of Islamization. This network has an impact on social change in North Bolaang Mongondow which occurred in the 17th century until the 19th century since the first time Islam’s encounter with the kingdoms in the northern coast of the Sulawesi Sea peninsula was tracked.Keywords: Islamization, Sulawesi Sea, Kaidipang Besar, Bintauna, North Bolaang Mongondow Sebagai wilayah bekas kerajaan pesisir, posisi Bolaang Mongondow Utara sangat strategis untuk rute perdagangan. Bahkan wilayah ini ter</w:instrText>
      </w:r>
      <w:r w:rsidRPr="00395D1C">
        <w:rPr>
          <w:rFonts w:asciiTheme="majorHAnsi" w:eastAsia="Times New Roman" w:hAnsiTheme="majorHAnsi" w:cstheme="majorHAnsi"/>
          <w:sz w:val="20"/>
          <w:szCs w:val="20"/>
          <w:lang w:val="en-US" w:eastAsia="ko-KR"/>
        </w:rPr>
        <w:softHyphen/>
        <w:instrText>masuk dalam jalur rempah-rempah (spice routes) menuju Maluku sebagai pusat kerajaan Islam di bagian timur Nusantara. Dinamika Islamisasi di Bolaang Mongondow Utara terjadi melalui berbagai saluran Islamisasi, yang paling mencolok adalah pengaruh jalur niaga di kawasan Laut Sulawesi dan serta hubungan dengan kerajaan-kerajaan tetanga, terutama Kesultanan Ternate. Berbeda dengan daerah lain, agama Katolik menjadi agama raja-raja di wilayah Bolaang Mongondow Utara sebelum masuk</w:instrText>
      </w:r>
      <w:r w:rsidRPr="00395D1C">
        <w:rPr>
          <w:rFonts w:asciiTheme="majorHAnsi" w:eastAsia="Times New Roman" w:hAnsiTheme="majorHAnsi" w:cstheme="majorHAnsi"/>
          <w:sz w:val="20"/>
          <w:szCs w:val="20"/>
          <w:lang w:val="en-US" w:eastAsia="ko-KR"/>
        </w:rPr>
        <w:softHyphen/>
        <w:instrText>nya Islam. Dinamika Islamisasi di Bolaang Mongondow Utara yang pen</w:instrText>
      </w:r>
      <w:r w:rsidRPr="00395D1C">
        <w:rPr>
          <w:rFonts w:asciiTheme="majorHAnsi" w:eastAsia="Times New Roman" w:hAnsiTheme="majorHAnsi" w:cstheme="majorHAnsi"/>
          <w:sz w:val="20"/>
          <w:szCs w:val="20"/>
          <w:lang w:val="en-US" w:eastAsia="ko-KR"/>
        </w:rPr>
        <w:softHyphen/>
        <w:instrText>ting dicatat diantaranya: pada mulanya Islamisasi di wilayah Bolaang Mongondow Utara melalui j…","author":[{"dropping-particle":"","family":"Tungkagi","given":"Donald Qomaidiansyah","non-dropping-particle":"","parse-names":false,"suffix":""}],"container-title":"Jurnal Lektur Keagamaan","id":"ITEM-1","issue":"2","issued":{"date-parts":[["2020"]]},"title":"Islam di Bolaang Mongondow Utara, Sulawesi Utara: Dinamika Islamisasi di Kerajaan Kaidipang Besar dan Bintauna Abad ke-7-19 M","type":"article-journal","volume":"17"},"uris":["http://www.mendeley.com/documents/?uuid=856c546c-837e-3c80-ad66-07afa4b2559e"]}],"mendeley":{"formattedCitation":"[8]","plainTextFormattedCitation":"[8]","previouslyFormattedCitation":"[8]"},"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[8]</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 xml:space="preserve">. The development of Islamic civilization and culture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has progressed well in conjunction with the community's understanding of applying the rules of Islamic teachings. Ancestors' symbols undergo a process of adjustment to Islamic teachings so that the community accepts them peacefully.</w:t>
      </w:r>
    </w:p>
    <w:p w14:paraId="7BE3510E" w14:textId="29A35B5E" w:rsid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Specifically, Islamic civilization, as expressed through symbols and artifacts, can be strengthened through Islamic-identified buildings, especially mosques, prayer rooms, Islamic schools, and graves and tombstones.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especially in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Besar, evidence of Islamic civilization can be found at the Jere and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Sites. These sites serve as strong evidence indicating the influence of Islamization that developed in the lives of the people of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w:t>
      </w:r>
    </w:p>
    <w:p w14:paraId="3E5434A5" w14:textId="302AEF7E" w:rsidR="00395D1C" w:rsidRDefault="00395D1C" w:rsidP="00395D1C">
      <w:pPr>
        <w:pStyle w:val="ListParagraph"/>
        <w:numPr>
          <w:ilvl w:val="1"/>
          <w:numId w:val="2"/>
        </w:numPr>
        <w:ind w:left="567" w:hanging="284"/>
        <w:jc w:val="both"/>
        <w:rPr>
          <w:rFonts w:asciiTheme="minorHAnsi" w:hAnsiTheme="minorHAnsi" w:cstheme="minorHAnsi"/>
          <w:b/>
          <w:bCs/>
          <w:sz w:val="18"/>
          <w:szCs w:val="18"/>
        </w:rPr>
      </w:pPr>
      <w:r w:rsidRPr="00395D1C">
        <w:rPr>
          <w:rFonts w:asciiTheme="minorHAnsi" w:hAnsiTheme="minorHAnsi" w:cstheme="minorHAnsi"/>
          <w:b/>
          <w:bCs/>
          <w:sz w:val="18"/>
          <w:szCs w:val="18"/>
        </w:rPr>
        <w:lastRenderedPageBreak/>
        <w:t xml:space="preserve">THE HERITAGE OF ISLAM IN BOLAANG MONGONDOW: AN ANALYZE OF THE GRAVESTONE </w:t>
      </w:r>
    </w:p>
    <w:p w14:paraId="4C6B1A42"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Uka </w:t>
      </w:r>
      <w:proofErr w:type="spellStart"/>
      <w:r w:rsidRPr="00395D1C">
        <w:rPr>
          <w:rFonts w:asciiTheme="majorHAnsi" w:eastAsia="Times New Roman" w:hAnsiTheme="majorHAnsi" w:cstheme="majorHAnsi"/>
          <w:sz w:val="20"/>
          <w:szCs w:val="20"/>
          <w:lang w:val="en-US" w:eastAsia="ko-KR"/>
        </w:rPr>
        <w:t>Tjandrasasmita</w:t>
      </w:r>
      <w:proofErr w:type="spellEnd"/>
      <w:r w:rsidRPr="00395D1C">
        <w:rPr>
          <w:rFonts w:asciiTheme="majorHAnsi" w:eastAsia="Times New Roman" w:hAnsiTheme="majorHAnsi" w:cstheme="majorHAnsi"/>
          <w:sz w:val="20"/>
          <w:szCs w:val="20"/>
          <w:lang w:val="en-US" w:eastAsia="ko-KR"/>
        </w:rPr>
        <w:t xml:space="preserve"> provides insight into the process of Islamization in the Malay Archipelago, which can be traced not only through patterns and channels but also through the material civilization of the society at that time</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{"citationItems":[{"id":"ITEM-1","itemData":{"author":[{"dropping-particle":"","family":"Uka Tjandrasasmita","given":"","non-dropping-particle":"","parse-names":false,"suffix":""}],"edition":"I","id":"ITEM-1","issued":{"date-parts":[["2009"]]},"number-of-pages":"370","publisher":"Kepustakaan Populer Gramedia bekerja sama dengan École française d'Extrême-Orient dan Fakultas Adab dan Humaniora UIN Syarif Hidayatullah","publisher-place":"Jakarta, Indonesia","title":"Arkeologi Islam Nusantara","type":"book"},"uris":["http://www.mendeley.com/documents/?uuid=c14c56a0-978d-467a-8bcb-eadc92ce9c06"]}],"mendeley":{"formattedCitation":"[16]","plainTextFormattedCitation":"[16]","previouslyFormattedCitation":"[16]"},"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[16]</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 This view is further supported by the fact that material cultural outcomes indicate the intersection of Islam and local society, resulting in the inheritance of artifact culture. In the study of material culture, particularly the heritage of Islamic civilization, it is interesting to examine the form of gravestones that mark the occurrence of transitional processes in thought, technology, and culture of the community through changes adapted with Islamic ideas</w:t>
      </w:r>
      <w:r w:rsidRPr="00395D1C">
        <w:rPr>
          <w:rFonts w:asciiTheme="majorHAnsi" w:eastAsia="Times New Roman" w:hAnsiTheme="majorHAnsi" w:cstheme="majorHAnsi"/>
          <w:sz w:val="20"/>
          <w:szCs w:val="20"/>
          <w:lang w:val="en-US" w:eastAsia="ko-KR"/>
        </w:rPr>
        <w:fldChar w:fldCharType="begin" w:fldLock="1"/>
      </w:r>
      <w:r w:rsidRPr="00395D1C">
        <w:rPr>
          <w:rFonts w:asciiTheme="majorHAnsi" w:eastAsia="Times New Roman" w:hAnsiTheme="majorHAnsi" w:cstheme="majorHAnsi"/>
          <w:sz w:val="20"/>
          <w:szCs w:val="20"/>
          <w:lang w:val="en-US" w:eastAsia="ko-KR"/>
        </w:rPr>
        <w:instrText>ADDIN CSL_CITATION {"citationItems":[{"id":"ITEM-1","itemData":{"DOI":"10.1163/9789004454170_005","author":[{"dropping-particle":"","family":"Ambary","given":"Hasan Muarif","non-dropping-particle":"","parse-names":false,"suffix":""}],"container-title":"Cultural Contact and Textual Interpretation","id":"ITEM-1","issued":{"date-parts":[["2021"]]},"title":"Epigraphical Data from 17th-19th Century Muslim Graves in East Java","type":"chapter"},"uris":["http://www.mendeley.com/documents/?uuid=b71c330d-adcd-35d4-ac9f-7d892046ba99"]}],"mendeley":{"formattedCitation":"[39]","plainTextFormattedCitation":"[39]","previouslyFormattedCitation":"[39]"},"properties":{"noteIndex":0},"schema":"https://github.com/citation-style-language/schema/raw/master/csl-citation.json"}</w:instrText>
      </w:r>
      <w:r w:rsidRPr="00395D1C">
        <w:rPr>
          <w:rFonts w:asciiTheme="majorHAnsi" w:eastAsia="Times New Roman" w:hAnsiTheme="majorHAnsi" w:cstheme="majorHAnsi"/>
          <w:sz w:val="20"/>
          <w:szCs w:val="20"/>
          <w:lang w:val="en-US" w:eastAsia="ko-KR"/>
        </w:rPr>
        <w:fldChar w:fldCharType="separate"/>
      </w:r>
      <w:r w:rsidRPr="00395D1C">
        <w:rPr>
          <w:rFonts w:asciiTheme="majorHAnsi" w:eastAsia="Times New Roman" w:hAnsiTheme="majorHAnsi" w:cstheme="majorHAnsi"/>
          <w:sz w:val="20"/>
          <w:szCs w:val="20"/>
          <w:lang w:val="en-US" w:eastAsia="ko-KR"/>
        </w:rPr>
        <w:t>[39]</w:t>
      </w:r>
      <w:r w:rsidRPr="00395D1C">
        <w:rPr>
          <w:rFonts w:asciiTheme="majorHAnsi" w:eastAsia="Times New Roman" w:hAnsiTheme="majorHAnsi" w:cstheme="majorHAnsi"/>
          <w:sz w:val="20"/>
          <w:szCs w:val="20"/>
          <w:lang w:val="en-US" w:eastAsia="ko-KR"/>
        </w:rPr>
        <w:fldChar w:fldCharType="end"/>
      </w:r>
      <w:r w:rsidRPr="00395D1C">
        <w:rPr>
          <w:rFonts w:asciiTheme="majorHAnsi" w:eastAsia="Times New Roman" w:hAnsiTheme="majorHAnsi" w:cstheme="majorHAnsi"/>
          <w:sz w:val="20"/>
          <w:szCs w:val="20"/>
          <w:lang w:val="en-US" w:eastAsia="ko-KR"/>
        </w:rPr>
        <w:t>.</w:t>
      </w:r>
    </w:p>
    <w:p w14:paraId="43DB22A1"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various artifact sites can serve as evidence of the successful spread of Islamic teachings. Mosques serve as concrete and relevant evidence of Islam's presence and its followers, who adapt local styles while incorporating Islamic ideas, thereby demonstrating the integration of local culture and Islam. On the other hand, Islamic tombs also become an interesting part because the existence of graves and tombstones that have survived to the present day indicates the presence of the actors of Islamization. They are considered important figures who played a role in maintaining Islam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Furthermore, documents and works, in the form of manuscripts and gravestone inscriptions, become entities in themselves that not only reflect the influence of Islam but also identify the ideas, thoughts, and perspectives of the actors in spreading Islam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Therefore, an important aspect of this discourse is the sites or tombs that serve as archaeological evidence of Islamic civilization, alongside mosques. The material heritage in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reflects a rich cultural acculturation, including the influence of Islam blending with local traditions.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Mongondow, a region in North Sulawesi, Indonesia, has a long history of interactions among various cultures and religions, including Islam, that have shaped a unique cultural identity.</w:t>
      </w:r>
    </w:p>
    <w:p w14:paraId="0A276FA9"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Jere and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Sites are two sites located in the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region, strategically located on the North-South Sulawesi Trans Circle route. Based on its topography, this area is in an environment with residents' plantations full of coconut and nipa trees, with flat terrain. However, these conditions make it difficult to see the grave sites, as they are covered by bushes. To strengthen this statement, the following is an image showing the topographic conditions at the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Site:</w:t>
      </w:r>
    </w:p>
    <w:p w14:paraId="0366F637"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45823DDC" w14:textId="57C81708" w:rsidR="00395D1C" w:rsidRDefault="00395D1C" w:rsidP="00395D1C">
      <w:pPr>
        <w:ind w:left="283" w:firstLine="284"/>
        <w:jc w:val="center"/>
        <w:rPr>
          <w:rFonts w:asciiTheme="majorHAnsi" w:eastAsia="Times New Roman" w:hAnsiTheme="majorHAnsi" w:cstheme="majorHAnsi"/>
          <w:sz w:val="20"/>
          <w:szCs w:val="20"/>
          <w:lang w:val="en-US" w:eastAsia="ko-KR"/>
        </w:rPr>
      </w:pPr>
      <w:r>
        <w:rPr>
          <w:noProof/>
        </w:rPr>
        <w:drawing>
          <wp:inline distT="0" distB="0" distL="0" distR="0" wp14:anchorId="32287456" wp14:editId="167A543B">
            <wp:extent cx="3219058" cy="2156346"/>
            <wp:effectExtent l="0" t="0" r="63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9657" cy="2163446"/>
                    </a:xfrm>
                    <a:prstGeom prst="rect">
                      <a:avLst/>
                    </a:prstGeom>
                    <a:noFill/>
                  </pic:spPr>
                </pic:pic>
              </a:graphicData>
            </a:graphic>
          </wp:inline>
        </w:drawing>
      </w:r>
    </w:p>
    <w:p w14:paraId="36E81477" w14:textId="77777777" w:rsidR="00395D1C" w:rsidRDefault="00395D1C" w:rsidP="00395D1C">
      <w:pPr>
        <w:ind w:left="283" w:firstLine="284"/>
        <w:jc w:val="center"/>
        <w:rPr>
          <w:rFonts w:asciiTheme="majorHAnsi" w:eastAsia="Times New Roman" w:hAnsiTheme="majorHAnsi" w:cstheme="majorHAnsi"/>
          <w:sz w:val="20"/>
          <w:szCs w:val="20"/>
          <w:lang w:val="en-US" w:eastAsia="ko-KR"/>
        </w:rPr>
      </w:pPr>
    </w:p>
    <w:p w14:paraId="6210EC60" w14:textId="67DD7BD1" w:rsidR="00395D1C" w:rsidRPr="00395D1C" w:rsidRDefault="00395D1C" w:rsidP="00395D1C">
      <w:pPr>
        <w:ind w:left="283" w:firstLine="284"/>
        <w:jc w:val="center"/>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eastAsia="ko-KR"/>
        </w:rPr>
        <w:t xml:space="preserve">Figure 2. Grave in </w:t>
      </w:r>
      <w:proofErr w:type="spellStart"/>
      <w:r w:rsidRPr="00395D1C">
        <w:rPr>
          <w:rFonts w:asciiTheme="majorHAnsi" w:eastAsia="Times New Roman" w:hAnsiTheme="majorHAnsi" w:cstheme="majorHAnsi"/>
          <w:sz w:val="16"/>
          <w:szCs w:val="16"/>
          <w:lang w:eastAsia="ko-KR"/>
        </w:rPr>
        <w:t>Kapulo</w:t>
      </w:r>
      <w:proofErr w:type="spellEnd"/>
      <w:r w:rsidRPr="00395D1C">
        <w:rPr>
          <w:rFonts w:asciiTheme="majorHAnsi" w:eastAsia="Times New Roman" w:hAnsiTheme="majorHAnsi" w:cstheme="majorHAnsi"/>
          <w:sz w:val="16"/>
          <w:szCs w:val="16"/>
          <w:lang w:eastAsia="ko-KR"/>
        </w:rPr>
        <w:t xml:space="preserve"> Sites, Datu </w:t>
      </w:r>
      <w:proofErr w:type="spellStart"/>
      <w:r w:rsidRPr="00395D1C">
        <w:rPr>
          <w:rFonts w:asciiTheme="majorHAnsi" w:eastAsia="Times New Roman" w:hAnsiTheme="majorHAnsi" w:cstheme="majorHAnsi"/>
          <w:sz w:val="16"/>
          <w:szCs w:val="16"/>
          <w:lang w:eastAsia="ko-KR"/>
        </w:rPr>
        <w:t>Binangkal</w:t>
      </w:r>
      <w:proofErr w:type="spellEnd"/>
      <w:r w:rsidRPr="00395D1C">
        <w:rPr>
          <w:rFonts w:asciiTheme="majorHAnsi" w:eastAsia="Times New Roman" w:hAnsiTheme="majorHAnsi" w:cstheme="majorHAnsi"/>
          <w:sz w:val="16"/>
          <w:szCs w:val="16"/>
          <w:lang w:eastAsia="ko-KR"/>
        </w:rPr>
        <w:t>, or Maurits Tomb</w:t>
      </w:r>
    </w:p>
    <w:p w14:paraId="043CC6BB"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6B94BD1C"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The above image not only illustrates the topographic condition of gravestones and tombs but also indicates the presence of other graves in the area. According to Figure 2, the gravestone indicated the ancestor of </w:t>
      </w:r>
      <w:proofErr w:type="spellStart"/>
      <w:r w:rsidRPr="00395D1C">
        <w:rPr>
          <w:rFonts w:asciiTheme="majorHAnsi" w:eastAsia="Times New Roman" w:hAnsiTheme="majorHAnsi" w:cstheme="majorHAnsi"/>
          <w:sz w:val="20"/>
          <w:szCs w:val="20"/>
          <w:lang w:val="en-US" w:eastAsia="ko-KR"/>
        </w:rPr>
        <w:t>Bolaang</w:t>
      </w:r>
      <w:proofErr w:type="spellEnd"/>
      <w:r w:rsidRPr="00395D1C">
        <w:rPr>
          <w:rFonts w:asciiTheme="majorHAnsi" w:eastAsia="Times New Roman" w:hAnsiTheme="majorHAnsi" w:cstheme="majorHAnsi"/>
          <w:sz w:val="20"/>
          <w:szCs w:val="20"/>
          <w:lang w:val="en-US" w:eastAsia="ko-KR"/>
        </w:rPr>
        <w:t xml:space="preserve"> </w:t>
      </w:r>
      <w:proofErr w:type="spellStart"/>
      <w:r w:rsidRPr="00395D1C">
        <w:rPr>
          <w:rFonts w:asciiTheme="majorHAnsi" w:eastAsia="Times New Roman" w:hAnsiTheme="majorHAnsi" w:cstheme="majorHAnsi"/>
          <w:sz w:val="20"/>
          <w:szCs w:val="20"/>
          <w:lang w:val="en-US" w:eastAsia="ko-KR"/>
        </w:rPr>
        <w:t>Mongondow</w:t>
      </w:r>
      <w:proofErr w:type="spellEnd"/>
      <w:r w:rsidRPr="00395D1C">
        <w:rPr>
          <w:rFonts w:asciiTheme="majorHAnsi" w:eastAsia="Times New Roman" w:hAnsiTheme="majorHAnsi" w:cstheme="majorHAnsi"/>
          <w:sz w:val="20"/>
          <w:szCs w:val="20"/>
          <w:lang w:val="en-US" w:eastAsia="ko-KR"/>
        </w:rPr>
        <w:t xml:space="preserve">. Historical documents report that the gravestone is of Maurits or Datu </w:t>
      </w:r>
      <w:proofErr w:type="spellStart"/>
      <w:r w:rsidRPr="00395D1C">
        <w:rPr>
          <w:rFonts w:asciiTheme="majorHAnsi" w:eastAsia="Times New Roman" w:hAnsiTheme="majorHAnsi" w:cstheme="majorHAnsi"/>
          <w:sz w:val="20"/>
          <w:szCs w:val="20"/>
          <w:lang w:val="en-US" w:eastAsia="ko-KR"/>
        </w:rPr>
        <w:t>Binangkal</w:t>
      </w:r>
      <w:proofErr w:type="spellEnd"/>
      <w:r w:rsidRPr="00395D1C">
        <w:rPr>
          <w:rFonts w:asciiTheme="majorHAnsi" w:eastAsia="Times New Roman" w:hAnsiTheme="majorHAnsi" w:cstheme="majorHAnsi"/>
          <w:sz w:val="20"/>
          <w:szCs w:val="20"/>
          <w:lang w:val="en-US" w:eastAsia="ko-KR"/>
        </w:rPr>
        <w:t xml:space="preserve">, the ruler of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w:t>
      </w:r>
    </w:p>
    <w:p w14:paraId="4427B8E8" w14:textId="77777777" w:rsidR="00395D1C" w:rsidRPr="00395D1C" w:rsidRDefault="00395D1C" w:rsidP="00395D1C">
      <w:pPr>
        <w:ind w:left="283" w:firstLine="284"/>
        <w:jc w:val="both"/>
        <w:rPr>
          <w:rFonts w:asciiTheme="majorHAnsi" w:eastAsia="Times New Roman" w:hAnsiTheme="majorHAnsi" w:cstheme="majorHAnsi"/>
          <w:sz w:val="20"/>
          <w:szCs w:val="20"/>
          <w:lang w:val="en-US" w:eastAsia="ko-KR"/>
        </w:rPr>
      </w:pPr>
      <w:r w:rsidRPr="00395D1C">
        <w:rPr>
          <w:rFonts w:asciiTheme="majorHAnsi" w:eastAsia="Times New Roman" w:hAnsiTheme="majorHAnsi" w:cstheme="majorHAnsi"/>
          <w:sz w:val="20"/>
          <w:szCs w:val="20"/>
          <w:lang w:val="en-US" w:eastAsia="ko-KR"/>
        </w:rPr>
        <w:t xml:space="preserve">According to local government records, the graveyard in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contains 16 tombs that constitute the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site within the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civilization. The local government provides explicit markers regarding the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Site, which is subsequently recognized as a historical legacy by the Ministry of Education and Culture. Furthermore, the community regards this site as historical heritage that contributes to the formation of the community in </w:t>
      </w:r>
      <w:proofErr w:type="spellStart"/>
      <w:r w:rsidRPr="00395D1C">
        <w:rPr>
          <w:rFonts w:asciiTheme="majorHAnsi" w:eastAsia="Times New Roman" w:hAnsiTheme="majorHAnsi" w:cstheme="majorHAnsi"/>
          <w:sz w:val="20"/>
          <w:szCs w:val="20"/>
          <w:lang w:val="en-US" w:eastAsia="ko-KR"/>
        </w:rPr>
        <w:t>Kaidipang</w:t>
      </w:r>
      <w:proofErr w:type="spellEnd"/>
      <w:r w:rsidRPr="00395D1C">
        <w:rPr>
          <w:rFonts w:asciiTheme="majorHAnsi" w:eastAsia="Times New Roman" w:hAnsiTheme="majorHAnsi" w:cstheme="majorHAnsi"/>
          <w:sz w:val="20"/>
          <w:szCs w:val="20"/>
          <w:lang w:val="en-US" w:eastAsia="ko-KR"/>
        </w:rPr>
        <w:t xml:space="preserve">. Thus, the </w:t>
      </w:r>
      <w:proofErr w:type="spellStart"/>
      <w:r w:rsidRPr="00395D1C">
        <w:rPr>
          <w:rFonts w:asciiTheme="majorHAnsi" w:eastAsia="Times New Roman" w:hAnsiTheme="majorHAnsi" w:cstheme="majorHAnsi"/>
          <w:sz w:val="20"/>
          <w:szCs w:val="20"/>
          <w:lang w:val="en-US" w:eastAsia="ko-KR"/>
        </w:rPr>
        <w:t>Kapulo</w:t>
      </w:r>
      <w:proofErr w:type="spellEnd"/>
      <w:r w:rsidRPr="00395D1C">
        <w:rPr>
          <w:rFonts w:asciiTheme="majorHAnsi" w:eastAsia="Times New Roman" w:hAnsiTheme="majorHAnsi" w:cstheme="majorHAnsi"/>
          <w:sz w:val="20"/>
          <w:szCs w:val="20"/>
          <w:lang w:val="en-US" w:eastAsia="ko-KR"/>
        </w:rPr>
        <w:t xml:space="preserve"> Site becomes an area with implications for local community culture, which intersects with and adapts to Islam, making it widely accepted by the community.</w:t>
      </w:r>
    </w:p>
    <w:p w14:paraId="1BDFE480"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7F7299A3"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5A370495" w14:textId="1723F9DF" w:rsidR="00395D1C" w:rsidRDefault="00395D1C" w:rsidP="00395D1C">
      <w:pPr>
        <w:ind w:left="283" w:firstLine="284"/>
        <w:jc w:val="center"/>
        <w:rPr>
          <w:rFonts w:asciiTheme="majorHAnsi" w:eastAsia="Times New Roman" w:hAnsiTheme="majorHAnsi" w:cstheme="majorHAnsi"/>
          <w:sz w:val="20"/>
          <w:szCs w:val="20"/>
          <w:lang w:val="en-US" w:eastAsia="ko-KR"/>
        </w:rPr>
      </w:pPr>
      <w:r>
        <w:rPr>
          <w:noProof/>
        </w:rPr>
        <w:lastRenderedPageBreak/>
        <w:drawing>
          <wp:inline distT="0" distB="0" distL="0" distR="0" wp14:anchorId="5A359D14" wp14:editId="55D7E387">
            <wp:extent cx="2743200" cy="1880235"/>
            <wp:effectExtent l="0" t="0" r="0" b="571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12" cstate="print">
                      <a:extLst>
                        <a:ext uri="{28A0092B-C50C-407E-A947-70E740481C1C}">
                          <a14:useLocalDpi xmlns:a14="http://schemas.microsoft.com/office/drawing/2010/main" val="0"/>
                        </a:ext>
                      </a:extLst>
                    </a:blip>
                    <a:srcRect b="8149"/>
                    <a:stretch>
                      <a:fillRect/>
                    </a:stretch>
                  </pic:blipFill>
                  <pic:spPr bwMode="auto">
                    <a:xfrm>
                      <a:off x="0" y="0"/>
                      <a:ext cx="2743200" cy="1880235"/>
                    </a:xfrm>
                    <a:prstGeom prst="rect">
                      <a:avLst/>
                    </a:prstGeom>
                    <a:noFill/>
                    <a:ln>
                      <a:noFill/>
                    </a:ln>
                    <a:extLst>
                      <a:ext uri="{53640926-AAD7-44D8-BBD7-CCE9431645EC}">
                        <a14:shadowObscured xmlns:a14="http://schemas.microsoft.com/office/drawing/2010/main"/>
                      </a:ext>
                    </a:extLst>
                  </pic:spPr>
                </pic:pic>
              </a:graphicData>
            </a:graphic>
          </wp:inline>
        </w:drawing>
      </w:r>
    </w:p>
    <w:p w14:paraId="2FA589A1" w14:textId="77777777" w:rsidR="00395D1C" w:rsidRDefault="00395D1C" w:rsidP="00395D1C">
      <w:pPr>
        <w:ind w:left="283" w:firstLine="284"/>
        <w:jc w:val="center"/>
        <w:rPr>
          <w:rFonts w:asciiTheme="majorHAnsi" w:eastAsia="Times New Roman" w:hAnsiTheme="majorHAnsi" w:cstheme="majorHAnsi"/>
          <w:sz w:val="20"/>
          <w:szCs w:val="20"/>
          <w:lang w:val="en-US" w:eastAsia="ko-KR"/>
        </w:rPr>
      </w:pPr>
    </w:p>
    <w:p w14:paraId="488E6489" w14:textId="3C00A299" w:rsidR="00395D1C" w:rsidRPr="00395D1C" w:rsidRDefault="00395D1C" w:rsidP="00395D1C">
      <w:pPr>
        <w:ind w:left="283" w:firstLine="284"/>
        <w:jc w:val="center"/>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eastAsia="ko-KR"/>
        </w:rPr>
        <w:t xml:space="preserve">Figure 3. The Landscape of </w:t>
      </w:r>
      <w:proofErr w:type="spellStart"/>
      <w:r w:rsidRPr="00395D1C">
        <w:rPr>
          <w:rFonts w:asciiTheme="majorHAnsi" w:eastAsia="Times New Roman" w:hAnsiTheme="majorHAnsi" w:cstheme="majorHAnsi"/>
          <w:sz w:val="16"/>
          <w:szCs w:val="16"/>
          <w:lang w:eastAsia="ko-KR"/>
        </w:rPr>
        <w:t>Kapulo</w:t>
      </w:r>
      <w:proofErr w:type="spellEnd"/>
      <w:r w:rsidRPr="00395D1C">
        <w:rPr>
          <w:rFonts w:asciiTheme="majorHAnsi" w:eastAsia="Times New Roman" w:hAnsiTheme="majorHAnsi" w:cstheme="majorHAnsi"/>
          <w:sz w:val="16"/>
          <w:szCs w:val="16"/>
          <w:lang w:eastAsia="ko-KR"/>
        </w:rPr>
        <w:t xml:space="preserve"> Sites</w:t>
      </w:r>
    </w:p>
    <w:p w14:paraId="1DF022BA"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28C105D5" w14:textId="2B13C0B4" w:rsidR="00395D1C" w:rsidRDefault="00395D1C" w:rsidP="00395D1C">
      <w:pPr>
        <w:ind w:left="283" w:firstLine="284"/>
        <w:jc w:val="both"/>
        <w:rPr>
          <w:rFonts w:asciiTheme="majorHAnsi" w:eastAsia="Times New Roman" w:hAnsiTheme="majorHAnsi" w:cstheme="majorHAnsi"/>
          <w:sz w:val="20"/>
          <w:szCs w:val="20"/>
          <w:lang w:eastAsia="ko-KR"/>
        </w:rPr>
      </w:pPr>
      <w:r w:rsidRPr="00395D1C">
        <w:rPr>
          <w:rFonts w:asciiTheme="majorHAnsi" w:eastAsia="Times New Roman" w:hAnsiTheme="majorHAnsi" w:cstheme="majorHAnsi"/>
          <w:sz w:val="20"/>
          <w:szCs w:val="20"/>
          <w:lang w:eastAsia="ko-KR"/>
        </w:rPr>
        <w:t>In further exploration, 16 graves have been observed and excavated since 2012, as shown in Table 1.</w:t>
      </w:r>
    </w:p>
    <w:p w14:paraId="35C18EEE" w14:textId="77777777" w:rsidR="00395D1C" w:rsidRDefault="00395D1C" w:rsidP="00395D1C">
      <w:pPr>
        <w:ind w:left="283" w:firstLine="284"/>
        <w:jc w:val="both"/>
        <w:rPr>
          <w:rFonts w:asciiTheme="majorHAnsi" w:eastAsia="Times New Roman" w:hAnsiTheme="majorHAnsi" w:cstheme="majorHAnsi"/>
          <w:sz w:val="20"/>
          <w:szCs w:val="20"/>
          <w:lang w:eastAsia="ko-KR"/>
        </w:rPr>
      </w:pPr>
    </w:p>
    <w:p w14:paraId="32EA541C" w14:textId="0A4D86B6" w:rsidR="00395D1C" w:rsidRPr="00395D1C" w:rsidRDefault="00395D1C" w:rsidP="0074480A">
      <w:pPr>
        <w:spacing w:line="360" w:lineRule="auto"/>
        <w:ind w:left="283" w:firstLine="284"/>
        <w:jc w:val="center"/>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T</w:t>
      </w:r>
      <w:r w:rsidRPr="00395D1C">
        <w:rPr>
          <w:rFonts w:asciiTheme="majorHAnsi" w:eastAsia="Times New Roman" w:hAnsiTheme="majorHAnsi" w:cstheme="majorHAnsi"/>
          <w:sz w:val="16"/>
          <w:szCs w:val="16"/>
          <w:lang w:val="id-ID" w:eastAsia="ko-KR"/>
        </w:rPr>
        <w:t>able 1</w:t>
      </w:r>
      <w:r w:rsidRPr="00395D1C">
        <w:rPr>
          <w:rFonts w:asciiTheme="majorHAnsi" w:eastAsia="Times New Roman" w:hAnsiTheme="majorHAnsi" w:cstheme="majorHAnsi"/>
          <w:sz w:val="16"/>
          <w:szCs w:val="16"/>
          <w:lang w:val="en-US" w:eastAsia="ko-KR"/>
        </w:rPr>
        <w:t xml:space="preserve">. Description of Graves in </w:t>
      </w:r>
      <w:proofErr w:type="spellStart"/>
      <w:r w:rsidRPr="00395D1C">
        <w:rPr>
          <w:rFonts w:asciiTheme="majorHAnsi" w:eastAsia="Times New Roman" w:hAnsiTheme="majorHAnsi" w:cstheme="majorHAnsi"/>
          <w:sz w:val="16"/>
          <w:szCs w:val="16"/>
          <w:lang w:val="en-US" w:eastAsia="ko-KR"/>
        </w:rPr>
        <w:t>Kaidipang</w:t>
      </w:r>
      <w:proofErr w:type="spellEnd"/>
    </w:p>
    <w:tbl>
      <w:tblPr>
        <w:tblStyle w:val="TableGrid"/>
        <w:tblW w:w="8788" w:type="dxa"/>
        <w:tblInd w:w="27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9"/>
        <w:gridCol w:w="2976"/>
        <w:gridCol w:w="993"/>
        <w:gridCol w:w="992"/>
        <w:gridCol w:w="851"/>
        <w:gridCol w:w="2267"/>
      </w:tblGrid>
      <w:tr w:rsidR="0074480A" w:rsidRPr="007C4CC4" w14:paraId="398CB0E8" w14:textId="77777777" w:rsidTr="00471CCE">
        <w:trPr>
          <w:trHeight w:val="64"/>
        </w:trPr>
        <w:tc>
          <w:tcPr>
            <w:tcW w:w="709" w:type="dxa"/>
            <w:hideMark/>
          </w:tcPr>
          <w:p w14:paraId="62A9848C" w14:textId="77777777" w:rsidR="00395D1C" w:rsidRPr="00395D1C" w:rsidRDefault="00395D1C" w:rsidP="0074480A">
            <w:pPr>
              <w:spacing w:line="276" w:lineRule="auto"/>
              <w:ind w:left="-14" w:firstLine="14"/>
              <w:jc w:val="both"/>
              <w:rPr>
                <w:rFonts w:asciiTheme="majorHAnsi" w:eastAsia="Times New Roman" w:hAnsiTheme="majorHAnsi" w:cstheme="majorHAnsi"/>
                <w:bCs/>
                <w:sz w:val="16"/>
                <w:szCs w:val="16"/>
                <w:lang w:val="en-US" w:eastAsia="ko-KR"/>
              </w:rPr>
            </w:pPr>
            <w:r w:rsidRPr="00395D1C">
              <w:rPr>
                <w:rFonts w:asciiTheme="majorHAnsi" w:eastAsia="Times New Roman" w:hAnsiTheme="majorHAnsi" w:cstheme="majorHAnsi"/>
                <w:bCs/>
                <w:sz w:val="16"/>
                <w:szCs w:val="16"/>
                <w:lang w:val="id-ID" w:eastAsia="ko-KR"/>
              </w:rPr>
              <w:t>N</w:t>
            </w:r>
            <w:r w:rsidRPr="00395D1C">
              <w:rPr>
                <w:rFonts w:asciiTheme="majorHAnsi" w:eastAsia="Times New Roman" w:hAnsiTheme="majorHAnsi" w:cstheme="majorHAnsi"/>
                <w:bCs/>
                <w:sz w:val="16"/>
                <w:szCs w:val="16"/>
                <w:lang w:val="en-US" w:eastAsia="ko-KR"/>
              </w:rPr>
              <w:t>O</w:t>
            </w:r>
          </w:p>
        </w:tc>
        <w:tc>
          <w:tcPr>
            <w:tcW w:w="2976" w:type="dxa"/>
            <w:hideMark/>
          </w:tcPr>
          <w:p w14:paraId="1C4EC88D" w14:textId="77777777" w:rsidR="00395D1C" w:rsidRPr="00395D1C" w:rsidRDefault="00395D1C" w:rsidP="0074480A">
            <w:pPr>
              <w:spacing w:line="276" w:lineRule="auto"/>
              <w:ind w:left="-14" w:firstLine="14"/>
              <w:jc w:val="both"/>
              <w:rPr>
                <w:rFonts w:asciiTheme="majorHAnsi" w:eastAsia="Times New Roman" w:hAnsiTheme="majorHAnsi" w:cstheme="majorHAnsi"/>
                <w:bCs/>
                <w:sz w:val="16"/>
                <w:szCs w:val="16"/>
                <w:lang w:val="id-ID" w:eastAsia="ko-KR"/>
              </w:rPr>
            </w:pPr>
            <w:r w:rsidRPr="00395D1C">
              <w:rPr>
                <w:rFonts w:asciiTheme="majorHAnsi" w:eastAsia="Times New Roman" w:hAnsiTheme="majorHAnsi" w:cstheme="majorHAnsi"/>
                <w:bCs/>
                <w:sz w:val="16"/>
                <w:szCs w:val="16"/>
                <w:lang w:val="en-US" w:eastAsia="ko-KR"/>
              </w:rPr>
              <w:t>NAME</w:t>
            </w:r>
          </w:p>
        </w:tc>
        <w:tc>
          <w:tcPr>
            <w:tcW w:w="993" w:type="dxa"/>
            <w:hideMark/>
          </w:tcPr>
          <w:p w14:paraId="15708CF6" w14:textId="77777777" w:rsidR="00395D1C" w:rsidRPr="00395D1C" w:rsidRDefault="00395D1C" w:rsidP="0074480A">
            <w:pPr>
              <w:spacing w:line="276" w:lineRule="auto"/>
              <w:ind w:left="-14" w:firstLine="14"/>
              <w:jc w:val="both"/>
              <w:rPr>
                <w:rFonts w:asciiTheme="majorHAnsi" w:eastAsia="Times New Roman" w:hAnsiTheme="majorHAnsi" w:cstheme="majorHAnsi"/>
                <w:bCs/>
                <w:sz w:val="16"/>
                <w:szCs w:val="16"/>
                <w:lang w:val="en-US" w:eastAsia="ko-KR"/>
              </w:rPr>
            </w:pPr>
            <w:r w:rsidRPr="00395D1C">
              <w:rPr>
                <w:rFonts w:asciiTheme="majorHAnsi" w:eastAsia="Times New Roman" w:hAnsiTheme="majorHAnsi" w:cstheme="majorHAnsi"/>
                <w:bCs/>
                <w:sz w:val="16"/>
                <w:szCs w:val="16"/>
                <w:lang w:val="en-US" w:eastAsia="ko-KR"/>
              </w:rPr>
              <w:t>LENGTH</w:t>
            </w:r>
          </w:p>
        </w:tc>
        <w:tc>
          <w:tcPr>
            <w:tcW w:w="992" w:type="dxa"/>
            <w:hideMark/>
          </w:tcPr>
          <w:p w14:paraId="19DC74A3" w14:textId="77777777" w:rsidR="00395D1C" w:rsidRPr="00395D1C" w:rsidRDefault="00395D1C" w:rsidP="0074480A">
            <w:pPr>
              <w:spacing w:line="276" w:lineRule="auto"/>
              <w:ind w:left="-14" w:firstLine="14"/>
              <w:jc w:val="both"/>
              <w:rPr>
                <w:rFonts w:asciiTheme="majorHAnsi" w:eastAsia="Times New Roman" w:hAnsiTheme="majorHAnsi" w:cstheme="majorHAnsi"/>
                <w:bCs/>
                <w:sz w:val="16"/>
                <w:szCs w:val="16"/>
                <w:lang w:val="en-US" w:eastAsia="ko-KR"/>
              </w:rPr>
            </w:pPr>
            <w:r w:rsidRPr="00395D1C">
              <w:rPr>
                <w:rFonts w:asciiTheme="majorHAnsi" w:eastAsia="Times New Roman" w:hAnsiTheme="majorHAnsi" w:cstheme="majorHAnsi"/>
                <w:bCs/>
                <w:sz w:val="16"/>
                <w:szCs w:val="16"/>
                <w:lang w:val="en-US" w:eastAsia="ko-KR"/>
              </w:rPr>
              <w:t>WIDTH</w:t>
            </w:r>
          </w:p>
        </w:tc>
        <w:tc>
          <w:tcPr>
            <w:tcW w:w="851" w:type="dxa"/>
            <w:hideMark/>
          </w:tcPr>
          <w:p w14:paraId="39735EB1" w14:textId="77777777" w:rsidR="00395D1C" w:rsidRPr="00395D1C" w:rsidRDefault="00395D1C" w:rsidP="0074480A">
            <w:pPr>
              <w:spacing w:line="276" w:lineRule="auto"/>
              <w:ind w:left="-14" w:firstLine="14"/>
              <w:jc w:val="both"/>
              <w:rPr>
                <w:rFonts w:asciiTheme="majorHAnsi" w:eastAsia="Times New Roman" w:hAnsiTheme="majorHAnsi" w:cstheme="majorHAnsi"/>
                <w:bCs/>
                <w:sz w:val="16"/>
                <w:szCs w:val="16"/>
                <w:lang w:val="en-US" w:eastAsia="ko-KR"/>
              </w:rPr>
            </w:pPr>
            <w:r w:rsidRPr="00395D1C">
              <w:rPr>
                <w:rFonts w:asciiTheme="majorHAnsi" w:eastAsia="Times New Roman" w:hAnsiTheme="majorHAnsi" w:cstheme="majorHAnsi"/>
                <w:bCs/>
                <w:sz w:val="16"/>
                <w:szCs w:val="16"/>
                <w:lang w:val="en-US" w:eastAsia="ko-KR"/>
              </w:rPr>
              <w:t>HEIGHT</w:t>
            </w:r>
          </w:p>
        </w:tc>
        <w:tc>
          <w:tcPr>
            <w:tcW w:w="2267" w:type="dxa"/>
            <w:hideMark/>
          </w:tcPr>
          <w:p w14:paraId="1A047F19" w14:textId="77777777" w:rsidR="00395D1C" w:rsidRPr="00395D1C" w:rsidRDefault="00395D1C" w:rsidP="0074480A">
            <w:pPr>
              <w:spacing w:line="276" w:lineRule="auto"/>
              <w:ind w:left="-14" w:firstLine="14"/>
              <w:jc w:val="both"/>
              <w:rPr>
                <w:rFonts w:asciiTheme="majorHAnsi" w:eastAsia="Times New Roman" w:hAnsiTheme="majorHAnsi" w:cstheme="majorHAnsi"/>
                <w:bCs/>
                <w:sz w:val="16"/>
                <w:szCs w:val="16"/>
                <w:lang w:val="en-US" w:eastAsia="ko-KR"/>
              </w:rPr>
            </w:pPr>
            <w:r w:rsidRPr="00395D1C">
              <w:rPr>
                <w:rFonts w:asciiTheme="majorHAnsi" w:eastAsia="Times New Roman" w:hAnsiTheme="majorHAnsi" w:cstheme="majorHAnsi"/>
                <w:bCs/>
                <w:sz w:val="16"/>
                <w:szCs w:val="16"/>
                <w:lang w:val="en-US" w:eastAsia="ko-KR"/>
              </w:rPr>
              <w:t>DESCRITION</w:t>
            </w:r>
          </w:p>
        </w:tc>
      </w:tr>
      <w:tr w:rsidR="0074480A" w:rsidRPr="00471CCE" w14:paraId="28792B93" w14:textId="77777777" w:rsidTr="00471CCE">
        <w:trPr>
          <w:trHeight w:val="64"/>
        </w:trPr>
        <w:tc>
          <w:tcPr>
            <w:tcW w:w="709" w:type="dxa"/>
            <w:hideMark/>
          </w:tcPr>
          <w:p w14:paraId="656B916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w:t>
            </w:r>
          </w:p>
        </w:tc>
        <w:tc>
          <w:tcPr>
            <w:tcW w:w="2976" w:type="dxa"/>
            <w:hideMark/>
          </w:tcPr>
          <w:p w14:paraId="6AB6873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Moeritz Datu Binangkal Korompot</w:t>
            </w:r>
          </w:p>
        </w:tc>
        <w:tc>
          <w:tcPr>
            <w:tcW w:w="993" w:type="dxa"/>
            <w:hideMark/>
          </w:tcPr>
          <w:p w14:paraId="776F396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235/290</w:t>
            </w:r>
          </w:p>
        </w:tc>
        <w:tc>
          <w:tcPr>
            <w:tcW w:w="992" w:type="dxa"/>
            <w:hideMark/>
          </w:tcPr>
          <w:p w14:paraId="00FA032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110/170</w:t>
            </w:r>
          </w:p>
        </w:tc>
        <w:tc>
          <w:tcPr>
            <w:tcW w:w="851" w:type="dxa"/>
            <w:hideMark/>
          </w:tcPr>
          <w:p w14:paraId="1256D33F"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100</w:t>
            </w:r>
          </w:p>
        </w:tc>
        <w:tc>
          <w:tcPr>
            <w:tcW w:w="2267" w:type="dxa"/>
            <w:hideMark/>
          </w:tcPr>
          <w:p w14:paraId="27F2CB97"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Partially Intact</w:t>
            </w:r>
          </w:p>
        </w:tc>
      </w:tr>
      <w:tr w:rsidR="0074480A" w:rsidRPr="00471CCE" w14:paraId="748E0F17" w14:textId="77777777" w:rsidTr="00471CCE">
        <w:trPr>
          <w:trHeight w:val="96"/>
        </w:trPr>
        <w:tc>
          <w:tcPr>
            <w:tcW w:w="709" w:type="dxa"/>
            <w:hideMark/>
          </w:tcPr>
          <w:p w14:paraId="4B895BB7"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w:t>
            </w:r>
          </w:p>
        </w:tc>
        <w:tc>
          <w:tcPr>
            <w:tcW w:w="2976" w:type="dxa"/>
            <w:hideMark/>
          </w:tcPr>
          <w:p w14:paraId="6F904B3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Boki Tohomiang Olii</w:t>
            </w:r>
          </w:p>
        </w:tc>
        <w:tc>
          <w:tcPr>
            <w:tcW w:w="993" w:type="dxa"/>
            <w:hideMark/>
          </w:tcPr>
          <w:p w14:paraId="0DA35DE5"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190</w:t>
            </w:r>
          </w:p>
        </w:tc>
        <w:tc>
          <w:tcPr>
            <w:tcW w:w="992" w:type="dxa"/>
            <w:hideMark/>
          </w:tcPr>
          <w:p w14:paraId="4F55E20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180</w:t>
            </w:r>
          </w:p>
        </w:tc>
        <w:tc>
          <w:tcPr>
            <w:tcW w:w="851" w:type="dxa"/>
            <w:hideMark/>
          </w:tcPr>
          <w:p w14:paraId="2CCDC79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90</w:t>
            </w:r>
          </w:p>
        </w:tc>
        <w:tc>
          <w:tcPr>
            <w:tcW w:w="2267" w:type="dxa"/>
            <w:hideMark/>
          </w:tcPr>
          <w:p w14:paraId="6D6FC965"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Partially Intact</w:t>
            </w:r>
          </w:p>
        </w:tc>
      </w:tr>
      <w:tr w:rsidR="0074480A" w:rsidRPr="00471CCE" w14:paraId="29236BF5" w14:textId="77777777" w:rsidTr="00471CCE">
        <w:trPr>
          <w:trHeight w:val="94"/>
        </w:trPr>
        <w:tc>
          <w:tcPr>
            <w:tcW w:w="709" w:type="dxa"/>
            <w:hideMark/>
          </w:tcPr>
          <w:p w14:paraId="08E5D8A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w:t>
            </w:r>
          </w:p>
        </w:tc>
        <w:tc>
          <w:tcPr>
            <w:tcW w:w="2976" w:type="dxa"/>
            <w:hideMark/>
          </w:tcPr>
          <w:p w14:paraId="74B606F0"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063517D5"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200</w:t>
            </w:r>
          </w:p>
        </w:tc>
        <w:tc>
          <w:tcPr>
            <w:tcW w:w="992" w:type="dxa"/>
            <w:hideMark/>
          </w:tcPr>
          <w:p w14:paraId="3DDFF68F"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260</w:t>
            </w:r>
          </w:p>
        </w:tc>
        <w:tc>
          <w:tcPr>
            <w:tcW w:w="851" w:type="dxa"/>
            <w:hideMark/>
          </w:tcPr>
          <w:p w14:paraId="54029DEB"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037135A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01E05A65" w14:textId="77777777" w:rsidTr="00471CCE">
        <w:trPr>
          <w:trHeight w:val="96"/>
        </w:trPr>
        <w:tc>
          <w:tcPr>
            <w:tcW w:w="709" w:type="dxa"/>
            <w:hideMark/>
          </w:tcPr>
          <w:p w14:paraId="4EF1634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4.</w:t>
            </w:r>
          </w:p>
        </w:tc>
        <w:tc>
          <w:tcPr>
            <w:tcW w:w="2976" w:type="dxa"/>
            <w:hideMark/>
          </w:tcPr>
          <w:p w14:paraId="1D7998DF"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5CEA57D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200</w:t>
            </w:r>
          </w:p>
        </w:tc>
        <w:tc>
          <w:tcPr>
            <w:tcW w:w="992" w:type="dxa"/>
            <w:hideMark/>
          </w:tcPr>
          <w:p w14:paraId="253888C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180</w:t>
            </w:r>
          </w:p>
        </w:tc>
        <w:tc>
          <w:tcPr>
            <w:tcW w:w="851" w:type="dxa"/>
            <w:hideMark/>
          </w:tcPr>
          <w:p w14:paraId="04E3300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1AB737B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17BD486A" w14:textId="77777777" w:rsidTr="00471CCE">
        <w:trPr>
          <w:trHeight w:val="96"/>
        </w:trPr>
        <w:tc>
          <w:tcPr>
            <w:tcW w:w="709" w:type="dxa"/>
            <w:hideMark/>
          </w:tcPr>
          <w:p w14:paraId="16F8870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5.</w:t>
            </w:r>
          </w:p>
        </w:tc>
        <w:tc>
          <w:tcPr>
            <w:tcW w:w="2976" w:type="dxa"/>
            <w:hideMark/>
          </w:tcPr>
          <w:p w14:paraId="57618D3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54741847"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200</w:t>
            </w:r>
          </w:p>
        </w:tc>
        <w:tc>
          <w:tcPr>
            <w:tcW w:w="992" w:type="dxa"/>
            <w:hideMark/>
          </w:tcPr>
          <w:p w14:paraId="04D441B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200</w:t>
            </w:r>
          </w:p>
        </w:tc>
        <w:tc>
          <w:tcPr>
            <w:tcW w:w="851" w:type="dxa"/>
            <w:hideMark/>
          </w:tcPr>
          <w:p w14:paraId="5DE924B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5431DB77"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0257742A" w14:textId="77777777" w:rsidTr="00471CCE">
        <w:trPr>
          <w:trHeight w:val="96"/>
        </w:trPr>
        <w:tc>
          <w:tcPr>
            <w:tcW w:w="709" w:type="dxa"/>
            <w:hideMark/>
          </w:tcPr>
          <w:p w14:paraId="538FB85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6.</w:t>
            </w:r>
          </w:p>
        </w:tc>
        <w:tc>
          <w:tcPr>
            <w:tcW w:w="2976" w:type="dxa"/>
            <w:hideMark/>
          </w:tcPr>
          <w:p w14:paraId="4BA0A7EB"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6D56BDE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260</w:t>
            </w:r>
          </w:p>
        </w:tc>
        <w:tc>
          <w:tcPr>
            <w:tcW w:w="992" w:type="dxa"/>
            <w:hideMark/>
          </w:tcPr>
          <w:p w14:paraId="33C1525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210</w:t>
            </w:r>
          </w:p>
        </w:tc>
        <w:tc>
          <w:tcPr>
            <w:tcW w:w="851" w:type="dxa"/>
            <w:hideMark/>
          </w:tcPr>
          <w:p w14:paraId="1A7FB4D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30492D3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216ACA36" w14:textId="77777777" w:rsidTr="00471CCE">
        <w:trPr>
          <w:trHeight w:val="96"/>
        </w:trPr>
        <w:tc>
          <w:tcPr>
            <w:tcW w:w="709" w:type="dxa"/>
            <w:hideMark/>
          </w:tcPr>
          <w:p w14:paraId="70102E0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7.</w:t>
            </w:r>
          </w:p>
        </w:tc>
        <w:tc>
          <w:tcPr>
            <w:tcW w:w="2976" w:type="dxa"/>
            <w:hideMark/>
          </w:tcPr>
          <w:p w14:paraId="37C3647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5DF12AF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269</w:t>
            </w:r>
          </w:p>
        </w:tc>
        <w:tc>
          <w:tcPr>
            <w:tcW w:w="992" w:type="dxa"/>
            <w:hideMark/>
          </w:tcPr>
          <w:p w14:paraId="080A903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190</w:t>
            </w:r>
          </w:p>
        </w:tc>
        <w:tc>
          <w:tcPr>
            <w:tcW w:w="851" w:type="dxa"/>
            <w:hideMark/>
          </w:tcPr>
          <w:p w14:paraId="184A535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766BD22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02FE3B1D" w14:textId="77777777" w:rsidTr="00471CCE">
        <w:trPr>
          <w:trHeight w:val="96"/>
        </w:trPr>
        <w:tc>
          <w:tcPr>
            <w:tcW w:w="709" w:type="dxa"/>
            <w:hideMark/>
          </w:tcPr>
          <w:p w14:paraId="18DC469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8.</w:t>
            </w:r>
          </w:p>
        </w:tc>
        <w:tc>
          <w:tcPr>
            <w:tcW w:w="2976" w:type="dxa"/>
            <w:hideMark/>
          </w:tcPr>
          <w:p w14:paraId="558C176B"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7A6B4F8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260</w:t>
            </w:r>
          </w:p>
        </w:tc>
        <w:tc>
          <w:tcPr>
            <w:tcW w:w="992" w:type="dxa"/>
            <w:hideMark/>
          </w:tcPr>
          <w:p w14:paraId="01D7620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230</w:t>
            </w:r>
          </w:p>
        </w:tc>
        <w:tc>
          <w:tcPr>
            <w:tcW w:w="851" w:type="dxa"/>
            <w:hideMark/>
          </w:tcPr>
          <w:p w14:paraId="3ED7D0C0"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7870306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328C8E4A" w14:textId="77777777" w:rsidTr="00471CCE">
        <w:trPr>
          <w:trHeight w:val="96"/>
        </w:trPr>
        <w:tc>
          <w:tcPr>
            <w:tcW w:w="709" w:type="dxa"/>
            <w:hideMark/>
          </w:tcPr>
          <w:p w14:paraId="6E2E6A8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9.</w:t>
            </w:r>
          </w:p>
        </w:tc>
        <w:tc>
          <w:tcPr>
            <w:tcW w:w="2976" w:type="dxa"/>
            <w:hideMark/>
          </w:tcPr>
          <w:p w14:paraId="05B99038"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3ADE705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350</w:t>
            </w:r>
          </w:p>
        </w:tc>
        <w:tc>
          <w:tcPr>
            <w:tcW w:w="992" w:type="dxa"/>
            <w:hideMark/>
          </w:tcPr>
          <w:p w14:paraId="02896639"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260</w:t>
            </w:r>
          </w:p>
        </w:tc>
        <w:tc>
          <w:tcPr>
            <w:tcW w:w="851" w:type="dxa"/>
            <w:hideMark/>
          </w:tcPr>
          <w:p w14:paraId="6C23424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1FB309D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22620D30" w14:textId="77777777" w:rsidTr="00471CCE">
        <w:trPr>
          <w:trHeight w:val="96"/>
        </w:trPr>
        <w:tc>
          <w:tcPr>
            <w:tcW w:w="709" w:type="dxa"/>
            <w:hideMark/>
          </w:tcPr>
          <w:p w14:paraId="553B6DEB"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10.</w:t>
            </w:r>
          </w:p>
        </w:tc>
        <w:tc>
          <w:tcPr>
            <w:tcW w:w="2976" w:type="dxa"/>
            <w:hideMark/>
          </w:tcPr>
          <w:p w14:paraId="63F4C3AF"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4003FF5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340</w:t>
            </w:r>
          </w:p>
        </w:tc>
        <w:tc>
          <w:tcPr>
            <w:tcW w:w="992" w:type="dxa"/>
            <w:hideMark/>
          </w:tcPr>
          <w:p w14:paraId="7466B218"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210</w:t>
            </w:r>
          </w:p>
        </w:tc>
        <w:tc>
          <w:tcPr>
            <w:tcW w:w="851" w:type="dxa"/>
            <w:hideMark/>
          </w:tcPr>
          <w:p w14:paraId="22CB4399"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6AED083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346E22B4" w14:textId="77777777" w:rsidTr="00471CCE">
        <w:trPr>
          <w:trHeight w:val="96"/>
        </w:trPr>
        <w:tc>
          <w:tcPr>
            <w:tcW w:w="709" w:type="dxa"/>
            <w:hideMark/>
          </w:tcPr>
          <w:p w14:paraId="26A0BC30"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11.</w:t>
            </w:r>
          </w:p>
        </w:tc>
        <w:tc>
          <w:tcPr>
            <w:tcW w:w="2976" w:type="dxa"/>
            <w:hideMark/>
          </w:tcPr>
          <w:p w14:paraId="7F60376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293B676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320</w:t>
            </w:r>
          </w:p>
        </w:tc>
        <w:tc>
          <w:tcPr>
            <w:tcW w:w="992" w:type="dxa"/>
            <w:hideMark/>
          </w:tcPr>
          <w:p w14:paraId="66FBB329"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234</w:t>
            </w:r>
          </w:p>
        </w:tc>
        <w:tc>
          <w:tcPr>
            <w:tcW w:w="851" w:type="dxa"/>
            <w:hideMark/>
          </w:tcPr>
          <w:p w14:paraId="611521A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30</w:t>
            </w:r>
          </w:p>
        </w:tc>
        <w:tc>
          <w:tcPr>
            <w:tcW w:w="2267" w:type="dxa"/>
            <w:hideMark/>
          </w:tcPr>
          <w:p w14:paraId="02B9FEB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03FD1203" w14:textId="77777777" w:rsidTr="00471CCE">
        <w:trPr>
          <w:trHeight w:val="96"/>
        </w:trPr>
        <w:tc>
          <w:tcPr>
            <w:tcW w:w="709" w:type="dxa"/>
            <w:hideMark/>
          </w:tcPr>
          <w:p w14:paraId="003613E9"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12.</w:t>
            </w:r>
          </w:p>
        </w:tc>
        <w:tc>
          <w:tcPr>
            <w:tcW w:w="2976" w:type="dxa"/>
            <w:hideMark/>
          </w:tcPr>
          <w:p w14:paraId="35A684D2"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50424874"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230</w:t>
            </w:r>
          </w:p>
        </w:tc>
        <w:tc>
          <w:tcPr>
            <w:tcW w:w="992" w:type="dxa"/>
            <w:hideMark/>
          </w:tcPr>
          <w:p w14:paraId="19E25C0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190</w:t>
            </w:r>
          </w:p>
        </w:tc>
        <w:tc>
          <w:tcPr>
            <w:tcW w:w="851" w:type="dxa"/>
            <w:hideMark/>
          </w:tcPr>
          <w:p w14:paraId="1BF1B39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2282838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6E2D9301" w14:textId="77777777" w:rsidTr="00471CCE">
        <w:trPr>
          <w:trHeight w:val="96"/>
        </w:trPr>
        <w:tc>
          <w:tcPr>
            <w:tcW w:w="709" w:type="dxa"/>
            <w:hideMark/>
          </w:tcPr>
          <w:p w14:paraId="1EA8BE8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13.</w:t>
            </w:r>
          </w:p>
        </w:tc>
        <w:tc>
          <w:tcPr>
            <w:tcW w:w="2976" w:type="dxa"/>
            <w:hideMark/>
          </w:tcPr>
          <w:p w14:paraId="4AA1244B"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22FA2B6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290</w:t>
            </w:r>
          </w:p>
        </w:tc>
        <w:tc>
          <w:tcPr>
            <w:tcW w:w="992" w:type="dxa"/>
            <w:hideMark/>
          </w:tcPr>
          <w:p w14:paraId="725F3C25"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240</w:t>
            </w:r>
          </w:p>
        </w:tc>
        <w:tc>
          <w:tcPr>
            <w:tcW w:w="851" w:type="dxa"/>
            <w:hideMark/>
          </w:tcPr>
          <w:p w14:paraId="4A9346B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90</w:t>
            </w:r>
          </w:p>
        </w:tc>
        <w:tc>
          <w:tcPr>
            <w:tcW w:w="2267" w:type="dxa"/>
            <w:hideMark/>
          </w:tcPr>
          <w:p w14:paraId="0F0C83EB"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09A9BD82" w14:textId="77777777" w:rsidTr="00471CCE">
        <w:trPr>
          <w:trHeight w:val="96"/>
        </w:trPr>
        <w:tc>
          <w:tcPr>
            <w:tcW w:w="709" w:type="dxa"/>
            <w:hideMark/>
          </w:tcPr>
          <w:p w14:paraId="656D75E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14.</w:t>
            </w:r>
          </w:p>
        </w:tc>
        <w:tc>
          <w:tcPr>
            <w:tcW w:w="2976" w:type="dxa"/>
            <w:hideMark/>
          </w:tcPr>
          <w:p w14:paraId="33506E4A"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Anonim</w:t>
            </w:r>
          </w:p>
        </w:tc>
        <w:tc>
          <w:tcPr>
            <w:tcW w:w="993" w:type="dxa"/>
            <w:hideMark/>
          </w:tcPr>
          <w:p w14:paraId="2FA3EB25"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992" w:type="dxa"/>
            <w:hideMark/>
          </w:tcPr>
          <w:p w14:paraId="3E80B140"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80 (?)</w:t>
            </w:r>
          </w:p>
        </w:tc>
        <w:tc>
          <w:tcPr>
            <w:tcW w:w="851" w:type="dxa"/>
            <w:hideMark/>
          </w:tcPr>
          <w:p w14:paraId="6A1CB0A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w:t>
            </w:r>
          </w:p>
        </w:tc>
        <w:tc>
          <w:tcPr>
            <w:tcW w:w="2267" w:type="dxa"/>
            <w:hideMark/>
          </w:tcPr>
          <w:p w14:paraId="69B2C12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5791D4CF" w14:textId="77777777" w:rsidTr="00471CCE">
        <w:trPr>
          <w:trHeight w:val="94"/>
        </w:trPr>
        <w:tc>
          <w:tcPr>
            <w:tcW w:w="709" w:type="dxa"/>
            <w:hideMark/>
          </w:tcPr>
          <w:p w14:paraId="4FD7D5C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15.</w:t>
            </w:r>
          </w:p>
        </w:tc>
        <w:tc>
          <w:tcPr>
            <w:tcW w:w="2976" w:type="dxa"/>
            <w:hideMark/>
          </w:tcPr>
          <w:p w14:paraId="2630296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Jogugu Buhang</w:t>
            </w:r>
          </w:p>
        </w:tc>
        <w:tc>
          <w:tcPr>
            <w:tcW w:w="993" w:type="dxa"/>
            <w:hideMark/>
          </w:tcPr>
          <w:p w14:paraId="20B20C0C"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400</w:t>
            </w:r>
          </w:p>
        </w:tc>
        <w:tc>
          <w:tcPr>
            <w:tcW w:w="992" w:type="dxa"/>
            <w:hideMark/>
          </w:tcPr>
          <w:p w14:paraId="6984ECD7"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360</w:t>
            </w:r>
          </w:p>
        </w:tc>
        <w:tc>
          <w:tcPr>
            <w:tcW w:w="851" w:type="dxa"/>
            <w:hideMark/>
          </w:tcPr>
          <w:p w14:paraId="2B7EF50F"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80</w:t>
            </w:r>
          </w:p>
        </w:tc>
        <w:tc>
          <w:tcPr>
            <w:tcW w:w="2267" w:type="dxa"/>
            <w:hideMark/>
          </w:tcPr>
          <w:p w14:paraId="408C0B14"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en-US" w:eastAsia="ko-KR"/>
              </w:rPr>
            </w:pPr>
            <w:r w:rsidRPr="00395D1C">
              <w:rPr>
                <w:rFonts w:asciiTheme="majorHAnsi" w:eastAsia="Times New Roman" w:hAnsiTheme="majorHAnsi" w:cstheme="majorHAnsi"/>
                <w:sz w:val="16"/>
                <w:szCs w:val="16"/>
                <w:lang w:val="en-US" w:eastAsia="ko-KR"/>
              </w:rPr>
              <w:t>Not Intact and damaged</w:t>
            </w:r>
          </w:p>
        </w:tc>
      </w:tr>
      <w:tr w:rsidR="0074480A" w:rsidRPr="00471CCE" w14:paraId="04658402" w14:textId="77777777" w:rsidTr="00471CCE">
        <w:trPr>
          <w:trHeight w:val="96"/>
        </w:trPr>
        <w:tc>
          <w:tcPr>
            <w:tcW w:w="709" w:type="dxa"/>
            <w:hideMark/>
          </w:tcPr>
          <w:p w14:paraId="109DDB2D"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16.</w:t>
            </w:r>
          </w:p>
        </w:tc>
        <w:tc>
          <w:tcPr>
            <w:tcW w:w="2976" w:type="dxa"/>
            <w:hideMark/>
          </w:tcPr>
          <w:p w14:paraId="12EDF5E3"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Jogugu Mokodompis</w:t>
            </w:r>
          </w:p>
        </w:tc>
        <w:tc>
          <w:tcPr>
            <w:tcW w:w="993" w:type="dxa"/>
            <w:hideMark/>
          </w:tcPr>
          <w:p w14:paraId="4DFEC335"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350</w:t>
            </w:r>
          </w:p>
        </w:tc>
        <w:tc>
          <w:tcPr>
            <w:tcW w:w="992" w:type="dxa"/>
            <w:hideMark/>
          </w:tcPr>
          <w:p w14:paraId="41939581"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470</w:t>
            </w:r>
          </w:p>
        </w:tc>
        <w:tc>
          <w:tcPr>
            <w:tcW w:w="851" w:type="dxa"/>
            <w:hideMark/>
          </w:tcPr>
          <w:p w14:paraId="55DB5A1E"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id-ID" w:eastAsia="ko-KR"/>
              </w:rPr>
              <w:t>30-45</w:t>
            </w:r>
          </w:p>
        </w:tc>
        <w:tc>
          <w:tcPr>
            <w:tcW w:w="2267" w:type="dxa"/>
            <w:hideMark/>
          </w:tcPr>
          <w:p w14:paraId="5B1D0C16" w14:textId="77777777" w:rsidR="00395D1C" w:rsidRPr="00395D1C" w:rsidRDefault="00395D1C" w:rsidP="0074480A">
            <w:pPr>
              <w:spacing w:line="276" w:lineRule="auto"/>
              <w:ind w:left="-14" w:firstLine="14"/>
              <w:jc w:val="both"/>
              <w:rPr>
                <w:rFonts w:asciiTheme="majorHAnsi" w:eastAsia="Times New Roman" w:hAnsiTheme="majorHAnsi" w:cstheme="majorHAnsi"/>
                <w:sz w:val="16"/>
                <w:szCs w:val="16"/>
                <w:lang w:val="id-ID" w:eastAsia="ko-KR"/>
              </w:rPr>
            </w:pPr>
            <w:r w:rsidRPr="00395D1C">
              <w:rPr>
                <w:rFonts w:asciiTheme="majorHAnsi" w:eastAsia="Times New Roman" w:hAnsiTheme="majorHAnsi" w:cstheme="majorHAnsi"/>
                <w:sz w:val="16"/>
                <w:szCs w:val="16"/>
                <w:lang w:val="en-US" w:eastAsia="ko-KR"/>
              </w:rPr>
              <w:t>Not Intact and damaged</w:t>
            </w:r>
          </w:p>
        </w:tc>
      </w:tr>
    </w:tbl>
    <w:p w14:paraId="3D1EA223" w14:textId="77777777" w:rsidR="00395D1C" w:rsidRDefault="00395D1C" w:rsidP="00395D1C">
      <w:pPr>
        <w:ind w:left="283" w:firstLine="284"/>
        <w:jc w:val="both"/>
        <w:rPr>
          <w:rFonts w:asciiTheme="majorHAnsi" w:eastAsia="Times New Roman" w:hAnsiTheme="majorHAnsi" w:cstheme="majorHAnsi"/>
          <w:sz w:val="20"/>
          <w:szCs w:val="20"/>
          <w:lang w:val="en-US" w:eastAsia="ko-KR"/>
        </w:rPr>
      </w:pPr>
    </w:p>
    <w:p w14:paraId="5826A7C4" w14:textId="77777777" w:rsidR="0074480A" w:rsidRP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 xml:space="preserve">This study notes significant changes in the form of tombstones at the two sites under investigation. At these sites, Jere and </w:t>
      </w:r>
      <w:proofErr w:type="spellStart"/>
      <w:r w:rsidRPr="0074480A">
        <w:rPr>
          <w:rFonts w:asciiTheme="majorHAnsi" w:eastAsia="Times New Roman" w:hAnsiTheme="majorHAnsi" w:cstheme="majorHAnsi"/>
          <w:sz w:val="20"/>
          <w:szCs w:val="20"/>
          <w:lang w:val="en-US" w:eastAsia="ko-KR"/>
        </w:rPr>
        <w:t>Kapulo</w:t>
      </w:r>
      <w:proofErr w:type="spellEnd"/>
      <w:r w:rsidRPr="0074480A">
        <w:rPr>
          <w:rFonts w:asciiTheme="majorHAnsi" w:eastAsia="Times New Roman" w:hAnsiTheme="majorHAnsi" w:cstheme="majorHAnsi"/>
          <w:sz w:val="20"/>
          <w:szCs w:val="20"/>
          <w:lang w:val="en-US" w:eastAsia="ko-KR"/>
        </w:rPr>
        <w:t xml:space="preserve">, differences in religious identities are evident, as evidenced by the tombstones, archaeological relics from the past. On the </w:t>
      </w:r>
      <w:proofErr w:type="spellStart"/>
      <w:r w:rsidRPr="0074480A">
        <w:rPr>
          <w:rFonts w:asciiTheme="majorHAnsi" w:eastAsia="Times New Roman" w:hAnsiTheme="majorHAnsi" w:cstheme="majorHAnsi"/>
          <w:sz w:val="20"/>
          <w:szCs w:val="20"/>
          <w:lang w:val="en-US" w:eastAsia="ko-KR"/>
        </w:rPr>
        <w:t>Kapulo</w:t>
      </w:r>
      <w:proofErr w:type="spellEnd"/>
      <w:r w:rsidRPr="0074480A">
        <w:rPr>
          <w:rFonts w:asciiTheme="majorHAnsi" w:eastAsia="Times New Roman" w:hAnsiTheme="majorHAnsi" w:cstheme="majorHAnsi"/>
          <w:sz w:val="20"/>
          <w:szCs w:val="20"/>
          <w:lang w:val="en-US" w:eastAsia="ko-KR"/>
        </w:rPr>
        <w:t xml:space="preserve"> tombstones, as mapped out (see Figure 3), it is shown that these graves have tombstones oriented in an east-west direction. This supports the notion that some of the deceased buried at the </w:t>
      </w:r>
      <w:proofErr w:type="spellStart"/>
      <w:r w:rsidRPr="0074480A">
        <w:rPr>
          <w:rFonts w:asciiTheme="majorHAnsi" w:eastAsia="Times New Roman" w:hAnsiTheme="majorHAnsi" w:cstheme="majorHAnsi"/>
          <w:sz w:val="20"/>
          <w:szCs w:val="20"/>
          <w:lang w:val="en-US" w:eastAsia="ko-KR"/>
        </w:rPr>
        <w:t>Kapulo</w:t>
      </w:r>
      <w:proofErr w:type="spellEnd"/>
      <w:r w:rsidRPr="0074480A">
        <w:rPr>
          <w:rFonts w:asciiTheme="majorHAnsi" w:eastAsia="Times New Roman" w:hAnsiTheme="majorHAnsi" w:cstheme="majorHAnsi"/>
          <w:sz w:val="20"/>
          <w:szCs w:val="20"/>
          <w:lang w:val="en-US" w:eastAsia="ko-KR"/>
        </w:rPr>
        <w:t xml:space="preserve"> site had not yet embraced Islam. This view is reinforced by the fact that Muslim communities in Indonesia typically have </w:t>
      </w:r>
      <w:proofErr w:type="gramStart"/>
      <w:r w:rsidRPr="0074480A">
        <w:rPr>
          <w:rFonts w:asciiTheme="majorHAnsi" w:eastAsia="Times New Roman" w:hAnsiTheme="majorHAnsi" w:cstheme="majorHAnsi"/>
          <w:sz w:val="20"/>
          <w:szCs w:val="20"/>
          <w:lang w:val="en-US" w:eastAsia="ko-KR"/>
        </w:rPr>
        <w:t>tombstones oriented</w:t>
      </w:r>
      <w:proofErr w:type="gramEnd"/>
      <w:r w:rsidRPr="0074480A">
        <w:rPr>
          <w:rFonts w:asciiTheme="majorHAnsi" w:eastAsia="Times New Roman" w:hAnsiTheme="majorHAnsi" w:cstheme="majorHAnsi"/>
          <w:sz w:val="20"/>
          <w:szCs w:val="20"/>
          <w:lang w:val="en-US" w:eastAsia="ko-KR"/>
        </w:rPr>
        <w:t xml:space="preserve"> north-south with the body of the deceased facing west (towards the </w:t>
      </w:r>
      <w:r w:rsidRPr="0074480A">
        <w:rPr>
          <w:rFonts w:asciiTheme="majorHAnsi" w:eastAsia="Times New Roman" w:hAnsiTheme="majorHAnsi" w:cstheme="majorHAnsi"/>
          <w:i/>
          <w:iCs/>
          <w:sz w:val="20"/>
          <w:szCs w:val="20"/>
          <w:lang w:val="en-US" w:eastAsia="ko-KR"/>
        </w:rPr>
        <w:t>qibla</w:t>
      </w:r>
      <w:r w:rsidRPr="0074480A">
        <w:rPr>
          <w:rFonts w:asciiTheme="majorHAnsi" w:eastAsia="Times New Roman" w:hAnsiTheme="majorHAnsi" w:cstheme="majorHAnsi"/>
          <w:sz w:val="20"/>
          <w:szCs w:val="20"/>
          <w:lang w:val="en-US" w:eastAsia="ko-KR"/>
        </w:rPr>
        <w:t>).</w:t>
      </w:r>
    </w:p>
    <w:p w14:paraId="5DFEE132" w14:textId="77777777" w:rsidR="0074480A" w:rsidRP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 xml:space="preserve">The Jere site is a complex of graves for the Kings of </w:t>
      </w:r>
      <w:proofErr w:type="spellStart"/>
      <w:r w:rsidRPr="0074480A">
        <w:rPr>
          <w:rFonts w:asciiTheme="majorHAnsi" w:eastAsia="Times New Roman" w:hAnsiTheme="majorHAnsi" w:cstheme="majorHAnsi"/>
          <w:sz w:val="20"/>
          <w:szCs w:val="20"/>
          <w:lang w:val="en-US" w:eastAsia="ko-KR"/>
        </w:rPr>
        <w:t>Kaidipang</w:t>
      </w:r>
      <w:proofErr w:type="spellEnd"/>
      <w:r w:rsidRPr="0074480A">
        <w:rPr>
          <w:rFonts w:asciiTheme="majorHAnsi" w:eastAsia="Times New Roman" w:hAnsiTheme="majorHAnsi" w:cstheme="majorHAnsi"/>
          <w:sz w:val="20"/>
          <w:szCs w:val="20"/>
          <w:lang w:val="en-US" w:eastAsia="ko-KR"/>
        </w:rPr>
        <w:t xml:space="preserve"> after they embraced Islam, from the 8th king to the 14th. Overall, there are 84 graves divided into several sections separated by surrounding fences. The fence is square, with each corner tapering upward and no entrances, at an average height of 1 meter. The graves in this complex are marked only by headstones, without grave enclosures or tombstones.</w:t>
      </w:r>
    </w:p>
    <w:p w14:paraId="591CE7CD" w14:textId="16121096" w:rsidR="00395D1C"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The use of coral stones for tombstones dates back to the pre-Islamic era, as they were readily available and durable. These coral stone tombstones are generally simple, lacking intricate decorations or inscriptions, and reflect the local customs and beliefs before the arrival of Islam. Their shape and orientation often differ from those of Islamic tombstones, which typically follow specific guidelines, such as alignment towards the qibla. The use of coral stones sheds light on how early communities marked and honored burial sites before the arrival of Islamic influence. The transition from coral to andesite stone tombstones indicates more than just a material change; it signifies a significant shift in religious and cultural practices in Indonesia. Pre-Islamic coral stones represent indigenous customs and beliefs, while andesite stones from the Islamic period show the incorporation of Islamic principles and aesthetics into local traditions. This change highlights the spread of Islam and its impact on social norms, including burial practices and the commemoration of the deceased.</w:t>
      </w:r>
    </w:p>
    <w:p w14:paraId="396CA25B" w14:textId="5612F9F4" w:rsidR="0074480A" w:rsidRDefault="0074480A" w:rsidP="0074480A">
      <w:pPr>
        <w:ind w:left="283" w:firstLine="284"/>
        <w:jc w:val="center"/>
        <w:rPr>
          <w:rFonts w:asciiTheme="majorHAnsi" w:eastAsia="Times New Roman" w:hAnsiTheme="majorHAnsi" w:cstheme="majorHAnsi"/>
          <w:sz w:val="20"/>
          <w:szCs w:val="20"/>
          <w:lang w:val="en-US" w:eastAsia="ko-KR"/>
        </w:rPr>
      </w:pPr>
      <w:r>
        <w:rPr>
          <w:noProof/>
        </w:rPr>
        <w:lastRenderedPageBreak/>
        <w:drawing>
          <wp:inline distT="0" distB="0" distL="0" distR="0" wp14:anchorId="310BE001" wp14:editId="2390CB0D">
            <wp:extent cx="2712529" cy="3797541"/>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3">
                      <a:extLst>
                        <a:ext uri="{28A0092B-C50C-407E-A947-70E740481C1C}">
                          <a14:useLocalDpi xmlns:a14="http://schemas.microsoft.com/office/drawing/2010/main" val="0"/>
                        </a:ext>
                      </a:extLst>
                    </a:blip>
                    <a:srcRect b="4862"/>
                    <a:stretch>
                      <a:fillRect/>
                    </a:stretch>
                  </pic:blipFill>
                  <pic:spPr bwMode="auto">
                    <a:xfrm>
                      <a:off x="0" y="0"/>
                      <a:ext cx="2714205" cy="3799888"/>
                    </a:xfrm>
                    <a:prstGeom prst="rect">
                      <a:avLst/>
                    </a:prstGeom>
                    <a:noFill/>
                    <a:ln>
                      <a:noFill/>
                    </a:ln>
                    <a:extLst>
                      <a:ext uri="{53640926-AAD7-44D8-BBD7-CCE9431645EC}">
                        <a14:shadowObscured xmlns:a14="http://schemas.microsoft.com/office/drawing/2010/main"/>
                      </a:ext>
                    </a:extLst>
                  </pic:spPr>
                </pic:pic>
              </a:graphicData>
            </a:graphic>
          </wp:inline>
        </w:drawing>
      </w:r>
    </w:p>
    <w:p w14:paraId="0F500626" w14:textId="77777777" w:rsidR="0074480A" w:rsidRDefault="0074480A" w:rsidP="0074480A">
      <w:pPr>
        <w:ind w:left="283" w:firstLine="284"/>
        <w:jc w:val="center"/>
        <w:rPr>
          <w:rFonts w:asciiTheme="majorHAnsi" w:eastAsia="Times New Roman" w:hAnsiTheme="majorHAnsi" w:cstheme="majorHAnsi"/>
          <w:sz w:val="20"/>
          <w:szCs w:val="20"/>
          <w:lang w:val="en-US" w:eastAsia="ko-KR"/>
        </w:rPr>
      </w:pPr>
    </w:p>
    <w:p w14:paraId="41713289" w14:textId="1906CA66" w:rsidR="0074480A" w:rsidRPr="0074480A" w:rsidRDefault="0074480A" w:rsidP="0074480A">
      <w:pPr>
        <w:ind w:left="283" w:firstLine="284"/>
        <w:jc w:val="center"/>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eastAsia="ko-KR"/>
        </w:rPr>
        <w:t>Figure 4. The Landscape of Jere Sites</w:t>
      </w:r>
    </w:p>
    <w:p w14:paraId="082FFD58" w14:textId="77777777" w:rsidR="0074480A" w:rsidRPr="00471CCE" w:rsidRDefault="0074480A" w:rsidP="0074480A">
      <w:pPr>
        <w:ind w:left="283" w:firstLine="284"/>
        <w:jc w:val="both"/>
        <w:rPr>
          <w:rFonts w:asciiTheme="majorHAnsi" w:eastAsia="Times New Roman" w:hAnsiTheme="majorHAnsi" w:cstheme="majorHAnsi"/>
          <w:sz w:val="14"/>
          <w:szCs w:val="14"/>
          <w:lang w:val="en-US" w:eastAsia="ko-KR"/>
        </w:rPr>
      </w:pPr>
    </w:p>
    <w:p w14:paraId="34AA16F0" w14:textId="77777777" w:rsidR="0074480A" w:rsidRDefault="0074480A" w:rsidP="00395D1C">
      <w:pPr>
        <w:ind w:left="283" w:firstLine="284"/>
        <w:jc w:val="both"/>
        <w:rPr>
          <w:rFonts w:asciiTheme="majorHAnsi" w:eastAsia="Times New Roman" w:hAnsiTheme="majorHAnsi" w:cstheme="majorHAnsi"/>
          <w:sz w:val="20"/>
          <w:szCs w:val="20"/>
          <w:lang w:eastAsia="ko-KR"/>
        </w:rPr>
      </w:pPr>
      <w:r w:rsidRPr="0074480A">
        <w:rPr>
          <w:rFonts w:asciiTheme="majorHAnsi" w:eastAsia="Times New Roman" w:hAnsiTheme="majorHAnsi" w:cstheme="majorHAnsi"/>
          <w:sz w:val="20"/>
          <w:szCs w:val="20"/>
          <w:lang w:eastAsia="ko-KR"/>
        </w:rPr>
        <w:t xml:space="preserve">In the first group of graves, which is the oldest in this complex, there are five headstones enclosed by a separate fence measuring 5m x 4.5m. Headstone (1) marks the grave of the 8th King of </w:t>
      </w:r>
      <w:proofErr w:type="spellStart"/>
      <w:r w:rsidRPr="0074480A">
        <w:rPr>
          <w:rFonts w:asciiTheme="majorHAnsi" w:eastAsia="Times New Roman" w:hAnsiTheme="majorHAnsi" w:cstheme="majorHAnsi"/>
          <w:sz w:val="20"/>
          <w:szCs w:val="20"/>
          <w:lang w:eastAsia="ko-KR"/>
        </w:rPr>
        <w:t>Kaidipang</w:t>
      </w:r>
      <w:proofErr w:type="spellEnd"/>
      <w:r w:rsidRPr="0074480A">
        <w:rPr>
          <w:rFonts w:asciiTheme="majorHAnsi" w:eastAsia="Times New Roman" w:hAnsiTheme="majorHAnsi" w:cstheme="majorHAnsi"/>
          <w:sz w:val="20"/>
          <w:szCs w:val="20"/>
          <w:lang w:eastAsia="ko-KR"/>
        </w:rPr>
        <w:t xml:space="preserve">, Willem David Waladin Tatumakeasi </w:t>
      </w:r>
      <w:proofErr w:type="spellStart"/>
      <w:r w:rsidRPr="0074480A">
        <w:rPr>
          <w:rFonts w:asciiTheme="majorHAnsi" w:eastAsia="Times New Roman" w:hAnsiTheme="majorHAnsi" w:cstheme="majorHAnsi"/>
          <w:sz w:val="20"/>
          <w:szCs w:val="20"/>
          <w:lang w:eastAsia="ko-KR"/>
        </w:rPr>
        <w:t>Korompot</w:t>
      </w:r>
      <w:proofErr w:type="spellEnd"/>
      <w:r w:rsidRPr="0074480A">
        <w:rPr>
          <w:rFonts w:asciiTheme="majorHAnsi" w:eastAsia="Times New Roman" w:hAnsiTheme="majorHAnsi" w:cstheme="majorHAnsi"/>
          <w:sz w:val="20"/>
          <w:szCs w:val="20"/>
          <w:lang w:eastAsia="ko-KR"/>
        </w:rPr>
        <w:t xml:space="preserve">. There are two types of headstones in this grave: one shaped like a mace, made of concrete, and the other, the original headstone, made of natural Andesite. The headstones are named </w:t>
      </w:r>
      <w:proofErr w:type="spellStart"/>
      <w:r w:rsidRPr="0074480A">
        <w:rPr>
          <w:rFonts w:asciiTheme="majorHAnsi" w:eastAsia="Times New Roman" w:hAnsiTheme="majorHAnsi" w:cstheme="majorHAnsi"/>
          <w:sz w:val="20"/>
          <w:szCs w:val="20"/>
          <w:lang w:eastAsia="ko-KR"/>
        </w:rPr>
        <w:t>Balota</w:t>
      </w:r>
      <w:proofErr w:type="spellEnd"/>
      <w:r w:rsidRPr="0074480A">
        <w:rPr>
          <w:rFonts w:asciiTheme="majorHAnsi" w:eastAsia="Times New Roman" w:hAnsiTheme="majorHAnsi" w:cstheme="majorHAnsi"/>
          <w:sz w:val="20"/>
          <w:szCs w:val="20"/>
          <w:lang w:eastAsia="ko-KR"/>
        </w:rPr>
        <w:t xml:space="preserve"> and </w:t>
      </w:r>
      <w:proofErr w:type="spellStart"/>
      <w:r w:rsidRPr="0074480A">
        <w:rPr>
          <w:rFonts w:asciiTheme="majorHAnsi" w:eastAsia="Times New Roman" w:hAnsiTheme="majorHAnsi" w:cstheme="majorHAnsi"/>
          <w:sz w:val="20"/>
          <w:szCs w:val="20"/>
          <w:lang w:eastAsia="ko-KR"/>
        </w:rPr>
        <w:t>Misa'ala</w:t>
      </w:r>
      <w:proofErr w:type="spellEnd"/>
      <w:r w:rsidRPr="0074480A">
        <w:rPr>
          <w:rFonts w:asciiTheme="majorHAnsi" w:eastAsia="Times New Roman" w:hAnsiTheme="majorHAnsi" w:cstheme="majorHAnsi"/>
          <w:sz w:val="20"/>
          <w:szCs w:val="20"/>
          <w:lang w:eastAsia="ko-KR"/>
        </w:rPr>
        <w:t>, both of whom were chosen by King Willem David to deepen Islam in Ternate. The identities of the other two headstones are unknown. It appears that the surrounding fence structure is no longer intact, as some parts are damaged. The ground surface is covered with wild grasses</w:t>
      </w:r>
      <w:r>
        <w:rPr>
          <w:rFonts w:asciiTheme="majorHAnsi" w:eastAsia="Times New Roman" w:hAnsiTheme="majorHAnsi" w:cstheme="majorHAnsi"/>
          <w:sz w:val="20"/>
          <w:szCs w:val="20"/>
          <w:lang w:eastAsia="ko-KR"/>
        </w:rPr>
        <w:t>.</w:t>
      </w:r>
    </w:p>
    <w:p w14:paraId="0CDEBC28" w14:textId="77777777" w:rsidR="0074480A" w:rsidRDefault="0074480A" w:rsidP="00395D1C">
      <w:pPr>
        <w:ind w:left="283" w:firstLine="284"/>
        <w:jc w:val="both"/>
        <w:rPr>
          <w:rFonts w:asciiTheme="majorHAnsi" w:eastAsia="Times New Roman" w:hAnsiTheme="majorHAnsi" w:cstheme="majorHAnsi"/>
          <w:sz w:val="20"/>
          <w:szCs w:val="20"/>
          <w:lang w:eastAsia="ko-KR"/>
        </w:rPr>
      </w:pPr>
    </w:p>
    <w:p w14:paraId="04F77B2A" w14:textId="61E411B0" w:rsidR="0074480A" w:rsidRDefault="0074480A" w:rsidP="0074480A">
      <w:pPr>
        <w:ind w:left="283" w:firstLine="284"/>
        <w:jc w:val="center"/>
        <w:rPr>
          <w:rFonts w:asciiTheme="majorHAnsi" w:eastAsia="Times New Roman" w:hAnsiTheme="majorHAnsi" w:cstheme="majorHAnsi"/>
          <w:sz w:val="20"/>
          <w:szCs w:val="20"/>
          <w:lang w:eastAsia="ko-KR"/>
        </w:rPr>
      </w:pPr>
      <w:r>
        <w:rPr>
          <w:noProof/>
        </w:rPr>
        <w:drawing>
          <wp:inline distT="0" distB="0" distL="0" distR="0" wp14:anchorId="05878AD2" wp14:editId="0006A7B5">
            <wp:extent cx="2875118" cy="2484408"/>
            <wp:effectExtent l="0" t="0" r="1905"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rotWithShape="1">
                    <a:blip r:embed="rId14" cstate="print">
                      <a:extLst>
                        <a:ext uri="{28A0092B-C50C-407E-A947-70E740481C1C}">
                          <a14:useLocalDpi xmlns:a14="http://schemas.microsoft.com/office/drawing/2010/main" val="0"/>
                        </a:ext>
                      </a:extLst>
                    </a:blip>
                    <a:srcRect r="3286" b="34912"/>
                    <a:stretch/>
                  </pic:blipFill>
                  <pic:spPr bwMode="auto">
                    <a:xfrm>
                      <a:off x="0" y="0"/>
                      <a:ext cx="2881140" cy="2489612"/>
                    </a:xfrm>
                    <a:prstGeom prst="rect">
                      <a:avLst/>
                    </a:prstGeom>
                    <a:ln>
                      <a:noFill/>
                    </a:ln>
                    <a:extLst>
                      <a:ext uri="{53640926-AAD7-44D8-BBD7-CCE9431645EC}">
                        <a14:shadowObscured xmlns:a14="http://schemas.microsoft.com/office/drawing/2010/main"/>
                      </a:ext>
                    </a:extLst>
                  </pic:spPr>
                </pic:pic>
              </a:graphicData>
            </a:graphic>
          </wp:inline>
        </w:drawing>
      </w:r>
    </w:p>
    <w:p w14:paraId="0187ACC8" w14:textId="77777777" w:rsidR="0074480A" w:rsidRDefault="0074480A" w:rsidP="0074480A">
      <w:pPr>
        <w:ind w:left="283" w:firstLine="284"/>
        <w:jc w:val="center"/>
        <w:rPr>
          <w:rFonts w:asciiTheme="majorHAnsi" w:eastAsia="Times New Roman" w:hAnsiTheme="majorHAnsi" w:cstheme="majorHAnsi"/>
          <w:sz w:val="20"/>
          <w:szCs w:val="20"/>
          <w:lang w:eastAsia="ko-KR"/>
        </w:rPr>
      </w:pPr>
    </w:p>
    <w:p w14:paraId="029C1B02" w14:textId="6B28A869" w:rsidR="0074480A" w:rsidRPr="0074480A" w:rsidRDefault="0074480A" w:rsidP="0074480A">
      <w:pPr>
        <w:ind w:left="283" w:firstLine="284"/>
        <w:jc w:val="center"/>
        <w:rPr>
          <w:rFonts w:asciiTheme="majorHAnsi" w:eastAsia="Times New Roman" w:hAnsiTheme="majorHAnsi" w:cstheme="majorHAnsi"/>
          <w:sz w:val="16"/>
          <w:szCs w:val="16"/>
          <w:lang w:eastAsia="ko-KR"/>
        </w:rPr>
      </w:pPr>
      <w:r w:rsidRPr="0074480A">
        <w:rPr>
          <w:rFonts w:asciiTheme="majorHAnsi" w:eastAsia="Times New Roman" w:hAnsiTheme="majorHAnsi" w:cstheme="majorHAnsi"/>
          <w:sz w:val="16"/>
          <w:szCs w:val="16"/>
          <w:lang w:eastAsia="ko-KR"/>
        </w:rPr>
        <w:t xml:space="preserve">Figure 5. Graves of “Wellen </w:t>
      </w:r>
      <w:proofErr w:type="spellStart"/>
      <w:r w:rsidRPr="0074480A">
        <w:rPr>
          <w:rFonts w:asciiTheme="majorHAnsi" w:eastAsia="Times New Roman" w:hAnsiTheme="majorHAnsi" w:cstheme="majorHAnsi"/>
          <w:sz w:val="16"/>
          <w:szCs w:val="16"/>
          <w:lang w:eastAsia="ko-KR"/>
        </w:rPr>
        <w:t>Korompot</w:t>
      </w:r>
      <w:proofErr w:type="spellEnd"/>
      <w:r w:rsidRPr="0074480A">
        <w:rPr>
          <w:rFonts w:asciiTheme="majorHAnsi" w:eastAsia="Times New Roman" w:hAnsiTheme="majorHAnsi" w:cstheme="majorHAnsi"/>
          <w:sz w:val="16"/>
          <w:szCs w:val="16"/>
          <w:lang w:eastAsia="ko-KR"/>
        </w:rPr>
        <w:t xml:space="preserve">” (Muslim) in </w:t>
      </w:r>
      <w:proofErr w:type="spellStart"/>
      <w:r w:rsidRPr="0074480A">
        <w:rPr>
          <w:rFonts w:asciiTheme="majorHAnsi" w:eastAsia="Times New Roman" w:hAnsiTheme="majorHAnsi" w:cstheme="majorHAnsi"/>
          <w:sz w:val="16"/>
          <w:szCs w:val="16"/>
          <w:lang w:eastAsia="ko-KR"/>
        </w:rPr>
        <w:t>Bolaang</w:t>
      </w:r>
      <w:proofErr w:type="spellEnd"/>
      <w:r w:rsidRPr="0074480A">
        <w:rPr>
          <w:rFonts w:asciiTheme="majorHAnsi" w:eastAsia="Times New Roman" w:hAnsiTheme="majorHAnsi" w:cstheme="majorHAnsi"/>
          <w:sz w:val="16"/>
          <w:szCs w:val="16"/>
          <w:lang w:eastAsia="ko-KR"/>
        </w:rPr>
        <w:t xml:space="preserve"> </w:t>
      </w:r>
      <w:proofErr w:type="spellStart"/>
      <w:r w:rsidRPr="0074480A">
        <w:rPr>
          <w:rFonts w:asciiTheme="majorHAnsi" w:eastAsia="Times New Roman" w:hAnsiTheme="majorHAnsi" w:cstheme="majorHAnsi"/>
          <w:sz w:val="16"/>
          <w:szCs w:val="16"/>
          <w:lang w:eastAsia="ko-KR"/>
        </w:rPr>
        <w:t>Mogondow</w:t>
      </w:r>
      <w:proofErr w:type="spellEnd"/>
    </w:p>
    <w:p w14:paraId="23469DF4" w14:textId="77777777" w:rsidR="0074480A" w:rsidRDefault="0074480A" w:rsidP="00395D1C">
      <w:pPr>
        <w:ind w:left="283" w:firstLine="284"/>
        <w:jc w:val="both"/>
        <w:rPr>
          <w:rFonts w:asciiTheme="majorHAnsi" w:eastAsia="Times New Roman" w:hAnsiTheme="majorHAnsi" w:cstheme="majorHAnsi"/>
          <w:sz w:val="20"/>
          <w:szCs w:val="20"/>
          <w:lang w:eastAsia="ko-KR"/>
        </w:rPr>
      </w:pPr>
    </w:p>
    <w:p w14:paraId="03C6FF3F" w14:textId="159ECFF1" w:rsidR="0074480A" w:rsidRDefault="0074480A" w:rsidP="0074480A">
      <w:pPr>
        <w:ind w:left="283" w:firstLine="284"/>
        <w:jc w:val="center"/>
        <w:rPr>
          <w:rFonts w:asciiTheme="majorHAnsi" w:eastAsia="Times New Roman" w:hAnsiTheme="majorHAnsi" w:cstheme="majorHAnsi"/>
          <w:sz w:val="20"/>
          <w:szCs w:val="20"/>
          <w:lang w:eastAsia="ko-KR"/>
        </w:rPr>
      </w:pPr>
      <w:r>
        <w:rPr>
          <w:noProof/>
        </w:rPr>
        <w:lastRenderedPageBreak/>
        <w:drawing>
          <wp:inline distT="0" distB="0" distL="0" distR="0" wp14:anchorId="089C1424" wp14:editId="52E63DE8">
            <wp:extent cx="927100" cy="1845096"/>
            <wp:effectExtent l="0" t="0" r="6350" b="3175"/>
            <wp:docPr id="207084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5">
                      <a:extLst>
                        <a:ext uri="{28A0092B-C50C-407E-A947-70E740481C1C}">
                          <a14:useLocalDpi xmlns:a14="http://schemas.microsoft.com/office/drawing/2010/main" val="0"/>
                        </a:ext>
                      </a:extLst>
                    </a:blip>
                    <a:srcRect l="29118" t="15527" r="45405" b="1282"/>
                    <a:stretch>
                      <a:fillRect/>
                    </a:stretch>
                  </pic:blipFill>
                  <pic:spPr bwMode="auto">
                    <a:xfrm>
                      <a:off x="0" y="0"/>
                      <a:ext cx="927100" cy="1845096"/>
                    </a:xfrm>
                    <a:prstGeom prst="rect">
                      <a:avLst/>
                    </a:prstGeom>
                    <a:ln>
                      <a:noFill/>
                    </a:ln>
                    <a:extLst>
                      <a:ext uri="{53640926-AAD7-44D8-BBD7-CCE9431645EC}">
                        <a14:shadowObscured xmlns:a14="http://schemas.microsoft.com/office/drawing/2010/main"/>
                      </a:ext>
                    </a:extLst>
                  </pic:spPr>
                </pic:pic>
              </a:graphicData>
            </a:graphic>
          </wp:inline>
        </w:drawing>
      </w:r>
    </w:p>
    <w:p w14:paraId="7234FFA5" w14:textId="77777777" w:rsidR="0074480A" w:rsidRDefault="0074480A" w:rsidP="00395D1C">
      <w:pPr>
        <w:ind w:left="283" w:firstLine="284"/>
        <w:jc w:val="both"/>
        <w:rPr>
          <w:rFonts w:asciiTheme="majorHAnsi" w:eastAsia="Times New Roman" w:hAnsiTheme="majorHAnsi" w:cstheme="majorHAnsi"/>
          <w:sz w:val="20"/>
          <w:szCs w:val="20"/>
          <w:lang w:eastAsia="ko-KR"/>
        </w:rPr>
      </w:pPr>
    </w:p>
    <w:p w14:paraId="1E8FC2C6" w14:textId="20C3313D" w:rsidR="0074480A" w:rsidRPr="00471CCE" w:rsidRDefault="0074480A" w:rsidP="0074480A">
      <w:pPr>
        <w:ind w:left="283" w:firstLine="284"/>
        <w:jc w:val="center"/>
        <w:rPr>
          <w:rFonts w:asciiTheme="majorHAnsi" w:eastAsia="Times New Roman" w:hAnsiTheme="majorHAnsi" w:cstheme="majorHAnsi"/>
          <w:sz w:val="16"/>
          <w:szCs w:val="16"/>
          <w:lang w:eastAsia="ko-KR"/>
        </w:rPr>
      </w:pPr>
      <w:r w:rsidRPr="00471CCE">
        <w:rPr>
          <w:rFonts w:asciiTheme="majorHAnsi" w:eastAsia="Times New Roman" w:hAnsiTheme="majorHAnsi" w:cstheme="majorHAnsi"/>
          <w:sz w:val="16"/>
          <w:szCs w:val="16"/>
          <w:lang w:eastAsia="ko-KR"/>
        </w:rPr>
        <w:t>Figure 6. Source from “</w:t>
      </w:r>
      <w:proofErr w:type="spellStart"/>
      <w:r w:rsidRPr="00471CCE">
        <w:rPr>
          <w:rFonts w:asciiTheme="majorHAnsi" w:eastAsia="Times New Roman" w:hAnsiTheme="majorHAnsi" w:cstheme="majorHAnsi"/>
          <w:sz w:val="16"/>
          <w:szCs w:val="16"/>
          <w:lang w:eastAsia="ko-KR"/>
        </w:rPr>
        <w:t>Pameran</w:t>
      </w:r>
      <w:proofErr w:type="spellEnd"/>
      <w:r w:rsidRPr="00471CCE">
        <w:rPr>
          <w:rFonts w:asciiTheme="majorHAnsi" w:eastAsia="Times New Roman" w:hAnsiTheme="majorHAnsi" w:cstheme="majorHAnsi"/>
          <w:sz w:val="16"/>
          <w:szCs w:val="16"/>
          <w:lang w:eastAsia="ko-KR"/>
        </w:rPr>
        <w:t xml:space="preserve"> </w:t>
      </w:r>
      <w:proofErr w:type="spellStart"/>
      <w:r w:rsidRPr="00471CCE">
        <w:rPr>
          <w:rFonts w:asciiTheme="majorHAnsi" w:eastAsia="Times New Roman" w:hAnsiTheme="majorHAnsi" w:cstheme="majorHAnsi"/>
          <w:sz w:val="16"/>
          <w:szCs w:val="16"/>
          <w:lang w:eastAsia="ko-KR"/>
        </w:rPr>
        <w:t>Arsitektur</w:t>
      </w:r>
      <w:proofErr w:type="spellEnd"/>
      <w:r w:rsidRPr="00471CCE">
        <w:rPr>
          <w:rFonts w:asciiTheme="majorHAnsi" w:eastAsia="Times New Roman" w:hAnsiTheme="majorHAnsi" w:cstheme="majorHAnsi"/>
          <w:sz w:val="16"/>
          <w:szCs w:val="16"/>
          <w:lang w:eastAsia="ko-KR"/>
        </w:rPr>
        <w:t xml:space="preserve"> Islam, 1991”</w:t>
      </w:r>
    </w:p>
    <w:p w14:paraId="47F29553" w14:textId="77777777" w:rsidR="0074480A" w:rsidRPr="0074480A" w:rsidRDefault="0074480A" w:rsidP="00395D1C">
      <w:pPr>
        <w:ind w:left="283" w:firstLine="284"/>
        <w:jc w:val="both"/>
        <w:rPr>
          <w:rFonts w:asciiTheme="majorHAnsi" w:eastAsia="Times New Roman" w:hAnsiTheme="majorHAnsi" w:cstheme="majorHAnsi"/>
          <w:sz w:val="14"/>
          <w:szCs w:val="14"/>
          <w:lang w:eastAsia="ko-KR"/>
        </w:rPr>
      </w:pPr>
    </w:p>
    <w:p w14:paraId="77DEF5CE" w14:textId="77777777" w:rsidR="0074480A" w:rsidRP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The images above provide initial identification that these gravestones are made of Andesite. The shape of the gravestones closely resembles several gravestones widely found across the Nusantara in the early 20</w:t>
      </w:r>
      <w:r w:rsidRPr="0074480A">
        <w:rPr>
          <w:rFonts w:asciiTheme="majorHAnsi" w:eastAsia="Times New Roman" w:hAnsiTheme="majorHAnsi" w:cstheme="majorHAnsi"/>
          <w:sz w:val="20"/>
          <w:szCs w:val="20"/>
          <w:vertAlign w:val="superscript"/>
          <w:lang w:val="en-US" w:eastAsia="ko-KR"/>
        </w:rPr>
        <w:t>th</w:t>
      </w:r>
      <w:r w:rsidRPr="0074480A">
        <w:rPr>
          <w:rFonts w:asciiTheme="majorHAnsi" w:eastAsia="Times New Roman" w:hAnsiTheme="majorHAnsi" w:cstheme="majorHAnsi"/>
          <w:sz w:val="20"/>
          <w:szCs w:val="20"/>
          <w:lang w:val="en-US" w:eastAsia="ko-KR"/>
        </w:rPr>
        <w:t xml:space="preserve"> century. From the style of these gravestones, the ones depicted in the images resemble Acehnese gravestones with a cylindrical variant. The cylindrical variant of gravestones, characteristic of Aceh, later spread to </w:t>
      </w:r>
      <w:proofErr w:type="spellStart"/>
      <w:r w:rsidRPr="0074480A">
        <w:rPr>
          <w:rFonts w:asciiTheme="majorHAnsi" w:eastAsia="Times New Roman" w:hAnsiTheme="majorHAnsi" w:cstheme="majorHAnsi"/>
          <w:sz w:val="20"/>
          <w:szCs w:val="20"/>
          <w:lang w:val="en-US" w:eastAsia="ko-KR"/>
        </w:rPr>
        <w:t>Bolaang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Mongondow</w:t>
      </w:r>
      <w:proofErr w:type="spellEnd"/>
      <w:r w:rsidRPr="0074480A">
        <w:rPr>
          <w:rFonts w:asciiTheme="majorHAnsi" w:eastAsia="Times New Roman" w:hAnsiTheme="majorHAnsi" w:cstheme="majorHAnsi"/>
          <w:sz w:val="20"/>
          <w:szCs w:val="20"/>
          <w:lang w:val="en-US" w:eastAsia="ko-KR"/>
        </w:rPr>
        <w:t xml:space="preserve">. Although these gravestones are identical to those in Aceh, the influence observed indicates a process of local adaptation and acculturation to the Islamic burial traditions introduced from the Middle East. The use of cylindrical gravestones, which became a representation of Islam in Aceh, demonstrates the significant impact of Islam's spread across various regions of the Nusantara, including </w:t>
      </w:r>
      <w:proofErr w:type="spellStart"/>
      <w:r w:rsidRPr="0074480A">
        <w:rPr>
          <w:rFonts w:asciiTheme="majorHAnsi" w:eastAsia="Times New Roman" w:hAnsiTheme="majorHAnsi" w:cstheme="majorHAnsi"/>
          <w:sz w:val="20"/>
          <w:szCs w:val="20"/>
          <w:lang w:val="en-US" w:eastAsia="ko-KR"/>
        </w:rPr>
        <w:t>Bolaang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Mongondow</w:t>
      </w:r>
      <w:proofErr w:type="spellEnd"/>
      <w:r w:rsidRPr="0074480A">
        <w:rPr>
          <w:rFonts w:asciiTheme="majorHAnsi" w:eastAsia="Times New Roman" w:hAnsiTheme="majorHAnsi" w:cstheme="majorHAnsi"/>
          <w:sz w:val="20"/>
          <w:szCs w:val="20"/>
          <w:lang w:val="en-US" w:eastAsia="ko-KR"/>
        </w:rPr>
        <w:t>.</w:t>
      </w:r>
    </w:p>
    <w:p w14:paraId="3F88DC71" w14:textId="77777777" w:rsidR="0074480A" w:rsidRP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They have various series measuring 12.5m x 12m, located on the Jere Sites, separated by fences, and covering 7.5m x 5.5m (see figure 5). The fence surrounding the graves does not appear to have upward-pointing corners, unlike other fences. Figures buried in Group II graves include the 9</w:t>
      </w:r>
      <w:r w:rsidRPr="0074480A">
        <w:rPr>
          <w:rFonts w:asciiTheme="majorHAnsi" w:eastAsia="Times New Roman" w:hAnsiTheme="majorHAnsi" w:cstheme="majorHAnsi"/>
          <w:sz w:val="20"/>
          <w:szCs w:val="20"/>
          <w:vertAlign w:val="superscript"/>
          <w:lang w:val="en-US" w:eastAsia="ko-KR"/>
        </w:rPr>
        <w:t>th</w:t>
      </w:r>
      <w:r w:rsidRPr="0074480A">
        <w:rPr>
          <w:rFonts w:asciiTheme="majorHAnsi" w:eastAsia="Times New Roman" w:hAnsiTheme="majorHAnsi" w:cstheme="majorHAnsi"/>
          <w:sz w:val="20"/>
          <w:szCs w:val="20"/>
          <w:lang w:val="en-US" w:eastAsia="ko-KR"/>
        </w:rPr>
        <w:t xml:space="preserve"> King of </w:t>
      </w:r>
      <w:proofErr w:type="spellStart"/>
      <w:r w:rsidRPr="0074480A">
        <w:rPr>
          <w:rFonts w:asciiTheme="majorHAnsi" w:eastAsia="Times New Roman" w:hAnsiTheme="majorHAnsi" w:cstheme="majorHAnsi"/>
          <w:sz w:val="20"/>
          <w:szCs w:val="20"/>
          <w:lang w:val="en-US" w:eastAsia="ko-KR"/>
        </w:rPr>
        <w:t>Kaidipang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Toruru</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who ruled from 1817 to 1835; the 10</w:t>
      </w:r>
      <w:r w:rsidRPr="0074480A">
        <w:rPr>
          <w:rFonts w:asciiTheme="majorHAnsi" w:eastAsia="Times New Roman" w:hAnsiTheme="majorHAnsi" w:cstheme="majorHAnsi"/>
          <w:sz w:val="20"/>
          <w:szCs w:val="20"/>
          <w:vertAlign w:val="superscript"/>
          <w:lang w:val="en-US" w:eastAsia="ko-KR"/>
        </w:rPr>
        <w:t>th</w:t>
      </w:r>
      <w:r w:rsidRPr="0074480A">
        <w:rPr>
          <w:rFonts w:asciiTheme="majorHAnsi" w:eastAsia="Times New Roman" w:hAnsiTheme="majorHAnsi" w:cstheme="majorHAnsi"/>
          <w:sz w:val="20"/>
          <w:szCs w:val="20"/>
          <w:lang w:val="en-US" w:eastAsia="ko-KR"/>
        </w:rPr>
        <w:t xml:space="preserve"> King of </w:t>
      </w:r>
      <w:proofErr w:type="spellStart"/>
      <w:r w:rsidRPr="0074480A">
        <w:rPr>
          <w:rFonts w:asciiTheme="majorHAnsi" w:eastAsia="Times New Roman" w:hAnsiTheme="majorHAnsi" w:cstheme="majorHAnsi"/>
          <w:sz w:val="20"/>
          <w:szCs w:val="20"/>
          <w:lang w:val="en-US" w:eastAsia="ko-KR"/>
        </w:rPr>
        <w:t>Kaidipang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Tiaha</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II (1835-1863); the 12</w:t>
      </w:r>
      <w:r w:rsidRPr="0074480A">
        <w:rPr>
          <w:rFonts w:asciiTheme="majorHAnsi" w:eastAsia="Times New Roman" w:hAnsiTheme="majorHAnsi" w:cstheme="majorHAnsi"/>
          <w:sz w:val="20"/>
          <w:szCs w:val="20"/>
          <w:vertAlign w:val="superscript"/>
          <w:lang w:val="en-US" w:eastAsia="ko-KR"/>
        </w:rPr>
        <w:t>th</w:t>
      </w:r>
      <w:r w:rsidRPr="0074480A">
        <w:rPr>
          <w:rFonts w:asciiTheme="majorHAnsi" w:eastAsia="Times New Roman" w:hAnsiTheme="majorHAnsi" w:cstheme="majorHAnsi"/>
          <w:sz w:val="20"/>
          <w:szCs w:val="20"/>
          <w:lang w:val="en-US" w:eastAsia="ko-KR"/>
        </w:rPr>
        <w:t xml:space="preserve"> King of </w:t>
      </w:r>
      <w:proofErr w:type="spellStart"/>
      <w:r w:rsidRPr="0074480A">
        <w:rPr>
          <w:rFonts w:asciiTheme="majorHAnsi" w:eastAsia="Times New Roman" w:hAnsiTheme="majorHAnsi" w:cstheme="majorHAnsi"/>
          <w:sz w:val="20"/>
          <w:szCs w:val="20"/>
          <w:lang w:val="en-US" w:eastAsia="ko-KR"/>
        </w:rPr>
        <w:t>Kaidipang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Gongala</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II (1866-1898); and the President of the Islamic Company, </w:t>
      </w:r>
      <w:proofErr w:type="spellStart"/>
      <w:r w:rsidRPr="0074480A">
        <w:rPr>
          <w:rFonts w:asciiTheme="majorHAnsi" w:eastAsia="Times New Roman" w:hAnsiTheme="majorHAnsi" w:cstheme="majorHAnsi"/>
          <w:sz w:val="20"/>
          <w:szCs w:val="20"/>
          <w:lang w:val="en-US" w:eastAsia="ko-KR"/>
        </w:rPr>
        <w:t>Dodoali</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According to Mr. </w:t>
      </w:r>
      <w:proofErr w:type="spellStart"/>
      <w:r w:rsidRPr="0074480A">
        <w:rPr>
          <w:rFonts w:asciiTheme="majorHAnsi" w:eastAsia="Times New Roman" w:hAnsiTheme="majorHAnsi" w:cstheme="majorHAnsi"/>
          <w:sz w:val="20"/>
          <w:szCs w:val="20"/>
          <w:lang w:val="en-US" w:eastAsia="ko-KR"/>
        </w:rPr>
        <w:t>Syafrudin</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(63 years old), the grave of the 11th King of </w:t>
      </w:r>
      <w:proofErr w:type="spellStart"/>
      <w:r w:rsidRPr="0074480A">
        <w:rPr>
          <w:rFonts w:asciiTheme="majorHAnsi" w:eastAsia="Times New Roman" w:hAnsiTheme="majorHAnsi" w:cstheme="majorHAnsi"/>
          <w:sz w:val="20"/>
          <w:szCs w:val="20"/>
          <w:lang w:val="en-US" w:eastAsia="ko-KR"/>
        </w:rPr>
        <w:t>Kaidipang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Vandish</w:t>
      </w:r>
      <w:proofErr w:type="spellEnd"/>
      <w:r w:rsidRPr="0074480A">
        <w:rPr>
          <w:rFonts w:asciiTheme="majorHAnsi" w:eastAsia="Times New Roman" w:hAnsiTheme="majorHAnsi" w:cstheme="majorHAnsi"/>
          <w:sz w:val="20"/>
          <w:szCs w:val="20"/>
          <w:lang w:val="en-US" w:eastAsia="ko-KR"/>
        </w:rPr>
        <w:t xml:space="preserve"> Moh. Nurdin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(1863-1866) is located in Ambon. In addition to the graves of these figures, relatives and descendants are also buried, although the identities of each individual are no longer known/anonymized.</w:t>
      </w:r>
    </w:p>
    <w:p w14:paraId="54E87184" w14:textId="77777777" w:rsid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 xml:space="preserve">Examining the tombstones in </w:t>
      </w:r>
      <w:proofErr w:type="spellStart"/>
      <w:r w:rsidRPr="0074480A">
        <w:rPr>
          <w:rFonts w:asciiTheme="majorHAnsi" w:eastAsia="Times New Roman" w:hAnsiTheme="majorHAnsi" w:cstheme="majorHAnsi"/>
          <w:sz w:val="20"/>
          <w:szCs w:val="20"/>
          <w:lang w:val="en-US" w:eastAsia="ko-KR"/>
        </w:rPr>
        <w:t>Bolaang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Mongondow</w:t>
      </w:r>
      <w:proofErr w:type="spellEnd"/>
      <w:r w:rsidRPr="0074480A">
        <w:rPr>
          <w:rFonts w:asciiTheme="majorHAnsi" w:eastAsia="Times New Roman" w:hAnsiTheme="majorHAnsi" w:cstheme="majorHAnsi"/>
          <w:sz w:val="20"/>
          <w:szCs w:val="20"/>
          <w:lang w:val="en-US" w:eastAsia="ko-KR"/>
        </w:rPr>
        <w:t>, compared with typical Muslim tombstone designs influenced by Aceh, reveals that Islamic influence had reached the region. The tombstone of Wellen "</w:t>
      </w:r>
      <w:proofErr w:type="spellStart"/>
      <w:r w:rsidRPr="0074480A">
        <w:rPr>
          <w:rFonts w:asciiTheme="majorHAnsi" w:eastAsia="Times New Roman" w:hAnsiTheme="majorHAnsi" w:cstheme="majorHAnsi"/>
          <w:sz w:val="20"/>
          <w:szCs w:val="20"/>
          <w:lang w:val="en-US" w:eastAsia="ko-KR"/>
        </w:rPr>
        <w:t>Waladin</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serves as proof of Islam's presence in </w:t>
      </w:r>
      <w:proofErr w:type="spellStart"/>
      <w:r w:rsidRPr="0074480A">
        <w:rPr>
          <w:rFonts w:asciiTheme="majorHAnsi" w:eastAsia="Times New Roman" w:hAnsiTheme="majorHAnsi" w:cstheme="majorHAnsi"/>
          <w:sz w:val="20"/>
          <w:szCs w:val="20"/>
          <w:lang w:val="en-US" w:eastAsia="ko-KR"/>
        </w:rPr>
        <w:t>Bolaang</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Mongondow</w:t>
      </w:r>
      <w:proofErr w:type="spellEnd"/>
      <w:r w:rsidRPr="0074480A">
        <w:rPr>
          <w:rFonts w:asciiTheme="majorHAnsi" w:eastAsia="Times New Roman" w:hAnsiTheme="majorHAnsi" w:cstheme="majorHAnsi"/>
          <w:sz w:val="20"/>
          <w:szCs w:val="20"/>
          <w:lang w:val="en-US" w:eastAsia="ko-KR"/>
        </w:rPr>
        <w:t>. Despite the tombstone's inscription being limited to a name, its style underscores the impact of Islamization in the area. Notably, the practice of inscribing identities on tombstones began in the mid-20th century, highlighting that Islam had become a significant aspect of the community's socio-religious dynamics.</w:t>
      </w:r>
    </w:p>
    <w:p w14:paraId="6357EDBA" w14:textId="77777777" w:rsidR="0074480A" w:rsidRDefault="0074480A" w:rsidP="0074480A">
      <w:pPr>
        <w:ind w:left="283" w:firstLine="284"/>
        <w:jc w:val="both"/>
        <w:rPr>
          <w:rFonts w:asciiTheme="majorHAnsi" w:eastAsia="Times New Roman" w:hAnsiTheme="majorHAnsi" w:cstheme="majorHAnsi"/>
          <w:sz w:val="20"/>
          <w:szCs w:val="20"/>
          <w:lang w:val="en-US" w:eastAsia="ko-KR"/>
        </w:rPr>
      </w:pPr>
    </w:p>
    <w:p w14:paraId="42E6C63A" w14:textId="64D01168" w:rsidR="0074480A" w:rsidRDefault="0074480A" w:rsidP="0074480A">
      <w:pPr>
        <w:ind w:left="283" w:firstLine="284"/>
        <w:jc w:val="center"/>
        <w:rPr>
          <w:rFonts w:asciiTheme="majorHAnsi" w:eastAsia="Times New Roman" w:hAnsiTheme="majorHAnsi" w:cstheme="majorHAnsi"/>
          <w:sz w:val="20"/>
          <w:szCs w:val="20"/>
          <w:lang w:val="en-US" w:eastAsia="ko-KR"/>
        </w:rPr>
      </w:pPr>
      <w:r>
        <w:rPr>
          <w:noProof/>
        </w:rPr>
        <w:drawing>
          <wp:inline distT="0" distB="0" distL="0" distR="0" wp14:anchorId="1D38B8F2" wp14:editId="118091C1">
            <wp:extent cx="3119958" cy="2087592"/>
            <wp:effectExtent l="0" t="0" r="4445" b="825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26892" cy="2092232"/>
                    </a:xfrm>
                    <a:prstGeom prst="rect">
                      <a:avLst/>
                    </a:prstGeom>
                  </pic:spPr>
                </pic:pic>
              </a:graphicData>
            </a:graphic>
          </wp:inline>
        </w:drawing>
      </w:r>
    </w:p>
    <w:p w14:paraId="21DE0114" w14:textId="77777777" w:rsidR="0074480A" w:rsidRDefault="0074480A" w:rsidP="0074480A">
      <w:pPr>
        <w:ind w:left="283" w:firstLine="284"/>
        <w:jc w:val="center"/>
        <w:rPr>
          <w:rFonts w:asciiTheme="majorHAnsi" w:eastAsia="Times New Roman" w:hAnsiTheme="majorHAnsi" w:cstheme="majorHAnsi"/>
          <w:sz w:val="20"/>
          <w:szCs w:val="20"/>
          <w:lang w:val="en-US" w:eastAsia="ko-KR"/>
        </w:rPr>
      </w:pPr>
    </w:p>
    <w:p w14:paraId="212924BC" w14:textId="7D07637A" w:rsidR="0074480A" w:rsidRPr="0074480A" w:rsidRDefault="0074480A" w:rsidP="0074480A">
      <w:pPr>
        <w:ind w:left="283" w:firstLine="284"/>
        <w:jc w:val="center"/>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Figure 7</w:t>
      </w:r>
      <w:r w:rsidR="00471CCE">
        <w:rPr>
          <w:rFonts w:asciiTheme="majorHAnsi" w:eastAsia="Times New Roman" w:hAnsiTheme="majorHAnsi" w:cstheme="majorHAnsi"/>
          <w:sz w:val="16"/>
          <w:szCs w:val="16"/>
          <w:lang w:val="en-US" w:eastAsia="ko-KR"/>
        </w:rPr>
        <w:t>.</w:t>
      </w:r>
      <w:r w:rsidRPr="0074480A">
        <w:rPr>
          <w:rFonts w:asciiTheme="majorHAnsi" w:eastAsia="Times New Roman" w:hAnsiTheme="majorHAnsi" w:cstheme="majorHAnsi"/>
          <w:sz w:val="16"/>
          <w:szCs w:val="16"/>
          <w:lang w:val="en-US" w:eastAsia="ko-KR"/>
        </w:rPr>
        <w:t xml:space="preserve"> Graves and Landscape in Jere Sites </w:t>
      </w:r>
    </w:p>
    <w:p w14:paraId="03CA4160" w14:textId="42730262" w:rsidR="0074480A" w:rsidRDefault="0074480A" w:rsidP="0074480A">
      <w:pPr>
        <w:ind w:left="283" w:firstLine="284"/>
        <w:jc w:val="center"/>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(Muslim Gravestones)</w:t>
      </w:r>
    </w:p>
    <w:p w14:paraId="2F9EF96B" w14:textId="77777777" w:rsidR="009D3D77" w:rsidRPr="0074480A" w:rsidRDefault="009D3D77" w:rsidP="0074480A">
      <w:pPr>
        <w:ind w:left="283" w:firstLine="284"/>
        <w:jc w:val="center"/>
        <w:rPr>
          <w:rFonts w:asciiTheme="majorHAnsi" w:eastAsia="Times New Roman" w:hAnsiTheme="majorHAnsi" w:cstheme="majorHAnsi"/>
          <w:sz w:val="16"/>
          <w:szCs w:val="16"/>
          <w:lang w:val="en-US" w:eastAsia="ko-KR"/>
        </w:rPr>
      </w:pPr>
    </w:p>
    <w:p w14:paraId="1A70B5F8" w14:textId="77777777" w:rsidR="0074480A" w:rsidRP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 xml:space="preserve">To facilitate inventory and description, a numbering system starting with Group I graves is used. Thus, in Group II graves, the numbering continues (see figure 7). </w:t>
      </w:r>
    </w:p>
    <w:p w14:paraId="74544718" w14:textId="77777777" w:rsidR="0074480A" w:rsidRPr="0074480A" w:rsidRDefault="0074480A" w:rsidP="0074480A">
      <w:pPr>
        <w:spacing w:line="360" w:lineRule="auto"/>
        <w:ind w:left="283" w:firstLine="284"/>
        <w:jc w:val="center"/>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lastRenderedPageBreak/>
        <w:t>Table 2. Descriptions of other headstones can be</w:t>
      </w:r>
    </w:p>
    <w:tbl>
      <w:tblPr>
        <w:tblW w:w="8651" w:type="dxa"/>
        <w:tblInd w:w="27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8"/>
        <w:gridCol w:w="1983"/>
        <w:gridCol w:w="1848"/>
        <w:gridCol w:w="709"/>
        <w:gridCol w:w="709"/>
        <w:gridCol w:w="1275"/>
        <w:gridCol w:w="1559"/>
      </w:tblGrid>
      <w:tr w:rsidR="0074480A" w:rsidRPr="0074480A" w14:paraId="5B827758" w14:textId="77777777" w:rsidTr="0074480A">
        <w:trPr>
          <w:trHeight w:val="4"/>
        </w:trPr>
        <w:tc>
          <w:tcPr>
            <w:tcW w:w="568" w:type="dxa"/>
            <w:hideMark/>
          </w:tcPr>
          <w:p w14:paraId="60384892"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NO.</w:t>
            </w:r>
          </w:p>
        </w:tc>
        <w:tc>
          <w:tcPr>
            <w:tcW w:w="1983" w:type="dxa"/>
            <w:hideMark/>
          </w:tcPr>
          <w:p w14:paraId="6A44F5C2"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Name</w:t>
            </w:r>
          </w:p>
        </w:tc>
        <w:tc>
          <w:tcPr>
            <w:tcW w:w="1848" w:type="dxa"/>
            <w:hideMark/>
          </w:tcPr>
          <w:p w14:paraId="729502D1"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Material</w:t>
            </w:r>
          </w:p>
        </w:tc>
        <w:tc>
          <w:tcPr>
            <w:tcW w:w="709" w:type="dxa"/>
            <w:hideMark/>
          </w:tcPr>
          <w:p w14:paraId="599A08FB"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Height</w:t>
            </w:r>
          </w:p>
        </w:tc>
        <w:tc>
          <w:tcPr>
            <w:tcW w:w="709" w:type="dxa"/>
            <w:hideMark/>
          </w:tcPr>
          <w:p w14:paraId="0557652C"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Width</w:t>
            </w:r>
          </w:p>
        </w:tc>
        <w:tc>
          <w:tcPr>
            <w:tcW w:w="1275" w:type="dxa"/>
            <w:hideMark/>
          </w:tcPr>
          <w:p w14:paraId="04D0F040"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Shape</w:t>
            </w:r>
          </w:p>
        </w:tc>
        <w:tc>
          <w:tcPr>
            <w:tcW w:w="1559" w:type="dxa"/>
            <w:hideMark/>
          </w:tcPr>
          <w:p w14:paraId="5E9D819E" w14:textId="77777777" w:rsidR="0074480A" w:rsidRPr="0074480A" w:rsidRDefault="0074480A" w:rsidP="0074480A">
            <w:pPr>
              <w:spacing w:line="276" w:lineRule="auto"/>
              <w:ind w:left="-14" w:firstLine="14"/>
              <w:jc w:val="both"/>
              <w:rPr>
                <w:rFonts w:asciiTheme="majorHAnsi" w:eastAsia="Times New Roman" w:hAnsiTheme="majorHAnsi" w:cstheme="majorHAnsi"/>
                <w:bCs/>
                <w:sz w:val="16"/>
                <w:szCs w:val="16"/>
                <w:lang w:val="en-US" w:eastAsia="ko-KR"/>
              </w:rPr>
            </w:pPr>
            <w:r w:rsidRPr="0074480A">
              <w:rPr>
                <w:rFonts w:asciiTheme="majorHAnsi" w:eastAsia="Times New Roman" w:hAnsiTheme="majorHAnsi" w:cstheme="majorHAnsi"/>
                <w:bCs/>
                <w:sz w:val="16"/>
                <w:szCs w:val="16"/>
                <w:lang w:val="en-US" w:eastAsia="ko-KR"/>
              </w:rPr>
              <w:t>Description</w:t>
            </w:r>
          </w:p>
        </w:tc>
      </w:tr>
      <w:tr w:rsidR="0074480A" w:rsidRPr="0074480A" w14:paraId="005D2D3D" w14:textId="77777777" w:rsidTr="0074480A">
        <w:trPr>
          <w:trHeight w:val="4"/>
        </w:trPr>
        <w:tc>
          <w:tcPr>
            <w:tcW w:w="568" w:type="dxa"/>
            <w:hideMark/>
          </w:tcPr>
          <w:p w14:paraId="372948D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w:t>
            </w:r>
          </w:p>
        </w:tc>
        <w:tc>
          <w:tcPr>
            <w:tcW w:w="1983" w:type="dxa"/>
            <w:hideMark/>
          </w:tcPr>
          <w:p w14:paraId="45DCC3E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Willem David</w:t>
            </w:r>
          </w:p>
        </w:tc>
        <w:tc>
          <w:tcPr>
            <w:tcW w:w="1848" w:type="dxa"/>
            <w:hideMark/>
          </w:tcPr>
          <w:p w14:paraId="4153BC7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Cement and Andesite stone </w:t>
            </w:r>
          </w:p>
        </w:tc>
        <w:tc>
          <w:tcPr>
            <w:tcW w:w="709" w:type="dxa"/>
            <w:hideMark/>
          </w:tcPr>
          <w:p w14:paraId="4473369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43</w:t>
            </w:r>
          </w:p>
        </w:tc>
        <w:tc>
          <w:tcPr>
            <w:tcW w:w="709" w:type="dxa"/>
            <w:hideMark/>
          </w:tcPr>
          <w:p w14:paraId="1302329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565CC99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Mace</w:t>
            </w:r>
          </w:p>
        </w:tc>
        <w:tc>
          <w:tcPr>
            <w:tcW w:w="1559" w:type="dxa"/>
            <w:hideMark/>
          </w:tcPr>
          <w:p w14:paraId="40AE78C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sv-SE" w:eastAsia="ko-KR"/>
              </w:rPr>
            </w:pPr>
            <w:r w:rsidRPr="0074480A">
              <w:rPr>
                <w:rFonts w:asciiTheme="majorHAnsi" w:eastAsia="Times New Roman" w:hAnsiTheme="majorHAnsi" w:cstheme="majorHAnsi"/>
                <w:sz w:val="16"/>
                <w:szCs w:val="16"/>
                <w:lang w:val="sv-SE" w:eastAsia="ko-KR"/>
              </w:rPr>
              <w:t>Two headstones and intact</w:t>
            </w:r>
          </w:p>
        </w:tc>
      </w:tr>
      <w:tr w:rsidR="0074480A" w:rsidRPr="0074480A" w14:paraId="1C8DB602" w14:textId="77777777" w:rsidTr="0074480A">
        <w:trPr>
          <w:trHeight w:val="4"/>
        </w:trPr>
        <w:tc>
          <w:tcPr>
            <w:tcW w:w="568" w:type="dxa"/>
            <w:hideMark/>
          </w:tcPr>
          <w:p w14:paraId="119D2BB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w:t>
            </w:r>
          </w:p>
        </w:tc>
        <w:tc>
          <w:tcPr>
            <w:tcW w:w="1983" w:type="dxa"/>
            <w:hideMark/>
          </w:tcPr>
          <w:p w14:paraId="55A1F76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Balota</w:t>
            </w:r>
            <w:proofErr w:type="spellEnd"/>
          </w:p>
        </w:tc>
        <w:tc>
          <w:tcPr>
            <w:tcW w:w="1848" w:type="dxa"/>
            <w:hideMark/>
          </w:tcPr>
          <w:p w14:paraId="419DD57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F12089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47</w:t>
            </w:r>
          </w:p>
        </w:tc>
        <w:tc>
          <w:tcPr>
            <w:tcW w:w="709" w:type="dxa"/>
            <w:hideMark/>
          </w:tcPr>
          <w:p w14:paraId="51E19AE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57011D6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Mace</w:t>
            </w:r>
          </w:p>
        </w:tc>
        <w:tc>
          <w:tcPr>
            <w:tcW w:w="1559" w:type="dxa"/>
            <w:hideMark/>
          </w:tcPr>
          <w:p w14:paraId="60D3130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(KM I)</w:t>
            </w:r>
          </w:p>
        </w:tc>
      </w:tr>
      <w:tr w:rsidR="0074480A" w:rsidRPr="0074480A" w14:paraId="78EA6210" w14:textId="77777777" w:rsidTr="0074480A">
        <w:trPr>
          <w:trHeight w:val="4"/>
        </w:trPr>
        <w:tc>
          <w:tcPr>
            <w:tcW w:w="568" w:type="dxa"/>
            <w:hideMark/>
          </w:tcPr>
          <w:p w14:paraId="038C22A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w:t>
            </w:r>
          </w:p>
        </w:tc>
        <w:tc>
          <w:tcPr>
            <w:tcW w:w="1983" w:type="dxa"/>
            <w:hideMark/>
          </w:tcPr>
          <w:p w14:paraId="32191AE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Misa’ala</w:t>
            </w:r>
            <w:proofErr w:type="spellEnd"/>
          </w:p>
        </w:tc>
        <w:tc>
          <w:tcPr>
            <w:tcW w:w="1848" w:type="dxa"/>
            <w:hideMark/>
          </w:tcPr>
          <w:p w14:paraId="082B0F4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6F4EE9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709" w:type="dxa"/>
            <w:hideMark/>
          </w:tcPr>
          <w:p w14:paraId="2D7185E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772B86C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1559" w:type="dxa"/>
            <w:hideMark/>
          </w:tcPr>
          <w:p w14:paraId="5BDE442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(KM I)</w:t>
            </w:r>
          </w:p>
        </w:tc>
      </w:tr>
      <w:tr w:rsidR="0074480A" w:rsidRPr="0074480A" w14:paraId="367FABC2" w14:textId="77777777" w:rsidTr="0074480A">
        <w:trPr>
          <w:trHeight w:val="4"/>
        </w:trPr>
        <w:tc>
          <w:tcPr>
            <w:tcW w:w="568" w:type="dxa"/>
            <w:hideMark/>
          </w:tcPr>
          <w:p w14:paraId="52C0F95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w:t>
            </w:r>
          </w:p>
        </w:tc>
        <w:tc>
          <w:tcPr>
            <w:tcW w:w="1983" w:type="dxa"/>
            <w:hideMark/>
          </w:tcPr>
          <w:p w14:paraId="502A96C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CE7737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6464D6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709" w:type="dxa"/>
            <w:hideMark/>
          </w:tcPr>
          <w:p w14:paraId="7214AE8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1E7854C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95900C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w:t>
            </w:r>
          </w:p>
        </w:tc>
      </w:tr>
      <w:tr w:rsidR="0074480A" w:rsidRPr="0074480A" w14:paraId="699438D1" w14:textId="77777777" w:rsidTr="0074480A">
        <w:trPr>
          <w:trHeight w:val="4"/>
        </w:trPr>
        <w:tc>
          <w:tcPr>
            <w:tcW w:w="568" w:type="dxa"/>
            <w:hideMark/>
          </w:tcPr>
          <w:p w14:paraId="5AED06A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w:t>
            </w:r>
          </w:p>
        </w:tc>
        <w:tc>
          <w:tcPr>
            <w:tcW w:w="1983" w:type="dxa"/>
            <w:hideMark/>
          </w:tcPr>
          <w:p w14:paraId="5225BC1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CAE974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0ED4F9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709" w:type="dxa"/>
            <w:hideMark/>
          </w:tcPr>
          <w:p w14:paraId="4B13F9F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1275" w:type="dxa"/>
            <w:hideMark/>
          </w:tcPr>
          <w:p w14:paraId="5868B6C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4439699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w:t>
            </w:r>
          </w:p>
        </w:tc>
      </w:tr>
      <w:tr w:rsidR="0074480A" w:rsidRPr="0074480A" w14:paraId="23E6EB07" w14:textId="77777777" w:rsidTr="0074480A">
        <w:trPr>
          <w:trHeight w:val="253"/>
        </w:trPr>
        <w:tc>
          <w:tcPr>
            <w:tcW w:w="568" w:type="dxa"/>
            <w:hideMark/>
          </w:tcPr>
          <w:p w14:paraId="765492E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w:t>
            </w:r>
          </w:p>
        </w:tc>
        <w:tc>
          <w:tcPr>
            <w:tcW w:w="1983" w:type="dxa"/>
            <w:hideMark/>
          </w:tcPr>
          <w:p w14:paraId="25946D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Toruru</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4A4343A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1188376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60</w:t>
            </w:r>
          </w:p>
        </w:tc>
        <w:tc>
          <w:tcPr>
            <w:tcW w:w="709" w:type="dxa"/>
            <w:hideMark/>
          </w:tcPr>
          <w:p w14:paraId="31C1AE4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w:t>
            </w:r>
          </w:p>
        </w:tc>
        <w:tc>
          <w:tcPr>
            <w:tcW w:w="1275" w:type="dxa"/>
            <w:hideMark/>
          </w:tcPr>
          <w:p w14:paraId="6E46AC8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856C59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3E909CA" w14:textId="77777777" w:rsidTr="0074480A">
        <w:trPr>
          <w:trHeight w:val="4"/>
        </w:trPr>
        <w:tc>
          <w:tcPr>
            <w:tcW w:w="568" w:type="dxa"/>
            <w:hideMark/>
          </w:tcPr>
          <w:p w14:paraId="6CD335B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1983" w:type="dxa"/>
            <w:hideMark/>
          </w:tcPr>
          <w:p w14:paraId="7DC0CD4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Dadoali</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6890EDB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1AFD8C1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32</w:t>
            </w:r>
          </w:p>
        </w:tc>
        <w:tc>
          <w:tcPr>
            <w:tcW w:w="709" w:type="dxa"/>
            <w:hideMark/>
          </w:tcPr>
          <w:p w14:paraId="0BF3D75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2499436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6BAB61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5387FE26" w14:textId="77777777" w:rsidTr="0074480A">
        <w:trPr>
          <w:trHeight w:val="4"/>
        </w:trPr>
        <w:tc>
          <w:tcPr>
            <w:tcW w:w="568" w:type="dxa"/>
            <w:hideMark/>
          </w:tcPr>
          <w:p w14:paraId="7E297E5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w:t>
            </w:r>
          </w:p>
        </w:tc>
        <w:tc>
          <w:tcPr>
            <w:tcW w:w="1983" w:type="dxa"/>
            <w:hideMark/>
          </w:tcPr>
          <w:p w14:paraId="18E1E33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CD7AE8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94FEF5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709" w:type="dxa"/>
            <w:hideMark/>
          </w:tcPr>
          <w:p w14:paraId="3A9E15E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27</w:t>
            </w:r>
          </w:p>
        </w:tc>
        <w:tc>
          <w:tcPr>
            <w:tcW w:w="1275" w:type="dxa"/>
            <w:hideMark/>
          </w:tcPr>
          <w:p w14:paraId="5DBB205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ED3EF1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55720FDF" w14:textId="77777777" w:rsidTr="0074480A">
        <w:trPr>
          <w:trHeight w:val="4"/>
        </w:trPr>
        <w:tc>
          <w:tcPr>
            <w:tcW w:w="568" w:type="dxa"/>
            <w:hideMark/>
          </w:tcPr>
          <w:p w14:paraId="232DEC0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9.</w:t>
            </w:r>
          </w:p>
        </w:tc>
        <w:tc>
          <w:tcPr>
            <w:tcW w:w="1983" w:type="dxa"/>
            <w:hideMark/>
          </w:tcPr>
          <w:p w14:paraId="33C44B1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C8191F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1C8833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709" w:type="dxa"/>
            <w:hideMark/>
          </w:tcPr>
          <w:p w14:paraId="645DFB4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1275" w:type="dxa"/>
            <w:hideMark/>
          </w:tcPr>
          <w:p w14:paraId="047E35D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8E3C7B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2D7E7987" w14:textId="77777777" w:rsidTr="0074480A">
        <w:trPr>
          <w:trHeight w:val="4"/>
        </w:trPr>
        <w:tc>
          <w:tcPr>
            <w:tcW w:w="568" w:type="dxa"/>
            <w:hideMark/>
          </w:tcPr>
          <w:p w14:paraId="13D7CE0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1983" w:type="dxa"/>
            <w:hideMark/>
          </w:tcPr>
          <w:p w14:paraId="5907D19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Jamarutu</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1C0048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1F0DEE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709" w:type="dxa"/>
            <w:hideMark/>
          </w:tcPr>
          <w:p w14:paraId="20A322E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w:t>
            </w:r>
          </w:p>
        </w:tc>
        <w:tc>
          <w:tcPr>
            <w:tcW w:w="1275" w:type="dxa"/>
            <w:hideMark/>
          </w:tcPr>
          <w:p w14:paraId="2D7E9E2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D854A4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D065612" w14:textId="77777777" w:rsidTr="0074480A">
        <w:trPr>
          <w:trHeight w:val="4"/>
        </w:trPr>
        <w:tc>
          <w:tcPr>
            <w:tcW w:w="568" w:type="dxa"/>
            <w:hideMark/>
          </w:tcPr>
          <w:p w14:paraId="680908A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11.</w:t>
            </w:r>
          </w:p>
        </w:tc>
        <w:tc>
          <w:tcPr>
            <w:tcW w:w="1983" w:type="dxa"/>
            <w:hideMark/>
          </w:tcPr>
          <w:p w14:paraId="3D9EF6D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16708B1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693F9C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w:t>
            </w:r>
          </w:p>
        </w:tc>
        <w:tc>
          <w:tcPr>
            <w:tcW w:w="709" w:type="dxa"/>
            <w:hideMark/>
          </w:tcPr>
          <w:p w14:paraId="25E1D84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6433E4C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35DD7CB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3237BC2" w14:textId="77777777" w:rsidTr="0074480A">
        <w:trPr>
          <w:trHeight w:val="4"/>
        </w:trPr>
        <w:tc>
          <w:tcPr>
            <w:tcW w:w="568" w:type="dxa"/>
            <w:hideMark/>
          </w:tcPr>
          <w:p w14:paraId="47209EF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1983" w:type="dxa"/>
            <w:hideMark/>
          </w:tcPr>
          <w:p w14:paraId="498067C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E1A915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C46921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709" w:type="dxa"/>
            <w:hideMark/>
          </w:tcPr>
          <w:p w14:paraId="7A5F743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1275" w:type="dxa"/>
            <w:hideMark/>
          </w:tcPr>
          <w:p w14:paraId="3AFB39F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2EC025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2F54B5A" w14:textId="77777777" w:rsidTr="0074480A">
        <w:trPr>
          <w:trHeight w:val="4"/>
        </w:trPr>
        <w:tc>
          <w:tcPr>
            <w:tcW w:w="568" w:type="dxa"/>
            <w:hideMark/>
          </w:tcPr>
          <w:p w14:paraId="434F906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1983" w:type="dxa"/>
            <w:hideMark/>
          </w:tcPr>
          <w:p w14:paraId="5E6296F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746E87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464FCE9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709" w:type="dxa"/>
            <w:hideMark/>
          </w:tcPr>
          <w:p w14:paraId="7EB4DEF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1275" w:type="dxa"/>
            <w:hideMark/>
          </w:tcPr>
          <w:p w14:paraId="7BDA12A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80A6C9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395889AA" w14:textId="77777777" w:rsidTr="0074480A">
        <w:trPr>
          <w:trHeight w:val="4"/>
        </w:trPr>
        <w:tc>
          <w:tcPr>
            <w:tcW w:w="568" w:type="dxa"/>
            <w:hideMark/>
          </w:tcPr>
          <w:p w14:paraId="57589BD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14.</w:t>
            </w:r>
          </w:p>
        </w:tc>
        <w:tc>
          <w:tcPr>
            <w:tcW w:w="1983" w:type="dxa"/>
            <w:hideMark/>
          </w:tcPr>
          <w:p w14:paraId="7D5EEF9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3E19D94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0B0806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48</w:t>
            </w:r>
          </w:p>
        </w:tc>
        <w:tc>
          <w:tcPr>
            <w:tcW w:w="709" w:type="dxa"/>
            <w:hideMark/>
          </w:tcPr>
          <w:p w14:paraId="0E3A0D6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w:t>
            </w:r>
          </w:p>
        </w:tc>
        <w:tc>
          <w:tcPr>
            <w:tcW w:w="1275" w:type="dxa"/>
            <w:hideMark/>
          </w:tcPr>
          <w:p w14:paraId="64215ED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F415B4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0884193" w14:textId="77777777" w:rsidTr="0074480A">
        <w:trPr>
          <w:trHeight w:val="4"/>
        </w:trPr>
        <w:tc>
          <w:tcPr>
            <w:tcW w:w="568" w:type="dxa"/>
            <w:hideMark/>
          </w:tcPr>
          <w:p w14:paraId="14A61FC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983" w:type="dxa"/>
            <w:hideMark/>
          </w:tcPr>
          <w:p w14:paraId="441E6AD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DF587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F5C520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w:t>
            </w:r>
          </w:p>
        </w:tc>
        <w:tc>
          <w:tcPr>
            <w:tcW w:w="709" w:type="dxa"/>
            <w:hideMark/>
          </w:tcPr>
          <w:p w14:paraId="03C4B60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w:t>
            </w:r>
          </w:p>
        </w:tc>
        <w:tc>
          <w:tcPr>
            <w:tcW w:w="1275" w:type="dxa"/>
            <w:hideMark/>
          </w:tcPr>
          <w:p w14:paraId="2C882DA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F4CCE0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4506F28" w14:textId="77777777" w:rsidTr="0074480A">
        <w:trPr>
          <w:trHeight w:val="4"/>
        </w:trPr>
        <w:tc>
          <w:tcPr>
            <w:tcW w:w="568" w:type="dxa"/>
            <w:hideMark/>
          </w:tcPr>
          <w:p w14:paraId="4648813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16.</w:t>
            </w:r>
          </w:p>
        </w:tc>
        <w:tc>
          <w:tcPr>
            <w:tcW w:w="1983" w:type="dxa"/>
            <w:hideMark/>
          </w:tcPr>
          <w:p w14:paraId="6692DD0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B35FD2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13EAAE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709" w:type="dxa"/>
            <w:hideMark/>
          </w:tcPr>
          <w:p w14:paraId="6C2FF81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074CD0A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8EDC2A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598D7D9B" w14:textId="77777777" w:rsidTr="0074480A">
        <w:trPr>
          <w:trHeight w:val="4"/>
        </w:trPr>
        <w:tc>
          <w:tcPr>
            <w:tcW w:w="568" w:type="dxa"/>
            <w:hideMark/>
          </w:tcPr>
          <w:p w14:paraId="5CC5351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983" w:type="dxa"/>
            <w:hideMark/>
          </w:tcPr>
          <w:p w14:paraId="14935C6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44B833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FF706D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27</w:t>
            </w:r>
          </w:p>
        </w:tc>
        <w:tc>
          <w:tcPr>
            <w:tcW w:w="709" w:type="dxa"/>
            <w:hideMark/>
          </w:tcPr>
          <w:p w14:paraId="12CD4E6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6944998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7C2DC6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C391A37" w14:textId="77777777" w:rsidTr="0074480A">
        <w:trPr>
          <w:trHeight w:val="4"/>
        </w:trPr>
        <w:tc>
          <w:tcPr>
            <w:tcW w:w="568" w:type="dxa"/>
            <w:hideMark/>
          </w:tcPr>
          <w:p w14:paraId="241893A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w:t>
            </w:r>
          </w:p>
        </w:tc>
        <w:tc>
          <w:tcPr>
            <w:tcW w:w="1983" w:type="dxa"/>
            <w:hideMark/>
          </w:tcPr>
          <w:p w14:paraId="5DE445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Boki </w:t>
            </w:r>
            <w:proofErr w:type="spellStart"/>
            <w:r w:rsidRPr="0074480A">
              <w:rPr>
                <w:rFonts w:asciiTheme="majorHAnsi" w:eastAsia="Times New Roman" w:hAnsiTheme="majorHAnsi" w:cstheme="majorHAnsi"/>
                <w:sz w:val="16"/>
                <w:szCs w:val="16"/>
                <w:lang w:val="en-US" w:eastAsia="ko-KR"/>
              </w:rPr>
              <w:t>Saharbanun</w:t>
            </w:r>
            <w:proofErr w:type="spellEnd"/>
          </w:p>
        </w:tc>
        <w:tc>
          <w:tcPr>
            <w:tcW w:w="1848" w:type="dxa"/>
            <w:hideMark/>
          </w:tcPr>
          <w:p w14:paraId="1951F4E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Cement</w:t>
            </w:r>
          </w:p>
        </w:tc>
        <w:tc>
          <w:tcPr>
            <w:tcW w:w="709" w:type="dxa"/>
            <w:hideMark/>
          </w:tcPr>
          <w:p w14:paraId="782D5A2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62</w:t>
            </w:r>
          </w:p>
        </w:tc>
        <w:tc>
          <w:tcPr>
            <w:tcW w:w="709" w:type="dxa"/>
            <w:hideMark/>
          </w:tcPr>
          <w:p w14:paraId="7EE9276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519A213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1559" w:type="dxa"/>
            <w:hideMark/>
          </w:tcPr>
          <w:p w14:paraId="20F82F3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3CFD9EB6" w14:textId="77777777" w:rsidTr="0074480A">
        <w:trPr>
          <w:trHeight w:val="4"/>
        </w:trPr>
        <w:tc>
          <w:tcPr>
            <w:tcW w:w="568" w:type="dxa"/>
            <w:hideMark/>
          </w:tcPr>
          <w:p w14:paraId="65AF8EC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19.</w:t>
            </w:r>
          </w:p>
        </w:tc>
        <w:tc>
          <w:tcPr>
            <w:tcW w:w="1983" w:type="dxa"/>
            <w:hideMark/>
          </w:tcPr>
          <w:p w14:paraId="1B04C6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13FF96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Andesite stone</w:t>
            </w:r>
          </w:p>
        </w:tc>
        <w:tc>
          <w:tcPr>
            <w:tcW w:w="709" w:type="dxa"/>
            <w:hideMark/>
          </w:tcPr>
          <w:p w14:paraId="2E5013F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709" w:type="dxa"/>
            <w:hideMark/>
          </w:tcPr>
          <w:p w14:paraId="511B27B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1275" w:type="dxa"/>
            <w:hideMark/>
          </w:tcPr>
          <w:p w14:paraId="19CEDB9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FCBEAD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F3BD112" w14:textId="77777777" w:rsidTr="0074480A">
        <w:trPr>
          <w:trHeight w:val="4"/>
        </w:trPr>
        <w:tc>
          <w:tcPr>
            <w:tcW w:w="568" w:type="dxa"/>
            <w:hideMark/>
          </w:tcPr>
          <w:p w14:paraId="68BE8D1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983" w:type="dxa"/>
            <w:hideMark/>
          </w:tcPr>
          <w:p w14:paraId="7136ED6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Maryam </w:t>
            </w:r>
            <w:proofErr w:type="spellStart"/>
            <w:r w:rsidRPr="0074480A">
              <w:rPr>
                <w:rFonts w:asciiTheme="majorHAnsi" w:eastAsia="Times New Roman" w:hAnsiTheme="majorHAnsi" w:cstheme="majorHAnsi"/>
                <w:sz w:val="16"/>
                <w:szCs w:val="16"/>
                <w:lang w:val="en-US" w:eastAsia="ko-KR"/>
              </w:rPr>
              <w:t>Buhang</w:t>
            </w:r>
            <w:proofErr w:type="spellEnd"/>
          </w:p>
        </w:tc>
        <w:tc>
          <w:tcPr>
            <w:tcW w:w="1848" w:type="dxa"/>
            <w:hideMark/>
          </w:tcPr>
          <w:p w14:paraId="633DE6D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Cement</w:t>
            </w:r>
          </w:p>
        </w:tc>
        <w:tc>
          <w:tcPr>
            <w:tcW w:w="709" w:type="dxa"/>
            <w:hideMark/>
          </w:tcPr>
          <w:p w14:paraId="58CE04A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70</w:t>
            </w:r>
          </w:p>
        </w:tc>
        <w:tc>
          <w:tcPr>
            <w:tcW w:w="709" w:type="dxa"/>
            <w:hideMark/>
          </w:tcPr>
          <w:p w14:paraId="72952AC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w:t>
            </w:r>
          </w:p>
        </w:tc>
        <w:tc>
          <w:tcPr>
            <w:tcW w:w="1275" w:type="dxa"/>
            <w:hideMark/>
          </w:tcPr>
          <w:p w14:paraId="5F96B8E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1559" w:type="dxa"/>
            <w:hideMark/>
          </w:tcPr>
          <w:p w14:paraId="34417BE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73382EE5" w14:textId="77777777" w:rsidTr="0074480A">
        <w:trPr>
          <w:trHeight w:val="4"/>
        </w:trPr>
        <w:tc>
          <w:tcPr>
            <w:tcW w:w="568" w:type="dxa"/>
            <w:hideMark/>
          </w:tcPr>
          <w:p w14:paraId="44D06C3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21.</w:t>
            </w:r>
          </w:p>
        </w:tc>
        <w:tc>
          <w:tcPr>
            <w:tcW w:w="1983" w:type="dxa"/>
            <w:hideMark/>
          </w:tcPr>
          <w:p w14:paraId="0AD366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B16AA4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F8F3EC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14</w:t>
            </w:r>
          </w:p>
        </w:tc>
        <w:tc>
          <w:tcPr>
            <w:tcW w:w="709" w:type="dxa"/>
            <w:hideMark/>
          </w:tcPr>
          <w:p w14:paraId="15695CF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w:t>
            </w:r>
          </w:p>
        </w:tc>
        <w:tc>
          <w:tcPr>
            <w:tcW w:w="1275" w:type="dxa"/>
            <w:hideMark/>
          </w:tcPr>
          <w:p w14:paraId="061F904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3EE978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1C14DF6" w14:textId="77777777" w:rsidTr="0074480A">
        <w:trPr>
          <w:trHeight w:val="4"/>
        </w:trPr>
        <w:tc>
          <w:tcPr>
            <w:tcW w:w="568" w:type="dxa"/>
            <w:hideMark/>
          </w:tcPr>
          <w:p w14:paraId="4D6BF60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22.</w:t>
            </w:r>
          </w:p>
        </w:tc>
        <w:tc>
          <w:tcPr>
            <w:tcW w:w="1983" w:type="dxa"/>
            <w:hideMark/>
          </w:tcPr>
          <w:p w14:paraId="41C99D7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Gongala</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6EA9D56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46D036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70</w:t>
            </w:r>
          </w:p>
        </w:tc>
        <w:tc>
          <w:tcPr>
            <w:tcW w:w="709" w:type="dxa"/>
            <w:hideMark/>
          </w:tcPr>
          <w:p w14:paraId="65291D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22</w:t>
            </w:r>
          </w:p>
        </w:tc>
        <w:tc>
          <w:tcPr>
            <w:tcW w:w="1275" w:type="dxa"/>
            <w:hideMark/>
          </w:tcPr>
          <w:p w14:paraId="756A0E7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00B95A1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3ECF6502" w14:textId="77777777" w:rsidTr="0074480A">
        <w:trPr>
          <w:trHeight w:val="4"/>
        </w:trPr>
        <w:tc>
          <w:tcPr>
            <w:tcW w:w="568" w:type="dxa"/>
            <w:hideMark/>
          </w:tcPr>
          <w:p w14:paraId="4FD8C60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w:t>
            </w:r>
          </w:p>
        </w:tc>
        <w:tc>
          <w:tcPr>
            <w:tcW w:w="1983" w:type="dxa"/>
            <w:hideMark/>
          </w:tcPr>
          <w:p w14:paraId="4A3138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D5B31E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E9588E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709" w:type="dxa"/>
            <w:hideMark/>
          </w:tcPr>
          <w:p w14:paraId="19B23C5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65C2C74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C64B70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A750C89" w14:textId="77777777" w:rsidTr="0074480A">
        <w:trPr>
          <w:trHeight w:val="4"/>
        </w:trPr>
        <w:tc>
          <w:tcPr>
            <w:tcW w:w="568" w:type="dxa"/>
            <w:hideMark/>
          </w:tcPr>
          <w:p w14:paraId="3562DE2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24.</w:t>
            </w:r>
          </w:p>
        </w:tc>
        <w:tc>
          <w:tcPr>
            <w:tcW w:w="1983" w:type="dxa"/>
            <w:hideMark/>
          </w:tcPr>
          <w:p w14:paraId="2CF19BF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Latif </w:t>
            </w:r>
            <w:proofErr w:type="spellStart"/>
            <w:r w:rsidRPr="0074480A">
              <w:rPr>
                <w:rFonts w:asciiTheme="majorHAnsi" w:eastAsia="Times New Roman" w:hAnsiTheme="majorHAnsi" w:cstheme="majorHAnsi"/>
                <w:sz w:val="16"/>
                <w:szCs w:val="16"/>
                <w:lang w:val="en-US" w:eastAsia="ko-KR"/>
              </w:rPr>
              <w:t>Gumohung</w:t>
            </w:r>
            <w:proofErr w:type="spellEnd"/>
          </w:p>
        </w:tc>
        <w:tc>
          <w:tcPr>
            <w:tcW w:w="1848" w:type="dxa"/>
            <w:hideMark/>
          </w:tcPr>
          <w:p w14:paraId="4BF9411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4434B4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709" w:type="dxa"/>
            <w:hideMark/>
          </w:tcPr>
          <w:p w14:paraId="14ABAB8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1275" w:type="dxa"/>
            <w:hideMark/>
          </w:tcPr>
          <w:p w14:paraId="18E1020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B16F30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57267CD" w14:textId="77777777" w:rsidTr="0074480A">
        <w:trPr>
          <w:trHeight w:val="4"/>
        </w:trPr>
        <w:tc>
          <w:tcPr>
            <w:tcW w:w="568" w:type="dxa"/>
            <w:hideMark/>
          </w:tcPr>
          <w:p w14:paraId="476EAC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983" w:type="dxa"/>
            <w:hideMark/>
          </w:tcPr>
          <w:p w14:paraId="7BE8F84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Ahmad D.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338AF0D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Cement</w:t>
            </w:r>
          </w:p>
        </w:tc>
        <w:tc>
          <w:tcPr>
            <w:tcW w:w="709" w:type="dxa"/>
            <w:hideMark/>
          </w:tcPr>
          <w:p w14:paraId="7446A24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38</w:t>
            </w:r>
          </w:p>
        </w:tc>
        <w:tc>
          <w:tcPr>
            <w:tcW w:w="709" w:type="dxa"/>
            <w:hideMark/>
          </w:tcPr>
          <w:p w14:paraId="54CD4C4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62F3ED4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42E27A1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D6DF96E" w14:textId="77777777" w:rsidTr="0074480A">
        <w:trPr>
          <w:trHeight w:val="4"/>
        </w:trPr>
        <w:tc>
          <w:tcPr>
            <w:tcW w:w="568" w:type="dxa"/>
            <w:hideMark/>
          </w:tcPr>
          <w:p w14:paraId="1104D3B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26.</w:t>
            </w:r>
          </w:p>
        </w:tc>
        <w:tc>
          <w:tcPr>
            <w:tcW w:w="1983" w:type="dxa"/>
            <w:hideMark/>
          </w:tcPr>
          <w:p w14:paraId="013B5F8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DCBEF5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3AACDA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709" w:type="dxa"/>
            <w:hideMark/>
          </w:tcPr>
          <w:p w14:paraId="7A9F6EA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27</w:t>
            </w:r>
          </w:p>
        </w:tc>
        <w:tc>
          <w:tcPr>
            <w:tcW w:w="1275" w:type="dxa"/>
            <w:hideMark/>
          </w:tcPr>
          <w:p w14:paraId="5165F74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4FCC588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7C32E76" w14:textId="77777777" w:rsidTr="0074480A">
        <w:trPr>
          <w:trHeight w:val="4"/>
        </w:trPr>
        <w:tc>
          <w:tcPr>
            <w:tcW w:w="568" w:type="dxa"/>
            <w:hideMark/>
          </w:tcPr>
          <w:p w14:paraId="2F06D37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27.</w:t>
            </w:r>
          </w:p>
        </w:tc>
        <w:tc>
          <w:tcPr>
            <w:tcW w:w="1983" w:type="dxa"/>
            <w:hideMark/>
          </w:tcPr>
          <w:p w14:paraId="33EC5D3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Mobiling</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0DC0FC0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F911B0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38</w:t>
            </w:r>
          </w:p>
        </w:tc>
        <w:tc>
          <w:tcPr>
            <w:tcW w:w="709" w:type="dxa"/>
            <w:hideMark/>
          </w:tcPr>
          <w:p w14:paraId="3CC6421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12/20</w:t>
            </w:r>
          </w:p>
        </w:tc>
        <w:tc>
          <w:tcPr>
            <w:tcW w:w="1275" w:type="dxa"/>
            <w:hideMark/>
          </w:tcPr>
          <w:p w14:paraId="1CE1694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0E91BB1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F04942F" w14:textId="77777777" w:rsidTr="0074480A">
        <w:trPr>
          <w:trHeight w:val="4"/>
        </w:trPr>
        <w:tc>
          <w:tcPr>
            <w:tcW w:w="568" w:type="dxa"/>
            <w:hideMark/>
          </w:tcPr>
          <w:p w14:paraId="65DA14D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28.</w:t>
            </w:r>
          </w:p>
        </w:tc>
        <w:tc>
          <w:tcPr>
            <w:tcW w:w="1983" w:type="dxa"/>
            <w:hideMark/>
          </w:tcPr>
          <w:p w14:paraId="7A5D9FB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4C5311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4BF9BBF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709" w:type="dxa"/>
            <w:hideMark/>
          </w:tcPr>
          <w:p w14:paraId="46ABCC0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47BE898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3AEABE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1987537F" w14:textId="77777777" w:rsidTr="0074480A">
        <w:trPr>
          <w:trHeight w:val="4"/>
        </w:trPr>
        <w:tc>
          <w:tcPr>
            <w:tcW w:w="568" w:type="dxa"/>
            <w:hideMark/>
          </w:tcPr>
          <w:p w14:paraId="3DB5807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29.</w:t>
            </w:r>
          </w:p>
        </w:tc>
        <w:tc>
          <w:tcPr>
            <w:tcW w:w="1983" w:type="dxa"/>
            <w:hideMark/>
          </w:tcPr>
          <w:p w14:paraId="770DB08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33991A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2952A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709" w:type="dxa"/>
            <w:hideMark/>
          </w:tcPr>
          <w:p w14:paraId="1F95F05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5632760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8E7A3E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3F4B37A" w14:textId="77777777" w:rsidTr="0074480A">
        <w:trPr>
          <w:trHeight w:val="4"/>
        </w:trPr>
        <w:tc>
          <w:tcPr>
            <w:tcW w:w="568" w:type="dxa"/>
            <w:hideMark/>
          </w:tcPr>
          <w:p w14:paraId="779AF7A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w:t>
            </w:r>
          </w:p>
        </w:tc>
        <w:tc>
          <w:tcPr>
            <w:tcW w:w="1983" w:type="dxa"/>
            <w:hideMark/>
          </w:tcPr>
          <w:p w14:paraId="0F1C2E5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72B9E7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F6C398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34</w:t>
            </w:r>
          </w:p>
        </w:tc>
        <w:tc>
          <w:tcPr>
            <w:tcW w:w="709" w:type="dxa"/>
            <w:hideMark/>
          </w:tcPr>
          <w:p w14:paraId="25E74C7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22</w:t>
            </w:r>
          </w:p>
        </w:tc>
        <w:tc>
          <w:tcPr>
            <w:tcW w:w="1275" w:type="dxa"/>
            <w:hideMark/>
          </w:tcPr>
          <w:p w14:paraId="356CCD5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A0E5C3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02D7C2EB" w14:textId="77777777" w:rsidTr="0074480A">
        <w:trPr>
          <w:trHeight w:val="4"/>
        </w:trPr>
        <w:tc>
          <w:tcPr>
            <w:tcW w:w="568" w:type="dxa"/>
            <w:hideMark/>
          </w:tcPr>
          <w:p w14:paraId="5D960EB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31.</w:t>
            </w:r>
          </w:p>
        </w:tc>
        <w:tc>
          <w:tcPr>
            <w:tcW w:w="1983" w:type="dxa"/>
            <w:hideMark/>
          </w:tcPr>
          <w:p w14:paraId="60BF293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09D1FA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46D479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40</w:t>
            </w:r>
          </w:p>
        </w:tc>
        <w:tc>
          <w:tcPr>
            <w:tcW w:w="709" w:type="dxa"/>
            <w:hideMark/>
          </w:tcPr>
          <w:p w14:paraId="60526EE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5575E9F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79E66B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75FB8603" w14:textId="77777777" w:rsidTr="0074480A">
        <w:trPr>
          <w:trHeight w:val="4"/>
        </w:trPr>
        <w:tc>
          <w:tcPr>
            <w:tcW w:w="568" w:type="dxa"/>
            <w:hideMark/>
          </w:tcPr>
          <w:p w14:paraId="2A5D609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32.</w:t>
            </w:r>
          </w:p>
        </w:tc>
        <w:tc>
          <w:tcPr>
            <w:tcW w:w="1983" w:type="dxa"/>
            <w:hideMark/>
          </w:tcPr>
          <w:p w14:paraId="5B4ED1E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9D6737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319589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37</w:t>
            </w:r>
          </w:p>
        </w:tc>
        <w:tc>
          <w:tcPr>
            <w:tcW w:w="709" w:type="dxa"/>
            <w:hideMark/>
          </w:tcPr>
          <w:p w14:paraId="6E67FB6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2624B63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96F82D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1A9C2518" w14:textId="77777777" w:rsidTr="0074480A">
        <w:trPr>
          <w:trHeight w:val="4"/>
        </w:trPr>
        <w:tc>
          <w:tcPr>
            <w:tcW w:w="568" w:type="dxa"/>
            <w:hideMark/>
          </w:tcPr>
          <w:p w14:paraId="4D51105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33.</w:t>
            </w:r>
          </w:p>
        </w:tc>
        <w:tc>
          <w:tcPr>
            <w:tcW w:w="1983" w:type="dxa"/>
            <w:hideMark/>
          </w:tcPr>
          <w:p w14:paraId="39ED693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3EA745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47E162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28</w:t>
            </w:r>
          </w:p>
        </w:tc>
        <w:tc>
          <w:tcPr>
            <w:tcW w:w="709" w:type="dxa"/>
            <w:hideMark/>
          </w:tcPr>
          <w:p w14:paraId="6423D8B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11</w:t>
            </w:r>
          </w:p>
        </w:tc>
        <w:tc>
          <w:tcPr>
            <w:tcW w:w="1275" w:type="dxa"/>
            <w:hideMark/>
          </w:tcPr>
          <w:p w14:paraId="4E3EA1F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3D7D89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2A0EB41C" w14:textId="77777777" w:rsidTr="0074480A">
        <w:trPr>
          <w:trHeight w:val="25"/>
        </w:trPr>
        <w:tc>
          <w:tcPr>
            <w:tcW w:w="568" w:type="dxa"/>
            <w:hideMark/>
          </w:tcPr>
          <w:p w14:paraId="7347CB3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34.</w:t>
            </w:r>
          </w:p>
        </w:tc>
        <w:tc>
          <w:tcPr>
            <w:tcW w:w="1983" w:type="dxa"/>
            <w:hideMark/>
          </w:tcPr>
          <w:p w14:paraId="244B80A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Boki Sahe </w:t>
            </w:r>
            <w:proofErr w:type="spellStart"/>
            <w:r w:rsidRPr="0074480A">
              <w:rPr>
                <w:rFonts w:asciiTheme="majorHAnsi" w:eastAsia="Times New Roman" w:hAnsiTheme="majorHAnsi" w:cstheme="majorHAnsi"/>
                <w:sz w:val="16"/>
                <w:szCs w:val="16"/>
                <w:lang w:val="en-US" w:eastAsia="ko-KR"/>
              </w:rPr>
              <w:t>Antogia</w:t>
            </w:r>
            <w:proofErr w:type="spellEnd"/>
          </w:p>
        </w:tc>
        <w:tc>
          <w:tcPr>
            <w:tcW w:w="1848" w:type="dxa"/>
            <w:hideMark/>
          </w:tcPr>
          <w:p w14:paraId="7F935CC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35A735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50</w:t>
            </w:r>
          </w:p>
        </w:tc>
        <w:tc>
          <w:tcPr>
            <w:tcW w:w="709" w:type="dxa"/>
            <w:hideMark/>
          </w:tcPr>
          <w:p w14:paraId="50089E6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32</w:t>
            </w:r>
          </w:p>
        </w:tc>
        <w:tc>
          <w:tcPr>
            <w:tcW w:w="1275" w:type="dxa"/>
            <w:hideMark/>
          </w:tcPr>
          <w:p w14:paraId="75B203F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bunga</w:t>
            </w:r>
          </w:p>
        </w:tc>
        <w:tc>
          <w:tcPr>
            <w:tcW w:w="1559" w:type="dxa"/>
            <w:hideMark/>
          </w:tcPr>
          <w:p w14:paraId="4950566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5149D285" w14:textId="77777777" w:rsidTr="0074480A">
        <w:trPr>
          <w:trHeight w:val="25"/>
        </w:trPr>
        <w:tc>
          <w:tcPr>
            <w:tcW w:w="568" w:type="dxa"/>
            <w:hideMark/>
          </w:tcPr>
          <w:p w14:paraId="11206D1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1983" w:type="dxa"/>
            <w:hideMark/>
          </w:tcPr>
          <w:p w14:paraId="2405D9C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F81947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92A8BB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709" w:type="dxa"/>
            <w:hideMark/>
          </w:tcPr>
          <w:p w14:paraId="704026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w:t>
            </w:r>
          </w:p>
        </w:tc>
        <w:tc>
          <w:tcPr>
            <w:tcW w:w="1275" w:type="dxa"/>
            <w:hideMark/>
          </w:tcPr>
          <w:p w14:paraId="681BAA6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866229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164BB04F" w14:textId="77777777" w:rsidTr="0074480A">
        <w:trPr>
          <w:trHeight w:val="31"/>
        </w:trPr>
        <w:tc>
          <w:tcPr>
            <w:tcW w:w="568" w:type="dxa"/>
            <w:hideMark/>
          </w:tcPr>
          <w:p w14:paraId="181E261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36.</w:t>
            </w:r>
          </w:p>
        </w:tc>
        <w:tc>
          <w:tcPr>
            <w:tcW w:w="1983" w:type="dxa"/>
            <w:hideMark/>
          </w:tcPr>
          <w:p w14:paraId="57A7F7C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H. Willem Antogia</w:t>
            </w:r>
          </w:p>
        </w:tc>
        <w:tc>
          <w:tcPr>
            <w:tcW w:w="1848" w:type="dxa"/>
            <w:hideMark/>
          </w:tcPr>
          <w:p w14:paraId="61DA5D3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11362C5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40</w:t>
            </w:r>
          </w:p>
        </w:tc>
        <w:tc>
          <w:tcPr>
            <w:tcW w:w="709" w:type="dxa"/>
            <w:hideMark/>
          </w:tcPr>
          <w:p w14:paraId="664F01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7FF9A92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27DAF73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715FF86" w14:textId="77777777" w:rsidTr="0074480A">
        <w:trPr>
          <w:trHeight w:val="31"/>
        </w:trPr>
        <w:tc>
          <w:tcPr>
            <w:tcW w:w="568" w:type="dxa"/>
            <w:hideMark/>
          </w:tcPr>
          <w:p w14:paraId="70B795A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37.</w:t>
            </w:r>
          </w:p>
        </w:tc>
        <w:tc>
          <w:tcPr>
            <w:tcW w:w="1983" w:type="dxa"/>
            <w:hideMark/>
          </w:tcPr>
          <w:p w14:paraId="4DF5D28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proofErr w:type="gramStart"/>
            <w:r w:rsidRPr="0074480A">
              <w:rPr>
                <w:rFonts w:asciiTheme="majorHAnsi" w:eastAsia="Times New Roman" w:hAnsiTheme="majorHAnsi" w:cstheme="majorHAnsi"/>
                <w:sz w:val="16"/>
                <w:szCs w:val="16"/>
                <w:lang w:val="en-US" w:eastAsia="ko-KR"/>
              </w:rPr>
              <w:t>Hj.Sarin</w:t>
            </w:r>
            <w:proofErr w:type="spellEnd"/>
            <w:proofErr w:type="gramEnd"/>
            <w:r w:rsidRPr="0074480A">
              <w:rPr>
                <w:rFonts w:asciiTheme="majorHAnsi" w:eastAsia="Times New Roman" w:hAnsiTheme="majorHAnsi" w:cstheme="majorHAnsi"/>
                <w:sz w:val="16"/>
                <w:szCs w:val="16"/>
                <w:lang w:val="en-US" w:eastAsia="ko-KR"/>
              </w:rPr>
              <w:t xml:space="preserve"> </w:t>
            </w:r>
            <w:proofErr w:type="spellStart"/>
            <w:proofErr w:type="gramStart"/>
            <w:r w:rsidRPr="0074480A">
              <w:rPr>
                <w:rFonts w:asciiTheme="majorHAnsi" w:eastAsia="Times New Roman" w:hAnsiTheme="majorHAnsi" w:cstheme="majorHAnsi"/>
                <w:sz w:val="16"/>
                <w:szCs w:val="16"/>
                <w:lang w:val="en-US" w:eastAsia="ko-KR"/>
              </w:rPr>
              <w:t>B.Korompot</w:t>
            </w:r>
            <w:proofErr w:type="spellEnd"/>
            <w:proofErr w:type="gramEnd"/>
          </w:p>
        </w:tc>
        <w:tc>
          <w:tcPr>
            <w:tcW w:w="1848" w:type="dxa"/>
            <w:hideMark/>
          </w:tcPr>
          <w:p w14:paraId="6A9B812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AB6A0C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55</w:t>
            </w:r>
          </w:p>
        </w:tc>
        <w:tc>
          <w:tcPr>
            <w:tcW w:w="709" w:type="dxa"/>
            <w:hideMark/>
          </w:tcPr>
          <w:p w14:paraId="7B4252B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3A6D578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kalpataru</w:t>
            </w:r>
            <w:proofErr w:type="spellEnd"/>
          </w:p>
        </w:tc>
        <w:tc>
          <w:tcPr>
            <w:tcW w:w="1559" w:type="dxa"/>
            <w:hideMark/>
          </w:tcPr>
          <w:p w14:paraId="0FC3D6D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31C6BD3E" w14:textId="77777777" w:rsidTr="0074480A">
        <w:trPr>
          <w:trHeight w:val="25"/>
        </w:trPr>
        <w:tc>
          <w:tcPr>
            <w:tcW w:w="568" w:type="dxa"/>
            <w:hideMark/>
          </w:tcPr>
          <w:p w14:paraId="51F8967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38.</w:t>
            </w:r>
          </w:p>
        </w:tc>
        <w:tc>
          <w:tcPr>
            <w:tcW w:w="1983" w:type="dxa"/>
            <w:hideMark/>
          </w:tcPr>
          <w:p w14:paraId="48B1247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ED04C1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803A89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42</w:t>
            </w:r>
          </w:p>
        </w:tc>
        <w:tc>
          <w:tcPr>
            <w:tcW w:w="709" w:type="dxa"/>
            <w:hideMark/>
          </w:tcPr>
          <w:p w14:paraId="2F6725A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231B98F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4C7D86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6EEE29E" w14:textId="77777777" w:rsidTr="0074480A">
        <w:trPr>
          <w:trHeight w:val="25"/>
        </w:trPr>
        <w:tc>
          <w:tcPr>
            <w:tcW w:w="568" w:type="dxa"/>
            <w:hideMark/>
          </w:tcPr>
          <w:p w14:paraId="3056BFE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39.</w:t>
            </w:r>
          </w:p>
        </w:tc>
        <w:tc>
          <w:tcPr>
            <w:tcW w:w="1983" w:type="dxa"/>
            <w:hideMark/>
          </w:tcPr>
          <w:p w14:paraId="0B0BD1B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F79FF9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64E81E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709" w:type="dxa"/>
            <w:hideMark/>
          </w:tcPr>
          <w:p w14:paraId="6CDAF43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w:t>
            </w:r>
          </w:p>
        </w:tc>
        <w:tc>
          <w:tcPr>
            <w:tcW w:w="1275" w:type="dxa"/>
            <w:hideMark/>
          </w:tcPr>
          <w:p w14:paraId="26D754F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DE28A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50385E5" w14:textId="77777777" w:rsidTr="0074480A">
        <w:trPr>
          <w:trHeight w:val="25"/>
        </w:trPr>
        <w:tc>
          <w:tcPr>
            <w:tcW w:w="568" w:type="dxa"/>
            <w:hideMark/>
          </w:tcPr>
          <w:p w14:paraId="7578A41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40.</w:t>
            </w:r>
          </w:p>
        </w:tc>
        <w:tc>
          <w:tcPr>
            <w:tcW w:w="1983" w:type="dxa"/>
            <w:hideMark/>
          </w:tcPr>
          <w:p w14:paraId="303BADE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C8BE69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1E1AF18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47</w:t>
            </w:r>
          </w:p>
        </w:tc>
        <w:tc>
          <w:tcPr>
            <w:tcW w:w="709" w:type="dxa"/>
            <w:hideMark/>
          </w:tcPr>
          <w:p w14:paraId="0AAF74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081BB4A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9EEB0D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775EC6F6" w14:textId="77777777" w:rsidTr="0074480A">
        <w:trPr>
          <w:trHeight w:val="25"/>
        </w:trPr>
        <w:tc>
          <w:tcPr>
            <w:tcW w:w="568" w:type="dxa"/>
            <w:hideMark/>
          </w:tcPr>
          <w:p w14:paraId="33346ED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41.</w:t>
            </w:r>
          </w:p>
        </w:tc>
        <w:tc>
          <w:tcPr>
            <w:tcW w:w="1983" w:type="dxa"/>
            <w:hideMark/>
          </w:tcPr>
          <w:p w14:paraId="7D8D275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Tiaha</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r w:rsidRPr="0074480A">
              <w:rPr>
                <w:rFonts w:asciiTheme="majorHAnsi" w:eastAsia="Times New Roman" w:hAnsiTheme="majorHAnsi" w:cstheme="majorHAnsi"/>
                <w:sz w:val="16"/>
                <w:szCs w:val="16"/>
                <w:lang w:val="en-US" w:eastAsia="ko-KR"/>
              </w:rPr>
              <w:t xml:space="preserve"> II</w:t>
            </w:r>
          </w:p>
        </w:tc>
        <w:tc>
          <w:tcPr>
            <w:tcW w:w="1848" w:type="dxa"/>
            <w:hideMark/>
          </w:tcPr>
          <w:p w14:paraId="2B2B0A6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D3AC42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75</w:t>
            </w:r>
          </w:p>
        </w:tc>
        <w:tc>
          <w:tcPr>
            <w:tcW w:w="709" w:type="dxa"/>
            <w:hideMark/>
          </w:tcPr>
          <w:p w14:paraId="4283982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4D7112C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05E9DA0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7A604EFF" w14:textId="77777777" w:rsidTr="0074480A">
        <w:trPr>
          <w:trHeight w:val="25"/>
        </w:trPr>
        <w:tc>
          <w:tcPr>
            <w:tcW w:w="568" w:type="dxa"/>
            <w:hideMark/>
          </w:tcPr>
          <w:p w14:paraId="0A03CBF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42.</w:t>
            </w:r>
          </w:p>
        </w:tc>
        <w:tc>
          <w:tcPr>
            <w:tcW w:w="1983" w:type="dxa"/>
            <w:hideMark/>
          </w:tcPr>
          <w:p w14:paraId="4EB3D11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3683DF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11DD67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709" w:type="dxa"/>
            <w:hideMark/>
          </w:tcPr>
          <w:p w14:paraId="60B973B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1275" w:type="dxa"/>
            <w:hideMark/>
          </w:tcPr>
          <w:p w14:paraId="4599F1B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3DDA4A4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7F5C00EC" w14:textId="77777777" w:rsidTr="0074480A">
        <w:trPr>
          <w:trHeight w:val="25"/>
        </w:trPr>
        <w:tc>
          <w:tcPr>
            <w:tcW w:w="568" w:type="dxa"/>
            <w:hideMark/>
          </w:tcPr>
          <w:p w14:paraId="5BC3783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43.</w:t>
            </w:r>
          </w:p>
        </w:tc>
        <w:tc>
          <w:tcPr>
            <w:tcW w:w="1983" w:type="dxa"/>
            <w:hideMark/>
          </w:tcPr>
          <w:p w14:paraId="74E8695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131E1C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541CC3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709" w:type="dxa"/>
            <w:hideMark/>
          </w:tcPr>
          <w:p w14:paraId="4843307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1275" w:type="dxa"/>
            <w:hideMark/>
          </w:tcPr>
          <w:p w14:paraId="54A8308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35BAF2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8A1A7F1" w14:textId="77777777" w:rsidTr="0074480A">
        <w:trPr>
          <w:trHeight w:val="25"/>
        </w:trPr>
        <w:tc>
          <w:tcPr>
            <w:tcW w:w="568" w:type="dxa"/>
            <w:hideMark/>
          </w:tcPr>
          <w:p w14:paraId="079C6B0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44.</w:t>
            </w:r>
          </w:p>
        </w:tc>
        <w:tc>
          <w:tcPr>
            <w:tcW w:w="1983" w:type="dxa"/>
            <w:hideMark/>
          </w:tcPr>
          <w:p w14:paraId="16C39B6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92CA0E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026388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709" w:type="dxa"/>
            <w:hideMark/>
          </w:tcPr>
          <w:p w14:paraId="0554699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1275" w:type="dxa"/>
            <w:hideMark/>
          </w:tcPr>
          <w:p w14:paraId="1264978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3817158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1347E150" w14:textId="77777777" w:rsidTr="0074480A">
        <w:trPr>
          <w:trHeight w:val="25"/>
        </w:trPr>
        <w:tc>
          <w:tcPr>
            <w:tcW w:w="568" w:type="dxa"/>
            <w:hideMark/>
          </w:tcPr>
          <w:p w14:paraId="1CB4C8D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45.</w:t>
            </w:r>
          </w:p>
        </w:tc>
        <w:tc>
          <w:tcPr>
            <w:tcW w:w="1983" w:type="dxa"/>
            <w:hideMark/>
          </w:tcPr>
          <w:p w14:paraId="5E8945A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342134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8EB3F9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709" w:type="dxa"/>
            <w:hideMark/>
          </w:tcPr>
          <w:p w14:paraId="63F2B2A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w:t>
            </w:r>
          </w:p>
        </w:tc>
        <w:tc>
          <w:tcPr>
            <w:tcW w:w="1275" w:type="dxa"/>
            <w:hideMark/>
          </w:tcPr>
          <w:p w14:paraId="70BBCE9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FF1333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6BCFF9B4" w14:textId="77777777" w:rsidTr="0074480A">
        <w:trPr>
          <w:trHeight w:val="25"/>
        </w:trPr>
        <w:tc>
          <w:tcPr>
            <w:tcW w:w="568" w:type="dxa"/>
            <w:hideMark/>
          </w:tcPr>
          <w:p w14:paraId="479B836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46.</w:t>
            </w:r>
          </w:p>
        </w:tc>
        <w:tc>
          <w:tcPr>
            <w:tcW w:w="1983" w:type="dxa"/>
            <w:hideMark/>
          </w:tcPr>
          <w:p w14:paraId="340D730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Husein </w:t>
            </w:r>
            <w:proofErr w:type="spellStart"/>
            <w:proofErr w:type="gramStart"/>
            <w:r w:rsidRPr="0074480A">
              <w:rPr>
                <w:rFonts w:asciiTheme="majorHAnsi" w:eastAsia="Times New Roman" w:hAnsiTheme="majorHAnsi" w:cstheme="majorHAnsi"/>
                <w:sz w:val="16"/>
                <w:szCs w:val="16"/>
                <w:lang w:val="en-US" w:eastAsia="ko-KR"/>
              </w:rPr>
              <w:t>M.Antogia</w:t>
            </w:r>
            <w:proofErr w:type="spellEnd"/>
            <w:proofErr w:type="gramEnd"/>
          </w:p>
        </w:tc>
        <w:tc>
          <w:tcPr>
            <w:tcW w:w="1848" w:type="dxa"/>
            <w:hideMark/>
          </w:tcPr>
          <w:p w14:paraId="0303384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Cement</w:t>
            </w:r>
          </w:p>
        </w:tc>
        <w:tc>
          <w:tcPr>
            <w:tcW w:w="709" w:type="dxa"/>
            <w:hideMark/>
          </w:tcPr>
          <w:p w14:paraId="2D93AA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47</w:t>
            </w:r>
          </w:p>
        </w:tc>
        <w:tc>
          <w:tcPr>
            <w:tcW w:w="709" w:type="dxa"/>
            <w:hideMark/>
          </w:tcPr>
          <w:p w14:paraId="1500EA1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5F221D7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1559" w:type="dxa"/>
            <w:hideMark/>
          </w:tcPr>
          <w:p w14:paraId="3AD0801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Intact (KM II) </w:t>
            </w:r>
          </w:p>
        </w:tc>
      </w:tr>
      <w:tr w:rsidR="0074480A" w:rsidRPr="0074480A" w14:paraId="307752D8" w14:textId="77777777" w:rsidTr="0074480A">
        <w:trPr>
          <w:trHeight w:val="26"/>
        </w:trPr>
        <w:tc>
          <w:tcPr>
            <w:tcW w:w="568" w:type="dxa"/>
            <w:hideMark/>
          </w:tcPr>
          <w:p w14:paraId="24AB636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47.</w:t>
            </w:r>
          </w:p>
        </w:tc>
        <w:tc>
          <w:tcPr>
            <w:tcW w:w="1983" w:type="dxa"/>
            <w:hideMark/>
          </w:tcPr>
          <w:p w14:paraId="5E12424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D86B83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4574A2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709" w:type="dxa"/>
            <w:hideMark/>
          </w:tcPr>
          <w:p w14:paraId="13C4074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6258954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B636DC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43881378" w14:textId="77777777" w:rsidTr="0074480A">
        <w:trPr>
          <w:trHeight w:val="25"/>
        </w:trPr>
        <w:tc>
          <w:tcPr>
            <w:tcW w:w="568" w:type="dxa"/>
            <w:hideMark/>
          </w:tcPr>
          <w:p w14:paraId="6CB203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48.</w:t>
            </w:r>
          </w:p>
        </w:tc>
        <w:tc>
          <w:tcPr>
            <w:tcW w:w="1983" w:type="dxa"/>
            <w:hideMark/>
          </w:tcPr>
          <w:p w14:paraId="043D604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1A44E4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75CC22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709" w:type="dxa"/>
            <w:hideMark/>
          </w:tcPr>
          <w:p w14:paraId="1C9043E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27</w:t>
            </w:r>
          </w:p>
        </w:tc>
        <w:tc>
          <w:tcPr>
            <w:tcW w:w="1275" w:type="dxa"/>
            <w:hideMark/>
          </w:tcPr>
          <w:p w14:paraId="6588EB0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0AE232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Intact (KM II)</w:t>
            </w:r>
          </w:p>
        </w:tc>
      </w:tr>
      <w:tr w:rsidR="0074480A" w:rsidRPr="0074480A" w14:paraId="56540EA2" w14:textId="77777777" w:rsidTr="0074480A">
        <w:trPr>
          <w:trHeight w:val="26"/>
        </w:trPr>
        <w:tc>
          <w:tcPr>
            <w:tcW w:w="568" w:type="dxa"/>
            <w:hideMark/>
          </w:tcPr>
          <w:p w14:paraId="565FBD2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49.</w:t>
            </w:r>
          </w:p>
        </w:tc>
        <w:tc>
          <w:tcPr>
            <w:tcW w:w="1983" w:type="dxa"/>
            <w:hideMark/>
          </w:tcPr>
          <w:p w14:paraId="31E97EB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Louis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65AE95E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5BAC3C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70</w:t>
            </w:r>
          </w:p>
        </w:tc>
        <w:tc>
          <w:tcPr>
            <w:tcW w:w="709" w:type="dxa"/>
            <w:hideMark/>
          </w:tcPr>
          <w:p w14:paraId="18F6380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38CF88E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0CC400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44575EE6" w14:textId="77777777" w:rsidTr="0074480A">
        <w:trPr>
          <w:trHeight w:val="37"/>
        </w:trPr>
        <w:tc>
          <w:tcPr>
            <w:tcW w:w="568" w:type="dxa"/>
            <w:hideMark/>
          </w:tcPr>
          <w:p w14:paraId="71C2386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50.</w:t>
            </w:r>
          </w:p>
        </w:tc>
        <w:tc>
          <w:tcPr>
            <w:tcW w:w="1983" w:type="dxa"/>
            <w:hideMark/>
          </w:tcPr>
          <w:p w14:paraId="42FB130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Mahmud Manoppo </w:t>
            </w:r>
            <w:proofErr w:type="spellStart"/>
            <w:r w:rsidRPr="0074480A">
              <w:rPr>
                <w:rFonts w:asciiTheme="majorHAnsi" w:eastAsia="Times New Roman" w:hAnsiTheme="majorHAnsi" w:cstheme="majorHAnsi"/>
                <w:sz w:val="16"/>
                <w:szCs w:val="16"/>
                <w:lang w:val="en-US" w:eastAsia="ko-KR"/>
              </w:rPr>
              <w:t>Antogia</w:t>
            </w:r>
            <w:proofErr w:type="spellEnd"/>
          </w:p>
        </w:tc>
        <w:tc>
          <w:tcPr>
            <w:tcW w:w="1848" w:type="dxa"/>
            <w:hideMark/>
          </w:tcPr>
          <w:p w14:paraId="3514AE6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573A99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43</w:t>
            </w:r>
          </w:p>
        </w:tc>
        <w:tc>
          <w:tcPr>
            <w:tcW w:w="709" w:type="dxa"/>
            <w:hideMark/>
          </w:tcPr>
          <w:p w14:paraId="713DEF9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w:t>
            </w:r>
          </w:p>
        </w:tc>
        <w:tc>
          <w:tcPr>
            <w:tcW w:w="1275" w:type="dxa"/>
            <w:hideMark/>
          </w:tcPr>
          <w:p w14:paraId="701CE5F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FB02A6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57B7A09E" w14:textId="77777777" w:rsidTr="0074480A">
        <w:trPr>
          <w:trHeight w:val="25"/>
        </w:trPr>
        <w:tc>
          <w:tcPr>
            <w:tcW w:w="568" w:type="dxa"/>
            <w:hideMark/>
          </w:tcPr>
          <w:p w14:paraId="66E0813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51.</w:t>
            </w:r>
          </w:p>
        </w:tc>
        <w:tc>
          <w:tcPr>
            <w:tcW w:w="1983" w:type="dxa"/>
            <w:hideMark/>
          </w:tcPr>
          <w:p w14:paraId="4DC9BE6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F9B0BD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A22832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24</w:t>
            </w:r>
          </w:p>
        </w:tc>
        <w:tc>
          <w:tcPr>
            <w:tcW w:w="709" w:type="dxa"/>
            <w:hideMark/>
          </w:tcPr>
          <w:p w14:paraId="690DA07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4AD2E64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7D8155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1248C41B" w14:textId="77777777" w:rsidTr="0074480A">
        <w:trPr>
          <w:trHeight w:val="25"/>
        </w:trPr>
        <w:tc>
          <w:tcPr>
            <w:tcW w:w="568" w:type="dxa"/>
            <w:hideMark/>
          </w:tcPr>
          <w:p w14:paraId="3A99AA7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52.</w:t>
            </w:r>
          </w:p>
        </w:tc>
        <w:tc>
          <w:tcPr>
            <w:tcW w:w="1983" w:type="dxa"/>
            <w:hideMark/>
          </w:tcPr>
          <w:p w14:paraId="342D3B4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647AE1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46EDA08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709" w:type="dxa"/>
            <w:hideMark/>
          </w:tcPr>
          <w:p w14:paraId="25338F5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460FD17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7E333D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567303F3" w14:textId="77777777" w:rsidTr="0074480A">
        <w:trPr>
          <w:trHeight w:val="25"/>
        </w:trPr>
        <w:tc>
          <w:tcPr>
            <w:tcW w:w="568" w:type="dxa"/>
            <w:hideMark/>
          </w:tcPr>
          <w:p w14:paraId="0C98031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53.</w:t>
            </w:r>
          </w:p>
        </w:tc>
        <w:tc>
          <w:tcPr>
            <w:tcW w:w="1983" w:type="dxa"/>
            <w:hideMark/>
          </w:tcPr>
          <w:p w14:paraId="3EBB8DE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3C3FBD1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4471EC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27</w:t>
            </w:r>
          </w:p>
        </w:tc>
        <w:tc>
          <w:tcPr>
            <w:tcW w:w="709" w:type="dxa"/>
            <w:hideMark/>
          </w:tcPr>
          <w:p w14:paraId="6775CF2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1275" w:type="dxa"/>
            <w:hideMark/>
          </w:tcPr>
          <w:p w14:paraId="2D98F0F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F623AB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1901D6A5" w14:textId="77777777" w:rsidTr="0074480A">
        <w:trPr>
          <w:trHeight w:val="26"/>
        </w:trPr>
        <w:tc>
          <w:tcPr>
            <w:tcW w:w="568" w:type="dxa"/>
            <w:hideMark/>
          </w:tcPr>
          <w:p w14:paraId="156B651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54.</w:t>
            </w:r>
          </w:p>
        </w:tc>
        <w:tc>
          <w:tcPr>
            <w:tcW w:w="1983" w:type="dxa"/>
            <w:hideMark/>
          </w:tcPr>
          <w:p w14:paraId="5411AE5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55B40E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8D51E2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709" w:type="dxa"/>
            <w:hideMark/>
          </w:tcPr>
          <w:p w14:paraId="02F2A84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322E1A5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DB522B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4853B9A3" w14:textId="77777777" w:rsidTr="0074480A">
        <w:trPr>
          <w:trHeight w:val="25"/>
        </w:trPr>
        <w:tc>
          <w:tcPr>
            <w:tcW w:w="568" w:type="dxa"/>
            <w:hideMark/>
          </w:tcPr>
          <w:p w14:paraId="76943DB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55.</w:t>
            </w:r>
          </w:p>
        </w:tc>
        <w:tc>
          <w:tcPr>
            <w:tcW w:w="1983" w:type="dxa"/>
            <w:hideMark/>
          </w:tcPr>
          <w:p w14:paraId="300FD9F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Boki Harunja</w:t>
            </w:r>
          </w:p>
        </w:tc>
        <w:tc>
          <w:tcPr>
            <w:tcW w:w="1848" w:type="dxa"/>
            <w:hideMark/>
          </w:tcPr>
          <w:p w14:paraId="6B2A905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AF0DDE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67</w:t>
            </w:r>
          </w:p>
        </w:tc>
        <w:tc>
          <w:tcPr>
            <w:tcW w:w="709" w:type="dxa"/>
            <w:hideMark/>
          </w:tcPr>
          <w:p w14:paraId="657DE80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2A3AE06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Kuncup</w:t>
            </w:r>
            <w:proofErr w:type="spellEnd"/>
            <w:r w:rsidRPr="0074480A">
              <w:rPr>
                <w:rFonts w:asciiTheme="majorHAnsi" w:eastAsia="Times New Roman" w:hAnsiTheme="majorHAnsi" w:cstheme="majorHAnsi"/>
                <w:sz w:val="16"/>
                <w:szCs w:val="16"/>
                <w:lang w:val="en-US" w:eastAsia="ko-KR"/>
              </w:rPr>
              <w:t xml:space="preserve"> bunga</w:t>
            </w:r>
          </w:p>
        </w:tc>
        <w:tc>
          <w:tcPr>
            <w:tcW w:w="1559" w:type="dxa"/>
            <w:hideMark/>
          </w:tcPr>
          <w:p w14:paraId="2FBEDDE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0C5367A4" w14:textId="77777777" w:rsidTr="0074480A">
        <w:trPr>
          <w:trHeight w:val="25"/>
        </w:trPr>
        <w:tc>
          <w:tcPr>
            <w:tcW w:w="568" w:type="dxa"/>
            <w:hideMark/>
          </w:tcPr>
          <w:p w14:paraId="4F05906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56.</w:t>
            </w:r>
          </w:p>
        </w:tc>
        <w:tc>
          <w:tcPr>
            <w:tcW w:w="1983" w:type="dxa"/>
            <w:hideMark/>
          </w:tcPr>
          <w:p w14:paraId="2382D39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CFBCC2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12D2CF0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709" w:type="dxa"/>
            <w:hideMark/>
          </w:tcPr>
          <w:p w14:paraId="3C5D0C7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w:t>
            </w:r>
          </w:p>
        </w:tc>
        <w:tc>
          <w:tcPr>
            <w:tcW w:w="1275" w:type="dxa"/>
            <w:hideMark/>
          </w:tcPr>
          <w:p w14:paraId="58B52C8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3979AFA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1C94F1A7" w14:textId="77777777" w:rsidTr="0074480A">
        <w:trPr>
          <w:trHeight w:val="25"/>
        </w:trPr>
        <w:tc>
          <w:tcPr>
            <w:tcW w:w="568" w:type="dxa"/>
            <w:hideMark/>
          </w:tcPr>
          <w:p w14:paraId="76BBC23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lastRenderedPageBreak/>
              <w:t>57.</w:t>
            </w:r>
          </w:p>
        </w:tc>
        <w:tc>
          <w:tcPr>
            <w:tcW w:w="1983" w:type="dxa"/>
            <w:hideMark/>
          </w:tcPr>
          <w:p w14:paraId="1C1778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B83086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CE6116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22</w:t>
            </w:r>
          </w:p>
        </w:tc>
        <w:tc>
          <w:tcPr>
            <w:tcW w:w="709" w:type="dxa"/>
            <w:hideMark/>
          </w:tcPr>
          <w:p w14:paraId="2136D99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5047283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4DF7B9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554A279A" w14:textId="77777777" w:rsidTr="0074480A">
        <w:trPr>
          <w:trHeight w:val="26"/>
        </w:trPr>
        <w:tc>
          <w:tcPr>
            <w:tcW w:w="568" w:type="dxa"/>
            <w:hideMark/>
          </w:tcPr>
          <w:p w14:paraId="1907441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58.</w:t>
            </w:r>
          </w:p>
        </w:tc>
        <w:tc>
          <w:tcPr>
            <w:tcW w:w="1983" w:type="dxa"/>
            <w:hideMark/>
          </w:tcPr>
          <w:p w14:paraId="46CB4D6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065C46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B2CAF0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709" w:type="dxa"/>
            <w:hideMark/>
          </w:tcPr>
          <w:p w14:paraId="5C42C8C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14</w:t>
            </w:r>
          </w:p>
        </w:tc>
        <w:tc>
          <w:tcPr>
            <w:tcW w:w="1275" w:type="dxa"/>
            <w:hideMark/>
          </w:tcPr>
          <w:p w14:paraId="091D557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45652BB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745634D6" w14:textId="77777777" w:rsidTr="0074480A">
        <w:trPr>
          <w:trHeight w:val="25"/>
        </w:trPr>
        <w:tc>
          <w:tcPr>
            <w:tcW w:w="568" w:type="dxa"/>
            <w:hideMark/>
          </w:tcPr>
          <w:p w14:paraId="18DE13E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59.</w:t>
            </w:r>
          </w:p>
        </w:tc>
        <w:tc>
          <w:tcPr>
            <w:tcW w:w="1983" w:type="dxa"/>
            <w:hideMark/>
          </w:tcPr>
          <w:p w14:paraId="1AAED11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3F9884C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92B625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709" w:type="dxa"/>
            <w:hideMark/>
          </w:tcPr>
          <w:p w14:paraId="7068BAC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w:t>
            </w:r>
          </w:p>
        </w:tc>
        <w:tc>
          <w:tcPr>
            <w:tcW w:w="1275" w:type="dxa"/>
            <w:hideMark/>
          </w:tcPr>
          <w:p w14:paraId="7CD3862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9CEF9E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7FA392AD" w14:textId="77777777" w:rsidTr="0074480A">
        <w:trPr>
          <w:trHeight w:val="25"/>
        </w:trPr>
        <w:tc>
          <w:tcPr>
            <w:tcW w:w="568" w:type="dxa"/>
            <w:hideMark/>
          </w:tcPr>
          <w:p w14:paraId="2A35E3B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60.</w:t>
            </w:r>
          </w:p>
        </w:tc>
        <w:tc>
          <w:tcPr>
            <w:tcW w:w="1983" w:type="dxa"/>
            <w:hideMark/>
          </w:tcPr>
          <w:p w14:paraId="706E960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D7DCE7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E65F83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43</w:t>
            </w:r>
          </w:p>
        </w:tc>
        <w:tc>
          <w:tcPr>
            <w:tcW w:w="709" w:type="dxa"/>
            <w:hideMark/>
          </w:tcPr>
          <w:p w14:paraId="68EFC85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1275" w:type="dxa"/>
            <w:hideMark/>
          </w:tcPr>
          <w:p w14:paraId="51E5AF8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38CE7B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III)</w:t>
            </w:r>
          </w:p>
        </w:tc>
      </w:tr>
      <w:tr w:rsidR="0074480A" w:rsidRPr="0074480A" w14:paraId="35A8B4A2" w14:textId="77777777" w:rsidTr="0074480A">
        <w:trPr>
          <w:trHeight w:val="25"/>
        </w:trPr>
        <w:tc>
          <w:tcPr>
            <w:tcW w:w="568" w:type="dxa"/>
            <w:hideMark/>
          </w:tcPr>
          <w:p w14:paraId="413F06A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61.</w:t>
            </w:r>
          </w:p>
        </w:tc>
        <w:tc>
          <w:tcPr>
            <w:tcW w:w="1983" w:type="dxa"/>
            <w:hideMark/>
          </w:tcPr>
          <w:p w14:paraId="29EE649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3995083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568CAE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55</w:t>
            </w:r>
          </w:p>
        </w:tc>
        <w:tc>
          <w:tcPr>
            <w:tcW w:w="709" w:type="dxa"/>
            <w:hideMark/>
          </w:tcPr>
          <w:p w14:paraId="403D884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1275" w:type="dxa"/>
            <w:hideMark/>
          </w:tcPr>
          <w:p w14:paraId="13A16BF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32B71B8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1CB84D0C" w14:textId="77777777" w:rsidTr="0074480A">
        <w:trPr>
          <w:trHeight w:val="19"/>
        </w:trPr>
        <w:tc>
          <w:tcPr>
            <w:tcW w:w="568" w:type="dxa"/>
            <w:hideMark/>
          </w:tcPr>
          <w:p w14:paraId="24267E7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62.</w:t>
            </w:r>
          </w:p>
        </w:tc>
        <w:tc>
          <w:tcPr>
            <w:tcW w:w="1983" w:type="dxa"/>
            <w:hideMark/>
          </w:tcPr>
          <w:p w14:paraId="73CEB6B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C4413E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ABD1A6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w:t>
            </w:r>
          </w:p>
        </w:tc>
        <w:tc>
          <w:tcPr>
            <w:tcW w:w="709" w:type="dxa"/>
            <w:hideMark/>
          </w:tcPr>
          <w:p w14:paraId="03A9C65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1275" w:type="dxa"/>
            <w:hideMark/>
          </w:tcPr>
          <w:p w14:paraId="2329EB6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A39211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313957F2" w14:textId="77777777" w:rsidTr="0074480A">
        <w:trPr>
          <w:trHeight w:val="25"/>
        </w:trPr>
        <w:tc>
          <w:tcPr>
            <w:tcW w:w="568" w:type="dxa"/>
            <w:hideMark/>
          </w:tcPr>
          <w:p w14:paraId="6570945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63.</w:t>
            </w:r>
          </w:p>
        </w:tc>
        <w:tc>
          <w:tcPr>
            <w:tcW w:w="1983" w:type="dxa"/>
            <w:hideMark/>
          </w:tcPr>
          <w:p w14:paraId="2AF76BF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0F538C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A8FC23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34</w:t>
            </w:r>
          </w:p>
        </w:tc>
        <w:tc>
          <w:tcPr>
            <w:tcW w:w="709" w:type="dxa"/>
            <w:hideMark/>
          </w:tcPr>
          <w:p w14:paraId="4819CFE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w:t>
            </w:r>
          </w:p>
        </w:tc>
        <w:tc>
          <w:tcPr>
            <w:tcW w:w="1275" w:type="dxa"/>
            <w:hideMark/>
          </w:tcPr>
          <w:p w14:paraId="2149C5A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63097B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0BEED16E" w14:textId="77777777" w:rsidTr="0074480A">
        <w:trPr>
          <w:trHeight w:val="25"/>
        </w:trPr>
        <w:tc>
          <w:tcPr>
            <w:tcW w:w="568" w:type="dxa"/>
            <w:hideMark/>
          </w:tcPr>
          <w:p w14:paraId="7FEF9A2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64.</w:t>
            </w:r>
          </w:p>
        </w:tc>
        <w:tc>
          <w:tcPr>
            <w:tcW w:w="1983" w:type="dxa"/>
            <w:hideMark/>
          </w:tcPr>
          <w:p w14:paraId="25FACA8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139562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FAB8C6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22</w:t>
            </w:r>
          </w:p>
        </w:tc>
        <w:tc>
          <w:tcPr>
            <w:tcW w:w="709" w:type="dxa"/>
            <w:hideMark/>
          </w:tcPr>
          <w:p w14:paraId="6335607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11C3BA4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CCD52D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021BC2A3" w14:textId="77777777" w:rsidTr="0074480A">
        <w:trPr>
          <w:trHeight w:val="25"/>
        </w:trPr>
        <w:tc>
          <w:tcPr>
            <w:tcW w:w="568" w:type="dxa"/>
            <w:hideMark/>
          </w:tcPr>
          <w:p w14:paraId="63E5109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65.</w:t>
            </w:r>
          </w:p>
        </w:tc>
        <w:tc>
          <w:tcPr>
            <w:tcW w:w="1983" w:type="dxa"/>
            <w:hideMark/>
          </w:tcPr>
          <w:p w14:paraId="65BA9AC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2D1361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F14C9B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w:t>
            </w:r>
          </w:p>
        </w:tc>
        <w:tc>
          <w:tcPr>
            <w:tcW w:w="709" w:type="dxa"/>
            <w:hideMark/>
          </w:tcPr>
          <w:p w14:paraId="0B8CA9D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2E5C3D8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3B216A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4A25B3AB" w14:textId="77777777" w:rsidTr="0074480A">
        <w:trPr>
          <w:trHeight w:val="25"/>
        </w:trPr>
        <w:tc>
          <w:tcPr>
            <w:tcW w:w="568" w:type="dxa"/>
            <w:hideMark/>
          </w:tcPr>
          <w:p w14:paraId="7E06A30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66.</w:t>
            </w:r>
          </w:p>
        </w:tc>
        <w:tc>
          <w:tcPr>
            <w:tcW w:w="1983" w:type="dxa"/>
            <w:hideMark/>
          </w:tcPr>
          <w:p w14:paraId="5FA85B9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8CFAFB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294C7D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w:t>
            </w:r>
          </w:p>
        </w:tc>
        <w:tc>
          <w:tcPr>
            <w:tcW w:w="709" w:type="dxa"/>
            <w:hideMark/>
          </w:tcPr>
          <w:p w14:paraId="10C42E9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513C57B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2FE8AF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3FBC5E0B" w14:textId="77777777" w:rsidTr="0074480A">
        <w:trPr>
          <w:trHeight w:val="25"/>
        </w:trPr>
        <w:tc>
          <w:tcPr>
            <w:tcW w:w="568" w:type="dxa"/>
            <w:hideMark/>
          </w:tcPr>
          <w:p w14:paraId="236A78B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67.</w:t>
            </w:r>
          </w:p>
        </w:tc>
        <w:tc>
          <w:tcPr>
            <w:tcW w:w="1983" w:type="dxa"/>
            <w:hideMark/>
          </w:tcPr>
          <w:p w14:paraId="46A5FD4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8F1EC0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3F97A1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42</w:t>
            </w:r>
          </w:p>
        </w:tc>
        <w:tc>
          <w:tcPr>
            <w:tcW w:w="709" w:type="dxa"/>
            <w:hideMark/>
          </w:tcPr>
          <w:p w14:paraId="34CE06F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w:t>
            </w:r>
          </w:p>
        </w:tc>
        <w:tc>
          <w:tcPr>
            <w:tcW w:w="1275" w:type="dxa"/>
            <w:hideMark/>
          </w:tcPr>
          <w:p w14:paraId="5EED410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4EE4EF4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16C8D832" w14:textId="77777777" w:rsidTr="0074480A">
        <w:trPr>
          <w:trHeight w:val="25"/>
        </w:trPr>
        <w:tc>
          <w:tcPr>
            <w:tcW w:w="568" w:type="dxa"/>
            <w:hideMark/>
          </w:tcPr>
          <w:p w14:paraId="3870B16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68.</w:t>
            </w:r>
          </w:p>
        </w:tc>
        <w:tc>
          <w:tcPr>
            <w:tcW w:w="1983" w:type="dxa"/>
            <w:hideMark/>
          </w:tcPr>
          <w:p w14:paraId="5651807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FBB731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2539E80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709" w:type="dxa"/>
            <w:hideMark/>
          </w:tcPr>
          <w:p w14:paraId="39865B3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1275" w:type="dxa"/>
            <w:hideMark/>
          </w:tcPr>
          <w:p w14:paraId="7266E3B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03AB1E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446D0A10" w14:textId="77777777" w:rsidTr="0074480A">
        <w:trPr>
          <w:trHeight w:val="25"/>
        </w:trPr>
        <w:tc>
          <w:tcPr>
            <w:tcW w:w="568" w:type="dxa"/>
            <w:hideMark/>
          </w:tcPr>
          <w:p w14:paraId="321ABC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69.</w:t>
            </w:r>
          </w:p>
        </w:tc>
        <w:tc>
          <w:tcPr>
            <w:tcW w:w="1983" w:type="dxa"/>
            <w:hideMark/>
          </w:tcPr>
          <w:p w14:paraId="46CAA92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67C7B6A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3B6DFB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16</w:t>
            </w:r>
          </w:p>
        </w:tc>
        <w:tc>
          <w:tcPr>
            <w:tcW w:w="709" w:type="dxa"/>
            <w:hideMark/>
          </w:tcPr>
          <w:p w14:paraId="49B1280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2C5A59F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139E0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77E5B257" w14:textId="77777777" w:rsidTr="0074480A">
        <w:trPr>
          <w:trHeight w:val="25"/>
        </w:trPr>
        <w:tc>
          <w:tcPr>
            <w:tcW w:w="568" w:type="dxa"/>
            <w:hideMark/>
          </w:tcPr>
          <w:p w14:paraId="2627F10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70.</w:t>
            </w:r>
          </w:p>
        </w:tc>
        <w:tc>
          <w:tcPr>
            <w:tcW w:w="1983" w:type="dxa"/>
            <w:hideMark/>
          </w:tcPr>
          <w:p w14:paraId="6555DA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9B8CF9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200556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33</w:t>
            </w:r>
          </w:p>
        </w:tc>
        <w:tc>
          <w:tcPr>
            <w:tcW w:w="709" w:type="dxa"/>
            <w:hideMark/>
          </w:tcPr>
          <w:p w14:paraId="51DA2FA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21</w:t>
            </w:r>
          </w:p>
        </w:tc>
        <w:tc>
          <w:tcPr>
            <w:tcW w:w="1275" w:type="dxa"/>
            <w:hideMark/>
          </w:tcPr>
          <w:p w14:paraId="3A64146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C70A13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34FA38D7" w14:textId="77777777" w:rsidTr="0074480A">
        <w:trPr>
          <w:trHeight w:val="25"/>
        </w:trPr>
        <w:tc>
          <w:tcPr>
            <w:tcW w:w="568" w:type="dxa"/>
            <w:hideMark/>
          </w:tcPr>
          <w:p w14:paraId="41F79B0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71.</w:t>
            </w:r>
          </w:p>
        </w:tc>
        <w:tc>
          <w:tcPr>
            <w:tcW w:w="1983" w:type="dxa"/>
            <w:hideMark/>
          </w:tcPr>
          <w:p w14:paraId="530268A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Gagu</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1848" w:type="dxa"/>
            <w:hideMark/>
          </w:tcPr>
          <w:p w14:paraId="1E76A39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486EC38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50</w:t>
            </w:r>
          </w:p>
        </w:tc>
        <w:tc>
          <w:tcPr>
            <w:tcW w:w="709" w:type="dxa"/>
            <w:hideMark/>
          </w:tcPr>
          <w:p w14:paraId="5C4FEC8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w:t>
            </w:r>
          </w:p>
        </w:tc>
        <w:tc>
          <w:tcPr>
            <w:tcW w:w="1275" w:type="dxa"/>
            <w:hideMark/>
          </w:tcPr>
          <w:p w14:paraId="0132ED9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gada</w:t>
            </w:r>
          </w:p>
        </w:tc>
        <w:tc>
          <w:tcPr>
            <w:tcW w:w="1559" w:type="dxa"/>
            <w:hideMark/>
          </w:tcPr>
          <w:p w14:paraId="19D2545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483940ED" w14:textId="77777777" w:rsidTr="0074480A">
        <w:trPr>
          <w:trHeight w:val="25"/>
        </w:trPr>
        <w:tc>
          <w:tcPr>
            <w:tcW w:w="568" w:type="dxa"/>
            <w:hideMark/>
          </w:tcPr>
          <w:p w14:paraId="7E636E0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72.</w:t>
            </w:r>
          </w:p>
        </w:tc>
        <w:tc>
          <w:tcPr>
            <w:tcW w:w="1983" w:type="dxa"/>
            <w:hideMark/>
          </w:tcPr>
          <w:p w14:paraId="4780E38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36A5F10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171CC03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709" w:type="dxa"/>
            <w:hideMark/>
          </w:tcPr>
          <w:p w14:paraId="4505A3B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1275" w:type="dxa"/>
            <w:hideMark/>
          </w:tcPr>
          <w:p w14:paraId="046678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6A332C5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115BBBFD" w14:textId="77777777" w:rsidTr="0074480A">
        <w:trPr>
          <w:trHeight w:val="25"/>
        </w:trPr>
        <w:tc>
          <w:tcPr>
            <w:tcW w:w="568" w:type="dxa"/>
            <w:hideMark/>
          </w:tcPr>
          <w:p w14:paraId="577CA1D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73.</w:t>
            </w:r>
          </w:p>
        </w:tc>
        <w:tc>
          <w:tcPr>
            <w:tcW w:w="1983" w:type="dxa"/>
            <w:hideMark/>
          </w:tcPr>
          <w:p w14:paraId="63594B2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3A4409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709" w:type="dxa"/>
            <w:hideMark/>
          </w:tcPr>
          <w:p w14:paraId="7F501BD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w:t>
            </w:r>
          </w:p>
        </w:tc>
        <w:tc>
          <w:tcPr>
            <w:tcW w:w="709" w:type="dxa"/>
            <w:hideMark/>
          </w:tcPr>
          <w:p w14:paraId="3F488ED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5D9C036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1559" w:type="dxa"/>
            <w:hideMark/>
          </w:tcPr>
          <w:p w14:paraId="453B5C9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6687619B" w14:textId="77777777" w:rsidTr="0074480A">
        <w:trPr>
          <w:trHeight w:val="25"/>
        </w:trPr>
        <w:tc>
          <w:tcPr>
            <w:tcW w:w="568" w:type="dxa"/>
            <w:hideMark/>
          </w:tcPr>
          <w:p w14:paraId="0747960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74.</w:t>
            </w:r>
          </w:p>
        </w:tc>
        <w:tc>
          <w:tcPr>
            <w:tcW w:w="1983" w:type="dxa"/>
            <w:hideMark/>
          </w:tcPr>
          <w:p w14:paraId="605452F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1DFF398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34DBBB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709" w:type="dxa"/>
            <w:hideMark/>
          </w:tcPr>
          <w:p w14:paraId="3826472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25</w:t>
            </w:r>
          </w:p>
        </w:tc>
        <w:tc>
          <w:tcPr>
            <w:tcW w:w="1275" w:type="dxa"/>
            <w:hideMark/>
          </w:tcPr>
          <w:p w14:paraId="2F83579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5CC401D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66C43583" w14:textId="77777777" w:rsidTr="0074480A">
        <w:trPr>
          <w:trHeight w:val="25"/>
        </w:trPr>
        <w:tc>
          <w:tcPr>
            <w:tcW w:w="568" w:type="dxa"/>
            <w:hideMark/>
          </w:tcPr>
          <w:p w14:paraId="72B8629A"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75.</w:t>
            </w:r>
          </w:p>
        </w:tc>
        <w:tc>
          <w:tcPr>
            <w:tcW w:w="1983" w:type="dxa"/>
            <w:hideMark/>
          </w:tcPr>
          <w:p w14:paraId="26ABB25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23E5B25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DF6607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709" w:type="dxa"/>
            <w:hideMark/>
          </w:tcPr>
          <w:p w14:paraId="2FDF479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23CA329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F03905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132B3894" w14:textId="77777777" w:rsidTr="0074480A">
        <w:trPr>
          <w:trHeight w:val="25"/>
        </w:trPr>
        <w:tc>
          <w:tcPr>
            <w:tcW w:w="568" w:type="dxa"/>
            <w:hideMark/>
          </w:tcPr>
          <w:p w14:paraId="1045C46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76.</w:t>
            </w:r>
          </w:p>
        </w:tc>
        <w:tc>
          <w:tcPr>
            <w:tcW w:w="1983" w:type="dxa"/>
            <w:hideMark/>
          </w:tcPr>
          <w:p w14:paraId="5F8B4BE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7DEC8DA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77030F3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709" w:type="dxa"/>
            <w:hideMark/>
          </w:tcPr>
          <w:p w14:paraId="4B6C93C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1F6DA2B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4C09130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7EAB2779" w14:textId="77777777" w:rsidTr="0074480A">
        <w:trPr>
          <w:trHeight w:val="26"/>
        </w:trPr>
        <w:tc>
          <w:tcPr>
            <w:tcW w:w="568" w:type="dxa"/>
            <w:hideMark/>
          </w:tcPr>
          <w:p w14:paraId="7C263B1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77.</w:t>
            </w:r>
          </w:p>
        </w:tc>
        <w:tc>
          <w:tcPr>
            <w:tcW w:w="1983" w:type="dxa"/>
            <w:hideMark/>
          </w:tcPr>
          <w:p w14:paraId="61B6ADF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383C9BE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8357EC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709" w:type="dxa"/>
            <w:hideMark/>
          </w:tcPr>
          <w:p w14:paraId="074C6E6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17</w:t>
            </w:r>
          </w:p>
        </w:tc>
        <w:tc>
          <w:tcPr>
            <w:tcW w:w="1275" w:type="dxa"/>
            <w:hideMark/>
          </w:tcPr>
          <w:p w14:paraId="1A35544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AEE9A8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08EA02C5" w14:textId="77777777" w:rsidTr="0074480A">
        <w:trPr>
          <w:trHeight w:val="25"/>
        </w:trPr>
        <w:tc>
          <w:tcPr>
            <w:tcW w:w="568" w:type="dxa"/>
            <w:hideMark/>
          </w:tcPr>
          <w:p w14:paraId="0716458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78.</w:t>
            </w:r>
          </w:p>
        </w:tc>
        <w:tc>
          <w:tcPr>
            <w:tcW w:w="1983" w:type="dxa"/>
            <w:hideMark/>
          </w:tcPr>
          <w:p w14:paraId="7C75BCD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4BDA161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088E3A9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709" w:type="dxa"/>
            <w:hideMark/>
          </w:tcPr>
          <w:p w14:paraId="536B4CBC"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566BAED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7C20946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49951BCC" w14:textId="77777777" w:rsidTr="0074480A">
        <w:trPr>
          <w:trHeight w:val="25"/>
        </w:trPr>
        <w:tc>
          <w:tcPr>
            <w:tcW w:w="568" w:type="dxa"/>
            <w:hideMark/>
          </w:tcPr>
          <w:p w14:paraId="147900D5"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79.</w:t>
            </w:r>
          </w:p>
        </w:tc>
        <w:tc>
          <w:tcPr>
            <w:tcW w:w="1983" w:type="dxa"/>
            <w:hideMark/>
          </w:tcPr>
          <w:p w14:paraId="0121A6E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30B9B6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F55381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w:t>
            </w:r>
          </w:p>
        </w:tc>
        <w:tc>
          <w:tcPr>
            <w:tcW w:w="709" w:type="dxa"/>
            <w:hideMark/>
          </w:tcPr>
          <w:p w14:paraId="3356FF1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1275" w:type="dxa"/>
            <w:hideMark/>
          </w:tcPr>
          <w:p w14:paraId="2B844628"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C844699"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7CCBCD01" w14:textId="77777777" w:rsidTr="0074480A">
        <w:trPr>
          <w:trHeight w:val="25"/>
        </w:trPr>
        <w:tc>
          <w:tcPr>
            <w:tcW w:w="568" w:type="dxa"/>
            <w:hideMark/>
          </w:tcPr>
          <w:p w14:paraId="78582E2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80.</w:t>
            </w:r>
          </w:p>
        </w:tc>
        <w:tc>
          <w:tcPr>
            <w:tcW w:w="1983" w:type="dxa"/>
            <w:hideMark/>
          </w:tcPr>
          <w:p w14:paraId="69EEC41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07E48171"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446878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709" w:type="dxa"/>
            <w:hideMark/>
          </w:tcPr>
          <w:p w14:paraId="00CAC1E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1275" w:type="dxa"/>
            <w:hideMark/>
          </w:tcPr>
          <w:p w14:paraId="7D7C9B2B"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3059B6E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39A98E9B" w14:textId="77777777" w:rsidTr="0074480A">
        <w:trPr>
          <w:trHeight w:val="25"/>
        </w:trPr>
        <w:tc>
          <w:tcPr>
            <w:tcW w:w="568" w:type="dxa"/>
            <w:hideMark/>
          </w:tcPr>
          <w:p w14:paraId="3184ABEE"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81.</w:t>
            </w:r>
          </w:p>
        </w:tc>
        <w:tc>
          <w:tcPr>
            <w:tcW w:w="1983" w:type="dxa"/>
            <w:hideMark/>
          </w:tcPr>
          <w:p w14:paraId="49C49A0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165522A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5B2052E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709" w:type="dxa"/>
            <w:hideMark/>
          </w:tcPr>
          <w:p w14:paraId="0218BAF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1275" w:type="dxa"/>
            <w:hideMark/>
          </w:tcPr>
          <w:p w14:paraId="09C949C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0A2146E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6880F7DA" w14:textId="77777777" w:rsidTr="0074480A">
        <w:trPr>
          <w:trHeight w:val="25"/>
        </w:trPr>
        <w:tc>
          <w:tcPr>
            <w:tcW w:w="568" w:type="dxa"/>
            <w:hideMark/>
          </w:tcPr>
          <w:p w14:paraId="38D0AF92"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82.</w:t>
            </w:r>
          </w:p>
        </w:tc>
        <w:tc>
          <w:tcPr>
            <w:tcW w:w="1983" w:type="dxa"/>
            <w:hideMark/>
          </w:tcPr>
          <w:p w14:paraId="38EC502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CCABE87"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68FC384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w:t>
            </w:r>
          </w:p>
        </w:tc>
        <w:tc>
          <w:tcPr>
            <w:tcW w:w="709" w:type="dxa"/>
            <w:hideMark/>
          </w:tcPr>
          <w:p w14:paraId="2F06EF1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1275" w:type="dxa"/>
            <w:hideMark/>
          </w:tcPr>
          <w:p w14:paraId="380EA776"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253B218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r w:rsidR="0074480A" w:rsidRPr="0074480A" w14:paraId="469DF488" w14:textId="77777777" w:rsidTr="0074480A">
        <w:trPr>
          <w:trHeight w:val="25"/>
        </w:trPr>
        <w:tc>
          <w:tcPr>
            <w:tcW w:w="568" w:type="dxa"/>
            <w:hideMark/>
          </w:tcPr>
          <w:p w14:paraId="36B1438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83.</w:t>
            </w:r>
          </w:p>
        </w:tc>
        <w:tc>
          <w:tcPr>
            <w:tcW w:w="1983" w:type="dxa"/>
            <w:hideMark/>
          </w:tcPr>
          <w:p w14:paraId="497984D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1848" w:type="dxa"/>
            <w:hideMark/>
          </w:tcPr>
          <w:p w14:paraId="55EAE9CD"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Andesite stone </w:t>
            </w:r>
          </w:p>
        </w:tc>
        <w:tc>
          <w:tcPr>
            <w:tcW w:w="709" w:type="dxa"/>
            <w:hideMark/>
          </w:tcPr>
          <w:p w14:paraId="30183D4F"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w:t>
            </w:r>
          </w:p>
        </w:tc>
        <w:tc>
          <w:tcPr>
            <w:tcW w:w="709" w:type="dxa"/>
            <w:hideMark/>
          </w:tcPr>
          <w:p w14:paraId="2CF4BF64"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1275" w:type="dxa"/>
            <w:hideMark/>
          </w:tcPr>
          <w:p w14:paraId="445F21F0"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natural</w:t>
            </w:r>
          </w:p>
        </w:tc>
        <w:tc>
          <w:tcPr>
            <w:tcW w:w="1559" w:type="dxa"/>
            <w:hideMark/>
          </w:tcPr>
          <w:p w14:paraId="10A5E063" w14:textId="77777777" w:rsidR="0074480A" w:rsidRPr="0074480A" w:rsidRDefault="0074480A" w:rsidP="0074480A">
            <w:pPr>
              <w:spacing w:line="276" w:lineRule="auto"/>
              <w:ind w:left="-14" w:firstLine="14"/>
              <w:jc w:val="both"/>
              <w:rPr>
                <w:rFonts w:asciiTheme="majorHAnsi" w:eastAsia="Times New Roman" w:hAnsiTheme="majorHAnsi" w:cstheme="majorHAnsi"/>
                <w:sz w:val="16"/>
                <w:szCs w:val="16"/>
                <w:lang w:val="en-US" w:eastAsia="ko-KR"/>
              </w:rPr>
            </w:pPr>
            <w:proofErr w:type="gramStart"/>
            <w:r w:rsidRPr="0074480A">
              <w:rPr>
                <w:rFonts w:asciiTheme="majorHAnsi" w:eastAsia="Times New Roman" w:hAnsiTheme="majorHAnsi" w:cstheme="majorHAnsi"/>
                <w:sz w:val="16"/>
                <w:szCs w:val="16"/>
                <w:lang w:val="en-US" w:eastAsia="ko-KR"/>
              </w:rPr>
              <w:t>Intact(</w:t>
            </w:r>
            <w:proofErr w:type="gramEnd"/>
            <w:r w:rsidRPr="0074480A">
              <w:rPr>
                <w:rFonts w:asciiTheme="majorHAnsi" w:eastAsia="Times New Roman" w:hAnsiTheme="majorHAnsi" w:cstheme="majorHAnsi"/>
                <w:sz w:val="16"/>
                <w:szCs w:val="16"/>
                <w:lang w:val="en-US" w:eastAsia="ko-KR"/>
              </w:rPr>
              <w:t>KM IV)</w:t>
            </w:r>
          </w:p>
        </w:tc>
      </w:tr>
    </w:tbl>
    <w:p w14:paraId="34BAD295" w14:textId="77777777" w:rsidR="0074480A" w:rsidRP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 xml:space="preserve"> </w:t>
      </w:r>
    </w:p>
    <w:p w14:paraId="1D8ADC91" w14:textId="77777777" w:rsidR="0074480A" w:rsidRDefault="0074480A" w:rsidP="0074480A">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t xml:space="preserve">We start by dividing the graves into groups. In groups I and II, indicating the gravestones and tombstones of King </w:t>
      </w:r>
      <w:proofErr w:type="spellStart"/>
      <w:r w:rsidRPr="0074480A">
        <w:rPr>
          <w:rFonts w:asciiTheme="majorHAnsi" w:eastAsia="Times New Roman" w:hAnsiTheme="majorHAnsi" w:cstheme="majorHAnsi"/>
          <w:sz w:val="20"/>
          <w:szCs w:val="20"/>
          <w:lang w:val="en-US" w:eastAsia="ko-KR"/>
        </w:rPr>
        <w:t>Toruru</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Karompot</w:t>
      </w:r>
      <w:proofErr w:type="spellEnd"/>
      <w:r w:rsidRPr="0074480A">
        <w:rPr>
          <w:rFonts w:asciiTheme="majorHAnsi" w:eastAsia="Times New Roman" w:hAnsiTheme="majorHAnsi" w:cstheme="majorHAnsi"/>
          <w:sz w:val="20"/>
          <w:szCs w:val="20"/>
          <w:lang w:val="en-US" w:eastAsia="ko-KR"/>
        </w:rPr>
        <w:t xml:space="preserve">, made of Andesite, 60 cm tall, 23 cm wide, and in a natural shape. Headstone (7) belongs to the President of the Islamic Company, </w:t>
      </w:r>
      <w:proofErr w:type="spellStart"/>
      <w:r w:rsidRPr="0074480A">
        <w:rPr>
          <w:rFonts w:asciiTheme="majorHAnsi" w:eastAsia="Times New Roman" w:hAnsiTheme="majorHAnsi" w:cstheme="majorHAnsi"/>
          <w:sz w:val="20"/>
          <w:szCs w:val="20"/>
          <w:lang w:val="en-US" w:eastAsia="ko-KR"/>
        </w:rPr>
        <w:t>Dodoali</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made of Andesite stone, 32 cm tall, 25 cm wide, and in a natural shape. Meanwhile, headstone (22) is that of King </w:t>
      </w:r>
      <w:proofErr w:type="spellStart"/>
      <w:r w:rsidRPr="0074480A">
        <w:rPr>
          <w:rFonts w:asciiTheme="majorHAnsi" w:eastAsia="Times New Roman" w:hAnsiTheme="majorHAnsi" w:cstheme="majorHAnsi"/>
          <w:sz w:val="20"/>
          <w:szCs w:val="20"/>
          <w:lang w:val="en-US" w:eastAsia="ko-KR"/>
        </w:rPr>
        <w:t>Gongala</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made of Andesite, 70 cm tall, 22 cm wide, and in the shape of a mace. Headstone (41) is known as the headstone of King </w:t>
      </w:r>
      <w:proofErr w:type="spellStart"/>
      <w:r w:rsidRPr="0074480A">
        <w:rPr>
          <w:rFonts w:asciiTheme="majorHAnsi" w:eastAsia="Times New Roman" w:hAnsiTheme="majorHAnsi" w:cstheme="majorHAnsi"/>
          <w:sz w:val="20"/>
          <w:szCs w:val="20"/>
          <w:lang w:val="en-US" w:eastAsia="ko-KR"/>
        </w:rPr>
        <w:t>Tiaha</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II, made of Andesite stone, 75 cm tall, 20 cm wide, shaped like a mace with a fluted profile at the base and body, tapering at the top. Additionally, several other headstones are made of cement in a mace-like shape with fluted decorations arranged vertically, becoming smaller towards the top. This type of headstone is observed in headstones (25), (27), and (36) (see table 2).</w:t>
      </w:r>
    </w:p>
    <w:p w14:paraId="0FB30E6A" w14:textId="77777777" w:rsidR="007C4CC4" w:rsidRPr="0074480A" w:rsidRDefault="007C4CC4" w:rsidP="0074480A">
      <w:pPr>
        <w:ind w:left="283" w:firstLine="284"/>
        <w:jc w:val="both"/>
        <w:rPr>
          <w:rFonts w:asciiTheme="majorHAnsi" w:eastAsia="Times New Roman" w:hAnsiTheme="majorHAnsi" w:cstheme="majorHAnsi"/>
          <w:sz w:val="20"/>
          <w:szCs w:val="20"/>
          <w:lang w:val="en-US" w:eastAsia="ko-KR"/>
        </w:rPr>
      </w:pPr>
    </w:p>
    <w:p w14:paraId="1B035F62" w14:textId="77777777" w:rsidR="0074480A" w:rsidRPr="0074480A" w:rsidRDefault="0074480A" w:rsidP="00471CCE">
      <w:pPr>
        <w:spacing w:line="360" w:lineRule="auto"/>
        <w:ind w:left="283" w:firstLine="284"/>
        <w:jc w:val="center"/>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Table 3. Detailing the measurement of Graves in Jere</w:t>
      </w:r>
    </w:p>
    <w:tbl>
      <w:tblPr>
        <w:tblW w:w="7837" w:type="dxa"/>
        <w:tblInd w:w="85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06"/>
        <w:gridCol w:w="2471"/>
        <w:gridCol w:w="992"/>
        <w:gridCol w:w="851"/>
        <w:gridCol w:w="850"/>
        <w:gridCol w:w="2167"/>
      </w:tblGrid>
      <w:tr w:rsidR="0074480A" w:rsidRPr="0074480A" w14:paraId="4A090FC9" w14:textId="77777777" w:rsidTr="007C4CC4">
        <w:trPr>
          <w:trHeight w:val="215"/>
        </w:trPr>
        <w:tc>
          <w:tcPr>
            <w:tcW w:w="506" w:type="dxa"/>
            <w:vAlign w:val="center"/>
            <w:hideMark/>
          </w:tcPr>
          <w:p w14:paraId="6B6F0146" w14:textId="77777777" w:rsidR="0074480A" w:rsidRPr="0074480A" w:rsidRDefault="0074480A" w:rsidP="0036441E">
            <w:pPr>
              <w:spacing w:line="276" w:lineRule="auto"/>
              <w:ind w:left="-29" w:hanging="1"/>
              <w:rPr>
                <w:rFonts w:asciiTheme="majorHAnsi" w:eastAsia="Times New Roman" w:hAnsiTheme="majorHAnsi" w:cstheme="majorHAnsi"/>
                <w:b/>
                <w:sz w:val="16"/>
                <w:szCs w:val="16"/>
                <w:lang w:val="en-US" w:eastAsia="ko-KR"/>
              </w:rPr>
            </w:pPr>
            <w:r w:rsidRPr="0074480A">
              <w:rPr>
                <w:rFonts w:asciiTheme="majorHAnsi" w:eastAsia="Times New Roman" w:hAnsiTheme="majorHAnsi" w:cstheme="majorHAnsi"/>
                <w:b/>
                <w:sz w:val="16"/>
                <w:szCs w:val="16"/>
                <w:lang w:val="en-US" w:eastAsia="ko-KR"/>
              </w:rPr>
              <w:t>NO.</w:t>
            </w:r>
          </w:p>
        </w:tc>
        <w:tc>
          <w:tcPr>
            <w:tcW w:w="2471" w:type="dxa"/>
            <w:vAlign w:val="center"/>
            <w:hideMark/>
          </w:tcPr>
          <w:p w14:paraId="1C90CFFF" w14:textId="77777777" w:rsidR="0074480A" w:rsidRPr="0074480A" w:rsidRDefault="0074480A" w:rsidP="0036441E">
            <w:pPr>
              <w:spacing w:line="276" w:lineRule="auto"/>
              <w:ind w:left="-29" w:hanging="1"/>
              <w:rPr>
                <w:rFonts w:asciiTheme="majorHAnsi" w:eastAsia="Times New Roman" w:hAnsiTheme="majorHAnsi" w:cstheme="majorHAnsi"/>
                <w:b/>
                <w:sz w:val="16"/>
                <w:szCs w:val="16"/>
                <w:lang w:val="en-US" w:eastAsia="ko-KR"/>
              </w:rPr>
            </w:pPr>
            <w:r w:rsidRPr="0074480A">
              <w:rPr>
                <w:rFonts w:asciiTheme="majorHAnsi" w:eastAsia="Times New Roman" w:hAnsiTheme="majorHAnsi" w:cstheme="majorHAnsi"/>
                <w:b/>
                <w:sz w:val="16"/>
                <w:szCs w:val="16"/>
                <w:lang w:val="en-US" w:eastAsia="ko-KR"/>
              </w:rPr>
              <w:t>Name</w:t>
            </w:r>
          </w:p>
        </w:tc>
        <w:tc>
          <w:tcPr>
            <w:tcW w:w="992" w:type="dxa"/>
            <w:vAlign w:val="center"/>
            <w:hideMark/>
          </w:tcPr>
          <w:p w14:paraId="7A881CF6" w14:textId="77777777" w:rsidR="0074480A" w:rsidRPr="0074480A" w:rsidRDefault="0074480A" w:rsidP="0036441E">
            <w:pPr>
              <w:spacing w:line="276" w:lineRule="auto"/>
              <w:ind w:left="-29" w:hanging="1"/>
              <w:rPr>
                <w:rFonts w:asciiTheme="majorHAnsi" w:eastAsia="Times New Roman" w:hAnsiTheme="majorHAnsi" w:cstheme="majorHAnsi"/>
                <w:b/>
                <w:sz w:val="16"/>
                <w:szCs w:val="16"/>
                <w:lang w:val="en-US" w:eastAsia="ko-KR"/>
              </w:rPr>
            </w:pPr>
            <w:r w:rsidRPr="0074480A">
              <w:rPr>
                <w:rFonts w:asciiTheme="majorHAnsi" w:eastAsia="Times New Roman" w:hAnsiTheme="majorHAnsi" w:cstheme="majorHAnsi"/>
                <w:b/>
                <w:sz w:val="16"/>
                <w:szCs w:val="16"/>
                <w:lang w:val="en-US" w:eastAsia="ko-KR"/>
              </w:rPr>
              <w:t>Length</w:t>
            </w:r>
          </w:p>
        </w:tc>
        <w:tc>
          <w:tcPr>
            <w:tcW w:w="851" w:type="dxa"/>
            <w:vAlign w:val="center"/>
            <w:hideMark/>
          </w:tcPr>
          <w:p w14:paraId="52CBF377" w14:textId="77777777" w:rsidR="0074480A" w:rsidRPr="0074480A" w:rsidRDefault="0074480A" w:rsidP="0036441E">
            <w:pPr>
              <w:spacing w:line="276" w:lineRule="auto"/>
              <w:ind w:left="-29" w:hanging="1"/>
              <w:rPr>
                <w:rFonts w:asciiTheme="majorHAnsi" w:eastAsia="Times New Roman" w:hAnsiTheme="majorHAnsi" w:cstheme="majorHAnsi"/>
                <w:b/>
                <w:sz w:val="16"/>
                <w:szCs w:val="16"/>
                <w:lang w:val="en-US" w:eastAsia="ko-KR"/>
              </w:rPr>
            </w:pPr>
            <w:r w:rsidRPr="0074480A">
              <w:rPr>
                <w:rFonts w:asciiTheme="majorHAnsi" w:eastAsia="Times New Roman" w:hAnsiTheme="majorHAnsi" w:cstheme="majorHAnsi"/>
                <w:b/>
                <w:sz w:val="16"/>
                <w:szCs w:val="16"/>
                <w:lang w:val="en-US" w:eastAsia="ko-KR"/>
              </w:rPr>
              <w:t>Width</w:t>
            </w:r>
          </w:p>
        </w:tc>
        <w:tc>
          <w:tcPr>
            <w:tcW w:w="850" w:type="dxa"/>
            <w:vAlign w:val="center"/>
            <w:hideMark/>
          </w:tcPr>
          <w:p w14:paraId="7547FDDC" w14:textId="77777777" w:rsidR="0074480A" w:rsidRPr="0074480A" w:rsidRDefault="0074480A" w:rsidP="0036441E">
            <w:pPr>
              <w:spacing w:line="276" w:lineRule="auto"/>
              <w:ind w:left="-29" w:hanging="1"/>
              <w:rPr>
                <w:rFonts w:asciiTheme="majorHAnsi" w:eastAsia="Times New Roman" w:hAnsiTheme="majorHAnsi" w:cstheme="majorHAnsi"/>
                <w:b/>
                <w:sz w:val="16"/>
                <w:szCs w:val="16"/>
                <w:lang w:val="en-US" w:eastAsia="ko-KR"/>
              </w:rPr>
            </w:pPr>
            <w:r w:rsidRPr="0074480A">
              <w:rPr>
                <w:rFonts w:asciiTheme="majorHAnsi" w:eastAsia="Times New Roman" w:hAnsiTheme="majorHAnsi" w:cstheme="majorHAnsi"/>
                <w:b/>
                <w:sz w:val="16"/>
                <w:szCs w:val="16"/>
                <w:lang w:val="en-US" w:eastAsia="ko-KR"/>
              </w:rPr>
              <w:t>Height</w:t>
            </w:r>
          </w:p>
        </w:tc>
        <w:tc>
          <w:tcPr>
            <w:tcW w:w="2167" w:type="dxa"/>
            <w:vAlign w:val="center"/>
            <w:hideMark/>
          </w:tcPr>
          <w:p w14:paraId="65E2D4C2" w14:textId="77777777" w:rsidR="0074480A" w:rsidRPr="0074480A" w:rsidRDefault="0074480A" w:rsidP="0036441E">
            <w:pPr>
              <w:spacing w:line="276" w:lineRule="auto"/>
              <w:ind w:left="-29" w:hanging="1"/>
              <w:rPr>
                <w:rFonts w:asciiTheme="majorHAnsi" w:eastAsia="Times New Roman" w:hAnsiTheme="majorHAnsi" w:cstheme="majorHAnsi"/>
                <w:b/>
                <w:sz w:val="16"/>
                <w:szCs w:val="16"/>
                <w:lang w:val="en-US" w:eastAsia="ko-KR"/>
              </w:rPr>
            </w:pPr>
            <w:r w:rsidRPr="0074480A">
              <w:rPr>
                <w:rFonts w:asciiTheme="majorHAnsi" w:eastAsia="Times New Roman" w:hAnsiTheme="majorHAnsi" w:cstheme="majorHAnsi"/>
                <w:b/>
                <w:sz w:val="16"/>
                <w:szCs w:val="16"/>
                <w:lang w:val="en-US" w:eastAsia="ko-KR"/>
              </w:rPr>
              <w:t>Description</w:t>
            </w:r>
          </w:p>
        </w:tc>
      </w:tr>
      <w:tr w:rsidR="0074480A" w:rsidRPr="0074480A" w14:paraId="760C96C0" w14:textId="77777777" w:rsidTr="007C4CC4">
        <w:trPr>
          <w:trHeight w:val="211"/>
        </w:trPr>
        <w:tc>
          <w:tcPr>
            <w:tcW w:w="506" w:type="dxa"/>
            <w:vAlign w:val="center"/>
            <w:hideMark/>
          </w:tcPr>
          <w:p w14:paraId="58AF6EC8"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w:t>
            </w:r>
          </w:p>
        </w:tc>
        <w:tc>
          <w:tcPr>
            <w:tcW w:w="2471" w:type="dxa"/>
            <w:vAlign w:val="center"/>
            <w:hideMark/>
          </w:tcPr>
          <w:p w14:paraId="5D39C38C"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Moeritz</w:t>
            </w:r>
            <w:proofErr w:type="spellEnd"/>
            <w:r w:rsidRPr="0074480A">
              <w:rPr>
                <w:rFonts w:asciiTheme="majorHAnsi" w:eastAsia="Times New Roman" w:hAnsiTheme="majorHAnsi" w:cstheme="majorHAnsi"/>
                <w:sz w:val="16"/>
                <w:szCs w:val="16"/>
                <w:lang w:val="en-US" w:eastAsia="ko-KR"/>
              </w:rPr>
              <w:t xml:space="preserve"> Datu </w:t>
            </w:r>
            <w:proofErr w:type="spellStart"/>
            <w:r w:rsidRPr="0074480A">
              <w:rPr>
                <w:rFonts w:asciiTheme="majorHAnsi" w:eastAsia="Times New Roman" w:hAnsiTheme="majorHAnsi" w:cstheme="majorHAnsi"/>
                <w:sz w:val="16"/>
                <w:szCs w:val="16"/>
                <w:lang w:val="en-US" w:eastAsia="ko-KR"/>
              </w:rPr>
              <w:t>Binangkal</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Korompot</w:t>
            </w:r>
            <w:proofErr w:type="spellEnd"/>
          </w:p>
        </w:tc>
        <w:tc>
          <w:tcPr>
            <w:tcW w:w="992" w:type="dxa"/>
            <w:vAlign w:val="center"/>
            <w:hideMark/>
          </w:tcPr>
          <w:p w14:paraId="0C0FCA5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235/290</w:t>
            </w:r>
          </w:p>
        </w:tc>
        <w:tc>
          <w:tcPr>
            <w:tcW w:w="851" w:type="dxa"/>
            <w:vAlign w:val="center"/>
            <w:hideMark/>
          </w:tcPr>
          <w:p w14:paraId="54D26ECE"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110/170</w:t>
            </w:r>
          </w:p>
        </w:tc>
        <w:tc>
          <w:tcPr>
            <w:tcW w:w="850" w:type="dxa"/>
            <w:vAlign w:val="center"/>
            <w:hideMark/>
          </w:tcPr>
          <w:p w14:paraId="27F1B0B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100</w:t>
            </w:r>
          </w:p>
        </w:tc>
        <w:tc>
          <w:tcPr>
            <w:tcW w:w="2167" w:type="dxa"/>
            <w:vAlign w:val="center"/>
            <w:hideMark/>
          </w:tcPr>
          <w:p w14:paraId="7E149106"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Partially intact</w:t>
            </w:r>
          </w:p>
        </w:tc>
      </w:tr>
      <w:tr w:rsidR="0074480A" w:rsidRPr="0074480A" w14:paraId="479B2AE4" w14:textId="77777777" w:rsidTr="007C4CC4">
        <w:trPr>
          <w:trHeight w:val="117"/>
        </w:trPr>
        <w:tc>
          <w:tcPr>
            <w:tcW w:w="506" w:type="dxa"/>
            <w:vAlign w:val="center"/>
            <w:hideMark/>
          </w:tcPr>
          <w:p w14:paraId="5C004274"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w:t>
            </w:r>
          </w:p>
        </w:tc>
        <w:tc>
          <w:tcPr>
            <w:tcW w:w="2471" w:type="dxa"/>
            <w:vAlign w:val="center"/>
            <w:hideMark/>
          </w:tcPr>
          <w:p w14:paraId="11023BF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 xml:space="preserve">Boki </w:t>
            </w:r>
            <w:proofErr w:type="spellStart"/>
            <w:r w:rsidRPr="0074480A">
              <w:rPr>
                <w:rFonts w:asciiTheme="majorHAnsi" w:eastAsia="Times New Roman" w:hAnsiTheme="majorHAnsi" w:cstheme="majorHAnsi"/>
                <w:sz w:val="16"/>
                <w:szCs w:val="16"/>
                <w:lang w:val="en-US" w:eastAsia="ko-KR"/>
              </w:rPr>
              <w:t>Tohomiang</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Olii</w:t>
            </w:r>
            <w:proofErr w:type="spellEnd"/>
          </w:p>
        </w:tc>
        <w:tc>
          <w:tcPr>
            <w:tcW w:w="992" w:type="dxa"/>
            <w:vAlign w:val="center"/>
            <w:hideMark/>
          </w:tcPr>
          <w:p w14:paraId="1DC3A58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190</w:t>
            </w:r>
          </w:p>
        </w:tc>
        <w:tc>
          <w:tcPr>
            <w:tcW w:w="851" w:type="dxa"/>
            <w:vAlign w:val="center"/>
            <w:hideMark/>
          </w:tcPr>
          <w:p w14:paraId="75B1553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180</w:t>
            </w:r>
          </w:p>
        </w:tc>
        <w:tc>
          <w:tcPr>
            <w:tcW w:w="850" w:type="dxa"/>
            <w:vAlign w:val="center"/>
            <w:hideMark/>
          </w:tcPr>
          <w:p w14:paraId="2F1E71B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90</w:t>
            </w:r>
          </w:p>
        </w:tc>
        <w:tc>
          <w:tcPr>
            <w:tcW w:w="2167" w:type="dxa"/>
            <w:vAlign w:val="center"/>
            <w:hideMark/>
          </w:tcPr>
          <w:p w14:paraId="3DFDAB2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Partially Intact</w:t>
            </w:r>
          </w:p>
        </w:tc>
      </w:tr>
      <w:tr w:rsidR="0074480A" w:rsidRPr="0074480A" w14:paraId="1777660D" w14:textId="77777777" w:rsidTr="007C4CC4">
        <w:trPr>
          <w:trHeight w:val="121"/>
        </w:trPr>
        <w:tc>
          <w:tcPr>
            <w:tcW w:w="506" w:type="dxa"/>
            <w:vAlign w:val="center"/>
            <w:hideMark/>
          </w:tcPr>
          <w:p w14:paraId="26C94A1E"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w:t>
            </w:r>
          </w:p>
        </w:tc>
        <w:tc>
          <w:tcPr>
            <w:tcW w:w="2471" w:type="dxa"/>
            <w:vAlign w:val="center"/>
            <w:hideMark/>
          </w:tcPr>
          <w:p w14:paraId="132D19D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44454F1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200</w:t>
            </w:r>
          </w:p>
        </w:tc>
        <w:tc>
          <w:tcPr>
            <w:tcW w:w="851" w:type="dxa"/>
            <w:vAlign w:val="center"/>
            <w:hideMark/>
          </w:tcPr>
          <w:p w14:paraId="31F89E4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260</w:t>
            </w:r>
          </w:p>
        </w:tc>
        <w:tc>
          <w:tcPr>
            <w:tcW w:w="850" w:type="dxa"/>
            <w:vAlign w:val="center"/>
            <w:hideMark/>
          </w:tcPr>
          <w:p w14:paraId="29DC804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0B31FB0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1D1A8C76" w14:textId="77777777" w:rsidTr="007C4CC4">
        <w:trPr>
          <w:trHeight w:val="139"/>
        </w:trPr>
        <w:tc>
          <w:tcPr>
            <w:tcW w:w="506" w:type="dxa"/>
            <w:vAlign w:val="center"/>
            <w:hideMark/>
          </w:tcPr>
          <w:p w14:paraId="5A92D0E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w:t>
            </w:r>
          </w:p>
        </w:tc>
        <w:tc>
          <w:tcPr>
            <w:tcW w:w="2471" w:type="dxa"/>
            <w:vAlign w:val="center"/>
            <w:hideMark/>
          </w:tcPr>
          <w:p w14:paraId="4D64C8A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2E731C0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200</w:t>
            </w:r>
          </w:p>
        </w:tc>
        <w:tc>
          <w:tcPr>
            <w:tcW w:w="851" w:type="dxa"/>
            <w:vAlign w:val="center"/>
            <w:hideMark/>
          </w:tcPr>
          <w:p w14:paraId="11079642"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180</w:t>
            </w:r>
          </w:p>
        </w:tc>
        <w:tc>
          <w:tcPr>
            <w:tcW w:w="850" w:type="dxa"/>
            <w:vAlign w:val="center"/>
            <w:hideMark/>
          </w:tcPr>
          <w:p w14:paraId="6B1C27A8"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322A556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4186DCA8" w14:textId="77777777" w:rsidTr="007C4CC4">
        <w:trPr>
          <w:trHeight w:val="143"/>
        </w:trPr>
        <w:tc>
          <w:tcPr>
            <w:tcW w:w="506" w:type="dxa"/>
            <w:vAlign w:val="center"/>
            <w:hideMark/>
          </w:tcPr>
          <w:p w14:paraId="1E8B480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5.</w:t>
            </w:r>
          </w:p>
        </w:tc>
        <w:tc>
          <w:tcPr>
            <w:tcW w:w="2471" w:type="dxa"/>
            <w:vAlign w:val="center"/>
            <w:hideMark/>
          </w:tcPr>
          <w:p w14:paraId="605656F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6B52D3DC"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200</w:t>
            </w:r>
          </w:p>
        </w:tc>
        <w:tc>
          <w:tcPr>
            <w:tcW w:w="851" w:type="dxa"/>
            <w:vAlign w:val="center"/>
            <w:hideMark/>
          </w:tcPr>
          <w:p w14:paraId="63969D7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200</w:t>
            </w:r>
          </w:p>
        </w:tc>
        <w:tc>
          <w:tcPr>
            <w:tcW w:w="850" w:type="dxa"/>
            <w:vAlign w:val="center"/>
            <w:hideMark/>
          </w:tcPr>
          <w:p w14:paraId="24242338"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1967E34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5588ECD2" w14:textId="77777777" w:rsidTr="007C4CC4">
        <w:trPr>
          <w:trHeight w:val="175"/>
        </w:trPr>
        <w:tc>
          <w:tcPr>
            <w:tcW w:w="506" w:type="dxa"/>
            <w:vAlign w:val="center"/>
            <w:hideMark/>
          </w:tcPr>
          <w:p w14:paraId="6DCBE5E8"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6.</w:t>
            </w:r>
          </w:p>
        </w:tc>
        <w:tc>
          <w:tcPr>
            <w:tcW w:w="2471" w:type="dxa"/>
            <w:vAlign w:val="center"/>
            <w:hideMark/>
          </w:tcPr>
          <w:p w14:paraId="423FDD0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271051F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260</w:t>
            </w:r>
          </w:p>
        </w:tc>
        <w:tc>
          <w:tcPr>
            <w:tcW w:w="851" w:type="dxa"/>
            <w:vAlign w:val="center"/>
            <w:hideMark/>
          </w:tcPr>
          <w:p w14:paraId="3824DEC0"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210</w:t>
            </w:r>
          </w:p>
        </w:tc>
        <w:tc>
          <w:tcPr>
            <w:tcW w:w="850" w:type="dxa"/>
            <w:vAlign w:val="center"/>
            <w:hideMark/>
          </w:tcPr>
          <w:p w14:paraId="79822EC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124AAAD8"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23816FE7" w14:textId="77777777" w:rsidTr="007C4CC4">
        <w:trPr>
          <w:trHeight w:val="126"/>
        </w:trPr>
        <w:tc>
          <w:tcPr>
            <w:tcW w:w="506" w:type="dxa"/>
            <w:vAlign w:val="center"/>
            <w:hideMark/>
          </w:tcPr>
          <w:p w14:paraId="00F211A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7.</w:t>
            </w:r>
          </w:p>
        </w:tc>
        <w:tc>
          <w:tcPr>
            <w:tcW w:w="2471" w:type="dxa"/>
            <w:vAlign w:val="center"/>
            <w:hideMark/>
          </w:tcPr>
          <w:p w14:paraId="619BF39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36DC72A6"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269</w:t>
            </w:r>
          </w:p>
        </w:tc>
        <w:tc>
          <w:tcPr>
            <w:tcW w:w="851" w:type="dxa"/>
            <w:vAlign w:val="center"/>
            <w:hideMark/>
          </w:tcPr>
          <w:p w14:paraId="42270F3D"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190</w:t>
            </w:r>
          </w:p>
        </w:tc>
        <w:tc>
          <w:tcPr>
            <w:tcW w:w="850" w:type="dxa"/>
            <w:vAlign w:val="center"/>
            <w:hideMark/>
          </w:tcPr>
          <w:p w14:paraId="6F807531"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2E1CD76E"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6C219625" w14:textId="77777777" w:rsidTr="007C4CC4">
        <w:trPr>
          <w:trHeight w:val="215"/>
        </w:trPr>
        <w:tc>
          <w:tcPr>
            <w:tcW w:w="506" w:type="dxa"/>
            <w:vAlign w:val="center"/>
            <w:hideMark/>
          </w:tcPr>
          <w:p w14:paraId="37AEBBB2"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w:t>
            </w:r>
          </w:p>
        </w:tc>
        <w:tc>
          <w:tcPr>
            <w:tcW w:w="2471" w:type="dxa"/>
            <w:vAlign w:val="center"/>
            <w:hideMark/>
          </w:tcPr>
          <w:p w14:paraId="4563802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1537D52C"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260</w:t>
            </w:r>
          </w:p>
        </w:tc>
        <w:tc>
          <w:tcPr>
            <w:tcW w:w="851" w:type="dxa"/>
            <w:vAlign w:val="center"/>
            <w:hideMark/>
          </w:tcPr>
          <w:p w14:paraId="19F9C8A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230</w:t>
            </w:r>
          </w:p>
        </w:tc>
        <w:tc>
          <w:tcPr>
            <w:tcW w:w="850" w:type="dxa"/>
            <w:vAlign w:val="center"/>
            <w:hideMark/>
          </w:tcPr>
          <w:p w14:paraId="1E92CBE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00A59A6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1A6AB016" w14:textId="77777777" w:rsidTr="007C4CC4">
        <w:trPr>
          <w:trHeight w:val="71"/>
        </w:trPr>
        <w:tc>
          <w:tcPr>
            <w:tcW w:w="506" w:type="dxa"/>
            <w:vAlign w:val="center"/>
            <w:hideMark/>
          </w:tcPr>
          <w:p w14:paraId="5F89E7C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9.</w:t>
            </w:r>
          </w:p>
        </w:tc>
        <w:tc>
          <w:tcPr>
            <w:tcW w:w="2471" w:type="dxa"/>
            <w:vAlign w:val="center"/>
            <w:hideMark/>
          </w:tcPr>
          <w:p w14:paraId="488D96A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7ADA85CC"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350</w:t>
            </w:r>
          </w:p>
        </w:tc>
        <w:tc>
          <w:tcPr>
            <w:tcW w:w="851" w:type="dxa"/>
            <w:vAlign w:val="center"/>
            <w:hideMark/>
          </w:tcPr>
          <w:p w14:paraId="2C4BD53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260</w:t>
            </w:r>
          </w:p>
        </w:tc>
        <w:tc>
          <w:tcPr>
            <w:tcW w:w="850" w:type="dxa"/>
            <w:vAlign w:val="center"/>
            <w:hideMark/>
          </w:tcPr>
          <w:p w14:paraId="743FDE1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5139331D"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1694A9B6" w14:textId="77777777" w:rsidTr="007C4CC4">
        <w:trPr>
          <w:trHeight w:val="71"/>
        </w:trPr>
        <w:tc>
          <w:tcPr>
            <w:tcW w:w="506" w:type="dxa"/>
            <w:vAlign w:val="center"/>
            <w:hideMark/>
          </w:tcPr>
          <w:p w14:paraId="09F1F996"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10.</w:t>
            </w:r>
          </w:p>
        </w:tc>
        <w:tc>
          <w:tcPr>
            <w:tcW w:w="2471" w:type="dxa"/>
            <w:vAlign w:val="center"/>
            <w:hideMark/>
          </w:tcPr>
          <w:p w14:paraId="2300AEC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6C3F0154"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340</w:t>
            </w:r>
          </w:p>
        </w:tc>
        <w:tc>
          <w:tcPr>
            <w:tcW w:w="851" w:type="dxa"/>
            <w:vAlign w:val="center"/>
            <w:hideMark/>
          </w:tcPr>
          <w:p w14:paraId="4822F451"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210</w:t>
            </w:r>
          </w:p>
        </w:tc>
        <w:tc>
          <w:tcPr>
            <w:tcW w:w="850" w:type="dxa"/>
            <w:vAlign w:val="center"/>
            <w:hideMark/>
          </w:tcPr>
          <w:p w14:paraId="0003AA8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27B2EF5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610A98F0" w14:textId="77777777" w:rsidTr="007C4CC4">
        <w:trPr>
          <w:trHeight w:val="71"/>
        </w:trPr>
        <w:tc>
          <w:tcPr>
            <w:tcW w:w="506" w:type="dxa"/>
            <w:vAlign w:val="center"/>
            <w:hideMark/>
          </w:tcPr>
          <w:p w14:paraId="603F68E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11.</w:t>
            </w:r>
          </w:p>
        </w:tc>
        <w:tc>
          <w:tcPr>
            <w:tcW w:w="2471" w:type="dxa"/>
            <w:vAlign w:val="center"/>
            <w:hideMark/>
          </w:tcPr>
          <w:p w14:paraId="7BA7FD1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76A5EA25"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320</w:t>
            </w:r>
          </w:p>
        </w:tc>
        <w:tc>
          <w:tcPr>
            <w:tcW w:w="851" w:type="dxa"/>
            <w:vAlign w:val="center"/>
            <w:hideMark/>
          </w:tcPr>
          <w:p w14:paraId="561478A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234</w:t>
            </w:r>
          </w:p>
        </w:tc>
        <w:tc>
          <w:tcPr>
            <w:tcW w:w="850" w:type="dxa"/>
            <w:vAlign w:val="center"/>
            <w:hideMark/>
          </w:tcPr>
          <w:p w14:paraId="6A65E8E6"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w:t>
            </w:r>
          </w:p>
        </w:tc>
        <w:tc>
          <w:tcPr>
            <w:tcW w:w="2167" w:type="dxa"/>
            <w:vAlign w:val="center"/>
            <w:hideMark/>
          </w:tcPr>
          <w:p w14:paraId="62A4A2E8"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04D04CA4" w14:textId="77777777" w:rsidTr="007C4CC4">
        <w:trPr>
          <w:trHeight w:val="71"/>
        </w:trPr>
        <w:tc>
          <w:tcPr>
            <w:tcW w:w="506" w:type="dxa"/>
            <w:vAlign w:val="center"/>
            <w:hideMark/>
          </w:tcPr>
          <w:p w14:paraId="6E9A164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12.</w:t>
            </w:r>
          </w:p>
        </w:tc>
        <w:tc>
          <w:tcPr>
            <w:tcW w:w="2471" w:type="dxa"/>
            <w:vAlign w:val="center"/>
            <w:hideMark/>
          </w:tcPr>
          <w:p w14:paraId="2855EC5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0358051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230</w:t>
            </w:r>
          </w:p>
        </w:tc>
        <w:tc>
          <w:tcPr>
            <w:tcW w:w="851" w:type="dxa"/>
            <w:vAlign w:val="center"/>
            <w:hideMark/>
          </w:tcPr>
          <w:p w14:paraId="62C8347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190</w:t>
            </w:r>
          </w:p>
        </w:tc>
        <w:tc>
          <w:tcPr>
            <w:tcW w:w="850" w:type="dxa"/>
            <w:vAlign w:val="center"/>
            <w:hideMark/>
          </w:tcPr>
          <w:p w14:paraId="3592D09E"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5C5A0720"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75C55387" w14:textId="77777777" w:rsidTr="007C4CC4">
        <w:trPr>
          <w:trHeight w:val="71"/>
        </w:trPr>
        <w:tc>
          <w:tcPr>
            <w:tcW w:w="506" w:type="dxa"/>
            <w:vAlign w:val="center"/>
            <w:hideMark/>
          </w:tcPr>
          <w:p w14:paraId="4618E64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13.</w:t>
            </w:r>
          </w:p>
        </w:tc>
        <w:tc>
          <w:tcPr>
            <w:tcW w:w="2471" w:type="dxa"/>
            <w:vAlign w:val="center"/>
            <w:hideMark/>
          </w:tcPr>
          <w:p w14:paraId="4446FC32"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7245F22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290</w:t>
            </w:r>
          </w:p>
        </w:tc>
        <w:tc>
          <w:tcPr>
            <w:tcW w:w="851" w:type="dxa"/>
            <w:vAlign w:val="center"/>
            <w:hideMark/>
          </w:tcPr>
          <w:p w14:paraId="0068139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240</w:t>
            </w:r>
          </w:p>
        </w:tc>
        <w:tc>
          <w:tcPr>
            <w:tcW w:w="850" w:type="dxa"/>
            <w:vAlign w:val="center"/>
            <w:hideMark/>
          </w:tcPr>
          <w:p w14:paraId="33C47C12"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90</w:t>
            </w:r>
          </w:p>
        </w:tc>
        <w:tc>
          <w:tcPr>
            <w:tcW w:w="2167" w:type="dxa"/>
            <w:vAlign w:val="center"/>
            <w:hideMark/>
          </w:tcPr>
          <w:p w14:paraId="13D88DD1"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49BD3193" w14:textId="77777777" w:rsidTr="007C4CC4">
        <w:trPr>
          <w:trHeight w:val="71"/>
        </w:trPr>
        <w:tc>
          <w:tcPr>
            <w:tcW w:w="506" w:type="dxa"/>
            <w:vAlign w:val="center"/>
            <w:hideMark/>
          </w:tcPr>
          <w:p w14:paraId="2E22629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14.</w:t>
            </w:r>
          </w:p>
        </w:tc>
        <w:tc>
          <w:tcPr>
            <w:tcW w:w="2471" w:type="dxa"/>
            <w:vAlign w:val="center"/>
            <w:hideMark/>
          </w:tcPr>
          <w:p w14:paraId="782E3BE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Anonim</w:t>
            </w:r>
            <w:proofErr w:type="spellEnd"/>
          </w:p>
        </w:tc>
        <w:tc>
          <w:tcPr>
            <w:tcW w:w="992" w:type="dxa"/>
            <w:vAlign w:val="center"/>
            <w:hideMark/>
          </w:tcPr>
          <w:p w14:paraId="20BD44C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851" w:type="dxa"/>
            <w:vAlign w:val="center"/>
            <w:hideMark/>
          </w:tcPr>
          <w:p w14:paraId="1804EFFF"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80 (?)</w:t>
            </w:r>
          </w:p>
        </w:tc>
        <w:tc>
          <w:tcPr>
            <w:tcW w:w="850" w:type="dxa"/>
            <w:vAlign w:val="center"/>
            <w:hideMark/>
          </w:tcPr>
          <w:p w14:paraId="1077D1B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w:t>
            </w:r>
          </w:p>
        </w:tc>
        <w:tc>
          <w:tcPr>
            <w:tcW w:w="2167" w:type="dxa"/>
            <w:vAlign w:val="center"/>
            <w:hideMark/>
          </w:tcPr>
          <w:p w14:paraId="5FB54FA4"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4E3C3950" w14:textId="77777777" w:rsidTr="007C4CC4">
        <w:trPr>
          <w:trHeight w:val="71"/>
        </w:trPr>
        <w:tc>
          <w:tcPr>
            <w:tcW w:w="506" w:type="dxa"/>
            <w:vAlign w:val="center"/>
            <w:hideMark/>
          </w:tcPr>
          <w:p w14:paraId="7A23BCED"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15.</w:t>
            </w:r>
          </w:p>
        </w:tc>
        <w:tc>
          <w:tcPr>
            <w:tcW w:w="2471" w:type="dxa"/>
            <w:vAlign w:val="center"/>
            <w:hideMark/>
          </w:tcPr>
          <w:p w14:paraId="4813B8D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Jogugu</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Buhang</w:t>
            </w:r>
            <w:proofErr w:type="spellEnd"/>
          </w:p>
        </w:tc>
        <w:tc>
          <w:tcPr>
            <w:tcW w:w="992" w:type="dxa"/>
            <w:vAlign w:val="center"/>
            <w:hideMark/>
          </w:tcPr>
          <w:p w14:paraId="37A73446"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400</w:t>
            </w:r>
          </w:p>
        </w:tc>
        <w:tc>
          <w:tcPr>
            <w:tcW w:w="851" w:type="dxa"/>
            <w:vAlign w:val="center"/>
            <w:hideMark/>
          </w:tcPr>
          <w:p w14:paraId="248D3A4C"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360</w:t>
            </w:r>
          </w:p>
        </w:tc>
        <w:tc>
          <w:tcPr>
            <w:tcW w:w="850" w:type="dxa"/>
            <w:vAlign w:val="center"/>
            <w:hideMark/>
          </w:tcPr>
          <w:p w14:paraId="5902396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80</w:t>
            </w:r>
          </w:p>
        </w:tc>
        <w:tc>
          <w:tcPr>
            <w:tcW w:w="2167" w:type="dxa"/>
            <w:vAlign w:val="center"/>
            <w:hideMark/>
          </w:tcPr>
          <w:p w14:paraId="4561A679"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r w:rsidR="0074480A" w:rsidRPr="0074480A" w14:paraId="76D06B6C" w14:textId="77777777" w:rsidTr="007C4CC4">
        <w:trPr>
          <w:trHeight w:val="71"/>
        </w:trPr>
        <w:tc>
          <w:tcPr>
            <w:tcW w:w="506" w:type="dxa"/>
            <w:vAlign w:val="center"/>
            <w:hideMark/>
          </w:tcPr>
          <w:p w14:paraId="776F853B"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16.</w:t>
            </w:r>
          </w:p>
        </w:tc>
        <w:tc>
          <w:tcPr>
            <w:tcW w:w="2471" w:type="dxa"/>
            <w:vAlign w:val="center"/>
            <w:hideMark/>
          </w:tcPr>
          <w:p w14:paraId="0C571A1A"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proofErr w:type="spellStart"/>
            <w:r w:rsidRPr="0074480A">
              <w:rPr>
                <w:rFonts w:asciiTheme="majorHAnsi" w:eastAsia="Times New Roman" w:hAnsiTheme="majorHAnsi" w:cstheme="majorHAnsi"/>
                <w:sz w:val="16"/>
                <w:szCs w:val="16"/>
                <w:lang w:val="en-US" w:eastAsia="ko-KR"/>
              </w:rPr>
              <w:t>Jogugu</w:t>
            </w:r>
            <w:proofErr w:type="spellEnd"/>
            <w:r w:rsidRPr="0074480A">
              <w:rPr>
                <w:rFonts w:asciiTheme="majorHAnsi" w:eastAsia="Times New Roman" w:hAnsiTheme="majorHAnsi" w:cstheme="majorHAnsi"/>
                <w:sz w:val="16"/>
                <w:szCs w:val="16"/>
                <w:lang w:val="en-US" w:eastAsia="ko-KR"/>
              </w:rPr>
              <w:t xml:space="preserve"> </w:t>
            </w:r>
            <w:proofErr w:type="spellStart"/>
            <w:r w:rsidRPr="0074480A">
              <w:rPr>
                <w:rFonts w:asciiTheme="majorHAnsi" w:eastAsia="Times New Roman" w:hAnsiTheme="majorHAnsi" w:cstheme="majorHAnsi"/>
                <w:sz w:val="16"/>
                <w:szCs w:val="16"/>
                <w:lang w:val="en-US" w:eastAsia="ko-KR"/>
              </w:rPr>
              <w:t>Mokodompis</w:t>
            </w:r>
            <w:proofErr w:type="spellEnd"/>
          </w:p>
        </w:tc>
        <w:tc>
          <w:tcPr>
            <w:tcW w:w="992" w:type="dxa"/>
            <w:vAlign w:val="center"/>
            <w:hideMark/>
          </w:tcPr>
          <w:p w14:paraId="0491200E"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350</w:t>
            </w:r>
          </w:p>
        </w:tc>
        <w:tc>
          <w:tcPr>
            <w:tcW w:w="851" w:type="dxa"/>
            <w:vAlign w:val="center"/>
            <w:hideMark/>
          </w:tcPr>
          <w:p w14:paraId="4E876CF0"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470</w:t>
            </w:r>
          </w:p>
        </w:tc>
        <w:tc>
          <w:tcPr>
            <w:tcW w:w="850" w:type="dxa"/>
            <w:vAlign w:val="center"/>
            <w:hideMark/>
          </w:tcPr>
          <w:p w14:paraId="3C6B0157"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30-45</w:t>
            </w:r>
          </w:p>
        </w:tc>
        <w:tc>
          <w:tcPr>
            <w:tcW w:w="2167" w:type="dxa"/>
            <w:vAlign w:val="center"/>
            <w:hideMark/>
          </w:tcPr>
          <w:p w14:paraId="701F2B63" w14:textId="77777777" w:rsidR="0074480A" w:rsidRPr="0074480A" w:rsidRDefault="0074480A" w:rsidP="00471CCE">
            <w:pPr>
              <w:spacing w:line="276" w:lineRule="auto"/>
              <w:ind w:left="-29" w:hanging="1"/>
              <w:rPr>
                <w:rFonts w:asciiTheme="majorHAnsi" w:eastAsia="Times New Roman" w:hAnsiTheme="majorHAnsi" w:cstheme="majorHAnsi"/>
                <w:sz w:val="16"/>
                <w:szCs w:val="16"/>
                <w:lang w:val="en-US" w:eastAsia="ko-KR"/>
              </w:rPr>
            </w:pPr>
            <w:r w:rsidRPr="0074480A">
              <w:rPr>
                <w:rFonts w:asciiTheme="majorHAnsi" w:eastAsia="Times New Roman" w:hAnsiTheme="majorHAnsi" w:cstheme="majorHAnsi"/>
                <w:sz w:val="16"/>
                <w:szCs w:val="16"/>
                <w:lang w:val="en-US" w:eastAsia="ko-KR"/>
              </w:rPr>
              <w:t>Not Intact and damaged</w:t>
            </w:r>
          </w:p>
        </w:tc>
      </w:tr>
    </w:tbl>
    <w:p w14:paraId="48A0D46C" w14:textId="77777777" w:rsidR="0074480A" w:rsidRDefault="0074480A" w:rsidP="0074480A">
      <w:pPr>
        <w:ind w:left="283" w:firstLine="284"/>
        <w:jc w:val="both"/>
        <w:rPr>
          <w:rFonts w:asciiTheme="majorHAnsi" w:eastAsia="Times New Roman" w:hAnsiTheme="majorHAnsi" w:cstheme="majorHAnsi"/>
          <w:sz w:val="20"/>
          <w:szCs w:val="20"/>
          <w:lang w:val="en-US" w:eastAsia="ko-KR"/>
        </w:rPr>
      </w:pPr>
    </w:p>
    <w:p w14:paraId="46ACDAC7" w14:textId="77777777" w:rsidR="007C4CC4" w:rsidRDefault="007C4CC4" w:rsidP="007C4CC4">
      <w:pPr>
        <w:ind w:left="283" w:firstLine="284"/>
        <w:jc w:val="both"/>
        <w:rPr>
          <w:rFonts w:asciiTheme="majorHAnsi" w:eastAsia="Times New Roman" w:hAnsiTheme="majorHAnsi" w:cstheme="majorHAnsi"/>
          <w:sz w:val="20"/>
          <w:szCs w:val="20"/>
          <w:lang w:val="en-US" w:eastAsia="ko-KR"/>
        </w:rPr>
      </w:pPr>
      <w:r w:rsidRPr="0074480A">
        <w:rPr>
          <w:rFonts w:asciiTheme="majorHAnsi" w:eastAsia="Times New Roman" w:hAnsiTheme="majorHAnsi" w:cstheme="majorHAnsi"/>
          <w:sz w:val="20"/>
          <w:szCs w:val="20"/>
          <w:lang w:val="en-US" w:eastAsia="ko-KR"/>
        </w:rPr>
        <w:lastRenderedPageBreak/>
        <w:t xml:space="preserve">In Group III graves, the figures buried here are the 13th King of </w:t>
      </w:r>
      <w:proofErr w:type="spellStart"/>
      <w:r w:rsidRPr="0074480A">
        <w:rPr>
          <w:rFonts w:asciiTheme="majorHAnsi" w:eastAsia="Times New Roman" w:hAnsiTheme="majorHAnsi" w:cstheme="majorHAnsi"/>
          <w:sz w:val="20"/>
          <w:szCs w:val="20"/>
          <w:lang w:val="en-US" w:eastAsia="ko-KR"/>
        </w:rPr>
        <w:t>Kaidipang</w:t>
      </w:r>
      <w:proofErr w:type="spellEnd"/>
      <w:r w:rsidRPr="0074480A">
        <w:rPr>
          <w:rFonts w:asciiTheme="majorHAnsi" w:eastAsia="Times New Roman" w:hAnsiTheme="majorHAnsi" w:cstheme="majorHAnsi"/>
          <w:sz w:val="20"/>
          <w:szCs w:val="20"/>
          <w:lang w:val="en-US" w:eastAsia="ko-KR"/>
        </w:rPr>
        <w:t xml:space="preserve">, Louis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(1898-1908 M/ 1306-1326), and the 14</w:t>
      </w:r>
      <w:r w:rsidRPr="0074480A">
        <w:rPr>
          <w:rFonts w:asciiTheme="majorHAnsi" w:eastAsia="Times New Roman" w:hAnsiTheme="majorHAnsi" w:cstheme="majorHAnsi"/>
          <w:sz w:val="20"/>
          <w:szCs w:val="20"/>
          <w:vertAlign w:val="superscript"/>
          <w:lang w:val="en-US" w:eastAsia="ko-KR"/>
        </w:rPr>
        <w:t>th</w:t>
      </w:r>
      <w:r w:rsidRPr="0074480A">
        <w:rPr>
          <w:rFonts w:asciiTheme="majorHAnsi" w:eastAsia="Times New Roman" w:hAnsiTheme="majorHAnsi" w:cstheme="majorHAnsi"/>
          <w:sz w:val="20"/>
          <w:szCs w:val="20"/>
          <w:lang w:val="en-US" w:eastAsia="ko-KR"/>
        </w:rPr>
        <w:t xml:space="preserve"> King, Mahmud Manoppo </w:t>
      </w:r>
      <w:proofErr w:type="spellStart"/>
      <w:r w:rsidRPr="0074480A">
        <w:rPr>
          <w:rFonts w:asciiTheme="majorHAnsi" w:eastAsia="Times New Roman" w:hAnsiTheme="majorHAnsi" w:cstheme="majorHAnsi"/>
          <w:sz w:val="20"/>
          <w:szCs w:val="20"/>
          <w:lang w:val="en-US" w:eastAsia="ko-KR"/>
        </w:rPr>
        <w:t>Korompot</w:t>
      </w:r>
      <w:proofErr w:type="spellEnd"/>
      <w:r w:rsidRPr="0074480A">
        <w:rPr>
          <w:rFonts w:asciiTheme="majorHAnsi" w:eastAsia="Times New Roman" w:hAnsiTheme="majorHAnsi" w:cstheme="majorHAnsi"/>
          <w:sz w:val="20"/>
          <w:szCs w:val="20"/>
          <w:lang w:val="en-US" w:eastAsia="ko-KR"/>
        </w:rPr>
        <w:t xml:space="preserve"> </w:t>
      </w:r>
      <w:proofErr w:type="spellStart"/>
      <w:r w:rsidRPr="0074480A">
        <w:rPr>
          <w:rFonts w:asciiTheme="majorHAnsi" w:eastAsia="Times New Roman" w:hAnsiTheme="majorHAnsi" w:cstheme="majorHAnsi"/>
          <w:sz w:val="20"/>
          <w:szCs w:val="20"/>
          <w:lang w:val="en-US" w:eastAsia="ko-KR"/>
        </w:rPr>
        <w:t>Antogia</w:t>
      </w:r>
      <w:proofErr w:type="spellEnd"/>
      <w:r w:rsidRPr="0074480A">
        <w:rPr>
          <w:rFonts w:asciiTheme="majorHAnsi" w:eastAsia="Times New Roman" w:hAnsiTheme="majorHAnsi" w:cstheme="majorHAnsi"/>
          <w:sz w:val="20"/>
          <w:szCs w:val="20"/>
          <w:lang w:val="en-US" w:eastAsia="ko-KR"/>
        </w:rPr>
        <w:t xml:space="preserve"> (1908-1912 M/1326-1330 H). Headstone (49) of King Louis is made of Andesite stone, 70 cm tall, 20 cm wide, mace-shaped but flattened. There are 12 headstones in this group, numbered 49-60. The headstone (50) of King Mahmud is made of Andesite, 43 cm tall, 23 cm wide, and in a natural shape. Headstone (55), known as the grave of Boki Harunja, is made of cement, 67 cm tall, 17 cm wide, and shaped like a flower bud at the top. The identities of other graves are unknown, but most are made of Andesite stone in various sizes and natural shapes. </w:t>
      </w:r>
    </w:p>
    <w:p w14:paraId="16CFC6CA" w14:textId="3EC8B9CD" w:rsidR="0074480A" w:rsidRDefault="0036441E" w:rsidP="0074480A">
      <w:pPr>
        <w:ind w:left="283" w:firstLine="284"/>
        <w:jc w:val="both"/>
        <w:rPr>
          <w:rFonts w:asciiTheme="majorHAnsi" w:eastAsia="Times New Roman" w:hAnsiTheme="majorHAnsi" w:cstheme="majorHAnsi"/>
          <w:sz w:val="20"/>
          <w:szCs w:val="20"/>
          <w:lang w:eastAsia="ko-KR"/>
        </w:rPr>
      </w:pPr>
      <w:r w:rsidRPr="0036441E">
        <w:rPr>
          <w:rFonts w:asciiTheme="majorHAnsi" w:eastAsia="Times New Roman" w:hAnsiTheme="majorHAnsi" w:cstheme="majorHAnsi"/>
          <w:sz w:val="20"/>
          <w:szCs w:val="20"/>
          <w:lang w:eastAsia="ko-KR"/>
        </w:rPr>
        <w:t xml:space="preserve">Group IV graves are located on the northern side, adjacent to Groups II and III graves (see Figure 2). There </w:t>
      </w:r>
      <w:proofErr w:type="gramStart"/>
      <w:r w:rsidRPr="0036441E">
        <w:rPr>
          <w:rFonts w:asciiTheme="majorHAnsi" w:eastAsia="Times New Roman" w:hAnsiTheme="majorHAnsi" w:cstheme="majorHAnsi"/>
          <w:sz w:val="20"/>
          <w:szCs w:val="20"/>
          <w:lang w:eastAsia="ko-KR"/>
        </w:rPr>
        <w:t>are</w:t>
      </w:r>
      <w:proofErr w:type="gramEnd"/>
      <w:r w:rsidRPr="0036441E">
        <w:rPr>
          <w:rFonts w:asciiTheme="majorHAnsi" w:eastAsia="Times New Roman" w:hAnsiTheme="majorHAnsi" w:cstheme="majorHAnsi"/>
          <w:sz w:val="20"/>
          <w:szCs w:val="20"/>
          <w:lang w:eastAsia="ko-KR"/>
        </w:rPr>
        <w:t xml:space="preserve"> a total of 22 headstones in this group, five of which are placed separately. Only one headstone is known by identity, headstone (71) belonging to </w:t>
      </w:r>
      <w:proofErr w:type="spellStart"/>
      <w:r w:rsidRPr="0036441E">
        <w:rPr>
          <w:rFonts w:asciiTheme="majorHAnsi" w:eastAsia="Times New Roman" w:hAnsiTheme="majorHAnsi" w:cstheme="majorHAnsi"/>
          <w:sz w:val="20"/>
          <w:szCs w:val="20"/>
          <w:lang w:eastAsia="ko-KR"/>
        </w:rPr>
        <w:t>Gagu</w:t>
      </w:r>
      <w:proofErr w:type="spellEnd"/>
      <w:r w:rsidRPr="0036441E">
        <w:rPr>
          <w:rFonts w:asciiTheme="majorHAnsi" w:eastAsia="Times New Roman" w:hAnsiTheme="majorHAnsi" w:cstheme="majorHAnsi"/>
          <w:sz w:val="20"/>
          <w:szCs w:val="20"/>
          <w:lang w:eastAsia="ko-KR"/>
        </w:rPr>
        <w:t xml:space="preserve"> Korompot. Headstone (71) is made of cement, 50 cm tall, 18 cm wide, and mace-shaped, with circular fluting that decreases in size towards the top. The other 21 headstones are made of Andesite stone with various sizes and natural shapes, and their identities are unknown. A more detailed description is provided in Table 2.</w:t>
      </w:r>
    </w:p>
    <w:p w14:paraId="27A44115" w14:textId="77777777" w:rsidR="0036441E" w:rsidRDefault="0036441E" w:rsidP="0074480A">
      <w:pPr>
        <w:ind w:left="283" w:firstLine="284"/>
        <w:jc w:val="both"/>
        <w:rPr>
          <w:rFonts w:asciiTheme="majorHAnsi" w:eastAsia="Times New Roman" w:hAnsiTheme="majorHAnsi" w:cstheme="majorHAnsi"/>
          <w:sz w:val="20"/>
          <w:szCs w:val="20"/>
          <w:lang w:eastAsia="ko-KR"/>
        </w:rPr>
      </w:pPr>
    </w:p>
    <w:p w14:paraId="461DB803" w14:textId="5D4C1A78" w:rsidR="0036441E" w:rsidRPr="0036441E" w:rsidRDefault="0036441E" w:rsidP="0036441E">
      <w:pPr>
        <w:spacing w:line="360" w:lineRule="auto"/>
        <w:ind w:left="284" w:firstLine="283"/>
        <w:jc w:val="center"/>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Table 4</w:t>
      </w:r>
      <w:r w:rsidR="007C4CC4">
        <w:rPr>
          <w:rFonts w:asciiTheme="majorHAnsi" w:eastAsia="Times New Roman" w:hAnsiTheme="majorHAnsi" w:cstheme="majorHAnsi"/>
          <w:sz w:val="16"/>
          <w:szCs w:val="16"/>
          <w:lang w:val="en-US" w:eastAsia="ko-KR"/>
        </w:rPr>
        <w:t>.</w:t>
      </w:r>
      <w:r w:rsidRPr="0036441E">
        <w:rPr>
          <w:rFonts w:asciiTheme="majorHAnsi" w:eastAsia="Times New Roman" w:hAnsiTheme="majorHAnsi" w:cstheme="majorHAnsi"/>
          <w:sz w:val="16"/>
          <w:szCs w:val="16"/>
          <w:lang w:val="en-US" w:eastAsia="ko-KR"/>
        </w:rPr>
        <w:t xml:space="preserve"> Comparison of </w:t>
      </w:r>
      <w:proofErr w:type="spellStart"/>
      <w:r w:rsidRPr="0036441E">
        <w:rPr>
          <w:rFonts w:asciiTheme="majorHAnsi" w:eastAsia="Times New Roman" w:hAnsiTheme="majorHAnsi" w:cstheme="majorHAnsi"/>
          <w:sz w:val="16"/>
          <w:szCs w:val="16"/>
          <w:lang w:val="en-US" w:eastAsia="ko-KR"/>
        </w:rPr>
        <w:t>Kapulo</w:t>
      </w:r>
      <w:proofErr w:type="spellEnd"/>
      <w:r w:rsidRPr="0036441E">
        <w:rPr>
          <w:rFonts w:asciiTheme="majorHAnsi" w:eastAsia="Times New Roman" w:hAnsiTheme="majorHAnsi" w:cstheme="majorHAnsi"/>
          <w:sz w:val="16"/>
          <w:szCs w:val="16"/>
          <w:lang w:val="en-US" w:eastAsia="ko-KR"/>
        </w:rPr>
        <w:t xml:space="preserve"> and Jere Sites, North </w:t>
      </w:r>
      <w:proofErr w:type="spellStart"/>
      <w:r w:rsidRPr="0036441E">
        <w:rPr>
          <w:rFonts w:asciiTheme="majorHAnsi" w:eastAsia="Times New Roman" w:hAnsiTheme="majorHAnsi" w:cstheme="majorHAnsi"/>
          <w:sz w:val="16"/>
          <w:szCs w:val="16"/>
          <w:lang w:val="en-US" w:eastAsia="ko-KR"/>
        </w:rPr>
        <w:t>Bolaang</w:t>
      </w:r>
      <w:proofErr w:type="spellEnd"/>
      <w:r w:rsidRPr="0036441E">
        <w:rPr>
          <w:rFonts w:asciiTheme="majorHAnsi" w:eastAsia="Times New Roman" w:hAnsiTheme="majorHAnsi" w:cstheme="majorHAnsi"/>
          <w:sz w:val="16"/>
          <w:szCs w:val="16"/>
          <w:lang w:val="en-US" w:eastAsia="ko-KR"/>
        </w:rPr>
        <w:t xml:space="preserve"> </w:t>
      </w:r>
      <w:proofErr w:type="spellStart"/>
      <w:r w:rsidRPr="0036441E">
        <w:rPr>
          <w:rFonts w:asciiTheme="majorHAnsi" w:eastAsia="Times New Roman" w:hAnsiTheme="majorHAnsi" w:cstheme="majorHAnsi"/>
          <w:sz w:val="16"/>
          <w:szCs w:val="16"/>
          <w:lang w:val="en-US" w:eastAsia="ko-KR"/>
        </w:rPr>
        <w:t>Mongondow</w:t>
      </w:r>
      <w:proofErr w:type="spellEnd"/>
      <w:r w:rsidRPr="0036441E">
        <w:rPr>
          <w:rFonts w:asciiTheme="majorHAnsi" w:eastAsia="Times New Roman" w:hAnsiTheme="majorHAnsi" w:cstheme="majorHAnsi"/>
          <w:sz w:val="16"/>
          <w:szCs w:val="16"/>
          <w:lang w:val="en-US" w:eastAsia="ko-KR"/>
        </w:rPr>
        <w:t>.</w:t>
      </w:r>
    </w:p>
    <w:tbl>
      <w:tblPr>
        <w:tblW w:w="8265" w:type="dxa"/>
        <w:tblInd w:w="567" w:type="dxa"/>
        <w:tblBorders>
          <w:top w:val="single" w:sz="4" w:space="0" w:color="auto"/>
          <w:bottom w:val="single" w:sz="4" w:space="0" w:color="auto"/>
          <w:insideH w:val="single" w:sz="4" w:space="0" w:color="auto"/>
        </w:tblBorders>
        <w:tblLook w:val="04A0" w:firstRow="1" w:lastRow="0" w:firstColumn="1" w:lastColumn="0" w:noHBand="0" w:noVBand="1"/>
      </w:tblPr>
      <w:tblGrid>
        <w:gridCol w:w="554"/>
        <w:gridCol w:w="2173"/>
        <w:gridCol w:w="2840"/>
        <w:gridCol w:w="2698"/>
      </w:tblGrid>
      <w:tr w:rsidR="0036441E" w:rsidRPr="0036441E" w14:paraId="720A4888" w14:textId="77777777" w:rsidTr="0036441E">
        <w:trPr>
          <w:trHeight w:val="195"/>
        </w:trPr>
        <w:tc>
          <w:tcPr>
            <w:tcW w:w="554" w:type="dxa"/>
            <w:vMerge w:val="restart"/>
            <w:hideMark/>
          </w:tcPr>
          <w:p w14:paraId="7D2915F1" w14:textId="77777777" w:rsidR="0036441E" w:rsidRPr="0036441E" w:rsidRDefault="0036441E" w:rsidP="0036441E">
            <w:pPr>
              <w:spacing w:line="276" w:lineRule="auto"/>
              <w:ind w:firstLine="59"/>
              <w:rPr>
                <w:rFonts w:asciiTheme="majorHAnsi" w:eastAsia="Times New Roman" w:hAnsiTheme="majorHAnsi" w:cstheme="majorHAnsi"/>
                <w:sz w:val="16"/>
                <w:szCs w:val="16"/>
                <w:lang w:val="sv-SE" w:eastAsia="ko-KR"/>
              </w:rPr>
            </w:pPr>
            <w:r w:rsidRPr="0036441E">
              <w:rPr>
                <w:rFonts w:asciiTheme="majorHAnsi" w:eastAsia="Times New Roman" w:hAnsiTheme="majorHAnsi" w:cstheme="majorHAnsi"/>
                <w:sz w:val="16"/>
                <w:szCs w:val="16"/>
                <w:lang w:val="sv-SE" w:eastAsia="ko-KR"/>
              </w:rPr>
              <w:t>NO</w:t>
            </w:r>
          </w:p>
          <w:p w14:paraId="2C3BAA00" w14:textId="0F9705CD"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p>
        </w:tc>
        <w:tc>
          <w:tcPr>
            <w:tcW w:w="2173" w:type="dxa"/>
            <w:vMerge w:val="restart"/>
            <w:hideMark/>
          </w:tcPr>
          <w:p w14:paraId="07F587C3"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ATRIBUTE</w:t>
            </w:r>
          </w:p>
          <w:p w14:paraId="7165FB6F" w14:textId="6099DBEC"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p>
        </w:tc>
        <w:tc>
          <w:tcPr>
            <w:tcW w:w="5538" w:type="dxa"/>
            <w:gridSpan w:val="2"/>
            <w:hideMark/>
          </w:tcPr>
          <w:p w14:paraId="706BC8FB" w14:textId="755AF9BE" w:rsidR="0036441E" w:rsidRPr="0036441E" w:rsidRDefault="007C4CC4" w:rsidP="007C4CC4">
            <w:pPr>
              <w:spacing w:line="276" w:lineRule="auto"/>
              <w:ind w:firstLine="59"/>
              <w:jc w:val="both"/>
              <w:rPr>
                <w:rFonts w:asciiTheme="majorHAnsi" w:eastAsia="Times New Roman" w:hAnsiTheme="majorHAnsi" w:cstheme="majorHAnsi"/>
                <w:sz w:val="16"/>
                <w:szCs w:val="16"/>
                <w:lang w:val="en-US" w:eastAsia="ko-KR"/>
              </w:rPr>
            </w:pPr>
            <w:r>
              <w:rPr>
                <w:rFonts w:asciiTheme="majorHAnsi" w:eastAsia="Times New Roman" w:hAnsiTheme="majorHAnsi" w:cstheme="majorHAnsi"/>
                <w:sz w:val="16"/>
                <w:szCs w:val="16"/>
                <w:lang w:val="en-US" w:eastAsia="ko-KR"/>
              </w:rPr>
              <w:tab/>
            </w:r>
            <w:r>
              <w:rPr>
                <w:rFonts w:asciiTheme="majorHAnsi" w:eastAsia="Times New Roman" w:hAnsiTheme="majorHAnsi" w:cstheme="majorHAnsi"/>
                <w:sz w:val="16"/>
                <w:szCs w:val="16"/>
                <w:lang w:val="en-US" w:eastAsia="ko-KR"/>
              </w:rPr>
              <w:tab/>
            </w:r>
            <w:r>
              <w:rPr>
                <w:rFonts w:asciiTheme="majorHAnsi" w:eastAsia="Times New Roman" w:hAnsiTheme="majorHAnsi" w:cstheme="majorHAnsi"/>
                <w:sz w:val="16"/>
                <w:szCs w:val="16"/>
                <w:lang w:val="en-US" w:eastAsia="ko-KR"/>
              </w:rPr>
              <w:tab/>
            </w:r>
            <w:r w:rsidR="0036441E" w:rsidRPr="0036441E">
              <w:rPr>
                <w:rFonts w:asciiTheme="majorHAnsi" w:eastAsia="Times New Roman" w:hAnsiTheme="majorHAnsi" w:cstheme="majorHAnsi"/>
                <w:sz w:val="16"/>
                <w:szCs w:val="16"/>
                <w:lang w:val="en-US" w:eastAsia="ko-KR"/>
              </w:rPr>
              <w:t>SITES</w:t>
            </w:r>
          </w:p>
        </w:tc>
      </w:tr>
      <w:tr w:rsidR="0036441E" w:rsidRPr="0036441E" w14:paraId="32D1074D" w14:textId="77777777" w:rsidTr="0036441E">
        <w:trPr>
          <w:trHeight w:val="110"/>
        </w:trPr>
        <w:tc>
          <w:tcPr>
            <w:tcW w:w="0" w:type="auto"/>
            <w:vMerge/>
            <w:vAlign w:val="center"/>
            <w:hideMark/>
          </w:tcPr>
          <w:p w14:paraId="0F8D7349"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p>
        </w:tc>
        <w:tc>
          <w:tcPr>
            <w:tcW w:w="2173" w:type="dxa"/>
            <w:vMerge/>
            <w:vAlign w:val="center"/>
            <w:hideMark/>
          </w:tcPr>
          <w:p w14:paraId="408C5DF5"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p>
        </w:tc>
        <w:tc>
          <w:tcPr>
            <w:tcW w:w="2840" w:type="dxa"/>
            <w:hideMark/>
          </w:tcPr>
          <w:p w14:paraId="63FD60CF"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KAPULO SITE</w:t>
            </w:r>
          </w:p>
        </w:tc>
        <w:tc>
          <w:tcPr>
            <w:tcW w:w="2698" w:type="dxa"/>
            <w:hideMark/>
          </w:tcPr>
          <w:p w14:paraId="0A77D91E"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JERE SITE</w:t>
            </w:r>
          </w:p>
        </w:tc>
      </w:tr>
      <w:tr w:rsidR="0036441E" w:rsidRPr="0036441E" w14:paraId="0524117B" w14:textId="77777777" w:rsidTr="0036441E">
        <w:trPr>
          <w:trHeight w:val="195"/>
        </w:trPr>
        <w:tc>
          <w:tcPr>
            <w:tcW w:w="554" w:type="dxa"/>
            <w:hideMark/>
          </w:tcPr>
          <w:p w14:paraId="1811DFAE"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1.</w:t>
            </w:r>
          </w:p>
        </w:tc>
        <w:tc>
          <w:tcPr>
            <w:tcW w:w="2173" w:type="dxa"/>
            <w:hideMark/>
          </w:tcPr>
          <w:p w14:paraId="00BECD5D"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Location</w:t>
            </w:r>
          </w:p>
        </w:tc>
        <w:tc>
          <w:tcPr>
            <w:tcW w:w="2840" w:type="dxa"/>
            <w:hideMark/>
          </w:tcPr>
          <w:p w14:paraId="32D91046"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Lowland</w:t>
            </w:r>
          </w:p>
        </w:tc>
        <w:tc>
          <w:tcPr>
            <w:tcW w:w="2698" w:type="dxa"/>
            <w:hideMark/>
          </w:tcPr>
          <w:p w14:paraId="4C521CB4"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Lowland</w:t>
            </w:r>
          </w:p>
        </w:tc>
      </w:tr>
      <w:tr w:rsidR="0036441E" w:rsidRPr="0036441E" w14:paraId="64CDA207" w14:textId="77777777" w:rsidTr="0036441E">
        <w:trPr>
          <w:trHeight w:val="195"/>
        </w:trPr>
        <w:tc>
          <w:tcPr>
            <w:tcW w:w="554" w:type="dxa"/>
            <w:hideMark/>
          </w:tcPr>
          <w:p w14:paraId="53BF3CA7"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2.</w:t>
            </w:r>
          </w:p>
        </w:tc>
        <w:tc>
          <w:tcPr>
            <w:tcW w:w="2173" w:type="dxa"/>
            <w:hideMark/>
          </w:tcPr>
          <w:p w14:paraId="6A86A982"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The Grave Orientation</w:t>
            </w:r>
          </w:p>
        </w:tc>
        <w:tc>
          <w:tcPr>
            <w:tcW w:w="2840" w:type="dxa"/>
            <w:hideMark/>
          </w:tcPr>
          <w:p w14:paraId="4B21CE12"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West-East</w:t>
            </w:r>
          </w:p>
        </w:tc>
        <w:tc>
          <w:tcPr>
            <w:tcW w:w="2698" w:type="dxa"/>
            <w:hideMark/>
          </w:tcPr>
          <w:p w14:paraId="6AEB6D51"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North-South</w:t>
            </w:r>
          </w:p>
        </w:tc>
      </w:tr>
      <w:tr w:rsidR="0036441E" w:rsidRPr="0036441E" w14:paraId="76F90A44" w14:textId="77777777" w:rsidTr="0036441E">
        <w:trPr>
          <w:trHeight w:val="195"/>
        </w:trPr>
        <w:tc>
          <w:tcPr>
            <w:tcW w:w="554" w:type="dxa"/>
            <w:hideMark/>
          </w:tcPr>
          <w:p w14:paraId="3FCDCC12" w14:textId="327D7346"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3.</w:t>
            </w:r>
          </w:p>
        </w:tc>
        <w:tc>
          <w:tcPr>
            <w:tcW w:w="2173" w:type="dxa"/>
            <w:hideMark/>
          </w:tcPr>
          <w:p w14:paraId="551AAD19"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Grave Mound/Structure</w:t>
            </w:r>
          </w:p>
        </w:tc>
        <w:tc>
          <w:tcPr>
            <w:tcW w:w="2840" w:type="dxa"/>
            <w:hideMark/>
          </w:tcPr>
          <w:p w14:paraId="7B6F7AC2"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Solid Structure</w:t>
            </w:r>
          </w:p>
        </w:tc>
        <w:tc>
          <w:tcPr>
            <w:tcW w:w="2698" w:type="dxa"/>
            <w:hideMark/>
          </w:tcPr>
          <w:p w14:paraId="7EC56D24"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 and an Incomplete grave</w:t>
            </w:r>
          </w:p>
        </w:tc>
      </w:tr>
      <w:tr w:rsidR="0036441E" w:rsidRPr="0036441E" w14:paraId="43633643" w14:textId="77777777" w:rsidTr="0036441E">
        <w:trPr>
          <w:trHeight w:val="181"/>
        </w:trPr>
        <w:tc>
          <w:tcPr>
            <w:tcW w:w="554" w:type="dxa"/>
            <w:hideMark/>
          </w:tcPr>
          <w:p w14:paraId="4B0BCD36"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4.</w:t>
            </w:r>
          </w:p>
        </w:tc>
        <w:tc>
          <w:tcPr>
            <w:tcW w:w="2173" w:type="dxa"/>
            <w:hideMark/>
          </w:tcPr>
          <w:p w14:paraId="1ECC69DC"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Gravestone</w:t>
            </w:r>
          </w:p>
        </w:tc>
        <w:tc>
          <w:tcPr>
            <w:tcW w:w="2840" w:type="dxa"/>
            <w:hideMark/>
          </w:tcPr>
          <w:p w14:paraId="2305DD36"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None</w:t>
            </w:r>
          </w:p>
        </w:tc>
        <w:tc>
          <w:tcPr>
            <w:tcW w:w="2698" w:type="dxa"/>
            <w:hideMark/>
          </w:tcPr>
          <w:p w14:paraId="3304349D"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Present</w:t>
            </w:r>
          </w:p>
        </w:tc>
      </w:tr>
      <w:tr w:rsidR="0036441E" w:rsidRPr="0036441E" w14:paraId="313241A0" w14:textId="77777777" w:rsidTr="0036441E">
        <w:trPr>
          <w:trHeight w:val="195"/>
        </w:trPr>
        <w:tc>
          <w:tcPr>
            <w:tcW w:w="554" w:type="dxa"/>
            <w:hideMark/>
          </w:tcPr>
          <w:p w14:paraId="50259044"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5.</w:t>
            </w:r>
          </w:p>
        </w:tc>
        <w:tc>
          <w:tcPr>
            <w:tcW w:w="2173" w:type="dxa"/>
            <w:hideMark/>
          </w:tcPr>
          <w:p w14:paraId="4C1C5812"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Fence</w:t>
            </w:r>
          </w:p>
        </w:tc>
        <w:tc>
          <w:tcPr>
            <w:tcW w:w="2840" w:type="dxa"/>
            <w:hideMark/>
          </w:tcPr>
          <w:p w14:paraId="766B7C6F"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None</w:t>
            </w:r>
          </w:p>
        </w:tc>
        <w:tc>
          <w:tcPr>
            <w:tcW w:w="2698" w:type="dxa"/>
            <w:hideMark/>
          </w:tcPr>
          <w:p w14:paraId="14919C9F"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Present</w:t>
            </w:r>
          </w:p>
        </w:tc>
      </w:tr>
      <w:tr w:rsidR="0036441E" w:rsidRPr="0036441E" w14:paraId="51E4C867" w14:textId="77777777" w:rsidTr="0036441E">
        <w:trPr>
          <w:trHeight w:val="139"/>
        </w:trPr>
        <w:tc>
          <w:tcPr>
            <w:tcW w:w="554" w:type="dxa"/>
            <w:hideMark/>
          </w:tcPr>
          <w:p w14:paraId="700C6400"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6.</w:t>
            </w:r>
          </w:p>
        </w:tc>
        <w:tc>
          <w:tcPr>
            <w:tcW w:w="2173" w:type="dxa"/>
            <w:hideMark/>
          </w:tcPr>
          <w:p w14:paraId="26653BC7"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Materials</w:t>
            </w:r>
          </w:p>
        </w:tc>
        <w:tc>
          <w:tcPr>
            <w:tcW w:w="2840" w:type="dxa"/>
            <w:hideMark/>
          </w:tcPr>
          <w:p w14:paraId="14B30ACD" w14:textId="77777777" w:rsidR="0036441E" w:rsidRPr="0036441E" w:rsidRDefault="0036441E" w:rsidP="0036441E">
            <w:pPr>
              <w:spacing w:line="276" w:lineRule="auto"/>
              <w:ind w:firstLine="59"/>
              <w:rPr>
                <w:rFonts w:asciiTheme="majorHAnsi" w:eastAsia="Times New Roman" w:hAnsiTheme="majorHAnsi" w:cstheme="majorHAnsi"/>
                <w:sz w:val="16"/>
                <w:szCs w:val="16"/>
                <w:lang w:val="sv-SE" w:eastAsia="ko-KR"/>
              </w:rPr>
            </w:pPr>
            <w:r w:rsidRPr="0036441E">
              <w:rPr>
                <w:rFonts w:asciiTheme="majorHAnsi" w:eastAsia="Times New Roman" w:hAnsiTheme="majorHAnsi" w:cstheme="majorHAnsi"/>
                <w:sz w:val="16"/>
                <w:szCs w:val="16"/>
                <w:lang w:val="sv-SE" w:eastAsia="ko-KR"/>
              </w:rPr>
              <w:t>Andesite Stone and Coral Stone</w:t>
            </w:r>
          </w:p>
        </w:tc>
        <w:tc>
          <w:tcPr>
            <w:tcW w:w="2698" w:type="dxa"/>
            <w:hideMark/>
          </w:tcPr>
          <w:p w14:paraId="33B21538"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Andesite Stone and Cement</w:t>
            </w:r>
          </w:p>
        </w:tc>
      </w:tr>
      <w:tr w:rsidR="0036441E" w:rsidRPr="0036441E" w14:paraId="69A7A408" w14:textId="77777777" w:rsidTr="0036441E">
        <w:trPr>
          <w:trHeight w:val="181"/>
        </w:trPr>
        <w:tc>
          <w:tcPr>
            <w:tcW w:w="554" w:type="dxa"/>
            <w:hideMark/>
          </w:tcPr>
          <w:p w14:paraId="50E9070F"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7.</w:t>
            </w:r>
          </w:p>
        </w:tc>
        <w:tc>
          <w:tcPr>
            <w:tcW w:w="2173" w:type="dxa"/>
            <w:hideMark/>
          </w:tcPr>
          <w:p w14:paraId="16C0BD04"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Motif and Ornament</w:t>
            </w:r>
          </w:p>
        </w:tc>
        <w:tc>
          <w:tcPr>
            <w:tcW w:w="2840" w:type="dxa"/>
            <w:hideMark/>
          </w:tcPr>
          <w:p w14:paraId="7B2011E0"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None</w:t>
            </w:r>
          </w:p>
        </w:tc>
        <w:tc>
          <w:tcPr>
            <w:tcW w:w="2698" w:type="dxa"/>
            <w:hideMark/>
          </w:tcPr>
          <w:p w14:paraId="185AACE6"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Present</w:t>
            </w:r>
          </w:p>
        </w:tc>
      </w:tr>
      <w:tr w:rsidR="0036441E" w:rsidRPr="0036441E" w14:paraId="0BB10328" w14:textId="77777777" w:rsidTr="0036441E">
        <w:trPr>
          <w:trHeight w:val="195"/>
        </w:trPr>
        <w:tc>
          <w:tcPr>
            <w:tcW w:w="554" w:type="dxa"/>
            <w:hideMark/>
          </w:tcPr>
          <w:p w14:paraId="5F4CB4C0"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8.</w:t>
            </w:r>
          </w:p>
        </w:tc>
        <w:tc>
          <w:tcPr>
            <w:tcW w:w="2173" w:type="dxa"/>
            <w:hideMark/>
          </w:tcPr>
          <w:p w14:paraId="1CBF0E88"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Dome</w:t>
            </w:r>
          </w:p>
        </w:tc>
        <w:tc>
          <w:tcPr>
            <w:tcW w:w="2840" w:type="dxa"/>
            <w:hideMark/>
          </w:tcPr>
          <w:p w14:paraId="689D36A5"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None</w:t>
            </w:r>
          </w:p>
        </w:tc>
        <w:tc>
          <w:tcPr>
            <w:tcW w:w="2698" w:type="dxa"/>
            <w:hideMark/>
          </w:tcPr>
          <w:p w14:paraId="72463D77"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None</w:t>
            </w:r>
          </w:p>
        </w:tc>
      </w:tr>
      <w:tr w:rsidR="0036441E" w:rsidRPr="0036441E" w14:paraId="27EF2B9D" w14:textId="77777777" w:rsidTr="0036441E">
        <w:trPr>
          <w:trHeight w:val="195"/>
        </w:trPr>
        <w:tc>
          <w:tcPr>
            <w:tcW w:w="554" w:type="dxa"/>
            <w:hideMark/>
          </w:tcPr>
          <w:p w14:paraId="20D2D200"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9.</w:t>
            </w:r>
          </w:p>
        </w:tc>
        <w:tc>
          <w:tcPr>
            <w:tcW w:w="2173" w:type="dxa"/>
            <w:hideMark/>
          </w:tcPr>
          <w:p w14:paraId="52CF13E1"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Religion</w:t>
            </w:r>
          </w:p>
        </w:tc>
        <w:tc>
          <w:tcPr>
            <w:tcW w:w="2840" w:type="dxa"/>
            <w:hideMark/>
          </w:tcPr>
          <w:p w14:paraId="6D3A7C52"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r w:rsidRPr="0036441E">
              <w:rPr>
                <w:rFonts w:asciiTheme="majorHAnsi" w:eastAsia="Times New Roman" w:hAnsiTheme="majorHAnsi" w:cstheme="majorHAnsi"/>
                <w:sz w:val="16"/>
                <w:szCs w:val="16"/>
                <w:lang w:val="en-US" w:eastAsia="ko-KR"/>
              </w:rPr>
              <w:t>Catholic</w:t>
            </w:r>
          </w:p>
        </w:tc>
        <w:tc>
          <w:tcPr>
            <w:tcW w:w="2698" w:type="dxa"/>
            <w:hideMark/>
          </w:tcPr>
          <w:p w14:paraId="77C050F8" w14:textId="77777777" w:rsidR="0036441E" w:rsidRPr="0036441E" w:rsidRDefault="0036441E" w:rsidP="0036441E">
            <w:pPr>
              <w:spacing w:line="276" w:lineRule="auto"/>
              <w:ind w:firstLine="59"/>
              <w:rPr>
                <w:rFonts w:asciiTheme="majorHAnsi" w:eastAsia="Times New Roman" w:hAnsiTheme="majorHAnsi" w:cstheme="majorHAnsi"/>
                <w:sz w:val="16"/>
                <w:szCs w:val="16"/>
                <w:lang w:val="en-US" w:eastAsia="ko-KR"/>
              </w:rPr>
            </w:pPr>
            <w:proofErr w:type="spellStart"/>
            <w:r w:rsidRPr="0036441E">
              <w:rPr>
                <w:rFonts w:asciiTheme="majorHAnsi" w:eastAsia="Times New Roman" w:hAnsiTheme="majorHAnsi" w:cstheme="majorHAnsi"/>
                <w:sz w:val="16"/>
                <w:szCs w:val="16"/>
                <w:lang w:val="en-US" w:eastAsia="ko-KR"/>
              </w:rPr>
              <w:t>Moeslem</w:t>
            </w:r>
            <w:proofErr w:type="spellEnd"/>
          </w:p>
        </w:tc>
      </w:tr>
    </w:tbl>
    <w:p w14:paraId="2E92093F" w14:textId="77777777" w:rsidR="0036441E" w:rsidRDefault="0036441E" w:rsidP="0074480A">
      <w:pPr>
        <w:ind w:left="283" w:firstLine="284"/>
        <w:jc w:val="both"/>
        <w:rPr>
          <w:rFonts w:asciiTheme="majorHAnsi" w:eastAsia="Times New Roman" w:hAnsiTheme="majorHAnsi" w:cstheme="majorHAnsi"/>
          <w:sz w:val="20"/>
          <w:szCs w:val="20"/>
          <w:lang w:eastAsia="ko-KR"/>
        </w:rPr>
      </w:pPr>
    </w:p>
    <w:p w14:paraId="120F009B"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 xml:space="preserve">The architectural structures of the two sites exhibit significant differences. At the </w:t>
      </w:r>
      <w:proofErr w:type="spellStart"/>
      <w:r w:rsidRPr="0036441E">
        <w:rPr>
          <w:rFonts w:asciiTheme="majorHAnsi" w:eastAsia="Times New Roman" w:hAnsiTheme="majorHAnsi" w:cstheme="majorHAnsi"/>
          <w:sz w:val="20"/>
          <w:szCs w:val="20"/>
          <w:lang w:val="en-US" w:eastAsia="ko-KR"/>
        </w:rPr>
        <w:t>Kapulo</w:t>
      </w:r>
      <w:proofErr w:type="spellEnd"/>
      <w:r w:rsidRPr="0036441E">
        <w:rPr>
          <w:rFonts w:asciiTheme="majorHAnsi" w:eastAsia="Times New Roman" w:hAnsiTheme="majorHAnsi" w:cstheme="majorHAnsi"/>
          <w:sz w:val="20"/>
          <w:szCs w:val="20"/>
          <w:lang w:val="en-US" w:eastAsia="ko-KR"/>
        </w:rPr>
        <w:t xml:space="preserve"> Site, the graves are characterized by massive structures that are relatively large and covered, as evidenced by the stone structures of several graves that can still be observed despite the upper parts being destroyed. No inscriptions are visible on the graves for identification purposes. The area surrounding the grave complex appears integrated with the surroundings, as there are no visible boundary fences. The graves at the </w:t>
      </w:r>
      <w:proofErr w:type="spellStart"/>
      <w:r w:rsidRPr="0036441E">
        <w:rPr>
          <w:rFonts w:asciiTheme="majorHAnsi" w:eastAsia="Times New Roman" w:hAnsiTheme="majorHAnsi" w:cstheme="majorHAnsi"/>
          <w:sz w:val="20"/>
          <w:szCs w:val="20"/>
          <w:lang w:val="en-US" w:eastAsia="ko-KR"/>
        </w:rPr>
        <w:t>Kapulo</w:t>
      </w:r>
      <w:proofErr w:type="spellEnd"/>
      <w:r w:rsidRPr="0036441E">
        <w:rPr>
          <w:rFonts w:asciiTheme="majorHAnsi" w:eastAsia="Times New Roman" w:hAnsiTheme="majorHAnsi" w:cstheme="majorHAnsi"/>
          <w:sz w:val="20"/>
          <w:szCs w:val="20"/>
          <w:lang w:val="en-US" w:eastAsia="ko-KR"/>
        </w:rPr>
        <w:t xml:space="preserve"> Site are oriented east-west.</w:t>
      </w:r>
    </w:p>
    <w:p w14:paraId="6496E8C3"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In contrast, the grave complex at the Jere Site appears simpler because no structures are built above the graves, except for the headstones marking them. Each grave typically has only one headstone, placed at the head, though newer graves may have two. The ground surface is flat, with no mounds typical of burial structures. The grave complex is surrounded by boundary fences, without any entrance gates. The walls of the fences are thick and square-shaped, with upward-pointing arches at each corner. The graves at the Jere Site are oriented north to south.</w:t>
      </w:r>
    </w:p>
    <w:p w14:paraId="0C6C725C"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 xml:space="preserve">Based on morphological analysis, the graves at the </w:t>
      </w:r>
      <w:proofErr w:type="spellStart"/>
      <w:r w:rsidRPr="0036441E">
        <w:rPr>
          <w:rFonts w:asciiTheme="majorHAnsi" w:eastAsia="Times New Roman" w:hAnsiTheme="majorHAnsi" w:cstheme="majorHAnsi"/>
          <w:sz w:val="20"/>
          <w:szCs w:val="20"/>
          <w:lang w:val="en-US" w:eastAsia="ko-KR"/>
        </w:rPr>
        <w:t>Kapulo</w:t>
      </w:r>
      <w:proofErr w:type="spellEnd"/>
      <w:r w:rsidRPr="0036441E">
        <w:rPr>
          <w:rFonts w:asciiTheme="majorHAnsi" w:eastAsia="Times New Roman" w:hAnsiTheme="majorHAnsi" w:cstheme="majorHAnsi"/>
          <w:sz w:val="20"/>
          <w:szCs w:val="20"/>
          <w:lang w:val="en-US" w:eastAsia="ko-KR"/>
        </w:rPr>
        <w:t xml:space="preserve"> and Jere Sites exhibit significant differences. The attributes of the graves at these sites (see Figures 5 and 6) indicate the significance of the situation, placement, and symbols that are still maintained by the local community. Referring to the comparison of grave attributes and gravestones, it is noteworthy to highlight here a process of religious transition from Christian/Catholic to Islam in the 19th century. Although previous explanations emphasized the role of rulers in </w:t>
      </w:r>
      <w:proofErr w:type="spellStart"/>
      <w:r w:rsidRPr="0036441E">
        <w:rPr>
          <w:rFonts w:asciiTheme="majorHAnsi" w:eastAsia="Times New Roman" w:hAnsiTheme="majorHAnsi" w:cstheme="majorHAnsi"/>
          <w:sz w:val="20"/>
          <w:szCs w:val="20"/>
          <w:lang w:val="en-US" w:eastAsia="ko-KR"/>
        </w:rPr>
        <w:t>Bolaang</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Mongondow</w:t>
      </w:r>
      <w:proofErr w:type="spellEnd"/>
      <w:r w:rsidRPr="0036441E">
        <w:rPr>
          <w:rFonts w:asciiTheme="majorHAnsi" w:eastAsia="Times New Roman" w:hAnsiTheme="majorHAnsi" w:cstheme="majorHAnsi"/>
          <w:sz w:val="20"/>
          <w:szCs w:val="20"/>
          <w:lang w:val="en-US" w:eastAsia="ko-KR"/>
        </w:rPr>
        <w:t>, archaeological evidence indicates a strengthening influence of Islamization in the Region.</w:t>
      </w:r>
    </w:p>
    <w:p w14:paraId="376BEE04"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 xml:space="preserve">In this regard, the materials used in constructing the architectural formations of each grave complex exhibit similarities, namely, river stones and coral stones, although their applications differ. At the </w:t>
      </w:r>
      <w:proofErr w:type="spellStart"/>
      <w:r w:rsidRPr="0036441E">
        <w:rPr>
          <w:rFonts w:asciiTheme="majorHAnsi" w:eastAsia="Times New Roman" w:hAnsiTheme="majorHAnsi" w:cstheme="majorHAnsi"/>
          <w:sz w:val="20"/>
          <w:szCs w:val="20"/>
          <w:lang w:val="en-US" w:eastAsia="ko-KR"/>
        </w:rPr>
        <w:t>Kapulo</w:t>
      </w:r>
      <w:proofErr w:type="spellEnd"/>
      <w:r w:rsidRPr="0036441E">
        <w:rPr>
          <w:rFonts w:asciiTheme="majorHAnsi" w:eastAsia="Times New Roman" w:hAnsiTheme="majorHAnsi" w:cstheme="majorHAnsi"/>
          <w:sz w:val="20"/>
          <w:szCs w:val="20"/>
          <w:lang w:val="en-US" w:eastAsia="ko-KR"/>
        </w:rPr>
        <w:t xml:space="preserve"> Site, river stone and Andesite are used to construct the graves of King Maurits </w:t>
      </w:r>
      <w:proofErr w:type="spellStart"/>
      <w:r w:rsidRPr="0036441E">
        <w:rPr>
          <w:rFonts w:asciiTheme="majorHAnsi" w:eastAsia="Times New Roman" w:hAnsiTheme="majorHAnsi" w:cstheme="majorHAnsi"/>
          <w:sz w:val="20"/>
          <w:szCs w:val="20"/>
          <w:lang w:val="en-US" w:eastAsia="ko-KR"/>
        </w:rPr>
        <w:t>Datoe</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Binangkal</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Korompot</w:t>
      </w:r>
      <w:proofErr w:type="spellEnd"/>
      <w:r w:rsidRPr="0036441E">
        <w:rPr>
          <w:rFonts w:asciiTheme="majorHAnsi" w:eastAsia="Times New Roman" w:hAnsiTheme="majorHAnsi" w:cstheme="majorHAnsi"/>
          <w:sz w:val="20"/>
          <w:szCs w:val="20"/>
          <w:lang w:val="en-US" w:eastAsia="ko-KR"/>
        </w:rPr>
        <w:t>. The Andesite stones are arranged using adhesive and plastered on the outer part. Meanwhile, other graves are constructed using coral stone, with adhesive and plaster applied to the outer part as well.</w:t>
      </w:r>
    </w:p>
    <w:p w14:paraId="4296EAF1"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 xml:space="preserve">At the Jere Site, Andesite stone material is used as headstones or grave markers. Most of the Andesite stones are in their natural form without any processing. Still, some have been worked on and shaped like maces, as seen in the headstones of King </w:t>
      </w:r>
      <w:proofErr w:type="spellStart"/>
      <w:r w:rsidRPr="0036441E">
        <w:rPr>
          <w:rFonts w:asciiTheme="majorHAnsi" w:eastAsia="Times New Roman" w:hAnsiTheme="majorHAnsi" w:cstheme="majorHAnsi"/>
          <w:sz w:val="20"/>
          <w:szCs w:val="20"/>
          <w:lang w:val="en-US" w:eastAsia="ko-KR"/>
        </w:rPr>
        <w:t>Tiaha</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Korompot</w:t>
      </w:r>
      <w:proofErr w:type="spellEnd"/>
      <w:r w:rsidRPr="0036441E">
        <w:rPr>
          <w:rFonts w:asciiTheme="majorHAnsi" w:eastAsia="Times New Roman" w:hAnsiTheme="majorHAnsi" w:cstheme="majorHAnsi"/>
          <w:sz w:val="20"/>
          <w:szCs w:val="20"/>
          <w:lang w:val="en-US" w:eastAsia="ko-KR"/>
        </w:rPr>
        <w:t xml:space="preserve"> (headstone no.41), King </w:t>
      </w:r>
      <w:proofErr w:type="spellStart"/>
      <w:r w:rsidRPr="0036441E">
        <w:rPr>
          <w:rFonts w:asciiTheme="majorHAnsi" w:eastAsia="Times New Roman" w:hAnsiTheme="majorHAnsi" w:cstheme="majorHAnsi"/>
          <w:sz w:val="20"/>
          <w:szCs w:val="20"/>
          <w:lang w:val="en-US" w:eastAsia="ko-KR"/>
        </w:rPr>
        <w:t>Gongala</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Korompot</w:t>
      </w:r>
      <w:proofErr w:type="spellEnd"/>
      <w:r w:rsidRPr="0036441E">
        <w:rPr>
          <w:rFonts w:asciiTheme="majorHAnsi" w:eastAsia="Times New Roman" w:hAnsiTheme="majorHAnsi" w:cstheme="majorHAnsi"/>
          <w:sz w:val="20"/>
          <w:szCs w:val="20"/>
          <w:lang w:val="en-US" w:eastAsia="ko-KR"/>
        </w:rPr>
        <w:t xml:space="preserve"> (headstone no.22), and King Louis </w:t>
      </w:r>
      <w:proofErr w:type="spellStart"/>
      <w:r w:rsidRPr="0036441E">
        <w:rPr>
          <w:rFonts w:asciiTheme="majorHAnsi" w:eastAsia="Times New Roman" w:hAnsiTheme="majorHAnsi" w:cstheme="majorHAnsi"/>
          <w:sz w:val="20"/>
          <w:szCs w:val="20"/>
          <w:lang w:val="en-US" w:eastAsia="ko-KR"/>
        </w:rPr>
        <w:t>Korompot</w:t>
      </w:r>
      <w:proofErr w:type="spellEnd"/>
      <w:r w:rsidRPr="0036441E">
        <w:rPr>
          <w:rFonts w:asciiTheme="majorHAnsi" w:eastAsia="Times New Roman" w:hAnsiTheme="majorHAnsi" w:cstheme="majorHAnsi"/>
          <w:sz w:val="20"/>
          <w:szCs w:val="20"/>
          <w:lang w:val="en-US" w:eastAsia="ko-KR"/>
        </w:rPr>
        <w:t xml:space="preserve"> (headstone no.49). Other headstones are made of concrete with various shapes, including mace-shaped, flower bud-shaped, and rectangular slabs with curves at the top. Concrete headstones in mace shape can be seen in the headstones of King Willem David (headstone no.1), headstone no.25, headstone no. 27, headstone no.36, and headstone no.71. The use of coral stone at the Jere </w:t>
      </w:r>
      <w:r w:rsidRPr="0036441E">
        <w:rPr>
          <w:rFonts w:asciiTheme="majorHAnsi" w:eastAsia="Times New Roman" w:hAnsiTheme="majorHAnsi" w:cstheme="majorHAnsi"/>
          <w:sz w:val="20"/>
          <w:szCs w:val="20"/>
          <w:lang w:val="en-US" w:eastAsia="ko-KR"/>
        </w:rPr>
        <w:lastRenderedPageBreak/>
        <w:t>Site is evident in the arrangement of boundary fences surrounding the grave complex. The coral stones are arranged with adhesive and plastered on the outer part.</w:t>
      </w:r>
    </w:p>
    <w:p w14:paraId="32BFF113"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 xml:space="preserve">The archaeological analysis then indicates an intersection with Islamic culture in general. Islamic values are evident in the remaining headstones as historical evidence, where the use of headstones is not uniform, and only certain individuals have specific headstones. The images at the </w:t>
      </w:r>
      <w:proofErr w:type="spellStart"/>
      <w:r w:rsidRPr="0036441E">
        <w:rPr>
          <w:rFonts w:asciiTheme="majorHAnsi" w:eastAsia="Times New Roman" w:hAnsiTheme="majorHAnsi" w:cstheme="majorHAnsi"/>
          <w:sz w:val="20"/>
          <w:szCs w:val="20"/>
          <w:lang w:val="en-US" w:eastAsia="ko-KR"/>
        </w:rPr>
        <w:t>Kapulo</w:t>
      </w:r>
      <w:proofErr w:type="spellEnd"/>
      <w:r w:rsidRPr="0036441E">
        <w:rPr>
          <w:rFonts w:asciiTheme="majorHAnsi" w:eastAsia="Times New Roman" w:hAnsiTheme="majorHAnsi" w:cstheme="majorHAnsi"/>
          <w:sz w:val="20"/>
          <w:szCs w:val="20"/>
          <w:lang w:val="en-US" w:eastAsia="ko-KR"/>
        </w:rPr>
        <w:t xml:space="preserve"> Site (Figure 6 and Table 2) show differences in the materials of the surviving graves, including headstones made of Andesite and river stones. General trends and archaeological data indicate that environmental factors influence the development and existence of Islamic culture in </w:t>
      </w:r>
      <w:proofErr w:type="spellStart"/>
      <w:r w:rsidRPr="0036441E">
        <w:rPr>
          <w:rFonts w:asciiTheme="majorHAnsi" w:eastAsia="Times New Roman" w:hAnsiTheme="majorHAnsi" w:cstheme="majorHAnsi"/>
          <w:sz w:val="20"/>
          <w:szCs w:val="20"/>
          <w:lang w:val="en-US" w:eastAsia="ko-KR"/>
        </w:rPr>
        <w:t>Bolaang</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Mongondow</w:t>
      </w:r>
      <w:proofErr w:type="spellEnd"/>
      <w:r w:rsidRPr="0036441E">
        <w:rPr>
          <w:rFonts w:asciiTheme="majorHAnsi" w:eastAsia="Times New Roman" w:hAnsiTheme="majorHAnsi" w:cstheme="majorHAnsi"/>
          <w:sz w:val="20"/>
          <w:szCs w:val="20"/>
          <w:lang w:val="en-US" w:eastAsia="ko-KR"/>
        </w:rPr>
        <w:t xml:space="preserve">. Graves and sites in </w:t>
      </w:r>
      <w:proofErr w:type="spellStart"/>
      <w:r w:rsidRPr="0036441E">
        <w:rPr>
          <w:rFonts w:asciiTheme="majorHAnsi" w:eastAsia="Times New Roman" w:hAnsiTheme="majorHAnsi" w:cstheme="majorHAnsi"/>
          <w:sz w:val="20"/>
          <w:szCs w:val="20"/>
          <w:lang w:val="en-US" w:eastAsia="ko-KR"/>
        </w:rPr>
        <w:t>Bolaang</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Mongondow</w:t>
      </w:r>
      <w:proofErr w:type="spellEnd"/>
      <w:r w:rsidRPr="0036441E">
        <w:rPr>
          <w:rFonts w:asciiTheme="majorHAnsi" w:eastAsia="Times New Roman" w:hAnsiTheme="majorHAnsi" w:cstheme="majorHAnsi"/>
          <w:sz w:val="20"/>
          <w:szCs w:val="20"/>
          <w:lang w:val="en-US" w:eastAsia="ko-KR"/>
        </w:rPr>
        <w:t xml:space="preserve"> demonstrate this uniqueness, as the east-west orientation of graves is taken to indicate that the deceased may not have fully understood or accepted Islamic teachings. According to Muslim understanding, headstones in graves should be oriented north-south, facing towards the </w:t>
      </w:r>
      <w:r w:rsidRPr="0036441E">
        <w:rPr>
          <w:rFonts w:asciiTheme="majorHAnsi" w:eastAsia="Times New Roman" w:hAnsiTheme="majorHAnsi" w:cstheme="majorHAnsi"/>
          <w:i/>
          <w:iCs/>
          <w:sz w:val="20"/>
          <w:szCs w:val="20"/>
          <w:lang w:val="en-US" w:eastAsia="ko-KR"/>
        </w:rPr>
        <w:t>qibla</w:t>
      </w:r>
      <w:r w:rsidRPr="0036441E">
        <w:rPr>
          <w:rFonts w:asciiTheme="majorHAnsi" w:eastAsia="Times New Roman" w:hAnsiTheme="majorHAnsi" w:cstheme="majorHAnsi"/>
          <w:sz w:val="20"/>
          <w:szCs w:val="20"/>
          <w:lang w:val="en-US" w:eastAsia="ko-KR"/>
        </w:rPr>
        <w:t>. Uniqueness in archaeological analysis is the inscriptions on the headstones, which are not clearly depicted but already indicate the influence of Islam.</w:t>
      </w:r>
    </w:p>
    <w:p w14:paraId="0890315C"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The issue of gravestones as burial markers indicates that the buried body faces west. The direction mentioned in these findings is the direction of the gravestone from head to feet, while the body is oriented to face west (</w:t>
      </w:r>
      <w:r w:rsidRPr="0036441E">
        <w:rPr>
          <w:rFonts w:asciiTheme="majorHAnsi" w:eastAsia="Times New Roman" w:hAnsiTheme="majorHAnsi" w:cstheme="majorHAnsi"/>
          <w:i/>
          <w:iCs/>
          <w:sz w:val="20"/>
          <w:szCs w:val="20"/>
          <w:lang w:val="en-US" w:eastAsia="ko-KR"/>
        </w:rPr>
        <w:t>Qibla</w:t>
      </w:r>
      <w:r w:rsidRPr="0036441E">
        <w:rPr>
          <w:rFonts w:asciiTheme="majorHAnsi" w:eastAsia="Times New Roman" w:hAnsiTheme="majorHAnsi" w:cstheme="majorHAnsi"/>
          <w:sz w:val="20"/>
          <w:szCs w:val="20"/>
          <w:lang w:val="en-US" w:eastAsia="ko-KR"/>
        </w:rPr>
        <w:t>). This is further reinforced by one of the indicators of the influence of Islamic teachings: the position of the gravestone, with the head at the northern side and the feet at the southern side, and the body facing west (</w:t>
      </w:r>
      <w:r w:rsidRPr="0036441E">
        <w:rPr>
          <w:rFonts w:asciiTheme="majorHAnsi" w:eastAsia="Times New Roman" w:hAnsiTheme="majorHAnsi" w:cstheme="majorHAnsi"/>
          <w:i/>
          <w:iCs/>
          <w:sz w:val="20"/>
          <w:szCs w:val="20"/>
          <w:lang w:val="en-US" w:eastAsia="ko-KR"/>
        </w:rPr>
        <w:t>Qibla</w:t>
      </w:r>
      <w:r w:rsidRPr="0036441E">
        <w:rPr>
          <w:rFonts w:asciiTheme="majorHAnsi" w:eastAsia="Times New Roman" w:hAnsiTheme="majorHAnsi" w:cstheme="majorHAnsi"/>
          <w:sz w:val="20"/>
          <w:szCs w:val="20"/>
          <w:lang w:val="en-US" w:eastAsia="ko-KR"/>
        </w:rPr>
        <w:t>).</w:t>
      </w:r>
    </w:p>
    <w:p w14:paraId="1EC24687" w14:textId="77777777" w:rsidR="0036441E" w:rsidRPr="0036441E" w:rsidRDefault="0036441E" w:rsidP="0036441E">
      <w:pPr>
        <w:ind w:left="283" w:firstLine="284"/>
        <w:jc w:val="both"/>
        <w:rPr>
          <w:rFonts w:asciiTheme="majorHAnsi" w:eastAsia="Times New Roman" w:hAnsiTheme="majorHAnsi" w:cstheme="majorHAnsi"/>
          <w:sz w:val="20"/>
          <w:szCs w:val="20"/>
          <w:lang w:val="en-US" w:eastAsia="ko-KR"/>
        </w:rPr>
      </w:pPr>
      <w:r w:rsidRPr="0036441E">
        <w:rPr>
          <w:rFonts w:asciiTheme="majorHAnsi" w:eastAsia="Times New Roman" w:hAnsiTheme="majorHAnsi" w:cstheme="majorHAnsi"/>
          <w:sz w:val="20"/>
          <w:szCs w:val="20"/>
          <w:lang w:val="en-US" w:eastAsia="ko-KR"/>
        </w:rPr>
        <w:t xml:space="preserve">Therefore, the archaeological-Islamic study conducted in </w:t>
      </w:r>
      <w:proofErr w:type="spellStart"/>
      <w:r w:rsidRPr="0036441E">
        <w:rPr>
          <w:rFonts w:asciiTheme="majorHAnsi" w:eastAsia="Times New Roman" w:hAnsiTheme="majorHAnsi" w:cstheme="majorHAnsi"/>
          <w:sz w:val="20"/>
          <w:szCs w:val="20"/>
          <w:lang w:val="en-US" w:eastAsia="ko-KR"/>
        </w:rPr>
        <w:t>Bolaang</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Mongondow</w:t>
      </w:r>
      <w:proofErr w:type="spellEnd"/>
      <w:r w:rsidRPr="0036441E">
        <w:rPr>
          <w:rFonts w:asciiTheme="majorHAnsi" w:eastAsia="Times New Roman" w:hAnsiTheme="majorHAnsi" w:cstheme="majorHAnsi"/>
          <w:sz w:val="20"/>
          <w:szCs w:val="20"/>
          <w:lang w:val="en-US" w:eastAsia="ko-KR"/>
        </w:rPr>
        <w:t xml:space="preserve"> indicates the role of Islamic teachings in shaping the local community's perspectives and material culture. Discoveries of stone structures, landscapes, and the use of symbols in graves point to processes of adaptation, transition, and acculturation of Islamic-local culture. The distribution of artifacts supports the notion that Islamization in </w:t>
      </w:r>
      <w:proofErr w:type="spellStart"/>
      <w:r w:rsidRPr="0036441E">
        <w:rPr>
          <w:rFonts w:asciiTheme="majorHAnsi" w:eastAsia="Times New Roman" w:hAnsiTheme="majorHAnsi" w:cstheme="majorHAnsi"/>
          <w:sz w:val="20"/>
          <w:szCs w:val="20"/>
          <w:lang w:val="en-US" w:eastAsia="ko-KR"/>
        </w:rPr>
        <w:t>Bolaang</w:t>
      </w:r>
      <w:proofErr w:type="spellEnd"/>
      <w:r w:rsidRPr="0036441E">
        <w:rPr>
          <w:rFonts w:asciiTheme="majorHAnsi" w:eastAsia="Times New Roman" w:hAnsiTheme="majorHAnsi" w:cstheme="majorHAnsi"/>
          <w:sz w:val="20"/>
          <w:szCs w:val="20"/>
          <w:lang w:val="en-US" w:eastAsia="ko-KR"/>
        </w:rPr>
        <w:t xml:space="preserve"> </w:t>
      </w:r>
      <w:proofErr w:type="spellStart"/>
      <w:r w:rsidRPr="0036441E">
        <w:rPr>
          <w:rFonts w:asciiTheme="majorHAnsi" w:eastAsia="Times New Roman" w:hAnsiTheme="majorHAnsi" w:cstheme="majorHAnsi"/>
          <w:sz w:val="20"/>
          <w:szCs w:val="20"/>
          <w:lang w:val="en-US" w:eastAsia="ko-KR"/>
        </w:rPr>
        <w:t>Mongodow</w:t>
      </w:r>
      <w:proofErr w:type="spellEnd"/>
      <w:r w:rsidRPr="0036441E">
        <w:rPr>
          <w:rFonts w:asciiTheme="majorHAnsi" w:eastAsia="Times New Roman" w:hAnsiTheme="majorHAnsi" w:cstheme="majorHAnsi"/>
          <w:sz w:val="20"/>
          <w:szCs w:val="20"/>
          <w:lang w:val="en-US" w:eastAsia="ko-KR"/>
        </w:rPr>
        <w:t xml:space="preserve"> was adapted to the local context, resulting in a nuanced Islamic-local civilization.</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2E7548EA"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3D5673BB" w14:textId="77777777" w:rsidR="0036441E" w:rsidRPr="0036441E" w:rsidRDefault="0036441E" w:rsidP="0036441E">
      <w:pPr>
        <w:ind w:firstLine="284"/>
        <w:jc w:val="both"/>
        <w:rPr>
          <w:rFonts w:asciiTheme="majorHAnsi" w:hAnsiTheme="majorHAnsi" w:cstheme="majorHAnsi"/>
          <w:sz w:val="20"/>
          <w:szCs w:val="20"/>
          <w:lang w:val="en-US"/>
        </w:rPr>
      </w:pPr>
      <w:r w:rsidRPr="0036441E">
        <w:rPr>
          <w:rFonts w:asciiTheme="majorHAnsi" w:hAnsiTheme="majorHAnsi" w:cstheme="majorHAnsi"/>
          <w:sz w:val="20"/>
          <w:szCs w:val="20"/>
          <w:lang w:val="en-US"/>
        </w:rPr>
        <w:t xml:space="preserve">The contestation of space in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 xml:space="preserve"> carries social and political implications within the community, where Dutch colonization also occurred. This condition led to a convergence of religious confrontation and political intrigue in the process of Islamization in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 xml:space="preserve">. The process and pivot of religious conversion in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 xml:space="preserve">, from elite-class to top-down approaches, eventually led to a religious revolution through the spread of religion, culminating in the creation of the Muslim enclave of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w:t>
      </w:r>
    </w:p>
    <w:p w14:paraId="38A29E62" w14:textId="77777777" w:rsidR="0036441E" w:rsidRPr="0036441E" w:rsidRDefault="0036441E" w:rsidP="0036441E">
      <w:pPr>
        <w:ind w:firstLine="284"/>
        <w:jc w:val="both"/>
        <w:rPr>
          <w:rFonts w:asciiTheme="majorHAnsi" w:hAnsiTheme="majorHAnsi" w:cstheme="majorHAnsi"/>
          <w:sz w:val="20"/>
          <w:szCs w:val="20"/>
          <w:lang w:val="en-US"/>
        </w:rPr>
      </w:pPr>
      <w:r w:rsidRPr="0036441E">
        <w:rPr>
          <w:rFonts w:asciiTheme="majorHAnsi" w:hAnsiTheme="majorHAnsi" w:cstheme="majorHAnsi"/>
          <w:sz w:val="20"/>
          <w:szCs w:val="20"/>
          <w:lang w:val="en-US"/>
        </w:rPr>
        <w:t>The influence of Islam has endured through processes of interaction and adaptation, manifesting in local Islamic traditions and rituals, as well as various artifacts that serve as legacies of Islamic civilization. In addition to mosques symbolizing civilization and the success of Islam's spread through political-religious relations, gravestones also serve as evidence reinforcing the presence of social-religious relations within the community's civilization.</w:t>
      </w:r>
    </w:p>
    <w:p w14:paraId="5094BD2D" w14:textId="77777777" w:rsidR="0036441E" w:rsidRDefault="0036441E" w:rsidP="0036441E">
      <w:pPr>
        <w:ind w:firstLine="284"/>
        <w:jc w:val="both"/>
        <w:rPr>
          <w:rFonts w:asciiTheme="majorHAnsi" w:hAnsiTheme="majorHAnsi" w:cstheme="majorHAnsi"/>
          <w:sz w:val="20"/>
          <w:szCs w:val="20"/>
          <w:lang w:val="en-US"/>
        </w:rPr>
      </w:pPr>
      <w:r w:rsidRPr="0036441E">
        <w:rPr>
          <w:rFonts w:asciiTheme="majorHAnsi" w:hAnsiTheme="majorHAnsi" w:cstheme="majorHAnsi"/>
          <w:sz w:val="20"/>
          <w:szCs w:val="20"/>
          <w:lang w:val="en-US"/>
        </w:rPr>
        <w:t xml:space="preserve">In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 xml:space="preserve">, the </w:t>
      </w:r>
      <w:proofErr w:type="spellStart"/>
      <w:r w:rsidRPr="0036441E">
        <w:rPr>
          <w:rFonts w:asciiTheme="majorHAnsi" w:hAnsiTheme="majorHAnsi" w:cstheme="majorHAnsi"/>
          <w:sz w:val="20"/>
          <w:szCs w:val="20"/>
          <w:lang w:val="en-US"/>
        </w:rPr>
        <w:t>Kapulo</w:t>
      </w:r>
      <w:proofErr w:type="spellEnd"/>
      <w:r w:rsidRPr="0036441E">
        <w:rPr>
          <w:rFonts w:asciiTheme="majorHAnsi" w:hAnsiTheme="majorHAnsi" w:cstheme="majorHAnsi"/>
          <w:sz w:val="20"/>
          <w:szCs w:val="20"/>
          <w:lang w:val="en-US"/>
        </w:rPr>
        <w:t xml:space="preserve"> and Jere Sites stand as evidence of the successful dissemination of Islamic teachings. The adoption of local styles infused with Islamic ideas in the construction of graves demonstrates the integration of local culture with Islam. Moreover, the </w:t>
      </w:r>
      <w:proofErr w:type="spellStart"/>
      <w:r w:rsidRPr="0036441E">
        <w:rPr>
          <w:rFonts w:asciiTheme="majorHAnsi" w:hAnsiTheme="majorHAnsi" w:cstheme="majorHAnsi"/>
          <w:sz w:val="20"/>
          <w:szCs w:val="20"/>
          <w:lang w:val="en-US"/>
        </w:rPr>
        <w:t>Kapulo</w:t>
      </w:r>
      <w:proofErr w:type="spellEnd"/>
      <w:r w:rsidRPr="0036441E">
        <w:rPr>
          <w:rFonts w:asciiTheme="majorHAnsi" w:hAnsiTheme="majorHAnsi" w:cstheme="majorHAnsi"/>
          <w:sz w:val="20"/>
          <w:szCs w:val="20"/>
          <w:lang w:val="en-US"/>
        </w:rPr>
        <w:t xml:space="preserve"> and Jere Sites serve as entities that not only demonstrate the influence of Islam but also identify the ideas, concepts, and perspectives of actors involved in spreading Islam in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 xml:space="preserve">. Thus, the cultural artifacts in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w:t>
      </w:r>
      <w:proofErr w:type="spellStart"/>
      <w:r w:rsidRPr="0036441E">
        <w:rPr>
          <w:rFonts w:asciiTheme="majorHAnsi" w:hAnsiTheme="majorHAnsi" w:cstheme="majorHAnsi"/>
          <w:sz w:val="20"/>
          <w:szCs w:val="20"/>
          <w:lang w:val="en-US"/>
        </w:rPr>
        <w:t>Mongondow</w:t>
      </w:r>
      <w:proofErr w:type="spellEnd"/>
      <w:r w:rsidRPr="0036441E">
        <w:rPr>
          <w:rFonts w:asciiTheme="majorHAnsi" w:hAnsiTheme="majorHAnsi" w:cstheme="majorHAnsi"/>
          <w:sz w:val="20"/>
          <w:szCs w:val="20"/>
          <w:lang w:val="en-US"/>
        </w:rPr>
        <w:t xml:space="preserve"> reflect a rich acculturation, including the blending of Islam with local traditions. </w:t>
      </w:r>
      <w:proofErr w:type="spellStart"/>
      <w:r w:rsidRPr="0036441E">
        <w:rPr>
          <w:rFonts w:asciiTheme="majorHAnsi" w:hAnsiTheme="majorHAnsi" w:cstheme="majorHAnsi"/>
          <w:sz w:val="20"/>
          <w:szCs w:val="20"/>
          <w:lang w:val="en-US"/>
        </w:rPr>
        <w:t>Bolaang</w:t>
      </w:r>
      <w:proofErr w:type="spellEnd"/>
      <w:r w:rsidRPr="0036441E">
        <w:rPr>
          <w:rFonts w:asciiTheme="majorHAnsi" w:hAnsiTheme="majorHAnsi" w:cstheme="majorHAnsi"/>
          <w:sz w:val="20"/>
          <w:szCs w:val="20"/>
          <w:lang w:val="en-US"/>
        </w:rPr>
        <w:t xml:space="preserve"> Mongondow, a region in North Sulawesi, Indonesia, has a long history of interactions among various cultures and religions, including Islam, which has shaped a unique cultural identity in the region.</w:t>
      </w:r>
    </w:p>
    <w:p w14:paraId="6FD76E55" w14:textId="77777777" w:rsidR="0036441E" w:rsidRDefault="0036441E" w:rsidP="0036441E">
      <w:pPr>
        <w:ind w:firstLine="284"/>
        <w:jc w:val="both"/>
        <w:rPr>
          <w:rFonts w:asciiTheme="majorHAnsi" w:hAnsiTheme="majorHAnsi" w:cstheme="majorHAnsi"/>
          <w:sz w:val="20"/>
          <w:szCs w:val="20"/>
          <w:lang w:val="en-US"/>
        </w:rPr>
      </w:pPr>
    </w:p>
    <w:p w14:paraId="4272776B" w14:textId="2E4F38A0"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5FA17EBF" w14:textId="77777777" w:rsidR="0036441E" w:rsidRPr="0036441E" w:rsidRDefault="00477FC8"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36441E" w:rsidRPr="0036441E">
        <w:rPr>
          <w:rFonts w:asciiTheme="majorHAnsi" w:hAnsiTheme="majorHAnsi" w:cstheme="majorHAnsi"/>
          <w:noProof/>
          <w:sz w:val="20"/>
          <w:szCs w:val="28"/>
          <w:lang w:val="en-US"/>
        </w:rPr>
        <w:t xml:space="preserve">J. Nasrudin, “Relasi Agama, Magi, Sains dengan Sistem Pengobatan Tradisional-Modern pada Masyarakat Pedesaan,” </w:t>
      </w:r>
      <w:r w:rsidR="0036441E" w:rsidRPr="0036441E">
        <w:rPr>
          <w:rFonts w:asciiTheme="majorHAnsi" w:hAnsiTheme="majorHAnsi" w:cstheme="majorHAnsi"/>
          <w:i/>
          <w:iCs/>
          <w:noProof/>
          <w:sz w:val="20"/>
          <w:szCs w:val="28"/>
          <w:lang w:val="en-US"/>
        </w:rPr>
        <w:t>Hanifiya J. Stud. Agama-Agama</w:t>
      </w:r>
      <w:r w:rsidR="0036441E" w:rsidRPr="0036441E">
        <w:rPr>
          <w:rFonts w:asciiTheme="majorHAnsi" w:hAnsiTheme="majorHAnsi" w:cstheme="majorHAnsi"/>
          <w:noProof/>
          <w:sz w:val="20"/>
          <w:szCs w:val="28"/>
          <w:lang w:val="en-US"/>
        </w:rPr>
        <w:t>, vol. 2, no. 1, pp. 42–58, Feb. 2019, doi: 10.15575/hanifiya.v2i1.4270.</w:t>
      </w:r>
    </w:p>
    <w:p w14:paraId="5188503C"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w:t>
      </w:r>
      <w:r w:rsidRPr="0036441E">
        <w:rPr>
          <w:rFonts w:asciiTheme="majorHAnsi" w:hAnsiTheme="majorHAnsi" w:cstheme="majorHAnsi"/>
          <w:noProof/>
          <w:sz w:val="20"/>
          <w:szCs w:val="28"/>
          <w:lang w:val="en-US"/>
        </w:rPr>
        <w:tab/>
        <w:t xml:space="preserve">S. Nur and D. Abdurahman, “Sufism of Archipelago: History, Thought, and Movement,” </w:t>
      </w:r>
      <w:r w:rsidRPr="0036441E">
        <w:rPr>
          <w:rFonts w:asciiTheme="majorHAnsi" w:hAnsiTheme="majorHAnsi" w:cstheme="majorHAnsi"/>
          <w:i/>
          <w:iCs/>
          <w:noProof/>
          <w:sz w:val="20"/>
          <w:szCs w:val="28"/>
          <w:lang w:val="en-US"/>
        </w:rPr>
        <w:t>ESENSIA J. Ilmu-Ilmu Ushuluddin</w:t>
      </w:r>
      <w:r w:rsidRPr="0036441E">
        <w:rPr>
          <w:rFonts w:asciiTheme="majorHAnsi" w:hAnsiTheme="majorHAnsi" w:cstheme="majorHAnsi"/>
          <w:noProof/>
          <w:sz w:val="20"/>
          <w:szCs w:val="28"/>
          <w:lang w:val="en-US"/>
        </w:rPr>
        <w:t>, vol. 18, no. 2, pp. 123-133, 2018, doi: 10.14421/esensia.v18i2.1476.</w:t>
      </w:r>
    </w:p>
    <w:p w14:paraId="757AE862"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w:t>
      </w:r>
      <w:r w:rsidRPr="0036441E">
        <w:rPr>
          <w:rFonts w:asciiTheme="majorHAnsi" w:hAnsiTheme="majorHAnsi" w:cstheme="majorHAnsi"/>
          <w:noProof/>
          <w:sz w:val="20"/>
          <w:szCs w:val="28"/>
          <w:lang w:val="en-US"/>
        </w:rPr>
        <w:tab/>
        <w:t xml:space="preserve">A. Azra, “Islamisasi Jawa,” </w:t>
      </w:r>
      <w:r w:rsidRPr="0036441E">
        <w:rPr>
          <w:rFonts w:asciiTheme="majorHAnsi" w:hAnsiTheme="majorHAnsi" w:cstheme="majorHAnsi"/>
          <w:i/>
          <w:iCs/>
          <w:noProof/>
          <w:sz w:val="20"/>
          <w:szCs w:val="28"/>
          <w:lang w:val="en-US"/>
        </w:rPr>
        <w:t>Stud. Islam.</w:t>
      </w:r>
      <w:r w:rsidRPr="0036441E">
        <w:rPr>
          <w:rFonts w:asciiTheme="majorHAnsi" w:hAnsiTheme="majorHAnsi" w:cstheme="majorHAnsi"/>
          <w:noProof/>
          <w:sz w:val="20"/>
          <w:szCs w:val="28"/>
          <w:lang w:val="en-US"/>
        </w:rPr>
        <w:t>, vol. 20, no. 1, 2013, doi: 10.15408/sdi.v20i1.352.</w:t>
      </w:r>
    </w:p>
    <w:p w14:paraId="0731E899" w14:textId="77777777" w:rsid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[4]</w:t>
      </w:r>
      <w:r w:rsidRPr="0036441E">
        <w:rPr>
          <w:rFonts w:asciiTheme="majorHAnsi" w:hAnsiTheme="majorHAnsi" w:cstheme="majorHAnsi"/>
          <w:noProof/>
          <w:sz w:val="20"/>
          <w:szCs w:val="28"/>
          <w:lang w:val="en-US"/>
        </w:rPr>
        <w:tab/>
        <w:t xml:space="preserve">S. F. Alatas </w:t>
      </w:r>
      <w:r w:rsidRPr="0036441E">
        <w:rPr>
          <w:rFonts w:asciiTheme="majorHAnsi" w:hAnsiTheme="majorHAnsi" w:cstheme="majorHAnsi"/>
          <w:i/>
          <w:iCs/>
          <w:noProof/>
          <w:sz w:val="20"/>
          <w:szCs w:val="28"/>
          <w:lang w:val="en-US"/>
        </w:rPr>
        <w:t>et al.</w:t>
      </w:r>
      <w:r w:rsidRPr="0036441E">
        <w:rPr>
          <w:rFonts w:asciiTheme="majorHAnsi" w:hAnsiTheme="majorHAnsi" w:cstheme="majorHAnsi"/>
          <w:noProof/>
          <w:sz w:val="20"/>
          <w:szCs w:val="28"/>
          <w:lang w:val="en-US"/>
        </w:rPr>
        <w:t xml:space="preserve">, “Hadhrami Entrepreneurs in the Malay World, c. 1750 tO c. 1940,” in </w:t>
      </w:r>
      <w:r w:rsidRPr="0036441E">
        <w:rPr>
          <w:rFonts w:asciiTheme="majorHAnsi" w:hAnsiTheme="majorHAnsi" w:cstheme="majorHAnsi"/>
          <w:i/>
          <w:iCs/>
          <w:noProof/>
          <w:sz w:val="20"/>
          <w:szCs w:val="28"/>
          <w:lang w:val="en-US"/>
        </w:rPr>
        <w:t>Hadhrami Traders, Scholars and Statesmen in the Indian Ocean, 1750s-1960s</w:t>
      </w:r>
      <w:r w:rsidRPr="0036441E">
        <w:rPr>
          <w:rFonts w:asciiTheme="majorHAnsi" w:hAnsiTheme="majorHAnsi" w:cstheme="majorHAnsi"/>
          <w:noProof/>
          <w:sz w:val="20"/>
          <w:szCs w:val="28"/>
          <w:lang w:val="en-US"/>
        </w:rPr>
        <w:t>, Brill, 2021. DOI: https://doi.org/10.1163/9789004491946_023</w:t>
      </w:r>
    </w:p>
    <w:p w14:paraId="3401E414" w14:textId="77777777" w:rsidR="007C4CC4" w:rsidRPr="0036441E" w:rsidRDefault="007C4CC4"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p>
    <w:p w14:paraId="20B4E5C3"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lastRenderedPageBreak/>
        <w:t>[5]</w:t>
      </w:r>
      <w:r w:rsidRPr="0036441E">
        <w:rPr>
          <w:rFonts w:asciiTheme="majorHAnsi" w:hAnsiTheme="majorHAnsi" w:cstheme="majorHAnsi"/>
          <w:noProof/>
          <w:sz w:val="20"/>
          <w:szCs w:val="28"/>
          <w:lang w:val="en-US"/>
        </w:rPr>
        <w:tab/>
        <w:t xml:space="preserve">L. A. Samovar, R. E. Porter, and E. R. McDaniel, “Venturing into a New Culture: Becoming Competent. Culture Shock,” in </w:t>
      </w:r>
      <w:r w:rsidRPr="0036441E">
        <w:rPr>
          <w:rFonts w:asciiTheme="majorHAnsi" w:hAnsiTheme="majorHAnsi" w:cstheme="majorHAnsi"/>
          <w:i/>
          <w:iCs/>
          <w:noProof/>
          <w:sz w:val="20"/>
          <w:szCs w:val="28"/>
          <w:lang w:val="en-US"/>
        </w:rPr>
        <w:t>Communication Between Cultures</w:t>
      </w:r>
      <w:r w:rsidRPr="0036441E">
        <w:rPr>
          <w:rFonts w:asciiTheme="majorHAnsi" w:hAnsiTheme="majorHAnsi" w:cstheme="majorHAnsi"/>
          <w:noProof/>
          <w:sz w:val="20"/>
          <w:szCs w:val="28"/>
          <w:lang w:val="en-US"/>
        </w:rPr>
        <w:t>, 2010.</w:t>
      </w:r>
    </w:p>
    <w:p w14:paraId="56DF3BCF"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[6]</w:t>
      </w:r>
      <w:r w:rsidRPr="0036441E">
        <w:rPr>
          <w:rFonts w:asciiTheme="majorHAnsi" w:hAnsiTheme="majorHAnsi" w:cstheme="majorHAnsi"/>
          <w:noProof/>
          <w:sz w:val="20"/>
          <w:szCs w:val="28"/>
          <w:lang w:val="en-US"/>
        </w:rPr>
        <w:tab/>
        <w:t xml:space="preserve">R. M. Feener </w:t>
      </w:r>
      <w:r w:rsidRPr="0036441E">
        <w:rPr>
          <w:rFonts w:asciiTheme="majorHAnsi" w:hAnsiTheme="majorHAnsi" w:cstheme="majorHAnsi"/>
          <w:i/>
          <w:iCs/>
          <w:noProof/>
          <w:sz w:val="20"/>
          <w:szCs w:val="28"/>
          <w:lang w:val="en-US"/>
        </w:rPr>
        <w:t>et al.</w:t>
      </w:r>
      <w:r w:rsidRPr="0036441E">
        <w:rPr>
          <w:rFonts w:asciiTheme="majorHAnsi" w:hAnsiTheme="majorHAnsi" w:cstheme="majorHAnsi"/>
          <w:noProof/>
          <w:sz w:val="20"/>
          <w:szCs w:val="28"/>
          <w:lang w:val="en-US"/>
        </w:rPr>
        <w:t xml:space="preserve">, “Islamisation and the formation of vernacular Muslim material culture in 15th-century northern Sumatra,” </w:t>
      </w:r>
      <w:r w:rsidRPr="0036441E">
        <w:rPr>
          <w:rFonts w:asciiTheme="majorHAnsi" w:hAnsiTheme="majorHAnsi" w:cstheme="majorHAnsi"/>
          <w:i/>
          <w:iCs/>
          <w:noProof/>
          <w:sz w:val="20"/>
          <w:szCs w:val="28"/>
          <w:lang w:val="en-US"/>
        </w:rPr>
        <w:t>Indones. Malay World</w:t>
      </w:r>
      <w:r w:rsidRPr="0036441E">
        <w:rPr>
          <w:rFonts w:asciiTheme="majorHAnsi" w:hAnsiTheme="majorHAnsi" w:cstheme="majorHAnsi"/>
          <w:noProof/>
          <w:sz w:val="20"/>
          <w:szCs w:val="28"/>
          <w:lang w:val="en-US"/>
        </w:rPr>
        <w:t>, vol. 49, no. 143, pp. 1-41, 2021, doi: 10.1080/13639811.2021.1873564.</w:t>
      </w:r>
    </w:p>
    <w:p w14:paraId="4D066976"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[7]</w:t>
      </w:r>
      <w:r w:rsidRPr="0036441E">
        <w:rPr>
          <w:rFonts w:asciiTheme="majorHAnsi" w:hAnsiTheme="majorHAnsi" w:cstheme="majorHAnsi"/>
          <w:noProof/>
          <w:sz w:val="20"/>
          <w:szCs w:val="28"/>
          <w:lang w:val="en-US"/>
        </w:rPr>
        <w:tab/>
        <w:t xml:space="preserve">A. Reid, “Religious Pluralism or Conformity in Southeast Asia’s Cultural Legacy,” </w:t>
      </w:r>
      <w:r w:rsidRPr="0036441E">
        <w:rPr>
          <w:rFonts w:asciiTheme="majorHAnsi" w:hAnsiTheme="majorHAnsi" w:cstheme="majorHAnsi"/>
          <w:i/>
          <w:iCs/>
          <w:noProof/>
          <w:sz w:val="20"/>
          <w:szCs w:val="28"/>
          <w:lang w:val="en-US"/>
        </w:rPr>
        <w:t>Stud. Islam.</w:t>
      </w:r>
      <w:r w:rsidRPr="0036441E">
        <w:rPr>
          <w:rFonts w:asciiTheme="majorHAnsi" w:hAnsiTheme="majorHAnsi" w:cstheme="majorHAnsi"/>
          <w:noProof/>
          <w:sz w:val="20"/>
          <w:szCs w:val="28"/>
          <w:lang w:val="en-US"/>
        </w:rPr>
        <w:t>, vol. 22, no. 3, pp. 387-404, 2015, doi: 10.15408/sdi.v22i3.2352.</w:t>
      </w:r>
    </w:p>
    <w:p w14:paraId="0A08B7FA"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[8]</w:t>
      </w:r>
      <w:r w:rsidRPr="0036441E">
        <w:rPr>
          <w:rFonts w:asciiTheme="majorHAnsi" w:hAnsiTheme="majorHAnsi" w:cstheme="majorHAnsi"/>
          <w:noProof/>
          <w:sz w:val="20"/>
          <w:szCs w:val="28"/>
          <w:lang w:val="en-US"/>
        </w:rPr>
        <w:tab/>
        <w:t xml:space="preserve">D. Q. Tungkagi, “Islam di Bolaang Mongondow Utara, Sulawesi Utara: Dinamika Islamisasi di Kerajaan Kaidipang Besar dan Bintauna Abad ke-7-19 M,” </w:t>
      </w:r>
      <w:r w:rsidRPr="0036441E">
        <w:rPr>
          <w:rFonts w:asciiTheme="majorHAnsi" w:hAnsiTheme="majorHAnsi" w:cstheme="majorHAnsi"/>
          <w:i/>
          <w:iCs/>
          <w:noProof/>
          <w:sz w:val="20"/>
          <w:szCs w:val="28"/>
          <w:lang w:val="en-US"/>
        </w:rPr>
        <w:t>J. Lekt. Keagamaan</w:t>
      </w:r>
      <w:r w:rsidRPr="0036441E">
        <w:rPr>
          <w:rFonts w:asciiTheme="majorHAnsi" w:hAnsiTheme="majorHAnsi" w:cstheme="majorHAnsi"/>
          <w:noProof/>
          <w:sz w:val="20"/>
          <w:szCs w:val="28"/>
          <w:lang w:val="en-US"/>
        </w:rPr>
        <w:t>, vol. 17, no. 2, pp. 461-500, 2020, doi: 10.31291/jlk.v17i2.747.</w:t>
      </w:r>
    </w:p>
    <w:p w14:paraId="0B8698B6"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[9]</w:t>
      </w:r>
      <w:r w:rsidRPr="0036441E">
        <w:rPr>
          <w:rFonts w:asciiTheme="majorHAnsi" w:hAnsiTheme="majorHAnsi" w:cstheme="majorHAnsi"/>
          <w:noProof/>
          <w:sz w:val="20"/>
          <w:szCs w:val="28"/>
          <w:lang w:val="en-US"/>
        </w:rPr>
        <w:tab/>
        <w:t xml:space="preserve">I. W. Marzuki, “Rise and Fall of Kema Port in Sulawesi Sea Trade Routes During Colonial Period: Based on Infrastructure Data,” </w:t>
      </w:r>
      <w:r w:rsidRPr="0036441E">
        <w:rPr>
          <w:rFonts w:asciiTheme="majorHAnsi" w:hAnsiTheme="majorHAnsi" w:cstheme="majorHAnsi"/>
          <w:i/>
          <w:iCs/>
          <w:noProof/>
          <w:sz w:val="20"/>
          <w:szCs w:val="28"/>
          <w:lang w:val="en-US"/>
        </w:rPr>
        <w:t>Kapata Arkeol.</w:t>
      </w:r>
      <w:r w:rsidRPr="0036441E">
        <w:rPr>
          <w:rFonts w:asciiTheme="majorHAnsi" w:hAnsiTheme="majorHAnsi" w:cstheme="majorHAnsi"/>
          <w:noProof/>
          <w:sz w:val="20"/>
          <w:szCs w:val="28"/>
          <w:lang w:val="en-US"/>
        </w:rPr>
        <w:t>, vol. 14, no. 1, pp. 89-100, 2018, doi: 10.24832/kapata.v14i1.475.</w:t>
      </w:r>
    </w:p>
    <w:p w14:paraId="459D3C02"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[10]</w:t>
      </w:r>
      <w:r w:rsidRPr="0036441E">
        <w:rPr>
          <w:rFonts w:asciiTheme="majorHAnsi" w:hAnsiTheme="majorHAnsi" w:cstheme="majorHAnsi"/>
          <w:noProof/>
          <w:sz w:val="20"/>
          <w:szCs w:val="28"/>
          <w:lang w:val="en-US"/>
        </w:rPr>
        <w:tab/>
        <w:t xml:space="preserve">M. N. I. Azis, “ISLAMISASI DI KAWASAN LAUT SULAWESI PADA ABAD KE-19,” </w:t>
      </w:r>
      <w:r w:rsidRPr="0036441E">
        <w:rPr>
          <w:rFonts w:asciiTheme="majorHAnsi" w:hAnsiTheme="majorHAnsi" w:cstheme="majorHAnsi"/>
          <w:i/>
          <w:iCs/>
          <w:noProof/>
          <w:sz w:val="20"/>
          <w:szCs w:val="28"/>
          <w:lang w:val="en-US"/>
        </w:rPr>
        <w:t>J. Penelit. Sej. DAN BUDAYA</w:t>
      </w:r>
      <w:r w:rsidRPr="0036441E">
        <w:rPr>
          <w:rFonts w:asciiTheme="majorHAnsi" w:hAnsiTheme="majorHAnsi" w:cstheme="majorHAnsi"/>
          <w:noProof/>
          <w:sz w:val="20"/>
          <w:szCs w:val="28"/>
          <w:lang w:val="en-US"/>
        </w:rPr>
        <w:t>, vol. 5, no. 1, 2019, doi: 10.36424/jpsb.v5i1.14.</w:t>
      </w:r>
    </w:p>
    <w:p w14:paraId="3C13F3EA"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[11]</w:t>
      </w:r>
      <w:r w:rsidRPr="0036441E">
        <w:rPr>
          <w:rFonts w:asciiTheme="majorHAnsi" w:hAnsiTheme="majorHAnsi" w:cstheme="majorHAnsi"/>
          <w:noProof/>
          <w:sz w:val="20"/>
          <w:szCs w:val="28"/>
          <w:lang w:val="en-US"/>
        </w:rPr>
        <w:tab/>
        <w:t xml:space="preserve">A. Asmunandar </w:t>
      </w:r>
      <w:r w:rsidRPr="0036441E">
        <w:rPr>
          <w:rFonts w:asciiTheme="majorHAnsi" w:hAnsiTheme="majorHAnsi" w:cstheme="majorHAnsi"/>
          <w:i/>
          <w:iCs/>
          <w:noProof/>
          <w:sz w:val="20"/>
          <w:szCs w:val="28"/>
          <w:lang w:val="en-US"/>
        </w:rPr>
        <w:t>et al.</w:t>
      </w:r>
      <w:r w:rsidRPr="0036441E">
        <w:rPr>
          <w:rFonts w:asciiTheme="majorHAnsi" w:hAnsiTheme="majorHAnsi" w:cstheme="majorHAnsi"/>
          <w:noProof/>
          <w:sz w:val="20"/>
          <w:szCs w:val="28"/>
          <w:lang w:val="en-US"/>
        </w:rPr>
        <w:t xml:space="preserve">, “Potential and Distribution of Archaeological Sites in North Bolaang Mongondow Region, North Sulawesi Province,” in </w:t>
      </w:r>
      <w:r w:rsidRPr="0036441E">
        <w:rPr>
          <w:rFonts w:asciiTheme="majorHAnsi" w:hAnsiTheme="majorHAnsi" w:cstheme="majorHAnsi"/>
          <w:i/>
          <w:iCs/>
          <w:noProof/>
          <w:sz w:val="20"/>
          <w:szCs w:val="28"/>
          <w:lang w:val="en-US"/>
        </w:rPr>
        <w:t>Proceedings of the 9th Asbam International Conference (Archeology, History, &amp; Culture In The Nature of Malay) (ASBAM 2021)</w:t>
      </w:r>
      <w:r w:rsidRPr="0036441E">
        <w:rPr>
          <w:rFonts w:asciiTheme="majorHAnsi" w:hAnsiTheme="majorHAnsi" w:cstheme="majorHAnsi"/>
          <w:noProof/>
          <w:sz w:val="20"/>
          <w:szCs w:val="28"/>
          <w:lang w:val="en-US"/>
        </w:rPr>
        <w:t>, 2022, vol. 660, doi: 10.2991/assehr.k.220408.004.</w:t>
      </w:r>
    </w:p>
    <w:p w14:paraId="64813405"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[12]</w:t>
      </w:r>
      <w:r w:rsidRPr="0036441E">
        <w:rPr>
          <w:rFonts w:asciiTheme="majorHAnsi" w:hAnsiTheme="majorHAnsi" w:cstheme="majorHAnsi"/>
          <w:noProof/>
          <w:sz w:val="20"/>
          <w:szCs w:val="28"/>
          <w:lang w:val="en-US"/>
        </w:rPr>
        <w:tab/>
        <w:t xml:space="preserve">A. Reid, “Historical Thought and Historiography: Southeast Asia,” in </w:t>
      </w:r>
      <w:r w:rsidRPr="0036441E">
        <w:rPr>
          <w:rFonts w:asciiTheme="majorHAnsi" w:hAnsiTheme="majorHAnsi" w:cstheme="majorHAnsi"/>
          <w:i/>
          <w:iCs/>
          <w:noProof/>
          <w:sz w:val="20"/>
          <w:szCs w:val="28"/>
          <w:lang w:val="en-US"/>
        </w:rPr>
        <w:t>International Encyclopedia of the Social &amp; Behavioral Sciences: Second Edition</w:t>
      </w:r>
      <w:r w:rsidRPr="0036441E">
        <w:rPr>
          <w:rFonts w:asciiTheme="majorHAnsi" w:hAnsiTheme="majorHAnsi" w:cstheme="majorHAnsi"/>
          <w:noProof/>
          <w:sz w:val="20"/>
          <w:szCs w:val="28"/>
          <w:lang w:val="en-US"/>
        </w:rPr>
        <w:t>, 2015.</w:t>
      </w:r>
    </w:p>
    <w:p w14:paraId="4BB57FC1"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[13]</w:t>
      </w:r>
      <w:r w:rsidRPr="0036441E">
        <w:rPr>
          <w:rFonts w:asciiTheme="majorHAnsi" w:hAnsiTheme="majorHAnsi" w:cstheme="majorHAnsi"/>
          <w:noProof/>
          <w:sz w:val="20"/>
          <w:szCs w:val="28"/>
          <w:lang w:val="en-US"/>
        </w:rPr>
        <w:tab/>
        <w:t xml:space="preserve">J. Derrida, “The deconstruction of actuality: An interview with Jacques Derrida,” in </w:t>
      </w:r>
      <w:r w:rsidRPr="0036441E">
        <w:rPr>
          <w:rFonts w:asciiTheme="majorHAnsi" w:hAnsiTheme="majorHAnsi" w:cstheme="majorHAnsi"/>
          <w:i/>
          <w:iCs/>
          <w:noProof/>
          <w:sz w:val="20"/>
          <w:szCs w:val="28"/>
          <w:lang w:val="en-US"/>
        </w:rPr>
        <w:t>Deconstruction: A Reader</w:t>
      </w:r>
      <w:r w:rsidRPr="0036441E">
        <w:rPr>
          <w:rFonts w:asciiTheme="majorHAnsi" w:hAnsiTheme="majorHAnsi" w:cstheme="majorHAnsi"/>
          <w:noProof/>
          <w:sz w:val="20"/>
          <w:szCs w:val="28"/>
          <w:lang w:val="en-US"/>
        </w:rPr>
        <w:t>, Taylor &amp; Francis, 2017.</w:t>
      </w:r>
    </w:p>
    <w:p w14:paraId="0CF2E416"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[14]</w:t>
      </w:r>
      <w:r w:rsidRPr="0036441E">
        <w:rPr>
          <w:rFonts w:asciiTheme="majorHAnsi" w:hAnsiTheme="majorHAnsi" w:cstheme="majorHAnsi"/>
          <w:noProof/>
          <w:sz w:val="20"/>
          <w:szCs w:val="28"/>
          <w:lang w:val="en-US"/>
        </w:rPr>
        <w:tab/>
        <w:t xml:space="preserve">L. R. Gottschalk, “Understanding History, A Primer of Historical Method,” </w:t>
      </w:r>
      <w:r w:rsidRPr="0036441E">
        <w:rPr>
          <w:rFonts w:asciiTheme="majorHAnsi" w:hAnsiTheme="majorHAnsi" w:cstheme="majorHAnsi"/>
          <w:i/>
          <w:iCs/>
          <w:noProof/>
          <w:sz w:val="20"/>
          <w:szCs w:val="28"/>
          <w:lang w:val="en-US"/>
        </w:rPr>
        <w:t>Nurs. Res.</w:t>
      </w:r>
      <w:r w:rsidRPr="0036441E">
        <w:rPr>
          <w:rFonts w:asciiTheme="majorHAnsi" w:hAnsiTheme="majorHAnsi" w:cstheme="majorHAnsi"/>
          <w:noProof/>
          <w:sz w:val="20"/>
          <w:szCs w:val="28"/>
          <w:lang w:val="en-US"/>
        </w:rPr>
        <w:t>, vol. 2, no. 1, pp. 44, 1953, doi: 10.1097/00006199-195306000-00021.</w:t>
      </w:r>
    </w:p>
    <w:p w14:paraId="5D24D2B8"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[15]</w:t>
      </w:r>
      <w:r w:rsidRPr="0036441E">
        <w:rPr>
          <w:rFonts w:asciiTheme="majorHAnsi" w:hAnsiTheme="majorHAnsi" w:cstheme="majorHAnsi"/>
          <w:noProof/>
          <w:sz w:val="20"/>
          <w:szCs w:val="28"/>
          <w:lang w:val="en-US"/>
        </w:rPr>
        <w:tab/>
        <w:t xml:space="preserve">J. C. G. Corpuz, “Science, religion and state: A multidimensional perspective,” </w:t>
      </w:r>
      <w:r w:rsidRPr="0036441E">
        <w:rPr>
          <w:rFonts w:asciiTheme="majorHAnsi" w:hAnsiTheme="majorHAnsi" w:cstheme="majorHAnsi"/>
          <w:i/>
          <w:iCs/>
          <w:noProof/>
          <w:sz w:val="20"/>
          <w:szCs w:val="28"/>
          <w:lang w:val="en-US"/>
        </w:rPr>
        <w:t>J. Public Heal. (United Kingdom)</w:t>
      </w:r>
      <w:r w:rsidRPr="0036441E">
        <w:rPr>
          <w:rFonts w:asciiTheme="majorHAnsi" w:hAnsiTheme="majorHAnsi" w:cstheme="majorHAnsi"/>
          <w:noProof/>
          <w:sz w:val="20"/>
          <w:szCs w:val="28"/>
          <w:lang w:val="en-US"/>
        </w:rPr>
        <w:t>, vol. 43, no. 3, pp. e547-e548, 2021, doi: 10.1093/pubmed/fdab152.</w:t>
      </w:r>
    </w:p>
    <w:p w14:paraId="68B4B58F"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[16]</w:t>
      </w:r>
      <w:r w:rsidRPr="0036441E">
        <w:rPr>
          <w:rFonts w:asciiTheme="majorHAnsi" w:hAnsiTheme="majorHAnsi" w:cstheme="majorHAnsi"/>
          <w:noProof/>
          <w:sz w:val="20"/>
          <w:szCs w:val="28"/>
          <w:lang w:val="en-US"/>
        </w:rPr>
        <w:tab/>
        <w:t xml:space="preserve">U. Tjandrasasmita, </w:t>
      </w:r>
      <w:r w:rsidRPr="0036441E">
        <w:rPr>
          <w:rFonts w:asciiTheme="majorHAnsi" w:hAnsiTheme="majorHAnsi" w:cstheme="majorHAnsi"/>
          <w:i/>
          <w:iCs/>
          <w:noProof/>
          <w:sz w:val="20"/>
          <w:szCs w:val="28"/>
          <w:lang w:val="en-US"/>
        </w:rPr>
        <w:t>Arkeologi Islam Nusantara</w:t>
      </w:r>
      <w:r w:rsidRPr="0036441E">
        <w:rPr>
          <w:rFonts w:asciiTheme="majorHAnsi" w:hAnsiTheme="majorHAnsi" w:cstheme="majorHAnsi"/>
          <w:noProof/>
          <w:sz w:val="20"/>
          <w:szCs w:val="28"/>
          <w:lang w:val="en-US"/>
        </w:rPr>
        <w:t>, I. Jakarta, Indonesia: Kepustakaan Populer Gramedia bekerja sama dengan École française d’Extrême-Orient dan Fakultas Adab dan Humaniora UIN Syarif Hidayatullah, 2009.</w:t>
      </w:r>
    </w:p>
    <w:p w14:paraId="77A60B2F"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[17]</w:t>
      </w:r>
      <w:r w:rsidRPr="0036441E">
        <w:rPr>
          <w:rFonts w:asciiTheme="majorHAnsi" w:hAnsiTheme="majorHAnsi" w:cstheme="majorHAnsi"/>
          <w:noProof/>
          <w:sz w:val="20"/>
          <w:szCs w:val="28"/>
          <w:lang w:val="en-US"/>
        </w:rPr>
        <w:tab/>
        <w:t xml:space="preserve">M. C. S. Mawikere and S. Hura, “Menelusuri Dinamika Inkulturasi dan Akulturasi Etnis Bolaang Mongondow di Sulawesi Utara,” </w:t>
      </w:r>
      <w:r w:rsidRPr="0036441E">
        <w:rPr>
          <w:rFonts w:asciiTheme="majorHAnsi" w:hAnsiTheme="majorHAnsi" w:cstheme="majorHAnsi"/>
          <w:i/>
          <w:iCs/>
          <w:noProof/>
          <w:sz w:val="20"/>
          <w:szCs w:val="28"/>
          <w:lang w:val="en-US"/>
        </w:rPr>
        <w:t>J. Teol. Dan Pendidik. Kristen</w:t>
      </w:r>
      <w:r w:rsidRPr="0036441E">
        <w:rPr>
          <w:rFonts w:asciiTheme="majorHAnsi" w:hAnsiTheme="majorHAnsi" w:cstheme="majorHAnsi"/>
          <w:noProof/>
          <w:sz w:val="20"/>
          <w:szCs w:val="28"/>
          <w:lang w:val="en-US"/>
        </w:rPr>
        <w:t>, vol. 1, no. 1, pp. 23-57, 2020.</w:t>
      </w:r>
    </w:p>
    <w:p w14:paraId="3807FAEB"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[18]</w:t>
      </w:r>
      <w:r w:rsidRPr="0036441E">
        <w:rPr>
          <w:rFonts w:asciiTheme="majorHAnsi" w:hAnsiTheme="majorHAnsi" w:cstheme="majorHAnsi"/>
          <w:noProof/>
          <w:sz w:val="20"/>
          <w:szCs w:val="28"/>
          <w:lang w:val="en-US"/>
        </w:rPr>
        <w:tab/>
        <w:t>A. C. Lopez's,"Conversion and Colonialism: Islam and Christianity in North Sulawesi, c. 1700-1900," Universiteit Leiden, 2018.</w:t>
      </w:r>
    </w:p>
    <w:p w14:paraId="2531D221"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[19]</w:t>
      </w:r>
      <w:r w:rsidRPr="0036441E">
        <w:rPr>
          <w:rFonts w:asciiTheme="majorHAnsi" w:hAnsiTheme="majorHAnsi" w:cstheme="majorHAnsi"/>
          <w:noProof/>
          <w:sz w:val="20"/>
          <w:szCs w:val="28"/>
          <w:lang w:val="en-US"/>
        </w:rPr>
        <w:tab/>
        <w:t xml:space="preserve">T. Abdullah, “History, political images and cultural encounter the Dutch in the Indonesian archipelago,” </w:t>
      </w:r>
      <w:r w:rsidRPr="0036441E">
        <w:rPr>
          <w:rFonts w:asciiTheme="majorHAnsi" w:hAnsiTheme="majorHAnsi" w:cstheme="majorHAnsi"/>
          <w:i/>
          <w:iCs/>
          <w:noProof/>
          <w:sz w:val="20"/>
          <w:szCs w:val="28"/>
          <w:lang w:val="en-US"/>
        </w:rPr>
        <w:t>Studia Islamika</w:t>
      </w:r>
      <w:r w:rsidRPr="0036441E">
        <w:rPr>
          <w:rFonts w:asciiTheme="majorHAnsi" w:hAnsiTheme="majorHAnsi" w:cstheme="majorHAnsi"/>
          <w:noProof/>
          <w:sz w:val="20"/>
          <w:szCs w:val="28"/>
          <w:lang w:val="en-US"/>
        </w:rPr>
        <w:t>, vol. 1, no. 3. 1994, doi: 10.15408/sdi.v1i3.848.</w:t>
      </w:r>
    </w:p>
    <w:p w14:paraId="0356FDC8"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[20]</w:t>
      </w:r>
      <w:r w:rsidRPr="0036441E">
        <w:rPr>
          <w:rFonts w:asciiTheme="majorHAnsi" w:hAnsiTheme="majorHAnsi" w:cstheme="majorHAnsi"/>
          <w:noProof/>
          <w:sz w:val="20"/>
          <w:szCs w:val="28"/>
          <w:lang w:val="en-US"/>
        </w:rPr>
        <w:tab/>
        <w:t xml:space="preserve">L. H. Palmier and B. H. M. Vlekke, “Nusantara: A History of Indonesia.,” </w:t>
      </w:r>
      <w:r w:rsidRPr="0036441E">
        <w:rPr>
          <w:rFonts w:asciiTheme="majorHAnsi" w:hAnsiTheme="majorHAnsi" w:cstheme="majorHAnsi"/>
          <w:i/>
          <w:iCs/>
          <w:noProof/>
          <w:sz w:val="20"/>
          <w:szCs w:val="28"/>
          <w:lang w:val="en-US"/>
        </w:rPr>
        <w:t>Pac. Aff.</w:t>
      </w:r>
      <w:r w:rsidRPr="0036441E">
        <w:rPr>
          <w:rFonts w:asciiTheme="majorHAnsi" w:hAnsiTheme="majorHAnsi" w:cstheme="majorHAnsi"/>
          <w:noProof/>
          <w:sz w:val="20"/>
          <w:szCs w:val="28"/>
          <w:lang w:val="en-US"/>
        </w:rPr>
        <w:t>, vol. 34, no. 2, 1961, doi: 10.2307/2753005.</w:t>
      </w:r>
    </w:p>
    <w:p w14:paraId="3B528134"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[21]</w:t>
      </w:r>
      <w:r w:rsidRPr="0036441E">
        <w:rPr>
          <w:rFonts w:asciiTheme="majorHAnsi" w:hAnsiTheme="majorHAnsi" w:cstheme="majorHAnsi"/>
          <w:noProof/>
          <w:sz w:val="20"/>
          <w:szCs w:val="28"/>
          <w:lang w:val="en-US"/>
        </w:rPr>
        <w:tab/>
        <w:t xml:space="preserve">A. Wink, “Merchants and Faith: Muslim Commerce and Culture in the Indian Ocean,” </w:t>
      </w:r>
      <w:r w:rsidRPr="0036441E">
        <w:rPr>
          <w:rFonts w:asciiTheme="majorHAnsi" w:hAnsiTheme="majorHAnsi" w:cstheme="majorHAnsi"/>
          <w:i/>
          <w:iCs/>
          <w:noProof/>
          <w:sz w:val="20"/>
          <w:szCs w:val="28"/>
          <w:lang w:val="en-US"/>
        </w:rPr>
        <w:t>Pac. Aff.</w:t>
      </w:r>
      <w:r w:rsidRPr="0036441E">
        <w:rPr>
          <w:rFonts w:asciiTheme="majorHAnsi" w:hAnsiTheme="majorHAnsi" w:cstheme="majorHAnsi"/>
          <w:noProof/>
          <w:sz w:val="20"/>
          <w:szCs w:val="28"/>
          <w:lang w:val="en-US"/>
        </w:rPr>
        <w:t>, vol. 69, no. 2, p. 254, 1996, doi: 10.1353/jwh.2005.0073.</w:t>
      </w:r>
    </w:p>
    <w:p w14:paraId="67336D6C"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[22]</w:t>
      </w:r>
      <w:r w:rsidRPr="0036441E">
        <w:rPr>
          <w:rFonts w:asciiTheme="majorHAnsi" w:hAnsiTheme="majorHAnsi" w:cstheme="majorHAnsi"/>
          <w:noProof/>
          <w:sz w:val="20"/>
          <w:szCs w:val="28"/>
          <w:lang w:val="en-US"/>
        </w:rPr>
        <w:tab/>
        <w:t xml:space="preserve">K. R. Hall, </w:t>
      </w:r>
      <w:r w:rsidRPr="0036441E">
        <w:rPr>
          <w:rFonts w:asciiTheme="majorHAnsi" w:hAnsiTheme="majorHAnsi" w:cstheme="majorHAnsi"/>
          <w:i/>
          <w:iCs/>
          <w:noProof/>
          <w:sz w:val="20"/>
          <w:szCs w:val="28"/>
          <w:lang w:val="en-US"/>
        </w:rPr>
        <w:t>Maritime Trade and State Development in Early Southeast Asia</w:t>
      </w:r>
      <w:r w:rsidRPr="0036441E">
        <w:rPr>
          <w:rFonts w:asciiTheme="majorHAnsi" w:hAnsiTheme="majorHAnsi" w:cstheme="majorHAnsi"/>
          <w:noProof/>
          <w:sz w:val="20"/>
          <w:szCs w:val="28"/>
          <w:lang w:val="en-US"/>
        </w:rPr>
        <w:t>. Honolulu: University of Hawai'i Press, 2019.</w:t>
      </w:r>
    </w:p>
    <w:p w14:paraId="3AF9B7A7"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[23]</w:t>
      </w:r>
      <w:r w:rsidRPr="0036441E">
        <w:rPr>
          <w:rFonts w:asciiTheme="majorHAnsi" w:hAnsiTheme="majorHAnsi" w:cstheme="majorHAnsi"/>
          <w:noProof/>
          <w:sz w:val="20"/>
          <w:szCs w:val="28"/>
          <w:lang w:val="en-US"/>
        </w:rPr>
        <w:tab/>
        <w:t xml:space="preserve">S. Kosel, “The History of islam in bolaang mongondow, North Sulawesi: Rationalisation and derationalisation of religion,” </w:t>
      </w:r>
      <w:r w:rsidRPr="0036441E">
        <w:rPr>
          <w:rFonts w:asciiTheme="majorHAnsi" w:hAnsiTheme="majorHAnsi" w:cstheme="majorHAnsi"/>
          <w:i/>
          <w:iCs/>
          <w:noProof/>
          <w:sz w:val="20"/>
          <w:szCs w:val="28"/>
          <w:lang w:val="en-US"/>
        </w:rPr>
        <w:t>Indones. Malay World</w:t>
      </w:r>
      <w:r w:rsidRPr="0036441E">
        <w:rPr>
          <w:rFonts w:asciiTheme="majorHAnsi" w:hAnsiTheme="majorHAnsi" w:cstheme="majorHAnsi"/>
          <w:noProof/>
          <w:sz w:val="20"/>
          <w:szCs w:val="28"/>
          <w:lang w:val="en-US"/>
        </w:rPr>
        <w:t>, vol. 38, no. 110, pp. 43-64, 2010, doi: 10.1080/13639811003665397.</w:t>
      </w:r>
    </w:p>
    <w:p w14:paraId="19075F55"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[24]</w:t>
      </w:r>
      <w:r w:rsidRPr="0036441E">
        <w:rPr>
          <w:rFonts w:asciiTheme="majorHAnsi" w:hAnsiTheme="majorHAnsi" w:cstheme="majorHAnsi"/>
          <w:noProof/>
          <w:sz w:val="20"/>
          <w:szCs w:val="28"/>
          <w:lang w:val="en-US"/>
        </w:rPr>
        <w:tab/>
        <w:t xml:space="preserve">D. G. M., B. Schrieke, and W. Van Hoeve, “Indonesian Sociological Studies,” </w:t>
      </w:r>
      <w:r w:rsidRPr="0036441E">
        <w:rPr>
          <w:rFonts w:asciiTheme="majorHAnsi" w:hAnsiTheme="majorHAnsi" w:cstheme="majorHAnsi"/>
          <w:i/>
          <w:iCs/>
          <w:noProof/>
          <w:sz w:val="20"/>
          <w:szCs w:val="28"/>
          <w:lang w:val="en-US"/>
        </w:rPr>
        <w:t>Br. J. Sociol.</w:t>
      </w:r>
      <w:r w:rsidRPr="0036441E">
        <w:rPr>
          <w:rFonts w:asciiTheme="majorHAnsi" w:hAnsiTheme="majorHAnsi" w:cstheme="majorHAnsi"/>
          <w:noProof/>
          <w:sz w:val="20"/>
          <w:szCs w:val="28"/>
          <w:lang w:val="en-US"/>
        </w:rPr>
        <w:t>, vol. 7, no. 1, 1956, doi: 10.2307/588149.</w:t>
      </w:r>
    </w:p>
    <w:p w14:paraId="4AE0F54D"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[25]</w:t>
      </w:r>
      <w:r w:rsidRPr="0036441E">
        <w:rPr>
          <w:rFonts w:asciiTheme="majorHAnsi" w:hAnsiTheme="majorHAnsi" w:cstheme="majorHAnsi"/>
          <w:noProof/>
          <w:sz w:val="20"/>
          <w:szCs w:val="28"/>
          <w:lang w:val="en-US"/>
        </w:rPr>
        <w:tab/>
        <w:t xml:space="preserve">R. F. Spencer and B. Schrieke, “Indonesian Sociological Studies: Selected Writings of B. Schrieke. Part I,” </w:t>
      </w:r>
      <w:r w:rsidRPr="0036441E">
        <w:rPr>
          <w:rFonts w:asciiTheme="majorHAnsi" w:hAnsiTheme="majorHAnsi" w:cstheme="majorHAnsi"/>
          <w:i/>
          <w:iCs/>
          <w:noProof/>
          <w:sz w:val="20"/>
          <w:szCs w:val="28"/>
          <w:lang w:val="en-US"/>
        </w:rPr>
        <w:t>Far East. Q.</w:t>
      </w:r>
      <w:r w:rsidRPr="0036441E">
        <w:rPr>
          <w:rFonts w:asciiTheme="majorHAnsi" w:hAnsiTheme="majorHAnsi" w:cstheme="majorHAnsi"/>
          <w:noProof/>
          <w:sz w:val="20"/>
          <w:szCs w:val="28"/>
          <w:lang w:val="en-US"/>
        </w:rPr>
        <w:t>, vol. 15, no. 3, 1956, doi: 10.2307/2941895.</w:t>
      </w:r>
    </w:p>
    <w:p w14:paraId="332F785E"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[26]</w:t>
      </w:r>
      <w:r w:rsidRPr="0036441E">
        <w:rPr>
          <w:rFonts w:asciiTheme="majorHAnsi" w:hAnsiTheme="majorHAnsi" w:cstheme="majorHAnsi"/>
          <w:noProof/>
          <w:sz w:val="20"/>
          <w:szCs w:val="28"/>
          <w:lang w:val="en-US"/>
        </w:rPr>
        <w:tab/>
        <w:t xml:space="preserve">M. N. I. Azis, “Jaringan Tarekat: Pemikiran dan Gerakan Keagamaan Di Sulawesi Tengah Abad XIX-XX M,” </w:t>
      </w:r>
      <w:r w:rsidRPr="0036441E">
        <w:rPr>
          <w:rFonts w:asciiTheme="majorHAnsi" w:hAnsiTheme="majorHAnsi" w:cstheme="majorHAnsi"/>
          <w:i/>
          <w:iCs/>
          <w:noProof/>
          <w:sz w:val="20"/>
          <w:szCs w:val="28"/>
          <w:lang w:val="en-US"/>
        </w:rPr>
        <w:t>J. El-Tarikh, J. Hist. Culutre Civiliz.</w:t>
      </w:r>
      <w:r w:rsidRPr="0036441E">
        <w:rPr>
          <w:rFonts w:asciiTheme="majorHAnsi" w:hAnsiTheme="majorHAnsi" w:cstheme="majorHAnsi"/>
          <w:noProof/>
          <w:sz w:val="20"/>
          <w:szCs w:val="28"/>
          <w:lang w:val="en-US"/>
        </w:rPr>
        <w:t>, vol. 2, no. 1, pp. 66-80, 2021.</w:t>
      </w:r>
    </w:p>
    <w:p w14:paraId="3F298F7B"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[27]</w:t>
      </w:r>
      <w:r w:rsidRPr="0036441E">
        <w:rPr>
          <w:rFonts w:asciiTheme="majorHAnsi" w:hAnsiTheme="majorHAnsi" w:cstheme="majorHAnsi"/>
          <w:noProof/>
          <w:sz w:val="20"/>
          <w:szCs w:val="28"/>
          <w:lang w:val="en-US"/>
        </w:rPr>
        <w:tab/>
        <w:t xml:space="preserve">J.G.F. Riedel, “Het landschap Bolaäng-Mongondow,” </w:t>
      </w:r>
      <w:r w:rsidRPr="0036441E">
        <w:rPr>
          <w:rFonts w:asciiTheme="majorHAnsi" w:hAnsiTheme="majorHAnsi" w:cstheme="majorHAnsi"/>
          <w:i/>
          <w:iCs/>
          <w:noProof/>
          <w:sz w:val="20"/>
          <w:szCs w:val="28"/>
          <w:lang w:val="en-US"/>
        </w:rPr>
        <w:t>Tijdschr. voor Indische Taal-, Land- en Volkenkd.</w:t>
      </w:r>
      <w:r w:rsidRPr="0036441E">
        <w:rPr>
          <w:rFonts w:asciiTheme="majorHAnsi" w:hAnsiTheme="majorHAnsi" w:cstheme="majorHAnsi"/>
          <w:noProof/>
          <w:sz w:val="20"/>
          <w:szCs w:val="28"/>
          <w:lang w:val="en-US"/>
        </w:rPr>
        <w:t>, pp. 266–284, 1864.</w:t>
      </w:r>
    </w:p>
    <w:p w14:paraId="387239A6"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[28]</w:t>
      </w:r>
      <w:r w:rsidRPr="0036441E">
        <w:rPr>
          <w:rFonts w:asciiTheme="majorHAnsi" w:hAnsiTheme="majorHAnsi" w:cstheme="majorHAnsi"/>
          <w:noProof/>
          <w:sz w:val="20"/>
          <w:szCs w:val="28"/>
          <w:lang w:val="en-US"/>
        </w:rPr>
        <w:tab/>
        <w:t xml:space="preserve">D. Lombard, “Nusa Jawa: Silang Budaya Bagian II (Jaringan Asia),” </w:t>
      </w:r>
      <w:r w:rsidRPr="0036441E">
        <w:rPr>
          <w:rFonts w:asciiTheme="majorHAnsi" w:hAnsiTheme="majorHAnsi" w:cstheme="majorHAnsi"/>
          <w:i/>
          <w:iCs/>
          <w:noProof/>
          <w:sz w:val="20"/>
          <w:szCs w:val="28"/>
          <w:lang w:val="en-US"/>
        </w:rPr>
        <w:t>Le Carrefour Javanais</w:t>
      </w:r>
      <w:r w:rsidRPr="0036441E">
        <w:rPr>
          <w:rFonts w:asciiTheme="majorHAnsi" w:hAnsiTheme="majorHAnsi" w:cstheme="majorHAnsi"/>
          <w:noProof/>
          <w:sz w:val="20"/>
          <w:szCs w:val="28"/>
          <w:lang w:val="en-US"/>
        </w:rPr>
        <w:t>. 2008.</w:t>
      </w:r>
    </w:p>
    <w:p w14:paraId="111A7896"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[29]</w:t>
      </w:r>
      <w:r w:rsidRPr="0036441E">
        <w:rPr>
          <w:rFonts w:asciiTheme="majorHAnsi" w:hAnsiTheme="majorHAnsi" w:cstheme="majorHAnsi"/>
          <w:noProof/>
          <w:sz w:val="20"/>
          <w:szCs w:val="28"/>
          <w:lang w:val="en-US"/>
        </w:rPr>
        <w:tab/>
        <w:t xml:space="preserve">A. B. Lapian, “Peta pelayaran Nusantara dari Masa ke Mas,” </w:t>
      </w:r>
      <w:r w:rsidRPr="0036441E">
        <w:rPr>
          <w:rFonts w:asciiTheme="majorHAnsi" w:hAnsiTheme="majorHAnsi" w:cstheme="majorHAnsi"/>
          <w:i/>
          <w:iCs/>
          <w:noProof/>
          <w:sz w:val="20"/>
          <w:szCs w:val="28"/>
          <w:lang w:val="en-US"/>
        </w:rPr>
        <w:t>Bul. Al-Turas</w:t>
      </w:r>
      <w:r w:rsidRPr="0036441E">
        <w:rPr>
          <w:rFonts w:asciiTheme="majorHAnsi" w:hAnsiTheme="majorHAnsi" w:cstheme="majorHAnsi"/>
          <w:noProof/>
          <w:sz w:val="20"/>
          <w:szCs w:val="28"/>
          <w:lang w:val="en-US"/>
        </w:rPr>
        <w:t>, vol. 2, no. 3, pp. 61-65, 2018, doi: 10.15408/bat.v2i5.6764.</w:t>
      </w:r>
    </w:p>
    <w:p w14:paraId="3F90DFD2"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lastRenderedPageBreak/>
        <w:t>[30]</w:t>
      </w:r>
      <w:r w:rsidRPr="0036441E">
        <w:rPr>
          <w:rFonts w:asciiTheme="majorHAnsi" w:hAnsiTheme="majorHAnsi" w:cstheme="majorHAnsi"/>
          <w:noProof/>
          <w:sz w:val="20"/>
          <w:szCs w:val="28"/>
          <w:lang w:val="en-US"/>
        </w:rPr>
        <w:tab/>
        <w:t xml:space="preserve">R. Padt-Brugge, “Beschrijving der Zeden en Gewoonten van de Bewoners der Minahassa,” </w:t>
      </w:r>
      <w:r w:rsidRPr="0036441E">
        <w:rPr>
          <w:rFonts w:asciiTheme="majorHAnsi" w:hAnsiTheme="majorHAnsi" w:cstheme="majorHAnsi"/>
          <w:i/>
          <w:iCs/>
          <w:noProof/>
          <w:sz w:val="20"/>
          <w:szCs w:val="28"/>
          <w:lang w:val="en-US"/>
        </w:rPr>
        <w:t>Bijdr. tot Taal-, Land- en Volkenkd.</w:t>
      </w:r>
      <w:r w:rsidRPr="0036441E">
        <w:rPr>
          <w:rFonts w:asciiTheme="majorHAnsi" w:hAnsiTheme="majorHAnsi" w:cstheme="majorHAnsi"/>
          <w:noProof/>
          <w:sz w:val="20"/>
          <w:szCs w:val="28"/>
          <w:lang w:val="en-US"/>
        </w:rPr>
        <w:t>, vol. 13, no. 1, 2013, doi: 10.1163/22134379-90000917.</w:t>
      </w:r>
    </w:p>
    <w:p w14:paraId="33E74026"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[31]</w:t>
      </w:r>
      <w:r w:rsidRPr="0036441E">
        <w:rPr>
          <w:rFonts w:asciiTheme="majorHAnsi" w:hAnsiTheme="majorHAnsi" w:cstheme="majorHAnsi"/>
          <w:noProof/>
          <w:sz w:val="20"/>
          <w:szCs w:val="28"/>
          <w:lang w:val="en-US"/>
        </w:rPr>
        <w:tab/>
        <w:t xml:space="preserve">J. Stickings, “Bolaang‐Mongondow: Some notes on history and adat,” </w:t>
      </w:r>
      <w:r w:rsidRPr="0036441E">
        <w:rPr>
          <w:rFonts w:asciiTheme="majorHAnsi" w:hAnsiTheme="majorHAnsi" w:cstheme="majorHAnsi"/>
          <w:i/>
          <w:iCs/>
          <w:noProof/>
          <w:sz w:val="20"/>
          <w:szCs w:val="28"/>
          <w:lang w:val="en-US"/>
        </w:rPr>
        <w:t>Indones. Circle. Sch. Orient. African Stud. Newsl.</w:t>
      </w:r>
      <w:r w:rsidRPr="0036441E">
        <w:rPr>
          <w:rFonts w:asciiTheme="majorHAnsi" w:hAnsiTheme="majorHAnsi" w:cstheme="majorHAnsi"/>
          <w:noProof/>
          <w:sz w:val="20"/>
          <w:szCs w:val="28"/>
          <w:lang w:val="en-US"/>
        </w:rPr>
        <w:t>, vol. 7, no. 18, 1979, doi: 10.1080/03062847908723731.</w:t>
      </w:r>
    </w:p>
    <w:p w14:paraId="4994C8DF"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[32]</w:t>
      </w:r>
      <w:r w:rsidRPr="0036441E">
        <w:rPr>
          <w:rFonts w:asciiTheme="majorHAnsi" w:hAnsiTheme="majorHAnsi" w:cstheme="majorHAnsi"/>
          <w:noProof/>
          <w:sz w:val="20"/>
          <w:szCs w:val="28"/>
          <w:lang w:val="en-US"/>
        </w:rPr>
        <w:tab/>
        <w:t>Kolonial Verlsag, “Kolonial Verslag 1913, Nederlandsch-Indie,” 1913.</w:t>
      </w:r>
    </w:p>
    <w:p w14:paraId="6BEAEF65"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[33]</w:t>
      </w:r>
      <w:r w:rsidRPr="0036441E">
        <w:rPr>
          <w:rFonts w:asciiTheme="majorHAnsi" w:hAnsiTheme="majorHAnsi" w:cstheme="majorHAnsi"/>
          <w:noProof/>
          <w:sz w:val="20"/>
          <w:szCs w:val="28"/>
          <w:lang w:val="en-US"/>
        </w:rPr>
        <w:tab/>
        <w:t xml:space="preserve">B. Suwondo, </w:t>
      </w:r>
      <w:r w:rsidRPr="0036441E">
        <w:rPr>
          <w:rFonts w:asciiTheme="majorHAnsi" w:hAnsiTheme="majorHAnsi" w:cstheme="majorHAnsi"/>
          <w:i/>
          <w:iCs/>
          <w:noProof/>
          <w:sz w:val="20"/>
          <w:szCs w:val="28"/>
          <w:lang w:val="en-US"/>
        </w:rPr>
        <w:t>Sejarah Daerah Sulawesi Utara</w:t>
      </w:r>
      <w:r w:rsidRPr="0036441E">
        <w:rPr>
          <w:rFonts w:asciiTheme="majorHAnsi" w:hAnsiTheme="majorHAnsi" w:cstheme="majorHAnsi"/>
          <w:noProof/>
          <w:sz w:val="20"/>
          <w:szCs w:val="28"/>
          <w:lang w:val="en-US"/>
        </w:rPr>
        <w:t>. Jakarta, Indonesia: Departemen Pendidikan Dan Kebudayaan, 1977</w:t>
      </w:r>
    </w:p>
    <w:p w14:paraId="2EEEF479"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[34]</w:t>
      </w:r>
      <w:r w:rsidRPr="0036441E">
        <w:rPr>
          <w:rFonts w:asciiTheme="majorHAnsi" w:hAnsiTheme="majorHAnsi" w:cstheme="majorHAnsi"/>
          <w:noProof/>
          <w:sz w:val="20"/>
          <w:szCs w:val="28"/>
          <w:lang w:val="en-US"/>
        </w:rPr>
        <w:tab/>
        <w:t xml:space="preserve">W. Dunnebier, “Over de Vorsten van Bolaang Mongondow,” </w:t>
      </w:r>
      <w:r w:rsidRPr="0036441E">
        <w:rPr>
          <w:rFonts w:asciiTheme="majorHAnsi" w:hAnsiTheme="majorHAnsi" w:cstheme="majorHAnsi"/>
          <w:i/>
          <w:iCs/>
          <w:noProof/>
          <w:sz w:val="20"/>
          <w:szCs w:val="28"/>
          <w:lang w:val="en-US"/>
        </w:rPr>
        <w:t>Bijdr. tot Taal-, Land- en Volkenkd.</w:t>
      </w:r>
      <w:r w:rsidRPr="0036441E">
        <w:rPr>
          <w:rFonts w:asciiTheme="majorHAnsi" w:hAnsiTheme="majorHAnsi" w:cstheme="majorHAnsi"/>
          <w:noProof/>
          <w:sz w:val="20"/>
          <w:szCs w:val="28"/>
          <w:lang w:val="en-US"/>
        </w:rPr>
        <w:t>, vol. 105, no. 1, pp. 219-274, 2013, doi: 10.1163/22134379-90002494.</w:t>
      </w:r>
    </w:p>
    <w:p w14:paraId="20258653"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[35]</w:t>
      </w:r>
      <w:r w:rsidRPr="0036441E">
        <w:rPr>
          <w:rFonts w:asciiTheme="majorHAnsi" w:hAnsiTheme="majorHAnsi" w:cstheme="majorHAnsi"/>
          <w:noProof/>
          <w:sz w:val="20"/>
          <w:szCs w:val="28"/>
          <w:lang w:val="en-US"/>
        </w:rPr>
        <w:tab/>
        <w:t xml:space="preserve">C.L. Brinkman, “Schets van Bolaang Mongondow,” </w:t>
      </w:r>
      <w:r w:rsidRPr="0036441E">
        <w:rPr>
          <w:rFonts w:asciiTheme="majorHAnsi" w:hAnsiTheme="majorHAnsi" w:cstheme="majorHAnsi"/>
          <w:i/>
          <w:iCs/>
          <w:noProof/>
          <w:sz w:val="20"/>
          <w:szCs w:val="28"/>
          <w:lang w:val="en-US"/>
        </w:rPr>
        <w:t>Leiden University Libraries Digital Collections</w:t>
      </w:r>
      <w:r w:rsidRPr="0036441E">
        <w:rPr>
          <w:rFonts w:asciiTheme="majorHAnsi" w:hAnsiTheme="majorHAnsi" w:cstheme="majorHAnsi"/>
          <w:noProof/>
          <w:sz w:val="20"/>
          <w:szCs w:val="28"/>
          <w:lang w:val="en-US"/>
        </w:rPr>
        <w:t>. [Online]. Available: http://hdl.handle.net/1887.1/item:815258.</w:t>
      </w:r>
    </w:p>
    <w:p w14:paraId="5A9ED2C0"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[36]</w:t>
      </w:r>
      <w:r w:rsidRPr="0036441E">
        <w:rPr>
          <w:rFonts w:asciiTheme="majorHAnsi" w:hAnsiTheme="majorHAnsi" w:cstheme="majorHAnsi"/>
          <w:noProof/>
          <w:sz w:val="20"/>
          <w:szCs w:val="28"/>
          <w:lang w:val="en-US"/>
        </w:rPr>
        <w:tab/>
        <w:t xml:space="preserve">I. W. Marzuki, “Archaeological Study of Islamic History in Minahasa,” </w:t>
      </w:r>
      <w:r w:rsidRPr="0036441E">
        <w:rPr>
          <w:rFonts w:asciiTheme="majorHAnsi" w:hAnsiTheme="majorHAnsi" w:cstheme="majorHAnsi"/>
          <w:i/>
          <w:iCs/>
          <w:noProof/>
          <w:sz w:val="20"/>
          <w:szCs w:val="28"/>
          <w:lang w:val="en-US"/>
        </w:rPr>
        <w:t>ADDIN</w:t>
      </w:r>
      <w:r w:rsidRPr="0036441E">
        <w:rPr>
          <w:rFonts w:asciiTheme="majorHAnsi" w:hAnsiTheme="majorHAnsi" w:cstheme="majorHAnsi"/>
          <w:noProof/>
          <w:sz w:val="20"/>
          <w:szCs w:val="28"/>
          <w:lang w:val="en-US"/>
        </w:rPr>
        <w:t>, vol. 14, no. 2, pp. 241-274, 2020, doi: 10.21043/addin.v14i2.3624.</w:t>
      </w:r>
    </w:p>
    <w:p w14:paraId="1A07FD39"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[37]</w:t>
      </w:r>
      <w:r w:rsidRPr="0036441E">
        <w:rPr>
          <w:rFonts w:asciiTheme="majorHAnsi" w:hAnsiTheme="majorHAnsi" w:cstheme="majorHAnsi"/>
          <w:noProof/>
          <w:sz w:val="20"/>
          <w:szCs w:val="28"/>
          <w:lang w:val="en-US"/>
        </w:rPr>
        <w:tab/>
        <w:t xml:space="preserve">M. F. Laffan, “The Origins of Islamic Reformism in Southeast Asia: Networks of Malay-Indonesian and Middle Eastern ‘Ulamā’ in the Seventeenth and Eighteenth Centuries. By Azyumardi Azra.Asian Studies Association of Australia Publication Series. Crows Nest, NSW: Allen and Unwin; Honolulu: University of Hawai’i Press, 2004. xi, 254 pp. $45.00 (cloth). A$35.00 (paper),” </w:t>
      </w:r>
      <w:r w:rsidRPr="0036441E">
        <w:rPr>
          <w:rFonts w:asciiTheme="majorHAnsi" w:hAnsiTheme="majorHAnsi" w:cstheme="majorHAnsi"/>
          <w:i/>
          <w:iCs/>
          <w:noProof/>
          <w:sz w:val="20"/>
          <w:szCs w:val="28"/>
          <w:lang w:val="en-US"/>
        </w:rPr>
        <w:t>J. Asian Stud.</w:t>
      </w:r>
      <w:r w:rsidRPr="0036441E">
        <w:rPr>
          <w:rFonts w:asciiTheme="majorHAnsi" w:hAnsiTheme="majorHAnsi" w:cstheme="majorHAnsi"/>
          <w:noProof/>
          <w:sz w:val="20"/>
          <w:szCs w:val="28"/>
          <w:lang w:val="en-US"/>
        </w:rPr>
        <w:t>, vol. 64, no. 2, pp. 512-513, 2005, doi: 10.1017/s0021911805001373.</w:t>
      </w:r>
    </w:p>
    <w:p w14:paraId="3F8A35A5" w14:textId="77777777" w:rsidR="0036441E" w:rsidRP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[38]</w:t>
      </w:r>
      <w:r w:rsidRPr="0036441E">
        <w:rPr>
          <w:rFonts w:asciiTheme="majorHAnsi" w:hAnsiTheme="majorHAnsi" w:cstheme="majorHAnsi"/>
          <w:noProof/>
          <w:sz w:val="20"/>
          <w:szCs w:val="28"/>
          <w:lang w:val="en-US"/>
        </w:rPr>
        <w:tab/>
        <w:t xml:space="preserve">S. F. Alatas </w:t>
      </w:r>
      <w:r w:rsidRPr="0036441E">
        <w:rPr>
          <w:rFonts w:asciiTheme="majorHAnsi" w:hAnsiTheme="majorHAnsi" w:cstheme="majorHAnsi"/>
          <w:i/>
          <w:iCs/>
          <w:noProof/>
          <w:sz w:val="20"/>
          <w:szCs w:val="28"/>
          <w:lang w:val="en-US"/>
        </w:rPr>
        <w:t>et al.</w:t>
      </w:r>
      <w:r w:rsidRPr="0036441E">
        <w:rPr>
          <w:rFonts w:asciiTheme="majorHAnsi" w:hAnsiTheme="majorHAnsi" w:cstheme="majorHAnsi"/>
          <w:noProof/>
          <w:sz w:val="20"/>
          <w:szCs w:val="28"/>
          <w:lang w:val="en-US"/>
        </w:rPr>
        <w:t xml:space="preserve">, “Hadhramaut and the Hadhrami Diaspora: Problems in Theoretical History,” in </w:t>
      </w:r>
      <w:r w:rsidRPr="0036441E">
        <w:rPr>
          <w:rFonts w:asciiTheme="majorHAnsi" w:hAnsiTheme="majorHAnsi" w:cstheme="majorHAnsi"/>
          <w:i/>
          <w:iCs/>
          <w:noProof/>
          <w:sz w:val="20"/>
          <w:szCs w:val="28"/>
          <w:lang w:val="en-US"/>
        </w:rPr>
        <w:t>Hadhrami Traders, Scholars and Statesmen in the Indian Ocean, 1750s-1960s</w:t>
      </w:r>
      <w:r w:rsidRPr="0036441E">
        <w:rPr>
          <w:rFonts w:asciiTheme="majorHAnsi" w:hAnsiTheme="majorHAnsi" w:cstheme="majorHAnsi"/>
          <w:noProof/>
          <w:sz w:val="20"/>
          <w:szCs w:val="28"/>
          <w:lang w:val="en-US"/>
        </w:rPr>
        <w:t>, Brill, 2021.</w:t>
      </w:r>
    </w:p>
    <w:p w14:paraId="6E12BC73" w14:textId="3438CECA" w:rsidR="0036441E" w:rsidRDefault="0036441E" w:rsidP="0036441E">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36441E">
        <w:rPr>
          <w:rFonts w:asciiTheme="majorHAnsi" w:hAnsiTheme="majorHAnsi" w:cstheme="majorHAnsi"/>
          <w:noProof/>
          <w:sz w:val="20"/>
          <w:szCs w:val="28"/>
          <w:lang w:val="en-US"/>
        </w:rPr>
        <w:t>[39]</w:t>
      </w:r>
      <w:r w:rsidRPr="0036441E">
        <w:rPr>
          <w:rFonts w:asciiTheme="majorHAnsi" w:hAnsiTheme="majorHAnsi" w:cstheme="majorHAnsi"/>
          <w:noProof/>
          <w:sz w:val="20"/>
          <w:szCs w:val="28"/>
          <w:lang w:val="en-US"/>
        </w:rPr>
        <w:tab/>
        <w:t xml:space="preserve">H. M. Ambary, “Epigraphical Data from 17th-19th Century Muslim Graves in East Java,” in </w:t>
      </w:r>
      <w:r w:rsidRPr="0036441E">
        <w:rPr>
          <w:rFonts w:asciiTheme="majorHAnsi" w:hAnsiTheme="majorHAnsi" w:cstheme="majorHAnsi"/>
          <w:i/>
          <w:iCs/>
          <w:noProof/>
          <w:sz w:val="20"/>
          <w:szCs w:val="28"/>
          <w:lang w:val="en-US"/>
        </w:rPr>
        <w:t>Cultural Contact and Textual Interpretation</w:t>
      </w:r>
      <w:r w:rsidRPr="0036441E">
        <w:rPr>
          <w:rFonts w:asciiTheme="majorHAnsi" w:hAnsiTheme="majorHAnsi" w:cstheme="majorHAnsi"/>
          <w:noProof/>
          <w:sz w:val="20"/>
          <w:szCs w:val="28"/>
          <w:lang w:val="en-US"/>
        </w:rPr>
        <w:t>, 2021.</w:t>
      </w:r>
    </w:p>
    <w:p w14:paraId="1D1C323E" w14:textId="6425511B"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B46F29">
      <w:headerReference w:type="even" r:id="rId17"/>
      <w:headerReference w:type="default" r:id="rId18"/>
      <w:footerReference w:type="even" r:id="rId19"/>
      <w:footerReference w:type="default" r:id="rId20"/>
      <w:footerReference w:type="first" r:id="rId21"/>
      <w:pgSz w:w="11906" w:h="16838" w:code="9"/>
      <w:pgMar w:top="1418" w:right="1418" w:bottom="1418" w:left="1418" w:header="709" w:footer="709" w:gutter="0"/>
      <w:pgNumType w:start="11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2B037" w14:textId="77777777" w:rsidR="00550517" w:rsidRDefault="00550517" w:rsidP="001101DA">
      <w:r>
        <w:separator/>
      </w:r>
    </w:p>
  </w:endnote>
  <w:endnote w:type="continuationSeparator" w:id="0">
    <w:p w14:paraId="750604AA" w14:textId="77777777" w:rsidR="00550517" w:rsidRDefault="00550517"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9B88C25"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36441E">
          <w:rPr>
            <w:sz w:val="16"/>
            <w:szCs w:val="16"/>
          </w:rPr>
          <w:t>8</w:t>
        </w:r>
        <w:r w:rsidRPr="00920627">
          <w:rPr>
            <w:sz w:val="16"/>
            <w:szCs w:val="16"/>
          </w:rPr>
          <w:t>(4), December 202</w:t>
        </w:r>
        <w:r w:rsidR="0036441E">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02038C67" w:rsidR="001101DA" w:rsidRPr="00920627" w:rsidRDefault="00920627" w:rsidP="00920627">
        <w:pPr>
          <w:pStyle w:val="Footer"/>
          <w:jc w:val="right"/>
          <w:rPr>
            <w:sz w:val="16"/>
            <w:szCs w:val="16"/>
          </w:rPr>
        </w:pPr>
        <w:r w:rsidRPr="00920627">
          <w:rPr>
            <w:sz w:val="16"/>
            <w:szCs w:val="16"/>
          </w:rPr>
          <w:t xml:space="preserve">Journal of Islamic Architecture </w:t>
        </w:r>
        <w:r w:rsidR="0036441E">
          <w:rPr>
            <w:sz w:val="16"/>
            <w:szCs w:val="16"/>
          </w:rPr>
          <w:t>8</w:t>
        </w:r>
        <w:r w:rsidRPr="00920627">
          <w:rPr>
            <w:sz w:val="16"/>
            <w:szCs w:val="16"/>
          </w:rPr>
          <w:t>(4), December 202</w:t>
        </w:r>
        <w:r w:rsidR="0036441E">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08E8E" w14:textId="77777777" w:rsidR="00550517" w:rsidRDefault="00550517" w:rsidP="001101DA">
      <w:r>
        <w:separator/>
      </w:r>
    </w:p>
  </w:footnote>
  <w:footnote w:type="continuationSeparator" w:id="0">
    <w:p w14:paraId="2E6BA171" w14:textId="77777777" w:rsidR="00550517" w:rsidRDefault="00550517"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4EEE602B" w:rsidR="001101DA" w:rsidRPr="0036441E" w:rsidRDefault="0036441E" w:rsidP="001101DA">
    <w:pPr>
      <w:pStyle w:val="Header"/>
      <w:rPr>
        <w:bCs/>
        <w:sz w:val="16"/>
        <w:szCs w:val="16"/>
      </w:rPr>
    </w:pPr>
    <w:r w:rsidRPr="0036441E">
      <w:rPr>
        <w:bCs/>
        <w:sz w:val="16"/>
        <w:szCs w:val="16"/>
      </w:rPr>
      <w:t xml:space="preserve">An Analysis of Islamic Gravestones in Indonesia: Sites and Islamic Heritage in </w:t>
    </w:r>
    <w:proofErr w:type="spellStart"/>
    <w:r w:rsidRPr="0036441E">
      <w:rPr>
        <w:bCs/>
        <w:sz w:val="16"/>
        <w:szCs w:val="16"/>
      </w:rPr>
      <w:t>Bolaang</w:t>
    </w:r>
    <w:proofErr w:type="spellEnd"/>
    <w:r w:rsidRPr="0036441E">
      <w:rPr>
        <w:bCs/>
        <w:sz w:val="16"/>
        <w:szCs w:val="16"/>
      </w:rPr>
      <w:t xml:space="preserve"> </w:t>
    </w:r>
    <w:proofErr w:type="spellStart"/>
    <w:r w:rsidRPr="0036441E">
      <w:rPr>
        <w:bCs/>
        <w:sz w:val="16"/>
        <w:szCs w:val="16"/>
      </w:rPr>
      <w:t>Mongondow</w:t>
    </w:r>
    <w:proofErr w:type="spellEnd"/>
    <w:r w:rsidRPr="0036441E">
      <w:rPr>
        <w:bCs/>
        <w:sz w:val="16"/>
        <w:szCs w:val="16"/>
      </w:rPr>
      <w:t>, North Sulawesi</w:t>
    </w:r>
    <w:r w:rsidRPr="0036441E">
      <w:rPr>
        <w:bCs/>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58A1DAAD" w:rsidR="001101DA" w:rsidRPr="0036441E" w:rsidRDefault="0036441E" w:rsidP="001101DA">
    <w:pPr>
      <w:pStyle w:val="Header"/>
      <w:jc w:val="right"/>
      <w:rPr>
        <w:sz w:val="16"/>
        <w:szCs w:val="16"/>
      </w:rPr>
    </w:pPr>
    <w:r>
      <w:rPr>
        <w:sz w:val="16"/>
        <w:szCs w:val="16"/>
      </w:rPr>
      <w:t>I</w:t>
    </w:r>
    <w:r w:rsidRPr="0036441E">
      <w:rPr>
        <w:sz w:val="16"/>
        <w:szCs w:val="16"/>
      </w:rPr>
      <w:t xml:space="preserve">rna </w:t>
    </w:r>
    <w:proofErr w:type="spellStart"/>
    <w:r w:rsidRPr="0036441E">
      <w:rPr>
        <w:sz w:val="16"/>
        <w:szCs w:val="16"/>
      </w:rPr>
      <w:t>Saptaningrum</w:t>
    </w:r>
    <w:proofErr w:type="spellEnd"/>
    <w:r w:rsidRPr="0036441E">
      <w:rPr>
        <w:sz w:val="16"/>
        <w:szCs w:val="16"/>
      </w:rPr>
      <w:t xml:space="preserve">, Muhammad Nur Ichsan Azis, Hasanuddin Anwar, </w:t>
    </w:r>
    <w:proofErr w:type="spellStart"/>
    <w:r w:rsidRPr="0036441E">
      <w:rPr>
        <w:sz w:val="16"/>
        <w:szCs w:val="16"/>
      </w:rPr>
      <w:t>Pristiwanto</w:t>
    </w:r>
    <w:proofErr w:type="spellEnd"/>
    <w:r w:rsidRPr="0036441E">
      <w:rPr>
        <w:sz w:val="16"/>
        <w:szCs w:val="16"/>
      </w:rPr>
      <w:t xml:space="preserve">, Salmin </w:t>
    </w:r>
    <w:proofErr w:type="spellStart"/>
    <w:r w:rsidRPr="0036441E">
      <w:rPr>
        <w:sz w:val="16"/>
        <w:szCs w:val="16"/>
      </w:rPr>
      <w:t>Djakaria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81046879">
    <w:abstractNumId w:val="1"/>
  </w:num>
  <w:num w:numId="2" w16cid:durableId="69869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C459C"/>
    <w:rsid w:val="001D1905"/>
    <w:rsid w:val="001D517C"/>
    <w:rsid w:val="001E33E6"/>
    <w:rsid w:val="00221499"/>
    <w:rsid w:val="002676BA"/>
    <w:rsid w:val="00283372"/>
    <w:rsid w:val="002D1CEA"/>
    <w:rsid w:val="002D663D"/>
    <w:rsid w:val="00330A7A"/>
    <w:rsid w:val="0036441E"/>
    <w:rsid w:val="00395D1C"/>
    <w:rsid w:val="003C0164"/>
    <w:rsid w:val="00417EF0"/>
    <w:rsid w:val="00464461"/>
    <w:rsid w:val="00471CCE"/>
    <w:rsid w:val="00477FC8"/>
    <w:rsid w:val="004C7CB9"/>
    <w:rsid w:val="00502594"/>
    <w:rsid w:val="00536D0C"/>
    <w:rsid w:val="00550517"/>
    <w:rsid w:val="00554438"/>
    <w:rsid w:val="005E66A5"/>
    <w:rsid w:val="00605B4D"/>
    <w:rsid w:val="006C55A1"/>
    <w:rsid w:val="00727ABB"/>
    <w:rsid w:val="0074480A"/>
    <w:rsid w:val="00745A2A"/>
    <w:rsid w:val="007771EC"/>
    <w:rsid w:val="0079305C"/>
    <w:rsid w:val="007B2C0D"/>
    <w:rsid w:val="007C4CC4"/>
    <w:rsid w:val="007C62F4"/>
    <w:rsid w:val="008535AE"/>
    <w:rsid w:val="00883F54"/>
    <w:rsid w:val="008D73E0"/>
    <w:rsid w:val="00920392"/>
    <w:rsid w:val="00920627"/>
    <w:rsid w:val="00926CF7"/>
    <w:rsid w:val="00944AD0"/>
    <w:rsid w:val="009D3D77"/>
    <w:rsid w:val="009E6DE8"/>
    <w:rsid w:val="00A055B3"/>
    <w:rsid w:val="00AC1C31"/>
    <w:rsid w:val="00AC4F01"/>
    <w:rsid w:val="00B45E75"/>
    <w:rsid w:val="00B46F29"/>
    <w:rsid w:val="00BE2239"/>
    <w:rsid w:val="00C26026"/>
    <w:rsid w:val="00CB6F5A"/>
    <w:rsid w:val="00CE135F"/>
    <w:rsid w:val="00D132AE"/>
    <w:rsid w:val="00D57761"/>
    <w:rsid w:val="00D869DB"/>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276@brin.go.id"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delpher.nl" TargetMode="External"/><Relationship Id="rId14" Type="http://schemas.openxmlformats.org/officeDocument/2006/relationships/image" Target="media/image6.jpe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16</Pages>
  <Words>24273</Words>
  <Characters>138357</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2025-12-24T01:11:00Z</dcterms:created>
  <dcterms:modified xsi:type="dcterms:W3CDTF">2025-12-24T02:36:00Z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