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7C62DF77" w:rsidR="00C26026" w:rsidRPr="004C7CB9" w:rsidRDefault="00F72919" w:rsidP="00C26026">
            <w:pPr>
              <w:jc w:val="both"/>
              <w:rPr>
                <w:rFonts w:asciiTheme="minorHAnsi" w:hAnsiTheme="minorHAnsi" w:cstheme="minorHAnsi"/>
                <w:b/>
                <w:sz w:val="26"/>
                <w:szCs w:val="26"/>
              </w:rPr>
            </w:pPr>
            <w:r w:rsidRPr="00F72919">
              <w:rPr>
                <w:rFonts w:asciiTheme="minorHAnsi" w:hAnsiTheme="minorHAnsi" w:cstheme="minorHAnsi"/>
                <w:b/>
                <w:sz w:val="28"/>
                <w:szCs w:val="28"/>
              </w:rPr>
              <w:t>THE VISUAL IMPACT OF COLORS IN OTTOMAN INSCRIPTIONS: A CASE STUDY OF THE SULTAN BAYEZID II MOSQUE IN DIDYMÓTEICHON, GREECE</w:t>
            </w:r>
            <w:r>
              <w:rPr>
                <w:rFonts w:asciiTheme="minorHAnsi" w:hAnsiTheme="minorHAnsi" w:cstheme="minorHAnsi"/>
                <w:b/>
                <w:sz w:val="28"/>
                <w:szCs w:val="28"/>
              </w:rPr>
              <w:t xml:space="preserve"> </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4A77EE9F" w:rsidR="00D869DB" w:rsidRPr="004C7CB9" w:rsidRDefault="00F72919">
            <w:pPr>
              <w:rPr>
                <w:rFonts w:asciiTheme="minorHAnsi" w:hAnsiTheme="minorHAnsi" w:cstheme="minorHAnsi"/>
              </w:rPr>
            </w:pPr>
            <w:r w:rsidRPr="00F72919">
              <w:rPr>
                <w:rFonts w:asciiTheme="minorHAnsi" w:hAnsiTheme="minorHAnsi" w:cstheme="minorHAnsi"/>
              </w:rPr>
              <w:t>Ahmed Ameen</w:t>
            </w:r>
            <w:r w:rsidRPr="00F72919">
              <w:rPr>
                <w:rFonts w:asciiTheme="minorHAnsi" w:hAnsiTheme="minorHAnsi" w:cstheme="minorHAnsi"/>
                <w:vertAlign w:val="superscript"/>
              </w:rPr>
              <w:t>a*</w:t>
            </w:r>
            <w:r w:rsidRPr="00F72919">
              <w:rPr>
                <w:rFonts w:asciiTheme="minorHAnsi" w:hAnsiTheme="minorHAnsi" w:cstheme="minorHAnsi"/>
              </w:rPr>
              <w:t xml:space="preserve">, Yassmin Youssef </w:t>
            </w:r>
            <w:proofErr w:type="spellStart"/>
            <w:r w:rsidRPr="00F72919">
              <w:rPr>
                <w:rFonts w:asciiTheme="minorHAnsi" w:hAnsiTheme="minorHAnsi" w:cstheme="minorHAnsi"/>
              </w:rPr>
              <w:t>Kasem</w:t>
            </w:r>
            <w:r w:rsidRPr="00F72919">
              <w:rPr>
                <w:rFonts w:asciiTheme="minorHAnsi" w:hAnsiTheme="minorHAnsi" w:cstheme="minorHAnsi"/>
                <w:vertAlign w:val="superscript"/>
              </w:rPr>
              <w:t>b</w:t>
            </w:r>
            <w:proofErr w:type="spellEnd"/>
            <w:r>
              <w:rPr>
                <w:rFonts w:asciiTheme="minorHAnsi" w:hAnsiTheme="minorHAnsi" w:cstheme="minorHAnsi"/>
                <w:vertAlign w:val="superscript"/>
              </w:rPr>
              <w:t xml:space="preserve"> </w:t>
            </w:r>
            <w:r w:rsidR="00554438" w:rsidRPr="004C7CB9">
              <w:rPr>
                <w:rFonts w:asciiTheme="minorHAnsi" w:hAnsiTheme="minorHAnsi" w:cstheme="minorHAnsi"/>
              </w:rPr>
              <w:t xml:space="preserve"> </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392542E3" w14:textId="5433E77F" w:rsidR="00D869DB" w:rsidRPr="00F72919" w:rsidRDefault="00D869DB" w:rsidP="00D869DB">
            <w:pPr>
              <w:rPr>
                <w:sz w:val="18"/>
                <w:szCs w:val="18"/>
              </w:rPr>
            </w:pPr>
            <w:proofErr w:type="spellStart"/>
            <w:r w:rsidRPr="004C7CB9">
              <w:rPr>
                <w:sz w:val="18"/>
                <w:szCs w:val="18"/>
                <w:vertAlign w:val="superscript"/>
              </w:rPr>
              <w:t>a</w:t>
            </w:r>
            <w:r w:rsidR="00F72919" w:rsidRPr="00F72919">
              <w:rPr>
                <w:sz w:val="18"/>
                <w:szCs w:val="18"/>
              </w:rPr>
              <w:t>College</w:t>
            </w:r>
            <w:proofErr w:type="spellEnd"/>
            <w:r w:rsidR="00F72919" w:rsidRPr="00F72919">
              <w:rPr>
                <w:sz w:val="18"/>
                <w:szCs w:val="18"/>
              </w:rPr>
              <w:t xml:space="preserve"> of Arts, </w:t>
            </w:r>
            <w:r w:rsidR="00F72919" w:rsidRPr="00F72919">
              <w:rPr>
                <w:sz w:val="18"/>
                <w:szCs w:val="18"/>
                <w:lang w:val="en-US"/>
              </w:rPr>
              <w:t xml:space="preserve">Humanities and Social </w:t>
            </w:r>
            <w:r w:rsidR="00F72919" w:rsidRPr="00F72919">
              <w:rPr>
                <w:sz w:val="18"/>
                <w:szCs w:val="18"/>
              </w:rPr>
              <w:t>Sciences, University of Sharjah, UAE</w:t>
            </w:r>
          </w:p>
          <w:p w14:paraId="05237892" w14:textId="5490E6B7" w:rsidR="00D869DB" w:rsidRPr="00F72919" w:rsidRDefault="00D869DB" w:rsidP="00D869DB">
            <w:pPr>
              <w:rPr>
                <w:sz w:val="18"/>
                <w:szCs w:val="18"/>
              </w:rPr>
            </w:pPr>
            <w:proofErr w:type="spellStart"/>
            <w:r w:rsidRPr="004C7CB9">
              <w:rPr>
                <w:sz w:val="18"/>
                <w:szCs w:val="18"/>
                <w:vertAlign w:val="superscript"/>
              </w:rPr>
              <w:t>b</w:t>
            </w:r>
            <w:r w:rsidR="00F72919" w:rsidRPr="00F72919">
              <w:rPr>
                <w:sz w:val="18"/>
                <w:szCs w:val="18"/>
              </w:rPr>
              <w:t>Faculty</w:t>
            </w:r>
            <w:proofErr w:type="spellEnd"/>
            <w:r w:rsidR="00F72919" w:rsidRPr="00F72919">
              <w:rPr>
                <w:sz w:val="18"/>
                <w:szCs w:val="18"/>
              </w:rPr>
              <w:t xml:space="preserve"> of Archaeology, Fayoum University, Fayoum, Egypt</w:t>
            </w:r>
          </w:p>
          <w:p w14:paraId="4B54932F" w14:textId="0CA0D789" w:rsidR="00D869DB" w:rsidRPr="004C7CB9" w:rsidRDefault="00D869DB" w:rsidP="00D869DB">
            <w:r w:rsidRPr="004C7CB9">
              <w:rPr>
                <w:sz w:val="18"/>
                <w:szCs w:val="18"/>
              </w:rPr>
              <w:t xml:space="preserve">*Corresponding Author: </w:t>
            </w:r>
            <w:hyperlink r:id="rId8" w:history="1">
              <w:r w:rsidR="00F72919" w:rsidRPr="00F72919">
                <w:rPr>
                  <w:rStyle w:val="Hyperlink"/>
                  <w:color w:val="auto"/>
                  <w:sz w:val="18"/>
                  <w:szCs w:val="18"/>
                  <w:u w:val="none"/>
                </w:rPr>
                <w:t>ahmed.ameen@sharjah.ac.ae</w:t>
              </w:r>
            </w:hyperlink>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772ADDD7"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F72919">
              <w:rPr>
                <w:rFonts w:asciiTheme="majorHAnsi" w:hAnsiTheme="majorHAnsi" w:cstheme="majorHAnsi"/>
                <w:sz w:val="18"/>
                <w:szCs w:val="18"/>
              </w:rPr>
              <w:t xml:space="preserve"> 8</w:t>
            </w:r>
          </w:p>
          <w:p w14:paraId="5F8B2097" w14:textId="481CB73D"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F72919">
              <w:rPr>
                <w:rFonts w:asciiTheme="majorHAnsi" w:hAnsiTheme="majorHAnsi" w:cstheme="majorHAnsi"/>
                <w:sz w:val="18"/>
                <w:szCs w:val="18"/>
              </w:rPr>
              <w:t xml:space="preserve"> 4</w:t>
            </w:r>
          </w:p>
          <w:p w14:paraId="1727970E" w14:textId="4B829DD1"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F72919">
              <w:rPr>
                <w:rFonts w:asciiTheme="majorHAnsi" w:hAnsiTheme="majorHAnsi" w:cstheme="majorHAnsi"/>
                <w:sz w:val="18"/>
                <w:szCs w:val="18"/>
              </w:rPr>
              <w:t xml:space="preserve"> 1012-</w:t>
            </w:r>
            <w:r w:rsidR="000F5D17">
              <w:rPr>
                <w:rFonts w:asciiTheme="majorHAnsi" w:hAnsiTheme="majorHAnsi" w:cstheme="majorHAnsi"/>
                <w:sz w:val="18"/>
                <w:szCs w:val="18"/>
              </w:rPr>
              <w:t>1021</w:t>
            </w:r>
          </w:p>
          <w:p w14:paraId="42AC331B" w14:textId="67D55080"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June </w:t>
            </w:r>
            <w:r w:rsidR="00F72919">
              <w:rPr>
                <w:rFonts w:asciiTheme="majorHAnsi" w:hAnsiTheme="majorHAnsi" w:cstheme="majorHAnsi"/>
                <w:sz w:val="18"/>
                <w:szCs w:val="18"/>
              </w:rPr>
              <w:t>1</w:t>
            </w:r>
            <w:r w:rsidRPr="004C7CB9">
              <w:rPr>
                <w:rFonts w:asciiTheme="majorHAnsi" w:hAnsiTheme="majorHAnsi" w:cstheme="majorHAnsi"/>
                <w:sz w:val="18"/>
                <w:szCs w:val="18"/>
              </w:rPr>
              <w:t>3</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F72919">
              <w:rPr>
                <w:rFonts w:asciiTheme="majorHAnsi" w:hAnsiTheme="majorHAnsi" w:cstheme="majorHAnsi"/>
                <w:sz w:val="18"/>
                <w:szCs w:val="18"/>
              </w:rPr>
              <w:t>4</w:t>
            </w:r>
          </w:p>
          <w:p w14:paraId="63316A40" w14:textId="008C6614"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F72919">
              <w:rPr>
                <w:rFonts w:asciiTheme="majorHAnsi" w:hAnsiTheme="majorHAnsi" w:cstheme="majorHAnsi"/>
                <w:sz w:val="18"/>
                <w:szCs w:val="18"/>
              </w:rPr>
              <w:t>October</w:t>
            </w:r>
            <w:r w:rsidRPr="004C7CB9">
              <w:rPr>
                <w:rFonts w:asciiTheme="majorHAnsi" w:hAnsiTheme="majorHAnsi" w:cstheme="majorHAnsi"/>
                <w:sz w:val="18"/>
                <w:szCs w:val="18"/>
              </w:rPr>
              <w:t xml:space="preserve"> </w:t>
            </w:r>
            <w:r w:rsidR="00F72919">
              <w:rPr>
                <w:rFonts w:asciiTheme="majorHAnsi" w:hAnsiTheme="majorHAnsi" w:cstheme="majorHAnsi"/>
                <w:sz w:val="18"/>
                <w:szCs w:val="18"/>
              </w:rPr>
              <w:t>14</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F72919">
              <w:rPr>
                <w:rFonts w:asciiTheme="majorHAnsi" w:hAnsiTheme="majorHAnsi" w:cstheme="majorHAnsi"/>
                <w:sz w:val="18"/>
                <w:szCs w:val="18"/>
              </w:rPr>
              <w:t>4</w:t>
            </w:r>
          </w:p>
          <w:p w14:paraId="6068623C" w14:textId="72071F63"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Available Online: December 30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F72919">
              <w:rPr>
                <w:rFonts w:asciiTheme="majorHAnsi" w:hAnsiTheme="majorHAnsi" w:cstheme="majorHAnsi"/>
                <w:sz w:val="18"/>
                <w:szCs w:val="18"/>
              </w:rPr>
              <w:t>5</w:t>
            </w:r>
          </w:p>
          <w:p w14:paraId="78EB1E49" w14:textId="15C94411"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r w:rsidR="00F72919" w:rsidRPr="00F72919">
              <w:rPr>
                <w:rFonts w:asciiTheme="majorHAnsi" w:hAnsiTheme="majorHAnsi" w:cstheme="majorHAnsi"/>
                <w:sz w:val="18"/>
                <w:szCs w:val="18"/>
              </w:rPr>
              <w:t>10.18860/</w:t>
            </w:r>
            <w:proofErr w:type="spellStart"/>
            <w:proofErr w:type="gramStart"/>
            <w:r w:rsidR="00F72919" w:rsidRPr="00F72919">
              <w:rPr>
                <w:rFonts w:asciiTheme="majorHAnsi" w:hAnsiTheme="majorHAnsi" w:cstheme="majorHAnsi"/>
                <w:sz w:val="18"/>
                <w:szCs w:val="18"/>
              </w:rPr>
              <w:t>jia.v</w:t>
            </w:r>
            <w:proofErr w:type="spellEnd"/>
            <w:proofErr w:type="gramEnd"/>
            <w:r w:rsidR="00F72919" w:rsidRPr="00F72919">
              <w:rPr>
                <w:rFonts w:asciiTheme="majorHAnsi" w:hAnsiTheme="majorHAnsi" w:cstheme="majorHAnsi"/>
                <w:sz w:val="18"/>
                <w:szCs w:val="18"/>
                <w:lang w:val="en-US"/>
              </w:rPr>
              <w:t>8</w:t>
            </w:r>
            <w:proofErr w:type="spellStart"/>
            <w:r w:rsidR="00F72919" w:rsidRPr="00F72919">
              <w:rPr>
                <w:rFonts w:asciiTheme="majorHAnsi" w:hAnsiTheme="majorHAnsi" w:cstheme="majorHAnsi"/>
                <w:sz w:val="18"/>
                <w:szCs w:val="18"/>
              </w:rPr>
              <w:t>i</w:t>
            </w:r>
            <w:proofErr w:type="spellEnd"/>
            <w:r w:rsidR="00F72919" w:rsidRPr="00F72919">
              <w:rPr>
                <w:rFonts w:asciiTheme="majorHAnsi" w:hAnsiTheme="majorHAnsi" w:cstheme="majorHAnsi"/>
                <w:sz w:val="18"/>
                <w:szCs w:val="18"/>
                <w:lang w:val="en-US"/>
              </w:rPr>
              <w:t>4</w:t>
            </w:r>
            <w:r w:rsidR="00F72919" w:rsidRPr="00F72919">
              <w:rPr>
                <w:rFonts w:asciiTheme="majorHAnsi" w:hAnsiTheme="majorHAnsi" w:cstheme="majorHAnsi"/>
                <w:sz w:val="18"/>
                <w:szCs w:val="18"/>
              </w:rPr>
              <w:t>.</w:t>
            </w:r>
            <w:r w:rsidR="00F72919" w:rsidRPr="00F72919">
              <w:rPr>
                <w:rFonts w:asciiTheme="majorHAnsi" w:hAnsiTheme="majorHAnsi" w:cstheme="majorHAnsi"/>
                <w:sz w:val="18"/>
                <w:szCs w:val="18"/>
                <w:lang w:val="en-US"/>
              </w:rPr>
              <w:t>27523</w:t>
            </w:r>
          </w:p>
        </w:tc>
        <w:tc>
          <w:tcPr>
            <w:tcW w:w="5671" w:type="dxa"/>
          </w:tcPr>
          <w:p w14:paraId="68C518DA" w14:textId="55C3B546" w:rsidR="001D517C" w:rsidRPr="004C7CB9" w:rsidRDefault="00F72919" w:rsidP="001D517C">
            <w:pPr>
              <w:jc w:val="both"/>
              <w:rPr>
                <w:rFonts w:asciiTheme="majorHAnsi" w:hAnsiTheme="majorHAnsi" w:cstheme="majorHAnsi"/>
                <w:sz w:val="18"/>
                <w:szCs w:val="18"/>
                <w:lang w:val="id-ID"/>
              </w:rPr>
            </w:pPr>
            <w:r w:rsidRPr="00F72919">
              <w:rPr>
                <w:rFonts w:asciiTheme="majorHAnsi" w:hAnsiTheme="majorHAnsi" w:cstheme="majorHAnsi"/>
                <w:sz w:val="18"/>
                <w:szCs w:val="18"/>
              </w:rPr>
              <w:t xml:space="preserve">This study undertakes a comprehensive examination of </w:t>
            </w:r>
            <w:proofErr w:type="spellStart"/>
            <w:r w:rsidRPr="00F72919">
              <w:rPr>
                <w:rFonts w:asciiTheme="majorHAnsi" w:hAnsiTheme="majorHAnsi" w:cstheme="majorHAnsi"/>
                <w:sz w:val="18"/>
                <w:szCs w:val="18"/>
              </w:rPr>
              <w:t>color</w:t>
            </w:r>
            <w:proofErr w:type="spellEnd"/>
            <w:r w:rsidRPr="00F72919">
              <w:rPr>
                <w:rFonts w:asciiTheme="majorHAnsi" w:hAnsiTheme="majorHAnsi" w:cstheme="majorHAnsi"/>
                <w:sz w:val="18"/>
                <w:szCs w:val="18"/>
              </w:rPr>
              <w:t xml:space="preserve"> as a distinctive and impactful feature in the artistic and architectural expressions of the Ottoman Empire, with a specific focus on its visual impact on historical inscriptions in Greece. By delving into the reasons and motivations underlying the Ottomans' extensive use of </w:t>
            </w:r>
            <w:proofErr w:type="spellStart"/>
            <w:r w:rsidRPr="00F72919">
              <w:rPr>
                <w:rFonts w:asciiTheme="majorHAnsi" w:hAnsiTheme="majorHAnsi" w:cstheme="majorHAnsi"/>
                <w:sz w:val="18"/>
                <w:szCs w:val="18"/>
              </w:rPr>
              <w:t>color</w:t>
            </w:r>
            <w:proofErr w:type="spellEnd"/>
            <w:r w:rsidRPr="00F72919">
              <w:rPr>
                <w:rFonts w:asciiTheme="majorHAnsi" w:hAnsiTheme="majorHAnsi" w:cstheme="majorHAnsi"/>
                <w:sz w:val="18"/>
                <w:szCs w:val="18"/>
              </w:rPr>
              <w:t xml:space="preserve">, this research elucidates the effect it had on the viewer's perception and interpretation. Applying this analytical lens to the oldest extant Ottoman Mosque in Greece, the Sultan Bayezid II Mosque in </w:t>
            </w:r>
            <w:proofErr w:type="spellStart"/>
            <w:r w:rsidRPr="00F72919">
              <w:rPr>
                <w:rFonts w:asciiTheme="majorHAnsi" w:hAnsiTheme="majorHAnsi" w:cstheme="majorHAnsi"/>
                <w:sz w:val="18"/>
                <w:szCs w:val="18"/>
              </w:rPr>
              <w:t>Didymóteichon</w:t>
            </w:r>
            <w:proofErr w:type="spellEnd"/>
            <w:r w:rsidRPr="00F72919">
              <w:rPr>
                <w:rFonts w:asciiTheme="majorHAnsi" w:hAnsiTheme="majorHAnsi" w:cstheme="majorHAnsi"/>
                <w:sz w:val="18"/>
                <w:szCs w:val="18"/>
              </w:rPr>
              <w:t xml:space="preserve">, the paper presents a nuanced exploration of the visual impact generated by </w:t>
            </w:r>
            <w:proofErr w:type="spellStart"/>
            <w:r w:rsidRPr="00F72919">
              <w:rPr>
                <w:rFonts w:asciiTheme="majorHAnsi" w:hAnsiTheme="majorHAnsi" w:cstheme="majorHAnsi"/>
                <w:sz w:val="18"/>
                <w:szCs w:val="18"/>
              </w:rPr>
              <w:t>color</w:t>
            </w:r>
            <w:proofErr w:type="spellEnd"/>
            <w:r w:rsidRPr="00F72919">
              <w:rPr>
                <w:rFonts w:asciiTheme="majorHAnsi" w:hAnsiTheme="majorHAnsi" w:cstheme="majorHAnsi"/>
                <w:sz w:val="18"/>
                <w:szCs w:val="18"/>
              </w:rPr>
              <w:t xml:space="preserve"> within the inscriptional elements of this significant edifice. The findings demonstrate how the Ottomans' strategic deployment of </w:t>
            </w:r>
            <w:proofErr w:type="spellStart"/>
            <w:r w:rsidRPr="00F72919">
              <w:rPr>
                <w:rFonts w:asciiTheme="majorHAnsi" w:hAnsiTheme="majorHAnsi" w:cstheme="majorHAnsi"/>
                <w:sz w:val="18"/>
                <w:szCs w:val="18"/>
              </w:rPr>
              <w:t>color</w:t>
            </w:r>
            <w:proofErr w:type="spellEnd"/>
            <w:r w:rsidRPr="00F72919">
              <w:rPr>
                <w:rFonts w:asciiTheme="majorHAnsi" w:hAnsiTheme="majorHAnsi" w:cstheme="majorHAnsi"/>
                <w:sz w:val="18"/>
                <w:szCs w:val="18"/>
              </w:rPr>
              <w:t xml:space="preserve">, mainly through the skilful juxtaposition of contrasting hues and harmonious combinations, enhances the aesthetic appeal of the inscriptions, conveying a tangible sense of authority and captivating the viewer's attention. This research provides a novel perspective for understanding the sophisticated visual communication strategies employed in Ottoman epigraphy, underscoring the pivotal role of </w:t>
            </w:r>
            <w:proofErr w:type="spellStart"/>
            <w:r w:rsidRPr="00F72919">
              <w:rPr>
                <w:rFonts w:asciiTheme="majorHAnsi" w:hAnsiTheme="majorHAnsi" w:cstheme="majorHAnsi"/>
                <w:sz w:val="18"/>
                <w:szCs w:val="18"/>
              </w:rPr>
              <w:t>color</w:t>
            </w:r>
            <w:proofErr w:type="spellEnd"/>
            <w:r w:rsidRPr="00F72919">
              <w:rPr>
                <w:rFonts w:asciiTheme="majorHAnsi" w:hAnsiTheme="majorHAnsi" w:cstheme="majorHAnsi"/>
                <w:sz w:val="18"/>
                <w:szCs w:val="18"/>
              </w:rPr>
              <w:t xml:space="preserve"> as a crucial element in shaping the inscriptions' visual resonance and symbolic import. This study offers valuable insights into the cultural, aesthetic, and communicative dimensions of Ottoman visual culture by illuminating the multifaceted significance of chromatic expression within this artistic tradition</w:t>
            </w:r>
            <w:r>
              <w:rPr>
                <w:rFonts w:asciiTheme="majorHAnsi" w:hAnsiTheme="majorHAnsi" w:cstheme="majorHAnsi"/>
                <w:sz w:val="18"/>
                <w:szCs w:val="18"/>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2DD41EB8" w:rsidR="001D517C" w:rsidRPr="004C7CB9" w:rsidRDefault="00F72919" w:rsidP="001D517C">
            <w:pPr>
              <w:jc w:val="both"/>
              <w:rPr>
                <w:rFonts w:asciiTheme="majorHAnsi" w:hAnsiTheme="majorHAnsi" w:cstheme="majorHAnsi"/>
                <w:sz w:val="18"/>
                <w:szCs w:val="18"/>
                <w:lang w:val="en-US"/>
              </w:rPr>
            </w:pPr>
            <w:r w:rsidRPr="00F72919">
              <w:rPr>
                <w:rFonts w:asciiTheme="majorHAnsi" w:hAnsiTheme="majorHAnsi" w:cstheme="majorHAnsi"/>
                <w:sz w:val="18"/>
                <w:szCs w:val="18"/>
              </w:rPr>
              <w:t xml:space="preserve">Ottoman Greece; Sultan Bayezid II Mosque in </w:t>
            </w:r>
            <w:proofErr w:type="spellStart"/>
            <w:r w:rsidRPr="00F72919">
              <w:rPr>
                <w:rFonts w:asciiTheme="majorHAnsi" w:hAnsiTheme="majorHAnsi" w:cstheme="majorHAnsi"/>
                <w:sz w:val="18"/>
                <w:szCs w:val="18"/>
              </w:rPr>
              <w:t>Didymóteichon</w:t>
            </w:r>
            <w:proofErr w:type="spellEnd"/>
            <w:r w:rsidRPr="00F72919">
              <w:rPr>
                <w:rFonts w:asciiTheme="majorHAnsi" w:hAnsiTheme="majorHAnsi" w:cstheme="majorHAnsi"/>
                <w:sz w:val="18"/>
                <w:szCs w:val="18"/>
              </w:rPr>
              <w:t xml:space="preserve">; Islamic Epigraphy; Visual Impact; </w:t>
            </w:r>
            <w:proofErr w:type="spellStart"/>
            <w:r w:rsidRPr="00F72919">
              <w:rPr>
                <w:rFonts w:asciiTheme="majorHAnsi" w:hAnsiTheme="majorHAnsi" w:cstheme="majorHAnsi"/>
                <w:sz w:val="18"/>
                <w:szCs w:val="18"/>
              </w:rPr>
              <w:t>Colors</w:t>
            </w:r>
            <w:proofErr w:type="spellEnd"/>
            <w:r w:rsidRPr="00F72919">
              <w:rPr>
                <w:rFonts w:asciiTheme="majorHAnsi" w:hAnsiTheme="majorHAnsi" w:cstheme="majorHAnsi"/>
                <w:sz w:val="18"/>
                <w:szCs w:val="18"/>
              </w:rPr>
              <w:t xml:space="preserve">; Red </w:t>
            </w:r>
            <w:proofErr w:type="spellStart"/>
            <w:r w:rsidRPr="00F72919">
              <w:rPr>
                <w:rFonts w:asciiTheme="majorHAnsi" w:hAnsiTheme="majorHAnsi" w:cstheme="majorHAnsi"/>
                <w:sz w:val="18"/>
                <w:szCs w:val="18"/>
              </w:rPr>
              <w:t>Color</w:t>
            </w:r>
            <w:proofErr w:type="spellEnd"/>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709594FC"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INTRODUCTION</w:t>
      </w:r>
    </w:p>
    <w:p w14:paraId="218344F4" w14:textId="77777777" w:rsidR="00F72919" w:rsidRPr="00F72919" w:rsidRDefault="00F72919" w:rsidP="00F72919">
      <w:pPr>
        <w:ind w:firstLine="284"/>
        <w:jc w:val="both"/>
        <w:rPr>
          <w:rFonts w:asciiTheme="majorHAnsi" w:hAnsiTheme="majorHAnsi" w:cstheme="majorHAnsi"/>
          <w:sz w:val="20"/>
          <w:szCs w:val="20"/>
        </w:rPr>
      </w:pPr>
      <w:r w:rsidRPr="00F72919">
        <w:rPr>
          <w:rFonts w:asciiTheme="majorHAnsi" w:hAnsiTheme="majorHAnsi" w:cstheme="majorHAnsi"/>
          <w:sz w:val="20"/>
          <w:szCs w:val="20"/>
        </w:rPr>
        <w:t xml:space="preserve">The Ottoman Empire's historical footprint in present-day Greece dates back to 1361 AD, when it gained control of the town of </w:t>
      </w:r>
      <w:proofErr w:type="spellStart"/>
      <w:r w:rsidRPr="00F72919">
        <w:rPr>
          <w:rFonts w:asciiTheme="majorHAnsi" w:hAnsiTheme="majorHAnsi" w:cstheme="majorHAnsi"/>
          <w:sz w:val="20"/>
          <w:szCs w:val="20"/>
        </w:rPr>
        <w:t>Didymóteichon</w:t>
      </w:r>
      <w:proofErr w:type="spellEnd"/>
      <w:r w:rsidRPr="00F72919">
        <w:rPr>
          <w:rFonts w:asciiTheme="majorHAnsi" w:hAnsiTheme="majorHAnsi" w:cstheme="majorHAnsi"/>
          <w:sz w:val="20"/>
          <w:szCs w:val="20"/>
        </w:rPr>
        <w:t xml:space="preserve">. Over the course of nearly three to five centuries, the Ottomans governed various Greek territories, including Thrace, Macedonia, and Thessaly. They oversaw the construction of numerous buildings across the region. Despite the loss of a significant portion of this architectural heritage due to various factors, the remaining Ottoman structures in Greece stand as a testament to one of the most well-preserved and diverse collections of Ottoman architecture in the Balkans </w:t>
      </w:r>
      <w:r w:rsidRPr="00F72919">
        <w:rPr>
          <w:rFonts w:asciiTheme="majorHAnsi" w:hAnsiTheme="majorHAnsi" w:cstheme="majorHAnsi"/>
          <w:sz w:val="20"/>
          <w:szCs w:val="20"/>
        </w:rPr>
        <w:fldChar w:fldCharType="begin" w:fldLock="1"/>
      </w:r>
      <w:r w:rsidRPr="00F72919">
        <w:rPr>
          <w:rFonts w:asciiTheme="majorHAnsi" w:hAnsiTheme="majorHAnsi" w:cstheme="majorHAnsi"/>
          <w:sz w:val="20"/>
          <w:szCs w:val="20"/>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F72919">
        <w:rPr>
          <w:rFonts w:asciiTheme="majorHAnsi" w:hAnsiTheme="majorHAnsi" w:cstheme="majorHAnsi"/>
          <w:sz w:val="20"/>
          <w:szCs w:val="20"/>
        </w:rPr>
        <w:fldChar w:fldCharType="separate"/>
      </w:r>
      <w:r w:rsidRPr="00F72919">
        <w:rPr>
          <w:rFonts w:asciiTheme="majorHAnsi" w:hAnsiTheme="majorHAnsi" w:cstheme="majorHAnsi"/>
          <w:sz w:val="20"/>
          <w:szCs w:val="20"/>
        </w:rPr>
        <w:t>[1]</w:t>
      </w:r>
      <w:r w:rsidRPr="00F72919">
        <w:rPr>
          <w:rFonts w:asciiTheme="majorHAnsi" w:hAnsiTheme="majorHAnsi" w:cstheme="majorHAnsi"/>
          <w:sz w:val="20"/>
          <w:szCs w:val="20"/>
        </w:rPr>
        <w:fldChar w:fldCharType="end"/>
      </w:r>
      <w:r w:rsidRPr="00F72919">
        <w:rPr>
          <w:rFonts w:asciiTheme="majorHAnsi" w:hAnsiTheme="majorHAnsi" w:cstheme="majorHAnsi"/>
          <w:sz w:val="20"/>
          <w:szCs w:val="20"/>
        </w:rPr>
        <w:t xml:space="preserve">, </w:t>
      </w:r>
      <w:r w:rsidRPr="00F72919">
        <w:rPr>
          <w:rFonts w:asciiTheme="majorHAnsi" w:hAnsiTheme="majorHAnsi" w:cstheme="majorHAnsi"/>
          <w:sz w:val="20"/>
          <w:szCs w:val="20"/>
        </w:rPr>
        <w:fldChar w:fldCharType="begin" w:fldLock="1"/>
      </w:r>
      <w:r w:rsidRPr="00F72919">
        <w:rPr>
          <w:rFonts w:asciiTheme="majorHAnsi" w:hAnsiTheme="majorHAnsi" w:cstheme="majorHAnsi"/>
          <w:sz w:val="20"/>
          <w:szCs w:val="20"/>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F72919">
        <w:rPr>
          <w:rFonts w:asciiTheme="majorHAnsi" w:hAnsiTheme="majorHAnsi" w:cstheme="majorHAnsi"/>
          <w:sz w:val="20"/>
          <w:szCs w:val="20"/>
        </w:rPr>
        <w:fldChar w:fldCharType="separate"/>
      </w:r>
      <w:r w:rsidRPr="00F72919">
        <w:rPr>
          <w:rFonts w:asciiTheme="majorHAnsi" w:hAnsiTheme="majorHAnsi" w:cstheme="majorHAnsi"/>
          <w:sz w:val="20"/>
          <w:szCs w:val="20"/>
        </w:rPr>
        <w:t>[2]</w:t>
      </w:r>
      <w:r w:rsidRPr="00F72919">
        <w:rPr>
          <w:rFonts w:asciiTheme="majorHAnsi" w:hAnsiTheme="majorHAnsi" w:cstheme="majorHAnsi"/>
          <w:sz w:val="20"/>
          <w:szCs w:val="20"/>
        </w:rPr>
        <w:fldChar w:fldCharType="end"/>
      </w:r>
      <w:r w:rsidRPr="00F72919">
        <w:rPr>
          <w:rFonts w:asciiTheme="majorHAnsi" w:hAnsiTheme="majorHAnsi" w:cstheme="majorHAnsi"/>
          <w:sz w:val="20"/>
          <w:szCs w:val="20"/>
        </w:rPr>
        <w:t xml:space="preserve">, </w:t>
      </w:r>
      <w:r w:rsidRPr="00F72919">
        <w:rPr>
          <w:rFonts w:asciiTheme="majorHAnsi" w:hAnsiTheme="majorHAnsi" w:cstheme="majorHAnsi"/>
          <w:sz w:val="20"/>
          <w:szCs w:val="20"/>
        </w:rPr>
        <w:fldChar w:fldCharType="begin" w:fldLock="1"/>
      </w:r>
      <w:r w:rsidRPr="00F72919">
        <w:rPr>
          <w:rFonts w:asciiTheme="majorHAnsi" w:hAnsiTheme="majorHAnsi" w:cstheme="majorHAnsi"/>
          <w:sz w:val="20"/>
          <w:szCs w:val="20"/>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F72919">
        <w:rPr>
          <w:rFonts w:asciiTheme="majorHAnsi" w:hAnsiTheme="majorHAnsi" w:cstheme="majorHAnsi"/>
          <w:sz w:val="20"/>
          <w:szCs w:val="20"/>
        </w:rPr>
        <w:fldChar w:fldCharType="separate"/>
      </w:r>
      <w:r w:rsidRPr="00F72919">
        <w:rPr>
          <w:rFonts w:asciiTheme="majorHAnsi" w:hAnsiTheme="majorHAnsi" w:cstheme="majorHAnsi"/>
          <w:sz w:val="20"/>
          <w:szCs w:val="20"/>
        </w:rPr>
        <w:t>[3]</w:t>
      </w:r>
      <w:r w:rsidRPr="00F72919">
        <w:rPr>
          <w:rFonts w:asciiTheme="majorHAnsi" w:hAnsiTheme="majorHAnsi" w:cstheme="majorHAnsi"/>
          <w:sz w:val="20"/>
          <w:szCs w:val="20"/>
        </w:rPr>
        <w:fldChar w:fldCharType="end"/>
      </w:r>
      <w:r w:rsidRPr="00F72919">
        <w:rPr>
          <w:rFonts w:asciiTheme="majorHAnsi" w:hAnsiTheme="majorHAnsi" w:cstheme="majorHAnsi"/>
          <w:sz w:val="20"/>
          <w:szCs w:val="20"/>
        </w:rPr>
        <w:t xml:space="preserve">, </w:t>
      </w:r>
      <w:r w:rsidRPr="00F72919">
        <w:rPr>
          <w:rFonts w:asciiTheme="majorHAnsi" w:hAnsiTheme="majorHAnsi" w:cstheme="majorHAnsi"/>
          <w:sz w:val="20"/>
          <w:szCs w:val="20"/>
        </w:rPr>
        <w:fldChar w:fldCharType="begin" w:fldLock="1"/>
      </w:r>
      <w:r w:rsidRPr="00F72919">
        <w:rPr>
          <w:rFonts w:asciiTheme="majorHAnsi" w:hAnsiTheme="majorHAnsi" w:cstheme="majorHAnsi"/>
          <w:sz w:val="20"/>
          <w:szCs w:val="20"/>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F72919">
        <w:rPr>
          <w:rFonts w:asciiTheme="majorHAnsi" w:hAnsiTheme="majorHAnsi" w:cstheme="majorHAnsi"/>
          <w:sz w:val="20"/>
          <w:szCs w:val="20"/>
        </w:rPr>
        <w:fldChar w:fldCharType="separate"/>
      </w:r>
      <w:r w:rsidRPr="00F72919">
        <w:rPr>
          <w:rFonts w:asciiTheme="majorHAnsi" w:hAnsiTheme="majorHAnsi" w:cstheme="majorHAnsi"/>
          <w:sz w:val="20"/>
          <w:szCs w:val="20"/>
        </w:rPr>
        <w:t>[4]</w:t>
      </w:r>
      <w:r w:rsidRPr="00F72919">
        <w:rPr>
          <w:rFonts w:asciiTheme="majorHAnsi" w:hAnsiTheme="majorHAnsi" w:cstheme="majorHAnsi"/>
          <w:sz w:val="20"/>
          <w:szCs w:val="20"/>
        </w:rPr>
        <w:fldChar w:fldCharType="end"/>
      </w:r>
      <w:r w:rsidRPr="00F72919">
        <w:rPr>
          <w:rFonts w:asciiTheme="majorHAnsi" w:hAnsiTheme="majorHAnsi" w:cstheme="majorHAnsi"/>
          <w:sz w:val="20"/>
          <w:szCs w:val="20"/>
        </w:rPr>
        <w:t xml:space="preserve">, </w:t>
      </w:r>
      <w:r w:rsidRPr="00F72919">
        <w:rPr>
          <w:rFonts w:asciiTheme="majorHAnsi" w:hAnsiTheme="majorHAnsi" w:cstheme="majorHAnsi"/>
          <w:sz w:val="20"/>
          <w:szCs w:val="20"/>
        </w:rPr>
        <w:fldChar w:fldCharType="begin" w:fldLock="1"/>
      </w:r>
      <w:r w:rsidRPr="00F72919">
        <w:rPr>
          <w:rFonts w:asciiTheme="majorHAnsi" w:hAnsiTheme="majorHAnsi" w:cstheme="majorHAnsi"/>
          <w:sz w:val="20"/>
          <w:szCs w:val="20"/>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F72919">
        <w:rPr>
          <w:rFonts w:asciiTheme="majorHAnsi" w:hAnsiTheme="majorHAnsi" w:cstheme="majorHAnsi"/>
          <w:sz w:val="20"/>
          <w:szCs w:val="20"/>
        </w:rPr>
        <w:fldChar w:fldCharType="separate"/>
      </w:r>
      <w:r w:rsidRPr="00F72919">
        <w:rPr>
          <w:rFonts w:asciiTheme="majorHAnsi" w:hAnsiTheme="majorHAnsi" w:cstheme="majorHAnsi"/>
          <w:sz w:val="20"/>
          <w:szCs w:val="20"/>
        </w:rPr>
        <w:t>[5]</w:t>
      </w:r>
      <w:r w:rsidRPr="00F72919">
        <w:rPr>
          <w:rFonts w:asciiTheme="majorHAnsi" w:hAnsiTheme="majorHAnsi" w:cstheme="majorHAnsi"/>
          <w:sz w:val="20"/>
          <w:szCs w:val="20"/>
        </w:rPr>
        <w:fldChar w:fldCharType="end"/>
      </w:r>
      <w:r w:rsidRPr="00F72919">
        <w:rPr>
          <w:rFonts w:asciiTheme="majorHAnsi" w:hAnsiTheme="majorHAnsi" w:cstheme="majorHAnsi"/>
          <w:sz w:val="20"/>
          <w:szCs w:val="20"/>
        </w:rPr>
        <w:t xml:space="preserve">, </w:t>
      </w:r>
      <w:r w:rsidRPr="00F72919">
        <w:rPr>
          <w:rFonts w:asciiTheme="majorHAnsi" w:hAnsiTheme="majorHAnsi" w:cstheme="majorHAnsi"/>
          <w:sz w:val="20"/>
          <w:szCs w:val="20"/>
        </w:rPr>
        <w:fldChar w:fldCharType="begin" w:fldLock="1"/>
      </w:r>
      <w:r w:rsidRPr="00F72919">
        <w:rPr>
          <w:rFonts w:asciiTheme="majorHAnsi" w:hAnsiTheme="majorHAnsi" w:cstheme="majorHAnsi"/>
          <w:sz w:val="20"/>
          <w:szCs w:val="20"/>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F72919">
        <w:rPr>
          <w:rFonts w:asciiTheme="majorHAnsi" w:hAnsiTheme="majorHAnsi" w:cstheme="majorHAnsi"/>
          <w:sz w:val="20"/>
          <w:szCs w:val="20"/>
        </w:rPr>
        <w:fldChar w:fldCharType="separate"/>
      </w:r>
      <w:r w:rsidRPr="00F72919">
        <w:rPr>
          <w:rFonts w:asciiTheme="majorHAnsi" w:hAnsiTheme="majorHAnsi" w:cstheme="majorHAnsi"/>
          <w:sz w:val="20"/>
          <w:szCs w:val="20"/>
        </w:rPr>
        <w:t>[6]</w:t>
      </w:r>
      <w:r w:rsidRPr="00F72919">
        <w:rPr>
          <w:rFonts w:asciiTheme="majorHAnsi" w:hAnsiTheme="majorHAnsi" w:cstheme="majorHAnsi"/>
          <w:sz w:val="20"/>
          <w:szCs w:val="20"/>
        </w:rPr>
        <w:fldChar w:fldCharType="end"/>
      </w:r>
      <w:r w:rsidRPr="00F72919">
        <w:rPr>
          <w:rFonts w:asciiTheme="majorHAnsi" w:hAnsiTheme="majorHAnsi" w:cstheme="majorHAnsi"/>
          <w:sz w:val="20"/>
          <w:szCs w:val="20"/>
        </w:rPr>
        <w:t xml:space="preserve">, </w:t>
      </w:r>
      <w:r w:rsidRPr="00F72919">
        <w:rPr>
          <w:rFonts w:asciiTheme="majorHAnsi" w:hAnsiTheme="majorHAnsi" w:cstheme="majorHAnsi"/>
          <w:sz w:val="20"/>
          <w:szCs w:val="20"/>
        </w:rPr>
        <w:fldChar w:fldCharType="begin" w:fldLock="1"/>
      </w:r>
      <w:r w:rsidRPr="00F72919">
        <w:rPr>
          <w:rFonts w:asciiTheme="majorHAnsi" w:hAnsiTheme="majorHAnsi" w:cstheme="majorHAnsi"/>
          <w:sz w:val="20"/>
          <w:szCs w:val="20"/>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F72919">
        <w:rPr>
          <w:rFonts w:asciiTheme="majorHAnsi" w:hAnsiTheme="majorHAnsi" w:cstheme="majorHAnsi"/>
          <w:sz w:val="20"/>
          <w:szCs w:val="20"/>
        </w:rPr>
        <w:fldChar w:fldCharType="separate"/>
      </w:r>
      <w:r w:rsidRPr="00F72919">
        <w:rPr>
          <w:rFonts w:asciiTheme="majorHAnsi" w:hAnsiTheme="majorHAnsi" w:cstheme="majorHAnsi"/>
          <w:sz w:val="20"/>
          <w:szCs w:val="20"/>
        </w:rPr>
        <w:t>[7]</w:t>
      </w:r>
      <w:r w:rsidRPr="00F72919">
        <w:rPr>
          <w:rFonts w:asciiTheme="majorHAnsi" w:hAnsiTheme="majorHAnsi" w:cstheme="majorHAnsi"/>
          <w:sz w:val="20"/>
          <w:szCs w:val="20"/>
        </w:rPr>
        <w:fldChar w:fldCharType="end"/>
      </w:r>
      <w:r w:rsidRPr="00F72919">
        <w:rPr>
          <w:rFonts w:asciiTheme="majorHAnsi" w:hAnsiTheme="majorHAnsi" w:cstheme="majorHAnsi"/>
          <w:sz w:val="20"/>
          <w:szCs w:val="20"/>
        </w:rPr>
        <w:t xml:space="preserve">, </w:t>
      </w:r>
      <w:r w:rsidRPr="00F72919">
        <w:rPr>
          <w:rFonts w:asciiTheme="majorHAnsi" w:hAnsiTheme="majorHAnsi" w:cstheme="majorHAnsi"/>
          <w:sz w:val="20"/>
          <w:szCs w:val="20"/>
        </w:rPr>
        <w:fldChar w:fldCharType="begin" w:fldLock="1"/>
      </w:r>
      <w:r w:rsidRPr="00F72919">
        <w:rPr>
          <w:rFonts w:asciiTheme="majorHAnsi" w:hAnsiTheme="majorHAnsi" w:cstheme="majorHAnsi"/>
          <w:sz w:val="20"/>
          <w:szCs w:val="20"/>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F72919">
        <w:rPr>
          <w:rFonts w:asciiTheme="majorHAnsi" w:hAnsiTheme="majorHAnsi" w:cstheme="majorHAnsi"/>
          <w:sz w:val="20"/>
          <w:szCs w:val="20"/>
        </w:rPr>
        <w:fldChar w:fldCharType="separate"/>
      </w:r>
      <w:r w:rsidRPr="00F72919">
        <w:rPr>
          <w:rFonts w:asciiTheme="majorHAnsi" w:hAnsiTheme="majorHAnsi" w:cstheme="majorHAnsi"/>
          <w:sz w:val="20"/>
          <w:szCs w:val="20"/>
        </w:rPr>
        <w:t>[8]</w:t>
      </w:r>
      <w:r w:rsidRPr="00F72919">
        <w:rPr>
          <w:rFonts w:asciiTheme="majorHAnsi" w:hAnsiTheme="majorHAnsi" w:cstheme="majorHAnsi"/>
          <w:sz w:val="20"/>
          <w:szCs w:val="20"/>
        </w:rPr>
        <w:fldChar w:fldCharType="end"/>
      </w:r>
      <w:r w:rsidRPr="00F72919">
        <w:rPr>
          <w:rFonts w:asciiTheme="majorHAnsi" w:hAnsiTheme="majorHAnsi" w:cstheme="majorHAnsi"/>
          <w:sz w:val="20"/>
          <w:szCs w:val="20"/>
        </w:rPr>
        <w:t>.</w:t>
      </w:r>
    </w:p>
    <w:p w14:paraId="43F9011C" w14:textId="77777777" w:rsidR="00F72919" w:rsidRPr="00F72919" w:rsidRDefault="00F72919" w:rsidP="00F72919">
      <w:pPr>
        <w:ind w:firstLine="284"/>
        <w:jc w:val="both"/>
        <w:rPr>
          <w:rFonts w:asciiTheme="majorHAnsi" w:hAnsiTheme="majorHAnsi" w:cstheme="majorHAnsi"/>
          <w:sz w:val="20"/>
          <w:szCs w:val="20"/>
        </w:rPr>
      </w:pPr>
      <w:r w:rsidRPr="00F72919">
        <w:rPr>
          <w:rFonts w:asciiTheme="majorHAnsi" w:hAnsiTheme="majorHAnsi" w:cstheme="majorHAnsi"/>
          <w:sz w:val="20"/>
          <w:szCs w:val="20"/>
        </w:rPr>
        <w:t xml:space="preserve">A defining feature of Islamic art and architecture is the extensive use of calligraphy, and the Ottoman tradition was no exception. Although many Ottoman inscriptions in Greece have been lost over time, the surviving examples represent a significant and diverse collection of Ottoman epigraphy in the Balkans. During the early Ottoman period, which spanned from the inception of their rule until the early 16th century, Arabic served as the primary language for the foundation and historical inscriptions found across Greece and the broader Balkans region </w:t>
      </w:r>
      <w:r w:rsidRPr="00F72919">
        <w:rPr>
          <w:rFonts w:asciiTheme="majorHAnsi" w:hAnsiTheme="majorHAnsi" w:cstheme="majorHAnsi"/>
          <w:sz w:val="20"/>
          <w:szCs w:val="20"/>
        </w:rPr>
        <w:fldChar w:fldCharType="begin" w:fldLock="1"/>
      </w:r>
      <w:r w:rsidRPr="00F72919">
        <w:rPr>
          <w:rFonts w:asciiTheme="majorHAnsi" w:hAnsiTheme="majorHAnsi" w:cstheme="majorHAnsi"/>
          <w:sz w:val="20"/>
          <w:szCs w:val="20"/>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F72919">
        <w:rPr>
          <w:rFonts w:asciiTheme="majorHAnsi" w:hAnsiTheme="majorHAnsi" w:cstheme="majorHAnsi"/>
          <w:sz w:val="20"/>
          <w:szCs w:val="20"/>
        </w:rPr>
        <w:fldChar w:fldCharType="separate"/>
      </w:r>
      <w:r w:rsidRPr="00F72919">
        <w:rPr>
          <w:rFonts w:asciiTheme="majorHAnsi" w:hAnsiTheme="majorHAnsi" w:cstheme="majorHAnsi"/>
          <w:sz w:val="20"/>
          <w:szCs w:val="20"/>
        </w:rPr>
        <w:t>[9]</w:t>
      </w:r>
      <w:r w:rsidRPr="00F72919">
        <w:rPr>
          <w:rFonts w:asciiTheme="majorHAnsi" w:hAnsiTheme="majorHAnsi" w:cstheme="majorHAnsi"/>
          <w:sz w:val="20"/>
          <w:szCs w:val="20"/>
        </w:rPr>
        <w:fldChar w:fldCharType="end"/>
      </w:r>
      <w:r w:rsidRPr="00F72919">
        <w:rPr>
          <w:rFonts w:asciiTheme="majorHAnsi" w:hAnsiTheme="majorHAnsi" w:cstheme="majorHAnsi"/>
          <w:sz w:val="20"/>
          <w:szCs w:val="20"/>
        </w:rPr>
        <w:t xml:space="preserve">, </w:t>
      </w:r>
      <w:r w:rsidRPr="00F72919">
        <w:rPr>
          <w:rFonts w:asciiTheme="majorHAnsi" w:hAnsiTheme="majorHAnsi" w:cstheme="majorHAnsi"/>
          <w:sz w:val="20"/>
          <w:szCs w:val="20"/>
        </w:rPr>
        <w:fldChar w:fldCharType="begin" w:fldLock="1"/>
      </w:r>
      <w:r w:rsidRPr="00F72919">
        <w:rPr>
          <w:rFonts w:asciiTheme="majorHAnsi" w:hAnsiTheme="majorHAnsi" w:cstheme="majorHAnsi"/>
          <w:sz w:val="20"/>
          <w:szCs w:val="20"/>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F72919">
        <w:rPr>
          <w:rFonts w:asciiTheme="majorHAnsi" w:hAnsiTheme="majorHAnsi" w:cstheme="majorHAnsi"/>
          <w:sz w:val="20"/>
          <w:szCs w:val="20"/>
        </w:rPr>
        <w:fldChar w:fldCharType="separate"/>
      </w:r>
      <w:r w:rsidRPr="00F72919">
        <w:rPr>
          <w:rFonts w:asciiTheme="majorHAnsi" w:hAnsiTheme="majorHAnsi" w:cstheme="majorHAnsi"/>
          <w:sz w:val="20"/>
          <w:szCs w:val="20"/>
        </w:rPr>
        <w:t>[10]</w:t>
      </w:r>
      <w:r w:rsidRPr="00F72919">
        <w:rPr>
          <w:rFonts w:asciiTheme="majorHAnsi" w:hAnsiTheme="majorHAnsi" w:cstheme="majorHAnsi"/>
          <w:sz w:val="20"/>
          <w:szCs w:val="20"/>
        </w:rPr>
        <w:fldChar w:fldCharType="end"/>
      </w:r>
      <w:r w:rsidRPr="00F72919">
        <w:rPr>
          <w:rFonts w:asciiTheme="majorHAnsi" w:hAnsiTheme="majorHAnsi" w:cstheme="majorHAnsi"/>
          <w:sz w:val="20"/>
          <w:szCs w:val="20"/>
        </w:rPr>
        <w:t xml:space="preserve">, </w:t>
      </w:r>
      <w:r w:rsidRPr="00F72919">
        <w:rPr>
          <w:rFonts w:asciiTheme="majorHAnsi" w:hAnsiTheme="majorHAnsi" w:cstheme="majorHAnsi"/>
          <w:sz w:val="20"/>
          <w:szCs w:val="20"/>
        </w:rPr>
        <w:fldChar w:fldCharType="begin" w:fldLock="1"/>
      </w:r>
      <w:r w:rsidRPr="00F72919">
        <w:rPr>
          <w:rFonts w:asciiTheme="majorHAnsi" w:hAnsiTheme="majorHAnsi" w:cstheme="majorHAnsi"/>
          <w:sz w:val="20"/>
          <w:szCs w:val="20"/>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F72919">
        <w:rPr>
          <w:rFonts w:asciiTheme="majorHAnsi" w:hAnsiTheme="majorHAnsi" w:cstheme="majorHAnsi"/>
          <w:sz w:val="20"/>
          <w:szCs w:val="20"/>
        </w:rPr>
        <w:fldChar w:fldCharType="separate"/>
      </w:r>
      <w:r w:rsidRPr="00F72919">
        <w:rPr>
          <w:rFonts w:asciiTheme="majorHAnsi" w:hAnsiTheme="majorHAnsi" w:cstheme="majorHAnsi"/>
          <w:sz w:val="20"/>
          <w:szCs w:val="20"/>
        </w:rPr>
        <w:t>[11]</w:t>
      </w:r>
      <w:r w:rsidRPr="00F72919">
        <w:rPr>
          <w:rFonts w:asciiTheme="majorHAnsi" w:hAnsiTheme="majorHAnsi" w:cstheme="majorHAnsi"/>
          <w:sz w:val="20"/>
          <w:szCs w:val="20"/>
        </w:rPr>
        <w:fldChar w:fldCharType="end"/>
      </w:r>
      <w:r w:rsidRPr="00F72919">
        <w:rPr>
          <w:rFonts w:asciiTheme="majorHAnsi" w:hAnsiTheme="majorHAnsi" w:cstheme="majorHAnsi"/>
          <w:sz w:val="20"/>
          <w:szCs w:val="20"/>
        </w:rPr>
        <w:t xml:space="preserve">, </w:t>
      </w:r>
      <w:r w:rsidRPr="00F72919">
        <w:rPr>
          <w:rFonts w:asciiTheme="majorHAnsi" w:hAnsiTheme="majorHAnsi" w:cstheme="majorHAnsi"/>
          <w:sz w:val="20"/>
          <w:szCs w:val="20"/>
        </w:rPr>
        <w:fldChar w:fldCharType="begin" w:fldLock="1"/>
      </w:r>
      <w:r w:rsidRPr="00F72919">
        <w:rPr>
          <w:rFonts w:asciiTheme="majorHAnsi" w:hAnsiTheme="majorHAnsi" w:cstheme="majorHAnsi"/>
          <w:sz w:val="20"/>
          <w:szCs w:val="20"/>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F72919">
        <w:rPr>
          <w:rFonts w:asciiTheme="majorHAnsi" w:hAnsiTheme="majorHAnsi" w:cstheme="majorHAnsi"/>
          <w:sz w:val="20"/>
          <w:szCs w:val="20"/>
        </w:rPr>
        <w:fldChar w:fldCharType="separate"/>
      </w:r>
      <w:r w:rsidRPr="00F72919">
        <w:rPr>
          <w:rFonts w:asciiTheme="majorHAnsi" w:hAnsiTheme="majorHAnsi" w:cstheme="majorHAnsi"/>
          <w:sz w:val="20"/>
          <w:szCs w:val="20"/>
        </w:rPr>
        <w:t>[12]</w:t>
      </w:r>
      <w:r w:rsidRPr="00F72919">
        <w:rPr>
          <w:rFonts w:asciiTheme="majorHAnsi" w:hAnsiTheme="majorHAnsi" w:cstheme="majorHAnsi"/>
          <w:sz w:val="20"/>
          <w:szCs w:val="20"/>
        </w:rPr>
        <w:fldChar w:fldCharType="end"/>
      </w:r>
      <w:r w:rsidRPr="00F72919">
        <w:rPr>
          <w:rFonts w:asciiTheme="majorHAnsi" w:hAnsiTheme="majorHAnsi" w:cstheme="majorHAnsi"/>
          <w:sz w:val="20"/>
          <w:szCs w:val="20"/>
        </w:rPr>
        <w:t xml:space="preserve">, </w:t>
      </w:r>
      <w:r w:rsidRPr="00F72919">
        <w:rPr>
          <w:rFonts w:asciiTheme="majorHAnsi" w:hAnsiTheme="majorHAnsi" w:cstheme="majorHAnsi"/>
          <w:sz w:val="20"/>
          <w:szCs w:val="20"/>
        </w:rPr>
        <w:fldChar w:fldCharType="begin" w:fldLock="1"/>
      </w:r>
      <w:r w:rsidRPr="00F72919">
        <w:rPr>
          <w:rFonts w:asciiTheme="majorHAnsi" w:hAnsiTheme="majorHAnsi" w:cstheme="majorHAnsi"/>
          <w:sz w:val="20"/>
          <w:szCs w:val="20"/>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F72919">
        <w:rPr>
          <w:rFonts w:asciiTheme="majorHAnsi" w:hAnsiTheme="majorHAnsi" w:cstheme="majorHAnsi"/>
          <w:sz w:val="20"/>
          <w:szCs w:val="20"/>
        </w:rPr>
        <w:fldChar w:fldCharType="separate"/>
      </w:r>
      <w:r w:rsidRPr="00F72919">
        <w:rPr>
          <w:rFonts w:asciiTheme="majorHAnsi" w:hAnsiTheme="majorHAnsi" w:cstheme="majorHAnsi"/>
          <w:sz w:val="20"/>
          <w:szCs w:val="20"/>
        </w:rPr>
        <w:t>[13]</w:t>
      </w:r>
      <w:r w:rsidRPr="00F72919">
        <w:rPr>
          <w:rFonts w:asciiTheme="majorHAnsi" w:hAnsiTheme="majorHAnsi" w:cstheme="majorHAnsi"/>
          <w:sz w:val="20"/>
          <w:szCs w:val="20"/>
        </w:rPr>
        <w:fldChar w:fldCharType="end"/>
      </w:r>
      <w:r w:rsidRPr="00F72919">
        <w:rPr>
          <w:rFonts w:asciiTheme="majorHAnsi" w:hAnsiTheme="majorHAnsi" w:cstheme="majorHAnsi"/>
          <w:sz w:val="20"/>
          <w:szCs w:val="20"/>
        </w:rPr>
        <w:t xml:space="preserve">. Of particular importance are the so-called "foundation" inscriptions, which offer valuable insights into the contemporary Ottoman communities. In Greece, 367 full or partial foundation/restoration inscriptions from Ottoman buildings have endured, 54 of which are in Arabic </w:t>
      </w:r>
      <w:r w:rsidRPr="00F72919">
        <w:rPr>
          <w:rFonts w:asciiTheme="majorHAnsi" w:hAnsiTheme="majorHAnsi" w:cstheme="majorHAnsi"/>
          <w:sz w:val="20"/>
          <w:szCs w:val="20"/>
        </w:rPr>
        <w:fldChar w:fldCharType="begin" w:fldLock="1"/>
      </w:r>
      <w:r w:rsidRPr="00F72919">
        <w:rPr>
          <w:rFonts w:asciiTheme="majorHAnsi" w:hAnsiTheme="majorHAnsi" w:cstheme="majorHAnsi"/>
          <w:sz w:val="20"/>
          <w:szCs w:val="20"/>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F72919">
        <w:rPr>
          <w:rFonts w:asciiTheme="majorHAnsi" w:hAnsiTheme="majorHAnsi" w:cstheme="majorHAnsi"/>
          <w:sz w:val="20"/>
          <w:szCs w:val="20"/>
        </w:rPr>
        <w:fldChar w:fldCharType="separate"/>
      </w:r>
      <w:r w:rsidRPr="00F72919">
        <w:rPr>
          <w:rFonts w:asciiTheme="majorHAnsi" w:hAnsiTheme="majorHAnsi" w:cstheme="majorHAnsi"/>
          <w:sz w:val="20"/>
          <w:szCs w:val="20"/>
        </w:rPr>
        <w:t>[13]</w:t>
      </w:r>
      <w:r w:rsidRPr="00F72919">
        <w:rPr>
          <w:rFonts w:asciiTheme="majorHAnsi" w:hAnsiTheme="majorHAnsi" w:cstheme="majorHAnsi"/>
          <w:sz w:val="20"/>
          <w:szCs w:val="20"/>
        </w:rPr>
        <w:fldChar w:fldCharType="end"/>
      </w:r>
      <w:r w:rsidRPr="00F72919">
        <w:rPr>
          <w:rFonts w:asciiTheme="majorHAnsi" w:hAnsiTheme="majorHAnsi" w:cstheme="majorHAnsi"/>
          <w:sz w:val="20"/>
          <w:szCs w:val="20"/>
        </w:rPr>
        <w:t xml:space="preserve">. Among these, the inscriptions </w:t>
      </w:r>
      <w:r w:rsidRPr="00F72919">
        <w:rPr>
          <w:rFonts w:asciiTheme="majorHAnsi" w:hAnsiTheme="majorHAnsi" w:cstheme="majorHAnsi"/>
          <w:sz w:val="20"/>
          <w:szCs w:val="20"/>
        </w:rPr>
        <w:lastRenderedPageBreak/>
        <w:t xml:space="preserve">adorning the Sultan Bayezid II Mosque in </w:t>
      </w:r>
      <w:proofErr w:type="spellStart"/>
      <w:r w:rsidRPr="00F72919">
        <w:rPr>
          <w:rFonts w:asciiTheme="majorHAnsi" w:hAnsiTheme="majorHAnsi" w:cstheme="majorHAnsi"/>
          <w:sz w:val="20"/>
          <w:szCs w:val="20"/>
        </w:rPr>
        <w:t>Didymóteichon</w:t>
      </w:r>
      <w:proofErr w:type="spellEnd"/>
      <w:r w:rsidRPr="00F72919">
        <w:rPr>
          <w:rFonts w:asciiTheme="majorHAnsi" w:hAnsiTheme="majorHAnsi" w:cstheme="majorHAnsi"/>
          <w:sz w:val="20"/>
          <w:szCs w:val="20"/>
        </w:rPr>
        <w:t xml:space="preserve"> are especially noteworthy for their exceptional artistry, complexity, and historical significance.</w:t>
      </w:r>
    </w:p>
    <w:p w14:paraId="42AC590D" w14:textId="77777777" w:rsidR="00F72919" w:rsidRPr="00F72919" w:rsidRDefault="00F72919" w:rsidP="00F72919">
      <w:pPr>
        <w:ind w:firstLine="284"/>
        <w:jc w:val="both"/>
        <w:rPr>
          <w:rFonts w:asciiTheme="majorHAnsi" w:hAnsiTheme="majorHAnsi" w:cstheme="majorHAnsi"/>
          <w:sz w:val="20"/>
          <w:szCs w:val="20"/>
        </w:rPr>
      </w:pPr>
      <w:r w:rsidRPr="00F72919">
        <w:rPr>
          <w:rFonts w:asciiTheme="majorHAnsi" w:hAnsiTheme="majorHAnsi" w:cstheme="majorHAnsi"/>
          <w:sz w:val="20"/>
          <w:szCs w:val="20"/>
        </w:rPr>
        <w:t xml:space="preserve">While the existing body of literature has addressed Ottoman inscriptions in Greece from the perspectives of linguistic analysis and content interpretation –a common approach in the study of Islamic epigraphy– there remains a dearth of dedicated research examining the pivotal role of </w:t>
      </w:r>
      <w:proofErr w:type="spellStart"/>
      <w:r w:rsidRPr="00F72919">
        <w:rPr>
          <w:rFonts w:asciiTheme="majorHAnsi" w:hAnsiTheme="majorHAnsi" w:cstheme="majorHAnsi"/>
          <w:sz w:val="20"/>
          <w:szCs w:val="20"/>
        </w:rPr>
        <w:t>color</w:t>
      </w:r>
      <w:proofErr w:type="spellEnd"/>
      <w:r w:rsidRPr="00F72919">
        <w:rPr>
          <w:rFonts w:asciiTheme="majorHAnsi" w:hAnsiTheme="majorHAnsi" w:cstheme="majorHAnsi"/>
          <w:sz w:val="20"/>
          <w:szCs w:val="20"/>
        </w:rPr>
        <w:t xml:space="preserve"> and its visual impact on these inscriptional works. Except for Ameen's insightful observations regarding the crucial contextual influence of visual elements in enhancing our understanding of architectural inscriptions </w:t>
      </w:r>
      <w:r w:rsidRPr="00F72919">
        <w:rPr>
          <w:rFonts w:asciiTheme="majorHAnsi" w:hAnsiTheme="majorHAnsi" w:cstheme="majorHAnsi"/>
          <w:sz w:val="20"/>
          <w:szCs w:val="20"/>
        </w:rPr>
        <w:fldChar w:fldCharType="begin" w:fldLock="1"/>
      </w:r>
      <w:r w:rsidRPr="00F72919">
        <w:rPr>
          <w:rFonts w:asciiTheme="majorHAnsi" w:hAnsiTheme="majorHAnsi" w:cstheme="majorHAnsi"/>
          <w:sz w:val="20"/>
          <w:szCs w:val="20"/>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F72919">
        <w:rPr>
          <w:rFonts w:asciiTheme="majorHAnsi" w:hAnsiTheme="majorHAnsi" w:cstheme="majorHAnsi"/>
          <w:sz w:val="20"/>
          <w:szCs w:val="20"/>
        </w:rPr>
        <w:fldChar w:fldCharType="separate"/>
      </w:r>
      <w:r w:rsidRPr="00F72919">
        <w:rPr>
          <w:rFonts w:asciiTheme="majorHAnsi" w:hAnsiTheme="majorHAnsi" w:cstheme="majorHAnsi"/>
          <w:sz w:val="20"/>
          <w:szCs w:val="20"/>
        </w:rPr>
        <w:t>[11]</w:t>
      </w:r>
      <w:r w:rsidRPr="00F72919">
        <w:rPr>
          <w:rFonts w:asciiTheme="majorHAnsi" w:hAnsiTheme="majorHAnsi" w:cstheme="majorHAnsi"/>
          <w:sz w:val="20"/>
          <w:szCs w:val="20"/>
        </w:rPr>
        <w:fldChar w:fldCharType="end"/>
      </w:r>
      <w:r w:rsidRPr="00F72919">
        <w:rPr>
          <w:rFonts w:asciiTheme="majorHAnsi" w:hAnsiTheme="majorHAnsi" w:cstheme="majorHAnsi"/>
          <w:sz w:val="20"/>
          <w:szCs w:val="20"/>
        </w:rPr>
        <w:t xml:space="preserve">, </w:t>
      </w:r>
      <w:r w:rsidRPr="00F72919">
        <w:rPr>
          <w:rFonts w:asciiTheme="majorHAnsi" w:hAnsiTheme="majorHAnsi" w:cstheme="majorHAnsi"/>
          <w:sz w:val="20"/>
          <w:szCs w:val="20"/>
        </w:rPr>
        <w:fldChar w:fldCharType="begin" w:fldLock="1"/>
      </w:r>
      <w:r w:rsidRPr="00F72919">
        <w:rPr>
          <w:rFonts w:asciiTheme="majorHAnsi" w:hAnsiTheme="majorHAnsi" w:cstheme="majorHAnsi"/>
          <w:sz w:val="20"/>
          <w:szCs w:val="20"/>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F72919">
        <w:rPr>
          <w:rFonts w:asciiTheme="majorHAnsi" w:hAnsiTheme="majorHAnsi" w:cstheme="majorHAnsi"/>
          <w:sz w:val="20"/>
          <w:szCs w:val="20"/>
        </w:rPr>
        <w:fldChar w:fldCharType="separate"/>
      </w:r>
      <w:r w:rsidRPr="00F72919">
        <w:rPr>
          <w:rFonts w:asciiTheme="majorHAnsi" w:hAnsiTheme="majorHAnsi" w:cstheme="majorHAnsi"/>
          <w:sz w:val="20"/>
          <w:szCs w:val="20"/>
        </w:rPr>
        <w:t>[12]</w:t>
      </w:r>
      <w:r w:rsidRPr="00F72919">
        <w:rPr>
          <w:rFonts w:asciiTheme="majorHAnsi" w:hAnsiTheme="majorHAnsi" w:cstheme="majorHAnsi"/>
          <w:sz w:val="20"/>
          <w:szCs w:val="20"/>
        </w:rPr>
        <w:fldChar w:fldCharType="end"/>
      </w:r>
      <w:r w:rsidRPr="00F72919">
        <w:rPr>
          <w:rFonts w:asciiTheme="majorHAnsi" w:hAnsiTheme="majorHAnsi" w:cstheme="majorHAnsi"/>
          <w:sz w:val="20"/>
          <w:szCs w:val="20"/>
        </w:rPr>
        <w:t xml:space="preserve">, </w:t>
      </w:r>
      <w:r w:rsidRPr="00F72919">
        <w:rPr>
          <w:rFonts w:asciiTheme="majorHAnsi" w:hAnsiTheme="majorHAnsi" w:cstheme="majorHAnsi"/>
          <w:sz w:val="20"/>
          <w:szCs w:val="20"/>
        </w:rPr>
        <w:fldChar w:fldCharType="begin" w:fldLock="1"/>
      </w:r>
      <w:r w:rsidRPr="00F72919">
        <w:rPr>
          <w:rFonts w:asciiTheme="majorHAnsi" w:hAnsiTheme="majorHAnsi" w:cstheme="majorHAnsi"/>
          <w:sz w:val="20"/>
          <w:szCs w:val="20"/>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F72919">
        <w:rPr>
          <w:rFonts w:asciiTheme="majorHAnsi" w:hAnsiTheme="majorHAnsi" w:cstheme="majorHAnsi"/>
          <w:sz w:val="20"/>
          <w:szCs w:val="20"/>
        </w:rPr>
        <w:fldChar w:fldCharType="separate"/>
      </w:r>
      <w:r w:rsidRPr="00F72919">
        <w:rPr>
          <w:rFonts w:asciiTheme="majorHAnsi" w:hAnsiTheme="majorHAnsi" w:cstheme="majorHAnsi"/>
          <w:sz w:val="20"/>
          <w:szCs w:val="20"/>
        </w:rPr>
        <w:t>[13]</w:t>
      </w:r>
      <w:r w:rsidRPr="00F72919">
        <w:rPr>
          <w:rFonts w:asciiTheme="majorHAnsi" w:hAnsiTheme="majorHAnsi" w:cstheme="majorHAnsi"/>
          <w:sz w:val="20"/>
          <w:szCs w:val="20"/>
        </w:rPr>
        <w:fldChar w:fldCharType="end"/>
      </w:r>
      <w:r w:rsidRPr="00F72919">
        <w:rPr>
          <w:rFonts w:asciiTheme="majorHAnsi" w:hAnsiTheme="majorHAnsi" w:cstheme="majorHAnsi"/>
          <w:sz w:val="20"/>
          <w:szCs w:val="20"/>
        </w:rPr>
        <w:t xml:space="preserve">, </w:t>
      </w:r>
      <w:r w:rsidRPr="00F72919">
        <w:rPr>
          <w:rFonts w:asciiTheme="majorHAnsi" w:hAnsiTheme="majorHAnsi" w:cstheme="majorHAnsi"/>
          <w:sz w:val="20"/>
          <w:szCs w:val="20"/>
        </w:rPr>
        <w:fldChar w:fldCharType="begin" w:fldLock="1"/>
      </w:r>
      <w:r w:rsidRPr="00F72919">
        <w:rPr>
          <w:rFonts w:asciiTheme="majorHAnsi" w:hAnsiTheme="majorHAnsi" w:cstheme="majorHAnsi"/>
          <w:sz w:val="20"/>
          <w:szCs w:val="20"/>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F72919">
        <w:rPr>
          <w:rFonts w:asciiTheme="majorHAnsi" w:hAnsiTheme="majorHAnsi" w:cstheme="majorHAnsi"/>
          <w:sz w:val="20"/>
          <w:szCs w:val="20"/>
        </w:rPr>
        <w:fldChar w:fldCharType="separate"/>
      </w:r>
      <w:r w:rsidRPr="00F72919">
        <w:rPr>
          <w:rFonts w:asciiTheme="majorHAnsi" w:hAnsiTheme="majorHAnsi" w:cstheme="majorHAnsi"/>
          <w:sz w:val="20"/>
          <w:szCs w:val="20"/>
        </w:rPr>
        <w:t>[14]</w:t>
      </w:r>
      <w:r w:rsidRPr="00F72919">
        <w:rPr>
          <w:rFonts w:asciiTheme="majorHAnsi" w:hAnsiTheme="majorHAnsi" w:cstheme="majorHAnsi"/>
          <w:sz w:val="20"/>
          <w:szCs w:val="20"/>
        </w:rPr>
        <w:fldChar w:fldCharType="end"/>
      </w:r>
      <w:r w:rsidRPr="00F72919">
        <w:rPr>
          <w:rFonts w:asciiTheme="majorHAnsi" w:hAnsiTheme="majorHAnsi" w:cstheme="majorHAnsi"/>
          <w:sz w:val="20"/>
          <w:szCs w:val="20"/>
        </w:rPr>
        <w:t>, this specific dimension has yet to be systematically explored.</w:t>
      </w:r>
    </w:p>
    <w:p w14:paraId="74F32FD3" w14:textId="77777777" w:rsidR="00F72919" w:rsidRDefault="00F72919" w:rsidP="00F72919">
      <w:pPr>
        <w:ind w:firstLine="284"/>
        <w:jc w:val="both"/>
        <w:rPr>
          <w:rFonts w:asciiTheme="majorHAnsi" w:hAnsiTheme="majorHAnsi" w:cstheme="majorHAnsi"/>
          <w:sz w:val="20"/>
          <w:szCs w:val="20"/>
        </w:rPr>
      </w:pPr>
      <w:r w:rsidRPr="00F72919">
        <w:rPr>
          <w:rFonts w:asciiTheme="majorHAnsi" w:hAnsiTheme="majorHAnsi" w:cstheme="majorHAnsi"/>
          <w:sz w:val="20"/>
          <w:szCs w:val="20"/>
        </w:rPr>
        <w:t xml:space="preserve">The significant works by Roxburgh (2008) [15] and </w:t>
      </w:r>
      <w:proofErr w:type="spellStart"/>
      <w:r w:rsidRPr="00F72919">
        <w:rPr>
          <w:rFonts w:asciiTheme="majorHAnsi" w:hAnsiTheme="majorHAnsi" w:cstheme="majorHAnsi"/>
          <w:sz w:val="20"/>
          <w:szCs w:val="20"/>
        </w:rPr>
        <w:t>alQaḥṭānī</w:t>
      </w:r>
      <w:proofErr w:type="spellEnd"/>
      <w:r w:rsidRPr="00F72919">
        <w:rPr>
          <w:rFonts w:asciiTheme="majorHAnsi" w:hAnsiTheme="majorHAnsi" w:cstheme="majorHAnsi"/>
          <w:sz w:val="20"/>
          <w:szCs w:val="20"/>
        </w:rPr>
        <w:t xml:space="preserve"> (2009) </w:t>
      </w:r>
      <w:r w:rsidRPr="00F72919">
        <w:rPr>
          <w:rFonts w:asciiTheme="majorHAnsi" w:hAnsiTheme="majorHAnsi" w:cstheme="majorHAnsi"/>
          <w:sz w:val="20"/>
          <w:szCs w:val="20"/>
        </w:rPr>
        <w:fldChar w:fldCharType="begin" w:fldLock="1"/>
      </w:r>
      <w:r w:rsidRPr="00F72919">
        <w:rPr>
          <w:rFonts w:asciiTheme="majorHAnsi" w:hAnsiTheme="majorHAnsi" w:cstheme="majorHAnsi"/>
          <w:sz w:val="20"/>
          <w:szCs w:val="20"/>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F72919">
        <w:rPr>
          <w:rFonts w:asciiTheme="majorHAnsi" w:hAnsiTheme="majorHAnsi" w:cstheme="majorHAnsi"/>
          <w:sz w:val="20"/>
          <w:szCs w:val="20"/>
        </w:rPr>
        <w:fldChar w:fldCharType="separate"/>
      </w:r>
      <w:r w:rsidRPr="00F72919">
        <w:rPr>
          <w:rFonts w:asciiTheme="majorHAnsi" w:hAnsiTheme="majorHAnsi" w:cstheme="majorHAnsi"/>
          <w:sz w:val="20"/>
          <w:szCs w:val="20"/>
        </w:rPr>
        <w:t>[16]</w:t>
      </w:r>
      <w:r w:rsidRPr="00F72919">
        <w:rPr>
          <w:rFonts w:asciiTheme="majorHAnsi" w:hAnsiTheme="majorHAnsi" w:cstheme="majorHAnsi"/>
          <w:sz w:val="20"/>
          <w:szCs w:val="20"/>
        </w:rPr>
        <w:fldChar w:fldCharType="end"/>
      </w:r>
      <w:r w:rsidRPr="00F72919">
        <w:rPr>
          <w:rFonts w:asciiTheme="majorHAnsi" w:hAnsiTheme="majorHAnsi" w:cstheme="majorHAnsi"/>
          <w:sz w:val="20"/>
          <w:szCs w:val="20"/>
        </w:rPr>
        <w:t xml:space="preserve"> have brought to light the artistry of Arabic calligraphy and its visual representations. It is worth mentioning the insightful analysis of the visual effects of inscriptions embellishing Mamluk structures in Cairo as presented by Ahmed in 2019 </w:t>
      </w:r>
      <w:r w:rsidRPr="00F72919">
        <w:rPr>
          <w:rFonts w:asciiTheme="majorHAnsi" w:hAnsiTheme="majorHAnsi" w:cstheme="majorHAnsi"/>
          <w:sz w:val="20"/>
          <w:szCs w:val="20"/>
        </w:rPr>
        <w:fldChar w:fldCharType="begin" w:fldLock="1"/>
      </w:r>
      <w:r w:rsidRPr="00F72919">
        <w:rPr>
          <w:rFonts w:asciiTheme="majorHAnsi" w:hAnsiTheme="majorHAnsi" w:cstheme="majorHAnsi"/>
          <w:sz w:val="20"/>
          <w:szCs w:val="20"/>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F72919">
        <w:rPr>
          <w:rFonts w:asciiTheme="majorHAnsi" w:hAnsiTheme="majorHAnsi" w:cstheme="majorHAnsi"/>
          <w:sz w:val="20"/>
          <w:szCs w:val="20"/>
        </w:rPr>
        <w:fldChar w:fldCharType="separate"/>
      </w:r>
      <w:r w:rsidRPr="00F72919">
        <w:rPr>
          <w:rFonts w:asciiTheme="majorHAnsi" w:hAnsiTheme="majorHAnsi" w:cstheme="majorHAnsi"/>
          <w:sz w:val="20"/>
          <w:szCs w:val="20"/>
        </w:rPr>
        <w:t>[17]</w:t>
      </w:r>
      <w:r w:rsidRPr="00F72919">
        <w:rPr>
          <w:rFonts w:asciiTheme="majorHAnsi" w:hAnsiTheme="majorHAnsi" w:cstheme="majorHAnsi"/>
          <w:sz w:val="20"/>
          <w:szCs w:val="20"/>
        </w:rPr>
        <w:fldChar w:fldCharType="end"/>
      </w:r>
      <w:r w:rsidRPr="00F72919">
        <w:rPr>
          <w:rFonts w:asciiTheme="majorHAnsi" w:hAnsiTheme="majorHAnsi" w:cstheme="majorHAnsi"/>
          <w:sz w:val="20"/>
          <w:szCs w:val="20"/>
        </w:rPr>
        <w:t xml:space="preserve">. Although the current case study diverges in terms of sponsorship, origins, regional influences, and the broader historical period, it still builds upon the valuable precedent set by Ahmed's study </w:t>
      </w:r>
      <w:r w:rsidRPr="00F72919">
        <w:rPr>
          <w:rFonts w:asciiTheme="majorHAnsi" w:hAnsiTheme="majorHAnsi" w:cstheme="majorHAnsi"/>
          <w:sz w:val="20"/>
          <w:szCs w:val="20"/>
        </w:rPr>
        <w:fldChar w:fldCharType="begin" w:fldLock="1"/>
      </w:r>
      <w:r w:rsidRPr="00F72919">
        <w:rPr>
          <w:rFonts w:asciiTheme="majorHAnsi" w:hAnsiTheme="majorHAnsi" w:cstheme="majorHAnsi"/>
          <w:sz w:val="20"/>
          <w:szCs w:val="20"/>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F72919">
        <w:rPr>
          <w:rFonts w:asciiTheme="majorHAnsi" w:hAnsiTheme="majorHAnsi" w:cstheme="majorHAnsi"/>
          <w:sz w:val="20"/>
          <w:szCs w:val="20"/>
        </w:rPr>
        <w:fldChar w:fldCharType="separate"/>
      </w:r>
      <w:r w:rsidRPr="00F72919">
        <w:rPr>
          <w:rFonts w:asciiTheme="majorHAnsi" w:hAnsiTheme="majorHAnsi" w:cstheme="majorHAnsi"/>
          <w:sz w:val="20"/>
          <w:szCs w:val="20"/>
        </w:rPr>
        <w:t>[17]</w:t>
      </w:r>
      <w:r w:rsidRPr="00F72919">
        <w:rPr>
          <w:rFonts w:asciiTheme="majorHAnsi" w:hAnsiTheme="majorHAnsi" w:cstheme="majorHAnsi"/>
          <w:sz w:val="20"/>
          <w:szCs w:val="20"/>
        </w:rPr>
        <w:fldChar w:fldCharType="end"/>
      </w:r>
      <w:r>
        <w:rPr>
          <w:rFonts w:asciiTheme="majorHAnsi" w:hAnsiTheme="majorHAnsi" w:cstheme="majorHAnsi"/>
          <w:sz w:val="20"/>
          <w:szCs w:val="20"/>
        </w:rPr>
        <w:t>.</w:t>
      </w:r>
    </w:p>
    <w:p w14:paraId="08C1A191" w14:textId="77777777" w:rsidR="00F72919" w:rsidRDefault="00F72919" w:rsidP="00F72919">
      <w:pPr>
        <w:ind w:firstLine="284"/>
        <w:jc w:val="both"/>
        <w:rPr>
          <w:rFonts w:asciiTheme="majorHAnsi" w:hAnsiTheme="majorHAnsi" w:cstheme="majorHAnsi"/>
          <w:sz w:val="20"/>
          <w:szCs w:val="20"/>
        </w:rPr>
      </w:pPr>
    </w:p>
    <w:p w14:paraId="55C71AC2" w14:textId="432E8DD6" w:rsidR="00F72919" w:rsidRDefault="00F72919" w:rsidP="00F72919">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METHODS</w:t>
      </w:r>
    </w:p>
    <w:p w14:paraId="418E181F" w14:textId="77777777" w:rsidR="00F72919" w:rsidRPr="00F72919" w:rsidRDefault="00F72919" w:rsidP="00F72919">
      <w:pPr>
        <w:ind w:firstLine="284"/>
        <w:jc w:val="both"/>
        <w:rPr>
          <w:rFonts w:asciiTheme="majorHAnsi" w:hAnsiTheme="majorHAnsi" w:cstheme="majorHAnsi"/>
          <w:sz w:val="20"/>
          <w:szCs w:val="20"/>
        </w:rPr>
      </w:pPr>
      <w:r w:rsidRPr="00F72919">
        <w:rPr>
          <w:rFonts w:asciiTheme="majorHAnsi" w:hAnsiTheme="majorHAnsi" w:cstheme="majorHAnsi"/>
          <w:sz w:val="20"/>
          <w:szCs w:val="20"/>
        </w:rPr>
        <w:t xml:space="preserve">This research tackles two central inquiries: To what extent did </w:t>
      </w:r>
      <w:proofErr w:type="spellStart"/>
      <w:r w:rsidRPr="00F72919">
        <w:rPr>
          <w:rFonts w:asciiTheme="majorHAnsi" w:hAnsiTheme="majorHAnsi" w:cstheme="majorHAnsi"/>
          <w:sz w:val="20"/>
          <w:szCs w:val="20"/>
        </w:rPr>
        <w:t>color</w:t>
      </w:r>
      <w:proofErr w:type="spellEnd"/>
      <w:r w:rsidRPr="00F72919">
        <w:rPr>
          <w:rFonts w:asciiTheme="majorHAnsi" w:hAnsiTheme="majorHAnsi" w:cstheme="majorHAnsi"/>
          <w:sz w:val="20"/>
          <w:szCs w:val="20"/>
        </w:rPr>
        <w:t xml:space="preserve"> play a pivotal role in the visual landscape of Islamic inscriptions? And did the Ottomans make specific chromatic choices for symbolic purposes? By conducting a thorough analysis of relevant inscriptions, with a specific focus on those adorning the Sultan Bayezid II Mosque in </w:t>
      </w:r>
      <w:proofErr w:type="spellStart"/>
      <w:r w:rsidRPr="00F72919">
        <w:rPr>
          <w:rFonts w:asciiTheme="majorHAnsi" w:hAnsiTheme="majorHAnsi" w:cstheme="majorHAnsi"/>
          <w:sz w:val="20"/>
          <w:szCs w:val="20"/>
        </w:rPr>
        <w:t>Didymóteichon</w:t>
      </w:r>
      <w:proofErr w:type="spellEnd"/>
      <w:r w:rsidRPr="00F72919">
        <w:rPr>
          <w:rFonts w:asciiTheme="majorHAnsi" w:hAnsiTheme="majorHAnsi" w:cstheme="majorHAnsi"/>
          <w:sz w:val="20"/>
          <w:szCs w:val="20"/>
        </w:rPr>
        <w:t>, a significant case study due to its historical and cultural importance, this paper adopts a multifaceted methodological approach, encompassing descriptive, analytical, and inductive frameworks to unravel the answers to these pertinent questions.</w:t>
      </w:r>
    </w:p>
    <w:p w14:paraId="71CAD60B" w14:textId="77777777" w:rsidR="00F72919" w:rsidRDefault="00F72919" w:rsidP="00F72919">
      <w:pPr>
        <w:ind w:firstLine="284"/>
        <w:jc w:val="both"/>
        <w:rPr>
          <w:rFonts w:asciiTheme="majorHAnsi" w:hAnsiTheme="majorHAnsi" w:cstheme="majorHAnsi"/>
          <w:sz w:val="20"/>
          <w:szCs w:val="20"/>
        </w:rPr>
      </w:pPr>
      <w:r w:rsidRPr="00F72919">
        <w:rPr>
          <w:rFonts w:asciiTheme="majorHAnsi" w:hAnsiTheme="majorHAnsi" w:cstheme="majorHAnsi"/>
          <w:sz w:val="20"/>
          <w:szCs w:val="20"/>
        </w:rPr>
        <w:t xml:space="preserve">The paper employs an interdisciplinary approach to demonstrate and </w:t>
      </w:r>
      <w:proofErr w:type="spellStart"/>
      <w:r w:rsidRPr="00F72919">
        <w:rPr>
          <w:rFonts w:asciiTheme="majorHAnsi" w:hAnsiTheme="majorHAnsi" w:cstheme="majorHAnsi"/>
          <w:sz w:val="20"/>
          <w:szCs w:val="20"/>
        </w:rPr>
        <w:t>analyze</w:t>
      </w:r>
      <w:proofErr w:type="spellEnd"/>
      <w:r w:rsidRPr="00F72919">
        <w:rPr>
          <w:rFonts w:asciiTheme="majorHAnsi" w:hAnsiTheme="majorHAnsi" w:cstheme="majorHAnsi"/>
          <w:sz w:val="20"/>
          <w:szCs w:val="20"/>
        </w:rPr>
        <w:t xml:space="preserve"> the visual impact of </w:t>
      </w:r>
      <w:proofErr w:type="spellStart"/>
      <w:r w:rsidRPr="00F72919">
        <w:rPr>
          <w:rFonts w:asciiTheme="majorHAnsi" w:hAnsiTheme="majorHAnsi" w:cstheme="majorHAnsi"/>
          <w:sz w:val="20"/>
          <w:szCs w:val="20"/>
        </w:rPr>
        <w:t>colors</w:t>
      </w:r>
      <w:proofErr w:type="spellEnd"/>
      <w:r w:rsidRPr="00F72919">
        <w:rPr>
          <w:rFonts w:asciiTheme="majorHAnsi" w:hAnsiTheme="majorHAnsi" w:cstheme="majorHAnsi"/>
          <w:sz w:val="20"/>
          <w:szCs w:val="20"/>
        </w:rPr>
        <w:t xml:space="preserve"> in Ottoman epigraphy, with a focus on the Sultan Bayezid II Mosque in </w:t>
      </w:r>
      <w:proofErr w:type="spellStart"/>
      <w:r w:rsidRPr="00F72919">
        <w:rPr>
          <w:rFonts w:asciiTheme="majorHAnsi" w:hAnsiTheme="majorHAnsi" w:cstheme="majorHAnsi"/>
          <w:sz w:val="20"/>
          <w:szCs w:val="20"/>
        </w:rPr>
        <w:t>Didymóteichon</w:t>
      </w:r>
      <w:proofErr w:type="spellEnd"/>
      <w:r w:rsidRPr="00F72919">
        <w:rPr>
          <w:rFonts w:asciiTheme="majorHAnsi" w:hAnsiTheme="majorHAnsi" w:cstheme="majorHAnsi"/>
          <w:sz w:val="20"/>
          <w:szCs w:val="20"/>
        </w:rPr>
        <w:t xml:space="preserve">, Greece. This approach includes field visits, </w:t>
      </w:r>
      <w:proofErr w:type="spellStart"/>
      <w:r w:rsidRPr="00F72919">
        <w:rPr>
          <w:rFonts w:asciiTheme="majorHAnsi" w:hAnsiTheme="majorHAnsi" w:cstheme="majorHAnsi"/>
          <w:sz w:val="20"/>
          <w:szCs w:val="20"/>
        </w:rPr>
        <w:t>analyzing</w:t>
      </w:r>
      <w:proofErr w:type="spellEnd"/>
      <w:r w:rsidRPr="00F72919">
        <w:rPr>
          <w:rFonts w:asciiTheme="majorHAnsi" w:hAnsiTheme="majorHAnsi" w:cstheme="majorHAnsi"/>
          <w:sz w:val="20"/>
          <w:szCs w:val="20"/>
        </w:rPr>
        <w:t xml:space="preserve"> the inscription's photographic material, and revising related historical and contextual research</w:t>
      </w:r>
      <w:proofErr w:type="gramStart"/>
      <w:r w:rsidRPr="00F72919">
        <w:rPr>
          <w:rFonts w:asciiTheme="majorHAnsi" w:hAnsiTheme="majorHAnsi" w:cstheme="majorHAnsi"/>
          <w:sz w:val="20"/>
          <w:szCs w:val="20"/>
        </w:rPr>
        <w:t>. ,</w:t>
      </w:r>
      <w:proofErr w:type="gramEnd"/>
      <w:r w:rsidRPr="00F72919">
        <w:rPr>
          <w:rFonts w:asciiTheme="majorHAnsi" w:hAnsiTheme="majorHAnsi" w:cstheme="majorHAnsi"/>
          <w:sz w:val="20"/>
          <w:szCs w:val="20"/>
        </w:rPr>
        <w:t xml:space="preserve"> and an analytical and interpretive approach. Field photographic documentation helps in recognizing script styles, </w:t>
      </w:r>
      <w:proofErr w:type="spellStart"/>
      <w:r w:rsidRPr="00F72919">
        <w:rPr>
          <w:rFonts w:asciiTheme="majorHAnsi" w:hAnsiTheme="majorHAnsi" w:cstheme="majorHAnsi"/>
          <w:sz w:val="20"/>
          <w:szCs w:val="20"/>
        </w:rPr>
        <w:t>color</w:t>
      </w:r>
      <w:proofErr w:type="spellEnd"/>
      <w:r w:rsidRPr="00F72919">
        <w:rPr>
          <w:rFonts w:asciiTheme="majorHAnsi" w:hAnsiTheme="majorHAnsi" w:cstheme="majorHAnsi"/>
          <w:sz w:val="20"/>
          <w:szCs w:val="20"/>
        </w:rPr>
        <w:t xml:space="preserve"> tones, materials, and their connection to the architectural context. Also, the authors revised extensive historical and contextual studies to understand the motivations and meanings behind the Ottomans' chromatic preferences.</w:t>
      </w:r>
    </w:p>
    <w:p w14:paraId="5F0B61AF" w14:textId="77777777" w:rsidR="00F72919" w:rsidRDefault="00F72919" w:rsidP="00F72919">
      <w:pPr>
        <w:ind w:firstLine="284"/>
        <w:jc w:val="both"/>
        <w:rPr>
          <w:rFonts w:asciiTheme="majorHAnsi" w:hAnsiTheme="majorHAnsi" w:cstheme="majorHAnsi"/>
          <w:sz w:val="20"/>
          <w:szCs w:val="20"/>
        </w:rPr>
      </w:pPr>
    </w:p>
    <w:p w14:paraId="098E1FA9" w14:textId="0D2EE45C" w:rsidR="00F72919" w:rsidRDefault="00F72919" w:rsidP="00F72919">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t>RESULT AND</w:t>
      </w:r>
      <w:r w:rsidRPr="00554438">
        <w:rPr>
          <w:rFonts w:asciiTheme="minorHAnsi" w:hAnsiTheme="minorHAnsi" w:cstheme="minorHAnsi"/>
          <w:b/>
          <w:bCs/>
          <w:color w:val="FF0000"/>
        </w:rPr>
        <w:t xml:space="preserve"> </w:t>
      </w:r>
      <w:r>
        <w:rPr>
          <w:rFonts w:asciiTheme="minorHAnsi" w:hAnsiTheme="minorHAnsi" w:cstheme="minorHAnsi"/>
          <w:b/>
          <w:bCs/>
        </w:rPr>
        <w:t>DISCUSSION</w:t>
      </w:r>
    </w:p>
    <w:p w14:paraId="1DD39666" w14:textId="77777777" w:rsidR="00F72919" w:rsidRDefault="00F72919" w:rsidP="00F72919">
      <w:pPr>
        <w:ind w:firstLine="284"/>
        <w:jc w:val="both"/>
        <w:rPr>
          <w:rFonts w:asciiTheme="majorHAnsi" w:hAnsiTheme="majorHAnsi" w:cstheme="majorHAnsi"/>
          <w:sz w:val="20"/>
          <w:szCs w:val="20"/>
        </w:rPr>
      </w:pPr>
    </w:p>
    <w:p w14:paraId="507D9997" w14:textId="4E430709" w:rsidR="00F72919" w:rsidRDefault="00F72919" w:rsidP="00F72919">
      <w:pPr>
        <w:pStyle w:val="ListParagraph"/>
        <w:numPr>
          <w:ilvl w:val="1"/>
          <w:numId w:val="2"/>
        </w:numPr>
        <w:ind w:left="567" w:hanging="284"/>
        <w:jc w:val="both"/>
        <w:rPr>
          <w:rFonts w:asciiTheme="minorHAnsi" w:hAnsiTheme="minorHAnsi" w:cstheme="minorHAnsi"/>
          <w:b/>
          <w:bCs/>
          <w:sz w:val="18"/>
          <w:szCs w:val="18"/>
        </w:rPr>
      </w:pPr>
      <w:r w:rsidRPr="00F72919">
        <w:rPr>
          <w:rFonts w:asciiTheme="minorHAnsi" w:hAnsiTheme="minorHAnsi" w:cstheme="minorHAnsi"/>
          <w:b/>
          <w:bCs/>
          <w:sz w:val="18"/>
          <w:szCs w:val="18"/>
        </w:rPr>
        <w:t>THE SULTAN BAYEZID II MOSQUE IN DIDYMÓTEICHON</w:t>
      </w:r>
    </w:p>
    <w:p w14:paraId="33C1FC65" w14:textId="660026E4" w:rsidR="00F72919" w:rsidRDefault="00F72919" w:rsidP="00F72919">
      <w:pPr>
        <w:pStyle w:val="ListParagraph"/>
        <w:numPr>
          <w:ilvl w:val="0"/>
          <w:numId w:val="3"/>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 xml:space="preserve">1. </w:t>
      </w:r>
      <w:r w:rsidRPr="00F72919">
        <w:rPr>
          <w:rFonts w:asciiTheme="minorHAnsi" w:hAnsiTheme="minorHAnsi" w:cstheme="minorHAnsi"/>
          <w:b/>
          <w:bCs/>
          <w:sz w:val="18"/>
          <w:szCs w:val="18"/>
        </w:rPr>
        <w:t>Architectural Analysis, Historical Significance, and Context and Preservation</w:t>
      </w:r>
    </w:p>
    <w:p w14:paraId="0E7175C5" w14:textId="77777777" w:rsidR="00F72919" w:rsidRPr="00F72919" w:rsidRDefault="00F72919" w:rsidP="00077250">
      <w:pPr>
        <w:ind w:left="284" w:firstLine="284"/>
        <w:jc w:val="both"/>
        <w:rPr>
          <w:rFonts w:asciiTheme="majorHAnsi" w:hAnsiTheme="majorHAnsi" w:cstheme="majorHAnsi"/>
          <w:sz w:val="20"/>
          <w:szCs w:val="20"/>
        </w:rPr>
      </w:pPr>
      <w:r w:rsidRPr="00F72919">
        <w:rPr>
          <w:rFonts w:asciiTheme="majorHAnsi" w:hAnsiTheme="majorHAnsi" w:cstheme="majorHAnsi"/>
          <w:sz w:val="20"/>
          <w:szCs w:val="20"/>
        </w:rPr>
        <w:t xml:space="preserve">The Sultan Bayezid II Mosque in </w:t>
      </w:r>
      <w:proofErr w:type="spellStart"/>
      <w:r w:rsidRPr="00F72919">
        <w:rPr>
          <w:rFonts w:asciiTheme="majorHAnsi" w:hAnsiTheme="majorHAnsi" w:cstheme="majorHAnsi"/>
          <w:sz w:val="20"/>
          <w:szCs w:val="20"/>
        </w:rPr>
        <w:t>Didymóteichon</w:t>
      </w:r>
      <w:proofErr w:type="spellEnd"/>
      <w:r w:rsidRPr="00F72919">
        <w:rPr>
          <w:rFonts w:asciiTheme="majorHAnsi" w:hAnsiTheme="majorHAnsi" w:cstheme="majorHAnsi"/>
          <w:sz w:val="20"/>
          <w:szCs w:val="20"/>
        </w:rPr>
        <w:t xml:space="preserve"> is a remarkable example of early Ottoman architectural and artistic achievement in the Balkans. This grand edifice, commissioned by Sultan Mehmed I and completed around 1420-1421, exhibits a striking blend of Byzantine, Seljuk, and emerging Ottoman design elements. Its central plan, featuring a rectangular prayer hall articulated around four central piers supporting a wooden dome, represents a significant step in the evolution of the classical </w:t>
      </w:r>
      <w:proofErr w:type="gramStart"/>
      <w:r w:rsidRPr="00F72919">
        <w:rPr>
          <w:rFonts w:asciiTheme="majorHAnsi" w:hAnsiTheme="majorHAnsi" w:cstheme="majorHAnsi"/>
          <w:sz w:val="20"/>
          <w:szCs w:val="20"/>
        </w:rPr>
        <w:t>Ottoman mosque</w:t>
      </w:r>
      <w:proofErr w:type="gramEnd"/>
      <w:r w:rsidRPr="00F72919">
        <w:rPr>
          <w:rFonts w:asciiTheme="majorHAnsi" w:hAnsiTheme="majorHAnsi" w:cstheme="majorHAnsi"/>
          <w:sz w:val="20"/>
          <w:szCs w:val="20"/>
        </w:rPr>
        <w:t xml:space="preserve"> typology. The juxtaposition of domed, vaulted, and pyramidal roofing systems further reflects the mosque's architectural sophistication and the Ottomans' mastery of integrated spatial planning </w:t>
      </w:r>
      <w:r w:rsidRPr="00F72919">
        <w:rPr>
          <w:rFonts w:asciiTheme="majorHAnsi" w:hAnsiTheme="majorHAnsi" w:cstheme="majorHAnsi"/>
          <w:sz w:val="20"/>
          <w:szCs w:val="20"/>
        </w:rPr>
        <w:fldChar w:fldCharType="begin" w:fldLock="1"/>
      </w:r>
      <w:r w:rsidRPr="00F72919">
        <w:rPr>
          <w:rFonts w:asciiTheme="majorHAnsi" w:hAnsiTheme="majorHAnsi" w:cstheme="majorHAnsi"/>
          <w:sz w:val="20"/>
          <w:szCs w:val="20"/>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F72919">
        <w:rPr>
          <w:rFonts w:asciiTheme="majorHAnsi" w:hAnsiTheme="majorHAnsi" w:cstheme="majorHAnsi"/>
          <w:sz w:val="20"/>
          <w:szCs w:val="20"/>
        </w:rPr>
        <w:fldChar w:fldCharType="separate"/>
      </w:r>
      <w:r w:rsidRPr="00F72919">
        <w:rPr>
          <w:rFonts w:asciiTheme="majorHAnsi" w:hAnsiTheme="majorHAnsi" w:cstheme="majorHAnsi"/>
          <w:sz w:val="20"/>
          <w:szCs w:val="20"/>
        </w:rPr>
        <w:t>[18]</w:t>
      </w:r>
      <w:r w:rsidRPr="00F72919">
        <w:rPr>
          <w:rFonts w:asciiTheme="majorHAnsi" w:hAnsiTheme="majorHAnsi" w:cstheme="majorHAnsi"/>
          <w:sz w:val="20"/>
          <w:szCs w:val="20"/>
        </w:rPr>
        <w:fldChar w:fldCharType="end"/>
      </w:r>
      <w:r w:rsidRPr="00F72919">
        <w:rPr>
          <w:rFonts w:asciiTheme="majorHAnsi" w:hAnsiTheme="majorHAnsi" w:cstheme="majorHAnsi"/>
          <w:sz w:val="20"/>
          <w:szCs w:val="20"/>
        </w:rPr>
        <w:t xml:space="preserve">, </w:t>
      </w:r>
      <w:r w:rsidRPr="00F72919">
        <w:rPr>
          <w:rFonts w:asciiTheme="majorHAnsi" w:hAnsiTheme="majorHAnsi" w:cstheme="majorHAnsi"/>
          <w:sz w:val="20"/>
          <w:szCs w:val="20"/>
        </w:rPr>
        <w:fldChar w:fldCharType="begin" w:fldLock="1"/>
      </w:r>
      <w:r w:rsidRPr="00F72919">
        <w:rPr>
          <w:rFonts w:asciiTheme="majorHAnsi" w:hAnsiTheme="majorHAnsi" w:cstheme="majorHAnsi"/>
          <w:sz w:val="20"/>
          <w:szCs w:val="20"/>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F72919">
        <w:rPr>
          <w:rFonts w:asciiTheme="majorHAnsi" w:hAnsiTheme="majorHAnsi" w:cstheme="majorHAnsi"/>
          <w:sz w:val="20"/>
          <w:szCs w:val="20"/>
        </w:rPr>
        <w:fldChar w:fldCharType="separate"/>
      </w:r>
      <w:r w:rsidRPr="00F72919">
        <w:rPr>
          <w:rFonts w:asciiTheme="majorHAnsi" w:hAnsiTheme="majorHAnsi" w:cstheme="majorHAnsi"/>
          <w:sz w:val="20"/>
          <w:szCs w:val="20"/>
        </w:rPr>
        <w:t>[19]</w:t>
      </w:r>
      <w:r w:rsidRPr="00F72919">
        <w:rPr>
          <w:rFonts w:asciiTheme="majorHAnsi" w:hAnsiTheme="majorHAnsi" w:cstheme="majorHAnsi"/>
          <w:sz w:val="20"/>
          <w:szCs w:val="20"/>
        </w:rPr>
        <w:fldChar w:fldCharType="end"/>
      </w:r>
      <w:r w:rsidRPr="00F72919">
        <w:rPr>
          <w:rFonts w:asciiTheme="majorHAnsi" w:hAnsiTheme="majorHAnsi" w:cstheme="majorHAnsi"/>
          <w:sz w:val="20"/>
          <w:szCs w:val="20"/>
        </w:rPr>
        <w:t xml:space="preserve">, </w:t>
      </w:r>
      <w:r w:rsidRPr="00F72919">
        <w:rPr>
          <w:rFonts w:asciiTheme="majorHAnsi" w:hAnsiTheme="majorHAnsi" w:cstheme="majorHAnsi"/>
          <w:sz w:val="20"/>
          <w:szCs w:val="20"/>
        </w:rPr>
        <w:fldChar w:fldCharType="begin" w:fldLock="1"/>
      </w:r>
      <w:r w:rsidRPr="00F72919">
        <w:rPr>
          <w:rFonts w:asciiTheme="majorHAnsi" w:hAnsiTheme="majorHAnsi" w:cstheme="majorHAnsi"/>
          <w:sz w:val="20"/>
          <w:szCs w:val="20"/>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F72919">
        <w:rPr>
          <w:rFonts w:asciiTheme="majorHAnsi" w:hAnsiTheme="majorHAnsi" w:cstheme="majorHAnsi"/>
          <w:sz w:val="20"/>
          <w:szCs w:val="20"/>
        </w:rPr>
        <w:fldChar w:fldCharType="separate"/>
      </w:r>
      <w:r w:rsidRPr="00F72919">
        <w:rPr>
          <w:rFonts w:asciiTheme="majorHAnsi" w:hAnsiTheme="majorHAnsi" w:cstheme="majorHAnsi"/>
          <w:sz w:val="20"/>
          <w:szCs w:val="20"/>
        </w:rPr>
        <w:t>[20]</w:t>
      </w:r>
      <w:r w:rsidRPr="00F72919">
        <w:rPr>
          <w:rFonts w:asciiTheme="majorHAnsi" w:hAnsiTheme="majorHAnsi" w:cstheme="majorHAnsi"/>
          <w:sz w:val="20"/>
          <w:szCs w:val="20"/>
        </w:rPr>
        <w:fldChar w:fldCharType="end"/>
      </w:r>
      <w:r w:rsidRPr="00F72919">
        <w:rPr>
          <w:rFonts w:asciiTheme="majorHAnsi" w:hAnsiTheme="majorHAnsi" w:cstheme="majorHAnsi"/>
          <w:sz w:val="20"/>
          <w:szCs w:val="20"/>
        </w:rPr>
        <w:t xml:space="preserve">, </w:t>
      </w:r>
      <w:r w:rsidRPr="00F72919">
        <w:rPr>
          <w:rFonts w:asciiTheme="majorHAnsi" w:hAnsiTheme="majorHAnsi" w:cstheme="majorHAnsi"/>
          <w:sz w:val="20"/>
          <w:szCs w:val="20"/>
        </w:rPr>
        <w:fldChar w:fldCharType="begin" w:fldLock="1"/>
      </w:r>
      <w:r w:rsidRPr="00F72919">
        <w:rPr>
          <w:rFonts w:asciiTheme="majorHAnsi" w:hAnsiTheme="majorHAnsi" w:cstheme="majorHAnsi"/>
          <w:sz w:val="20"/>
          <w:szCs w:val="20"/>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F72919">
        <w:rPr>
          <w:rFonts w:asciiTheme="majorHAnsi" w:hAnsiTheme="majorHAnsi" w:cstheme="majorHAnsi"/>
          <w:sz w:val="20"/>
          <w:szCs w:val="20"/>
        </w:rPr>
        <w:fldChar w:fldCharType="separate"/>
      </w:r>
      <w:r w:rsidRPr="00F72919">
        <w:rPr>
          <w:rFonts w:asciiTheme="majorHAnsi" w:hAnsiTheme="majorHAnsi" w:cstheme="majorHAnsi"/>
          <w:sz w:val="20"/>
          <w:szCs w:val="20"/>
        </w:rPr>
        <w:t>[21]</w:t>
      </w:r>
      <w:r w:rsidRPr="00F72919">
        <w:rPr>
          <w:rFonts w:asciiTheme="majorHAnsi" w:hAnsiTheme="majorHAnsi" w:cstheme="majorHAnsi"/>
          <w:sz w:val="20"/>
          <w:szCs w:val="20"/>
        </w:rPr>
        <w:fldChar w:fldCharType="end"/>
      </w:r>
      <w:r w:rsidRPr="00F72919">
        <w:rPr>
          <w:rFonts w:asciiTheme="majorHAnsi" w:hAnsiTheme="majorHAnsi" w:cstheme="majorHAnsi"/>
          <w:sz w:val="20"/>
          <w:szCs w:val="20"/>
        </w:rPr>
        <w:t xml:space="preserve">, </w:t>
      </w:r>
      <w:r w:rsidRPr="00F72919">
        <w:rPr>
          <w:rFonts w:asciiTheme="majorHAnsi" w:hAnsiTheme="majorHAnsi" w:cstheme="majorHAnsi"/>
          <w:sz w:val="20"/>
          <w:szCs w:val="20"/>
        </w:rPr>
        <w:fldChar w:fldCharType="begin" w:fldLock="1"/>
      </w:r>
      <w:r w:rsidRPr="00F72919">
        <w:rPr>
          <w:rFonts w:asciiTheme="majorHAnsi" w:hAnsiTheme="majorHAnsi" w:cstheme="majorHAnsi"/>
          <w:sz w:val="20"/>
          <w:szCs w:val="20"/>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F72919">
        <w:rPr>
          <w:rFonts w:asciiTheme="majorHAnsi" w:hAnsiTheme="majorHAnsi" w:cstheme="majorHAnsi"/>
          <w:sz w:val="20"/>
          <w:szCs w:val="20"/>
        </w:rPr>
        <w:fldChar w:fldCharType="separate"/>
      </w:r>
      <w:r w:rsidRPr="00F72919">
        <w:rPr>
          <w:rFonts w:asciiTheme="majorHAnsi" w:hAnsiTheme="majorHAnsi" w:cstheme="majorHAnsi"/>
          <w:sz w:val="20"/>
          <w:szCs w:val="20"/>
        </w:rPr>
        <w:t>[22]</w:t>
      </w:r>
      <w:r w:rsidRPr="00F72919">
        <w:rPr>
          <w:rFonts w:asciiTheme="majorHAnsi" w:hAnsiTheme="majorHAnsi" w:cstheme="majorHAnsi"/>
          <w:sz w:val="20"/>
          <w:szCs w:val="20"/>
        </w:rPr>
        <w:fldChar w:fldCharType="end"/>
      </w:r>
      <w:r w:rsidRPr="00F72919">
        <w:rPr>
          <w:rFonts w:asciiTheme="majorHAnsi" w:hAnsiTheme="majorHAnsi" w:cstheme="majorHAnsi"/>
          <w:sz w:val="20"/>
          <w:szCs w:val="20"/>
        </w:rPr>
        <w:t xml:space="preserve">, </w:t>
      </w:r>
      <w:r w:rsidRPr="00F72919">
        <w:rPr>
          <w:rFonts w:asciiTheme="majorHAnsi" w:hAnsiTheme="majorHAnsi" w:cstheme="majorHAnsi"/>
          <w:sz w:val="20"/>
          <w:szCs w:val="20"/>
        </w:rPr>
        <w:fldChar w:fldCharType="begin" w:fldLock="1"/>
      </w:r>
      <w:r w:rsidRPr="00F72919">
        <w:rPr>
          <w:rFonts w:asciiTheme="majorHAnsi" w:hAnsiTheme="majorHAnsi" w:cstheme="majorHAnsi"/>
          <w:sz w:val="20"/>
          <w:szCs w:val="20"/>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F72919">
        <w:rPr>
          <w:rFonts w:asciiTheme="majorHAnsi" w:hAnsiTheme="majorHAnsi" w:cstheme="majorHAnsi"/>
          <w:sz w:val="20"/>
          <w:szCs w:val="20"/>
        </w:rPr>
        <w:fldChar w:fldCharType="separate"/>
      </w:r>
      <w:r w:rsidRPr="00F72919">
        <w:rPr>
          <w:rFonts w:asciiTheme="majorHAnsi" w:hAnsiTheme="majorHAnsi" w:cstheme="majorHAnsi"/>
          <w:sz w:val="20"/>
          <w:szCs w:val="20"/>
        </w:rPr>
        <w:t>[23]</w:t>
      </w:r>
      <w:r w:rsidRPr="00F72919">
        <w:rPr>
          <w:rFonts w:asciiTheme="majorHAnsi" w:hAnsiTheme="majorHAnsi" w:cstheme="majorHAnsi"/>
          <w:sz w:val="20"/>
          <w:szCs w:val="20"/>
        </w:rPr>
        <w:fldChar w:fldCharType="end"/>
      </w:r>
      <w:r w:rsidRPr="00F72919">
        <w:rPr>
          <w:rFonts w:asciiTheme="majorHAnsi" w:hAnsiTheme="majorHAnsi" w:cstheme="majorHAnsi"/>
          <w:sz w:val="20"/>
          <w:szCs w:val="20"/>
        </w:rPr>
        <w:t xml:space="preserve">, </w:t>
      </w:r>
      <w:r w:rsidRPr="00F72919">
        <w:rPr>
          <w:rFonts w:asciiTheme="majorHAnsi" w:hAnsiTheme="majorHAnsi" w:cstheme="majorHAnsi"/>
          <w:sz w:val="20"/>
          <w:szCs w:val="20"/>
        </w:rPr>
        <w:fldChar w:fldCharType="begin" w:fldLock="1"/>
      </w:r>
      <w:r w:rsidRPr="00F72919">
        <w:rPr>
          <w:rFonts w:asciiTheme="majorHAnsi" w:hAnsiTheme="majorHAnsi" w:cstheme="majorHAnsi"/>
          <w:sz w:val="20"/>
          <w:szCs w:val="20"/>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F72919">
        <w:rPr>
          <w:rFonts w:asciiTheme="majorHAnsi" w:hAnsiTheme="majorHAnsi" w:cstheme="majorHAnsi"/>
          <w:sz w:val="20"/>
          <w:szCs w:val="20"/>
        </w:rPr>
        <w:fldChar w:fldCharType="separate"/>
      </w:r>
      <w:r w:rsidRPr="00F72919">
        <w:rPr>
          <w:rFonts w:asciiTheme="majorHAnsi" w:hAnsiTheme="majorHAnsi" w:cstheme="majorHAnsi"/>
          <w:sz w:val="20"/>
          <w:szCs w:val="20"/>
        </w:rPr>
        <w:t>[24]</w:t>
      </w:r>
      <w:r w:rsidRPr="00F72919">
        <w:rPr>
          <w:rFonts w:asciiTheme="majorHAnsi" w:hAnsiTheme="majorHAnsi" w:cstheme="majorHAnsi"/>
          <w:sz w:val="20"/>
          <w:szCs w:val="20"/>
        </w:rPr>
        <w:fldChar w:fldCharType="end"/>
      </w:r>
      <w:r w:rsidRPr="00F72919">
        <w:rPr>
          <w:rFonts w:asciiTheme="majorHAnsi" w:hAnsiTheme="majorHAnsi" w:cstheme="majorHAnsi"/>
          <w:sz w:val="20"/>
          <w:szCs w:val="20"/>
        </w:rPr>
        <w:t xml:space="preserve">, </w:t>
      </w:r>
      <w:r w:rsidRPr="00F72919">
        <w:rPr>
          <w:rFonts w:asciiTheme="majorHAnsi" w:hAnsiTheme="majorHAnsi" w:cstheme="majorHAnsi"/>
          <w:sz w:val="20"/>
          <w:szCs w:val="20"/>
        </w:rPr>
        <w:fldChar w:fldCharType="begin" w:fldLock="1"/>
      </w:r>
      <w:r w:rsidRPr="00F72919">
        <w:rPr>
          <w:rFonts w:asciiTheme="majorHAnsi" w:hAnsiTheme="majorHAnsi" w:cstheme="majorHAnsi"/>
          <w:sz w:val="20"/>
          <w:szCs w:val="20"/>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F72919">
        <w:rPr>
          <w:rFonts w:asciiTheme="majorHAnsi" w:hAnsiTheme="majorHAnsi" w:cstheme="majorHAnsi"/>
          <w:sz w:val="20"/>
          <w:szCs w:val="20"/>
        </w:rPr>
        <w:fldChar w:fldCharType="separate"/>
      </w:r>
      <w:r w:rsidRPr="00F72919">
        <w:rPr>
          <w:rFonts w:asciiTheme="majorHAnsi" w:hAnsiTheme="majorHAnsi" w:cstheme="majorHAnsi"/>
          <w:sz w:val="20"/>
          <w:szCs w:val="20"/>
        </w:rPr>
        <w:t>[25]</w:t>
      </w:r>
      <w:r w:rsidRPr="00F72919">
        <w:rPr>
          <w:rFonts w:asciiTheme="majorHAnsi" w:hAnsiTheme="majorHAnsi" w:cstheme="majorHAnsi"/>
          <w:sz w:val="20"/>
          <w:szCs w:val="20"/>
        </w:rPr>
        <w:fldChar w:fldCharType="end"/>
      </w:r>
      <w:r w:rsidRPr="00F72919">
        <w:rPr>
          <w:rFonts w:asciiTheme="majorHAnsi" w:hAnsiTheme="majorHAnsi" w:cstheme="majorHAnsi"/>
          <w:sz w:val="20"/>
          <w:szCs w:val="20"/>
        </w:rPr>
        <w:t xml:space="preserve">, </w:t>
      </w:r>
      <w:r w:rsidRPr="00F72919">
        <w:rPr>
          <w:rFonts w:asciiTheme="majorHAnsi" w:hAnsiTheme="majorHAnsi" w:cstheme="majorHAnsi"/>
          <w:sz w:val="20"/>
          <w:szCs w:val="20"/>
        </w:rPr>
        <w:fldChar w:fldCharType="begin" w:fldLock="1"/>
      </w:r>
      <w:r w:rsidRPr="00F72919">
        <w:rPr>
          <w:rFonts w:asciiTheme="majorHAnsi" w:hAnsiTheme="majorHAnsi" w:cstheme="majorHAnsi"/>
          <w:sz w:val="20"/>
          <w:szCs w:val="20"/>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F72919">
        <w:rPr>
          <w:rFonts w:asciiTheme="majorHAnsi" w:hAnsiTheme="majorHAnsi" w:cstheme="majorHAnsi"/>
          <w:sz w:val="20"/>
          <w:szCs w:val="20"/>
        </w:rPr>
        <w:fldChar w:fldCharType="separate"/>
      </w:r>
      <w:r w:rsidRPr="00F72919">
        <w:rPr>
          <w:rFonts w:asciiTheme="majorHAnsi" w:hAnsiTheme="majorHAnsi" w:cstheme="majorHAnsi"/>
          <w:sz w:val="20"/>
          <w:szCs w:val="20"/>
        </w:rPr>
        <w:t>[26]</w:t>
      </w:r>
      <w:r w:rsidRPr="00F72919">
        <w:rPr>
          <w:rFonts w:asciiTheme="majorHAnsi" w:hAnsiTheme="majorHAnsi" w:cstheme="majorHAnsi"/>
          <w:sz w:val="20"/>
          <w:szCs w:val="20"/>
        </w:rPr>
        <w:fldChar w:fldCharType="end"/>
      </w:r>
      <w:r w:rsidRPr="00F72919">
        <w:rPr>
          <w:rFonts w:asciiTheme="majorHAnsi" w:hAnsiTheme="majorHAnsi" w:cstheme="majorHAnsi"/>
          <w:sz w:val="20"/>
          <w:szCs w:val="20"/>
        </w:rPr>
        <w:t xml:space="preserve">, </w:t>
      </w:r>
      <w:r w:rsidRPr="00F72919">
        <w:rPr>
          <w:rFonts w:asciiTheme="majorHAnsi" w:hAnsiTheme="majorHAnsi" w:cstheme="majorHAnsi"/>
          <w:sz w:val="20"/>
          <w:szCs w:val="20"/>
        </w:rPr>
        <w:fldChar w:fldCharType="begin" w:fldLock="1"/>
      </w:r>
      <w:r w:rsidRPr="00F72919">
        <w:rPr>
          <w:rFonts w:asciiTheme="majorHAnsi" w:hAnsiTheme="majorHAnsi" w:cstheme="majorHAnsi"/>
          <w:sz w:val="20"/>
          <w:szCs w:val="20"/>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F72919">
        <w:rPr>
          <w:rFonts w:asciiTheme="majorHAnsi" w:hAnsiTheme="majorHAnsi" w:cstheme="majorHAnsi"/>
          <w:sz w:val="20"/>
          <w:szCs w:val="20"/>
        </w:rPr>
        <w:fldChar w:fldCharType="separate"/>
      </w:r>
      <w:r w:rsidRPr="00F72919">
        <w:rPr>
          <w:rFonts w:asciiTheme="majorHAnsi" w:hAnsiTheme="majorHAnsi" w:cstheme="majorHAnsi"/>
          <w:sz w:val="20"/>
          <w:szCs w:val="20"/>
        </w:rPr>
        <w:t>[27]</w:t>
      </w:r>
      <w:r w:rsidRPr="00F72919">
        <w:rPr>
          <w:rFonts w:asciiTheme="majorHAnsi" w:hAnsiTheme="majorHAnsi" w:cstheme="majorHAnsi"/>
          <w:sz w:val="20"/>
          <w:szCs w:val="20"/>
        </w:rPr>
        <w:fldChar w:fldCharType="end"/>
      </w:r>
      <w:r w:rsidRPr="00F72919">
        <w:rPr>
          <w:rFonts w:asciiTheme="majorHAnsi" w:hAnsiTheme="majorHAnsi" w:cstheme="majorHAnsi"/>
          <w:sz w:val="20"/>
          <w:szCs w:val="20"/>
        </w:rPr>
        <w:t xml:space="preserve">, </w:t>
      </w:r>
      <w:r w:rsidRPr="00F72919">
        <w:rPr>
          <w:rFonts w:asciiTheme="majorHAnsi" w:hAnsiTheme="majorHAnsi" w:cstheme="majorHAnsi"/>
          <w:sz w:val="20"/>
          <w:szCs w:val="20"/>
        </w:rPr>
        <w:fldChar w:fldCharType="begin" w:fldLock="1"/>
      </w:r>
      <w:r w:rsidRPr="00F72919">
        <w:rPr>
          <w:rFonts w:asciiTheme="majorHAnsi" w:hAnsiTheme="majorHAnsi" w:cstheme="majorHAnsi"/>
          <w:sz w:val="20"/>
          <w:szCs w:val="20"/>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F72919">
        <w:rPr>
          <w:rFonts w:asciiTheme="majorHAnsi" w:hAnsiTheme="majorHAnsi" w:cstheme="majorHAnsi"/>
          <w:sz w:val="20"/>
          <w:szCs w:val="20"/>
        </w:rPr>
        <w:fldChar w:fldCharType="separate"/>
      </w:r>
      <w:r w:rsidRPr="00F72919">
        <w:rPr>
          <w:rFonts w:asciiTheme="majorHAnsi" w:hAnsiTheme="majorHAnsi" w:cstheme="majorHAnsi"/>
          <w:sz w:val="20"/>
          <w:szCs w:val="20"/>
        </w:rPr>
        <w:t>[4]</w:t>
      </w:r>
      <w:r w:rsidRPr="00F72919">
        <w:rPr>
          <w:rFonts w:asciiTheme="majorHAnsi" w:hAnsiTheme="majorHAnsi" w:cstheme="majorHAnsi"/>
          <w:sz w:val="20"/>
          <w:szCs w:val="20"/>
        </w:rPr>
        <w:fldChar w:fldCharType="end"/>
      </w:r>
      <w:r w:rsidRPr="00F72919">
        <w:rPr>
          <w:rFonts w:asciiTheme="majorHAnsi" w:hAnsiTheme="majorHAnsi" w:cstheme="majorHAnsi"/>
          <w:sz w:val="20"/>
          <w:szCs w:val="20"/>
        </w:rPr>
        <w:t>.</w:t>
      </w:r>
    </w:p>
    <w:p w14:paraId="31BFAF67" w14:textId="77777777" w:rsidR="00F72919" w:rsidRPr="00F72919" w:rsidRDefault="00F72919" w:rsidP="00077250">
      <w:pPr>
        <w:ind w:left="284" w:firstLine="284"/>
        <w:jc w:val="both"/>
        <w:rPr>
          <w:rFonts w:asciiTheme="majorHAnsi" w:hAnsiTheme="majorHAnsi" w:cstheme="majorHAnsi"/>
          <w:sz w:val="20"/>
          <w:szCs w:val="20"/>
        </w:rPr>
      </w:pPr>
      <w:r w:rsidRPr="00F72919">
        <w:rPr>
          <w:rFonts w:asciiTheme="majorHAnsi" w:hAnsiTheme="majorHAnsi" w:cstheme="majorHAnsi"/>
          <w:sz w:val="20"/>
          <w:szCs w:val="20"/>
        </w:rPr>
        <w:t xml:space="preserve">In the evolution of the classical </w:t>
      </w:r>
      <w:proofErr w:type="gramStart"/>
      <w:r w:rsidRPr="00F72919">
        <w:rPr>
          <w:rFonts w:asciiTheme="majorHAnsi" w:hAnsiTheme="majorHAnsi" w:cstheme="majorHAnsi"/>
          <w:sz w:val="20"/>
          <w:szCs w:val="20"/>
        </w:rPr>
        <w:t>Ottoman mosque</w:t>
      </w:r>
      <w:proofErr w:type="gramEnd"/>
      <w:r w:rsidRPr="00F72919">
        <w:rPr>
          <w:rFonts w:asciiTheme="majorHAnsi" w:hAnsiTheme="majorHAnsi" w:cstheme="majorHAnsi"/>
          <w:sz w:val="20"/>
          <w:szCs w:val="20"/>
        </w:rPr>
        <w:t xml:space="preserve"> typology. The juxtaposition of domed, vaulted, and pyramidal roofing systems further reflects the mosque's architectural sophistication and the Ottomans' mastery of integrated spatial planning </w:t>
      </w:r>
      <w:r w:rsidRPr="00F72919">
        <w:rPr>
          <w:rFonts w:asciiTheme="majorHAnsi" w:hAnsiTheme="majorHAnsi" w:cstheme="majorHAnsi"/>
          <w:sz w:val="20"/>
          <w:szCs w:val="20"/>
        </w:rPr>
        <w:fldChar w:fldCharType="begin" w:fldLock="1"/>
      </w:r>
      <w:r w:rsidRPr="00F72919">
        <w:rPr>
          <w:rFonts w:asciiTheme="majorHAnsi" w:hAnsiTheme="majorHAnsi" w:cstheme="majorHAnsi"/>
          <w:sz w:val="20"/>
          <w:szCs w:val="20"/>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F72919">
        <w:rPr>
          <w:rFonts w:asciiTheme="majorHAnsi" w:hAnsiTheme="majorHAnsi" w:cstheme="majorHAnsi"/>
          <w:sz w:val="20"/>
          <w:szCs w:val="20"/>
        </w:rPr>
        <w:fldChar w:fldCharType="separate"/>
      </w:r>
      <w:r w:rsidRPr="00F72919">
        <w:rPr>
          <w:rFonts w:asciiTheme="majorHAnsi" w:hAnsiTheme="majorHAnsi" w:cstheme="majorHAnsi"/>
          <w:sz w:val="20"/>
          <w:szCs w:val="20"/>
        </w:rPr>
        <w:t>[19]</w:t>
      </w:r>
      <w:r w:rsidRPr="00F72919">
        <w:rPr>
          <w:rFonts w:asciiTheme="majorHAnsi" w:hAnsiTheme="majorHAnsi" w:cstheme="majorHAnsi"/>
          <w:sz w:val="20"/>
          <w:szCs w:val="20"/>
        </w:rPr>
        <w:fldChar w:fldCharType="end"/>
      </w:r>
      <w:r w:rsidRPr="00F72919">
        <w:rPr>
          <w:rFonts w:asciiTheme="majorHAnsi" w:hAnsiTheme="majorHAnsi" w:cstheme="majorHAnsi"/>
          <w:sz w:val="20"/>
          <w:szCs w:val="20"/>
        </w:rPr>
        <w:t xml:space="preserve">, </w:t>
      </w:r>
      <w:r w:rsidRPr="00F72919">
        <w:rPr>
          <w:rFonts w:asciiTheme="majorHAnsi" w:hAnsiTheme="majorHAnsi" w:cstheme="majorHAnsi"/>
          <w:sz w:val="20"/>
          <w:szCs w:val="20"/>
        </w:rPr>
        <w:fldChar w:fldCharType="begin" w:fldLock="1"/>
      </w:r>
      <w:r w:rsidRPr="00F72919">
        <w:rPr>
          <w:rFonts w:asciiTheme="majorHAnsi" w:hAnsiTheme="majorHAnsi" w:cstheme="majorHAnsi"/>
          <w:sz w:val="20"/>
          <w:szCs w:val="20"/>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F72919">
        <w:rPr>
          <w:rFonts w:asciiTheme="majorHAnsi" w:hAnsiTheme="majorHAnsi" w:cstheme="majorHAnsi"/>
          <w:sz w:val="20"/>
          <w:szCs w:val="20"/>
        </w:rPr>
        <w:fldChar w:fldCharType="separate"/>
      </w:r>
      <w:r w:rsidRPr="00F72919">
        <w:rPr>
          <w:rFonts w:asciiTheme="majorHAnsi" w:hAnsiTheme="majorHAnsi" w:cstheme="majorHAnsi"/>
          <w:sz w:val="20"/>
          <w:szCs w:val="20"/>
        </w:rPr>
        <w:t>[21]</w:t>
      </w:r>
      <w:r w:rsidRPr="00F72919">
        <w:rPr>
          <w:rFonts w:asciiTheme="majorHAnsi" w:hAnsiTheme="majorHAnsi" w:cstheme="majorHAnsi"/>
          <w:sz w:val="20"/>
          <w:szCs w:val="20"/>
        </w:rPr>
        <w:fldChar w:fldCharType="end"/>
      </w:r>
      <w:r w:rsidRPr="00F72919">
        <w:rPr>
          <w:rFonts w:asciiTheme="majorHAnsi" w:hAnsiTheme="majorHAnsi" w:cstheme="majorHAnsi"/>
          <w:sz w:val="20"/>
          <w:szCs w:val="20"/>
        </w:rPr>
        <w:t xml:space="preserve">, </w:t>
      </w:r>
      <w:r w:rsidRPr="00F72919">
        <w:rPr>
          <w:rFonts w:asciiTheme="majorHAnsi" w:hAnsiTheme="majorHAnsi" w:cstheme="majorHAnsi"/>
          <w:sz w:val="20"/>
          <w:szCs w:val="20"/>
        </w:rPr>
        <w:fldChar w:fldCharType="begin" w:fldLock="1"/>
      </w:r>
      <w:r w:rsidRPr="00F72919">
        <w:rPr>
          <w:rFonts w:asciiTheme="majorHAnsi" w:hAnsiTheme="majorHAnsi" w:cstheme="majorHAnsi"/>
          <w:sz w:val="20"/>
          <w:szCs w:val="20"/>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F72919">
        <w:rPr>
          <w:rFonts w:asciiTheme="majorHAnsi" w:hAnsiTheme="majorHAnsi" w:cstheme="majorHAnsi"/>
          <w:sz w:val="20"/>
          <w:szCs w:val="20"/>
        </w:rPr>
        <w:fldChar w:fldCharType="separate"/>
      </w:r>
      <w:r w:rsidRPr="00F72919">
        <w:rPr>
          <w:rFonts w:asciiTheme="majorHAnsi" w:hAnsiTheme="majorHAnsi" w:cstheme="majorHAnsi"/>
          <w:sz w:val="20"/>
          <w:szCs w:val="20"/>
        </w:rPr>
        <w:t>[4]</w:t>
      </w:r>
      <w:r w:rsidRPr="00F72919">
        <w:rPr>
          <w:rFonts w:asciiTheme="majorHAnsi" w:hAnsiTheme="majorHAnsi" w:cstheme="majorHAnsi"/>
          <w:sz w:val="20"/>
          <w:szCs w:val="20"/>
        </w:rPr>
        <w:fldChar w:fldCharType="end"/>
      </w:r>
      <w:r w:rsidRPr="00F72919">
        <w:rPr>
          <w:rFonts w:asciiTheme="majorHAnsi" w:hAnsiTheme="majorHAnsi" w:cstheme="majorHAnsi"/>
          <w:sz w:val="20"/>
          <w:szCs w:val="20"/>
        </w:rPr>
        <w:t>.</w:t>
      </w:r>
    </w:p>
    <w:p w14:paraId="2B805AA3" w14:textId="3D8E6108" w:rsidR="00F72919" w:rsidRDefault="00F72919" w:rsidP="00077250">
      <w:pPr>
        <w:ind w:left="284" w:firstLine="284"/>
        <w:jc w:val="both"/>
        <w:rPr>
          <w:rFonts w:asciiTheme="majorHAnsi" w:hAnsiTheme="majorHAnsi" w:cstheme="majorHAnsi"/>
          <w:sz w:val="20"/>
          <w:szCs w:val="20"/>
        </w:rPr>
      </w:pPr>
      <w:r w:rsidRPr="00F72919">
        <w:rPr>
          <w:rFonts w:asciiTheme="majorHAnsi" w:hAnsiTheme="majorHAnsi" w:cstheme="majorHAnsi"/>
          <w:sz w:val="20"/>
          <w:szCs w:val="20"/>
        </w:rPr>
        <w:t xml:space="preserve">The mosque's exterior is equally impressive, featuring a lavishly ornamented main portal that ranks among the finest examples of stone carving from the early Ottoman period in the region. The delicate interplay of geometric patterns, arabesque motifs, and Arabic inscriptions adorning the portal and façade demonstrates the Ottomans' keen aesthetic sensibilities and their strategic use of </w:t>
      </w:r>
      <w:proofErr w:type="spellStart"/>
      <w:r w:rsidRPr="00F72919">
        <w:rPr>
          <w:rFonts w:asciiTheme="majorHAnsi" w:hAnsiTheme="majorHAnsi" w:cstheme="majorHAnsi"/>
          <w:sz w:val="20"/>
          <w:szCs w:val="20"/>
        </w:rPr>
        <w:t>color</w:t>
      </w:r>
      <w:proofErr w:type="spellEnd"/>
      <w:r w:rsidRPr="00F72919">
        <w:rPr>
          <w:rFonts w:asciiTheme="majorHAnsi" w:hAnsiTheme="majorHAnsi" w:cstheme="majorHAnsi"/>
          <w:sz w:val="20"/>
          <w:szCs w:val="20"/>
        </w:rPr>
        <w:t xml:space="preserve"> and ornament to enhance the structure's visual impact and symbolic authority. The presence of the mosque's towering minaret, with its distinctive Turkish triangular base, further underscores the building's vital role as a prominent landmark in the urban fabric of </w:t>
      </w:r>
      <w:proofErr w:type="spellStart"/>
      <w:r w:rsidRPr="00F72919">
        <w:rPr>
          <w:rFonts w:asciiTheme="majorHAnsi" w:hAnsiTheme="majorHAnsi" w:cstheme="majorHAnsi"/>
          <w:sz w:val="20"/>
          <w:szCs w:val="20"/>
        </w:rPr>
        <w:t>Didymóteichon</w:t>
      </w:r>
      <w:proofErr w:type="spellEnd"/>
      <w:r w:rsidRPr="00F72919">
        <w:rPr>
          <w:rFonts w:asciiTheme="majorHAnsi" w:hAnsiTheme="majorHAnsi" w:cstheme="majorHAnsi"/>
          <w:sz w:val="20"/>
          <w:szCs w:val="20"/>
        </w:rPr>
        <w:t xml:space="preserve">. As one of the largest and most impressive Ottoman mosques in the Balkans, the Sultan Bayezid II Mosque stands as a testament to the Ottoman Empire's cultural and architectural legacy in the region </w:t>
      </w:r>
      <w:r w:rsidRPr="00F72919">
        <w:rPr>
          <w:rFonts w:asciiTheme="majorHAnsi" w:hAnsiTheme="majorHAnsi" w:cstheme="majorHAnsi"/>
          <w:sz w:val="20"/>
          <w:szCs w:val="20"/>
        </w:rPr>
        <w:fldChar w:fldCharType="begin" w:fldLock="1"/>
      </w:r>
      <w:r w:rsidRPr="00F72919">
        <w:rPr>
          <w:rFonts w:asciiTheme="majorHAnsi" w:hAnsiTheme="majorHAnsi" w:cstheme="majorHAnsi"/>
          <w:sz w:val="20"/>
          <w:szCs w:val="20"/>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F72919">
        <w:rPr>
          <w:rFonts w:asciiTheme="majorHAnsi" w:hAnsiTheme="majorHAnsi" w:cstheme="majorHAnsi"/>
          <w:sz w:val="20"/>
          <w:szCs w:val="20"/>
        </w:rPr>
        <w:fldChar w:fldCharType="separate"/>
      </w:r>
      <w:r w:rsidRPr="00F72919">
        <w:rPr>
          <w:rFonts w:asciiTheme="majorHAnsi" w:hAnsiTheme="majorHAnsi" w:cstheme="majorHAnsi"/>
          <w:sz w:val="20"/>
          <w:szCs w:val="20"/>
        </w:rPr>
        <w:t>[4]</w:t>
      </w:r>
      <w:r w:rsidRPr="00F72919">
        <w:rPr>
          <w:rFonts w:asciiTheme="majorHAnsi" w:hAnsiTheme="majorHAnsi" w:cstheme="majorHAnsi"/>
          <w:sz w:val="20"/>
          <w:szCs w:val="20"/>
        </w:rPr>
        <w:fldChar w:fldCharType="end"/>
      </w:r>
      <w:r>
        <w:rPr>
          <w:rFonts w:asciiTheme="majorHAnsi" w:hAnsiTheme="majorHAnsi" w:cstheme="majorHAnsi"/>
          <w:sz w:val="20"/>
          <w:szCs w:val="20"/>
        </w:rPr>
        <w:t>.</w:t>
      </w:r>
    </w:p>
    <w:p w14:paraId="57C906AB" w14:textId="77777777" w:rsidR="00F72919" w:rsidRDefault="00F72919" w:rsidP="00F72919">
      <w:pPr>
        <w:ind w:firstLine="284"/>
        <w:jc w:val="both"/>
        <w:rPr>
          <w:rFonts w:asciiTheme="majorHAnsi" w:hAnsiTheme="majorHAnsi" w:cstheme="majorHAnsi"/>
          <w:sz w:val="20"/>
          <w:szCs w:val="20"/>
        </w:rPr>
      </w:pPr>
    </w:p>
    <w:p w14:paraId="7F932C75" w14:textId="1BDA0AB6" w:rsidR="00F72919" w:rsidRDefault="00F72919" w:rsidP="00077250">
      <w:pPr>
        <w:ind w:left="284" w:firstLine="284"/>
        <w:jc w:val="center"/>
        <w:rPr>
          <w:rFonts w:asciiTheme="majorHAnsi" w:hAnsiTheme="majorHAnsi" w:cstheme="majorHAnsi"/>
          <w:sz w:val="20"/>
          <w:szCs w:val="20"/>
        </w:rPr>
      </w:pPr>
      <w:r>
        <w:rPr>
          <w:noProof/>
        </w:rPr>
        <w:lastRenderedPageBreak/>
        <w:drawing>
          <wp:inline distT="0" distB="0" distL="0" distR="0" wp14:anchorId="16D99C1F" wp14:editId="19139C17">
            <wp:extent cx="3893845" cy="2324100"/>
            <wp:effectExtent l="0" t="0" r="0" b="0"/>
            <wp:docPr id="2118697247" name="Picture 1" descr="A high angle view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high angle view of a city&#10;&#10;Description automatically generated"/>
                    <pic:cNvPicPr>
                      <a:picLocks noChangeAspect="1"/>
                    </pic:cNvPicPr>
                  </pic:nvPicPr>
                  <pic:blipFill rotWithShape="1">
                    <a:blip r:embed="rId9" cstate="print">
                      <a:extLst>
                        <a:ext uri="{28A0092B-C50C-407E-A947-70E740481C1C}">
                          <a14:useLocalDpi xmlns:a14="http://schemas.microsoft.com/office/drawing/2010/main" val="0"/>
                        </a:ext>
                      </a:extLst>
                    </a:blip>
                    <a:srcRect/>
                    <a:stretch/>
                  </pic:blipFill>
                  <pic:spPr bwMode="auto">
                    <a:xfrm>
                      <a:off x="0" y="0"/>
                      <a:ext cx="3908685" cy="2332958"/>
                    </a:xfrm>
                    <a:prstGeom prst="rect">
                      <a:avLst/>
                    </a:prstGeom>
                    <a:noFill/>
                    <a:ln>
                      <a:noFill/>
                    </a:ln>
                    <a:extLst>
                      <a:ext uri="{53640926-AAD7-44D8-BBD7-CCE9431645EC}">
                        <a14:shadowObscured xmlns:a14="http://schemas.microsoft.com/office/drawing/2010/main"/>
                      </a:ext>
                    </a:extLst>
                  </pic:spPr>
                </pic:pic>
              </a:graphicData>
            </a:graphic>
          </wp:inline>
        </w:drawing>
      </w:r>
    </w:p>
    <w:p w14:paraId="0E92FB84" w14:textId="77777777" w:rsidR="00F72919" w:rsidRDefault="00F72919" w:rsidP="00077250">
      <w:pPr>
        <w:ind w:left="284" w:firstLine="284"/>
        <w:jc w:val="center"/>
        <w:rPr>
          <w:rFonts w:asciiTheme="majorHAnsi" w:hAnsiTheme="majorHAnsi" w:cstheme="majorHAnsi"/>
          <w:sz w:val="20"/>
          <w:szCs w:val="20"/>
        </w:rPr>
      </w:pPr>
    </w:p>
    <w:p w14:paraId="027788E9" w14:textId="0B917DCD" w:rsidR="00F72919" w:rsidRPr="00F72919" w:rsidRDefault="00F72919" w:rsidP="00077250">
      <w:pPr>
        <w:ind w:left="284" w:firstLine="284"/>
        <w:jc w:val="center"/>
        <w:rPr>
          <w:rFonts w:asciiTheme="majorHAnsi" w:hAnsiTheme="majorHAnsi" w:cstheme="majorHAnsi"/>
          <w:sz w:val="16"/>
          <w:szCs w:val="16"/>
        </w:rPr>
      </w:pPr>
      <w:r w:rsidRPr="00F72919">
        <w:rPr>
          <w:rFonts w:asciiTheme="majorHAnsi" w:hAnsiTheme="majorHAnsi" w:cstheme="majorHAnsi"/>
          <w:bCs/>
          <w:sz w:val="16"/>
          <w:szCs w:val="16"/>
        </w:rPr>
        <w:t xml:space="preserve">Figure 1.  A panoramic view of the historic city of </w:t>
      </w:r>
      <w:proofErr w:type="spellStart"/>
      <w:r w:rsidRPr="00F72919">
        <w:rPr>
          <w:rFonts w:asciiTheme="majorHAnsi" w:hAnsiTheme="majorHAnsi" w:cstheme="majorHAnsi"/>
          <w:bCs/>
          <w:sz w:val="16"/>
          <w:szCs w:val="16"/>
        </w:rPr>
        <w:t>Didymóteichon</w:t>
      </w:r>
      <w:proofErr w:type="spellEnd"/>
      <w:r w:rsidRPr="00F72919">
        <w:rPr>
          <w:rFonts w:asciiTheme="majorHAnsi" w:hAnsiTheme="majorHAnsi" w:cstheme="majorHAnsi"/>
          <w:bCs/>
          <w:sz w:val="16"/>
          <w:szCs w:val="16"/>
        </w:rPr>
        <w:t xml:space="preserve"> from the citadel, the Sultan Bayezid II Mosque forms its core </w:t>
      </w:r>
      <w:r w:rsidRPr="00F72919">
        <w:rPr>
          <w:rFonts w:asciiTheme="majorHAnsi" w:hAnsiTheme="majorHAnsi" w:cstheme="majorHAnsi"/>
          <w:bCs/>
          <w:sz w:val="16"/>
          <w:szCs w:val="16"/>
        </w:rPr>
        <w:fldChar w:fldCharType="begin" w:fldLock="1"/>
      </w:r>
      <w:r w:rsidRPr="00F72919">
        <w:rPr>
          <w:rFonts w:asciiTheme="majorHAnsi" w:hAnsiTheme="majorHAnsi" w:cstheme="majorHAnsi"/>
          <w:bCs/>
          <w:sz w:val="16"/>
          <w:szCs w:val="16"/>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F72919">
        <w:rPr>
          <w:rFonts w:asciiTheme="majorHAnsi" w:hAnsiTheme="majorHAnsi" w:cstheme="majorHAnsi"/>
          <w:bCs/>
          <w:sz w:val="16"/>
          <w:szCs w:val="16"/>
        </w:rPr>
        <w:fldChar w:fldCharType="separate"/>
      </w:r>
      <w:r w:rsidRPr="00F72919">
        <w:rPr>
          <w:rFonts w:asciiTheme="majorHAnsi" w:hAnsiTheme="majorHAnsi" w:cstheme="majorHAnsi"/>
          <w:bCs/>
          <w:sz w:val="16"/>
          <w:szCs w:val="16"/>
        </w:rPr>
        <w:t>[4]</w:t>
      </w:r>
      <w:r w:rsidRPr="00F72919">
        <w:rPr>
          <w:rFonts w:asciiTheme="majorHAnsi" w:hAnsiTheme="majorHAnsi" w:cstheme="majorHAnsi"/>
          <w:sz w:val="16"/>
          <w:szCs w:val="16"/>
        </w:rPr>
        <w:fldChar w:fldCharType="end"/>
      </w:r>
    </w:p>
    <w:p w14:paraId="0568302E" w14:textId="77777777" w:rsidR="00F72919" w:rsidRDefault="00F72919" w:rsidP="00F72919">
      <w:pPr>
        <w:ind w:firstLine="284"/>
        <w:jc w:val="center"/>
        <w:rPr>
          <w:rFonts w:asciiTheme="majorHAnsi" w:hAnsiTheme="majorHAnsi" w:cstheme="majorHAnsi"/>
          <w:sz w:val="20"/>
          <w:szCs w:val="20"/>
        </w:rPr>
      </w:pPr>
    </w:p>
    <w:p w14:paraId="2D6799FE" w14:textId="77777777" w:rsidR="00F72919" w:rsidRDefault="00F72919" w:rsidP="00077250">
      <w:pPr>
        <w:ind w:left="284" w:firstLine="284"/>
        <w:jc w:val="both"/>
        <w:rPr>
          <w:rFonts w:asciiTheme="majorHAnsi" w:hAnsiTheme="majorHAnsi" w:cstheme="majorHAnsi"/>
          <w:sz w:val="20"/>
          <w:szCs w:val="20"/>
        </w:rPr>
      </w:pPr>
      <w:r w:rsidRPr="00F72919">
        <w:rPr>
          <w:rFonts w:asciiTheme="majorHAnsi" w:hAnsiTheme="majorHAnsi" w:cstheme="majorHAnsi"/>
          <w:sz w:val="20"/>
          <w:szCs w:val="20"/>
        </w:rPr>
        <w:t xml:space="preserve">The construction of the Sultan Bayezid II Mosque is deeply intertwined with the Ottoman conquest and subsequent rule of the Greek territories, which began in 1361 AD. As one of the earliest and most significant Ottoman architectural commissions in the Balkans beyond modern-day Turkey, the mosque's origins can be traced back to the reign of Sultan Bayezid I. However, it was under the patronage of his successor, Mehmed I, in the early 15th century that the mosque was completed. The mosque's impressive scale, ornamental program, and the prestigious architect, Hadji </w:t>
      </w:r>
      <w:bookmarkStart w:id="0" w:name="_Hlk155530856"/>
      <w:proofErr w:type="spellStart"/>
      <w:r w:rsidRPr="00F72919">
        <w:rPr>
          <w:rFonts w:asciiTheme="majorHAnsi" w:hAnsiTheme="majorHAnsi" w:cstheme="majorHAnsi"/>
          <w:sz w:val="20"/>
          <w:szCs w:val="20"/>
        </w:rPr>
        <w:t>ʿ</w:t>
      </w:r>
      <w:bookmarkEnd w:id="0"/>
      <w:r w:rsidRPr="00F72919">
        <w:rPr>
          <w:rFonts w:asciiTheme="majorHAnsi" w:hAnsiTheme="majorHAnsi" w:cstheme="majorHAnsi"/>
          <w:sz w:val="20"/>
          <w:szCs w:val="20"/>
        </w:rPr>
        <w:t>Awaḍ</w:t>
      </w:r>
      <w:proofErr w:type="spellEnd"/>
      <w:r w:rsidRPr="00F72919">
        <w:rPr>
          <w:rFonts w:asciiTheme="majorHAnsi" w:hAnsiTheme="majorHAnsi" w:cstheme="majorHAnsi"/>
          <w:sz w:val="20"/>
          <w:szCs w:val="20"/>
        </w:rPr>
        <w:t xml:space="preserve"> (</w:t>
      </w:r>
      <w:r w:rsidRPr="00F72919">
        <w:rPr>
          <w:rFonts w:asciiTheme="majorHAnsi" w:hAnsiTheme="majorHAnsi" w:cstheme="majorHAnsi" w:hint="cs"/>
          <w:sz w:val="20"/>
          <w:szCs w:val="20"/>
          <w:rtl/>
        </w:rPr>
        <w:t>عوض</w:t>
      </w:r>
      <w:r w:rsidRPr="00F72919">
        <w:rPr>
          <w:rFonts w:asciiTheme="majorHAnsi" w:hAnsiTheme="majorHAnsi" w:cstheme="majorHAnsi"/>
          <w:sz w:val="20"/>
          <w:szCs w:val="20"/>
        </w:rPr>
        <w:t>) “</w:t>
      </w:r>
      <w:proofErr w:type="spellStart"/>
      <w:r w:rsidRPr="00F72919">
        <w:rPr>
          <w:rFonts w:asciiTheme="majorHAnsi" w:hAnsiTheme="majorHAnsi" w:cstheme="majorHAnsi"/>
          <w:sz w:val="20"/>
          <w:szCs w:val="20"/>
        </w:rPr>
        <w:t>Ivaz</w:t>
      </w:r>
      <w:proofErr w:type="spellEnd"/>
      <w:r w:rsidRPr="00F72919">
        <w:rPr>
          <w:rFonts w:asciiTheme="majorHAnsi" w:hAnsiTheme="majorHAnsi" w:cstheme="majorHAnsi"/>
          <w:sz w:val="20"/>
          <w:szCs w:val="20"/>
        </w:rPr>
        <w:t xml:space="preserve">” </w:t>
      </w:r>
      <w:proofErr w:type="spellStart"/>
      <w:r w:rsidRPr="00F72919">
        <w:rPr>
          <w:rFonts w:asciiTheme="majorHAnsi" w:hAnsiTheme="majorHAnsi" w:cstheme="majorHAnsi"/>
          <w:sz w:val="20"/>
          <w:szCs w:val="20"/>
        </w:rPr>
        <w:t>Paşa</w:t>
      </w:r>
      <w:proofErr w:type="spellEnd"/>
      <w:r w:rsidRPr="00F72919">
        <w:rPr>
          <w:rFonts w:asciiTheme="majorHAnsi" w:hAnsiTheme="majorHAnsi" w:cstheme="majorHAnsi"/>
          <w:sz w:val="20"/>
          <w:szCs w:val="20"/>
        </w:rPr>
        <w:t xml:space="preserve">, highlight the strategic importance of </w:t>
      </w:r>
      <w:proofErr w:type="spellStart"/>
      <w:r w:rsidRPr="00F72919">
        <w:rPr>
          <w:rFonts w:asciiTheme="majorHAnsi" w:hAnsiTheme="majorHAnsi" w:cstheme="majorHAnsi"/>
          <w:sz w:val="20"/>
          <w:szCs w:val="20"/>
        </w:rPr>
        <w:t>Didymóteichon</w:t>
      </w:r>
      <w:proofErr w:type="spellEnd"/>
      <w:r w:rsidRPr="00F72919">
        <w:rPr>
          <w:rFonts w:asciiTheme="majorHAnsi" w:hAnsiTheme="majorHAnsi" w:cstheme="majorHAnsi"/>
          <w:sz w:val="20"/>
          <w:szCs w:val="20"/>
        </w:rPr>
        <w:t xml:space="preserve"> within the broader Ottoman sphere of influence during this period </w:t>
      </w:r>
      <w:r w:rsidRPr="00F72919">
        <w:rPr>
          <w:rFonts w:asciiTheme="majorHAnsi" w:hAnsiTheme="majorHAnsi" w:cstheme="majorHAnsi"/>
          <w:sz w:val="20"/>
          <w:szCs w:val="20"/>
        </w:rPr>
        <w:fldChar w:fldCharType="begin" w:fldLock="1"/>
      </w:r>
      <w:r w:rsidRPr="00F72919">
        <w:rPr>
          <w:rFonts w:asciiTheme="majorHAnsi" w:hAnsiTheme="majorHAnsi" w:cstheme="majorHAnsi"/>
          <w:sz w:val="20"/>
          <w:szCs w:val="20"/>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F72919">
        <w:rPr>
          <w:rFonts w:asciiTheme="majorHAnsi" w:hAnsiTheme="majorHAnsi" w:cstheme="majorHAnsi"/>
          <w:sz w:val="20"/>
          <w:szCs w:val="20"/>
        </w:rPr>
        <w:fldChar w:fldCharType="separate"/>
      </w:r>
      <w:r w:rsidRPr="00F72919">
        <w:rPr>
          <w:rFonts w:asciiTheme="majorHAnsi" w:hAnsiTheme="majorHAnsi" w:cstheme="majorHAnsi"/>
          <w:sz w:val="20"/>
          <w:szCs w:val="20"/>
        </w:rPr>
        <w:t>[21]</w:t>
      </w:r>
      <w:r w:rsidRPr="00F72919">
        <w:rPr>
          <w:rFonts w:asciiTheme="majorHAnsi" w:hAnsiTheme="majorHAnsi" w:cstheme="majorHAnsi"/>
          <w:sz w:val="20"/>
          <w:szCs w:val="20"/>
        </w:rPr>
        <w:fldChar w:fldCharType="end"/>
      </w:r>
      <w:r w:rsidRPr="00F72919">
        <w:rPr>
          <w:rFonts w:asciiTheme="majorHAnsi" w:hAnsiTheme="majorHAnsi" w:cstheme="majorHAnsi"/>
          <w:sz w:val="20"/>
          <w:szCs w:val="20"/>
        </w:rPr>
        <w:t xml:space="preserve">, </w:t>
      </w:r>
      <w:r w:rsidRPr="00F72919">
        <w:rPr>
          <w:rFonts w:asciiTheme="majorHAnsi" w:hAnsiTheme="majorHAnsi" w:cstheme="majorHAnsi"/>
          <w:sz w:val="20"/>
          <w:szCs w:val="20"/>
        </w:rPr>
        <w:fldChar w:fldCharType="begin" w:fldLock="1"/>
      </w:r>
      <w:r w:rsidRPr="00F72919">
        <w:rPr>
          <w:rFonts w:asciiTheme="majorHAnsi" w:hAnsiTheme="majorHAnsi" w:cstheme="majorHAnsi"/>
          <w:sz w:val="20"/>
          <w:szCs w:val="20"/>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F72919">
        <w:rPr>
          <w:rFonts w:asciiTheme="majorHAnsi" w:hAnsiTheme="majorHAnsi" w:cstheme="majorHAnsi"/>
          <w:sz w:val="20"/>
          <w:szCs w:val="20"/>
        </w:rPr>
        <w:fldChar w:fldCharType="separate"/>
      </w:r>
      <w:r w:rsidRPr="00F72919">
        <w:rPr>
          <w:rFonts w:asciiTheme="majorHAnsi" w:hAnsiTheme="majorHAnsi" w:cstheme="majorHAnsi"/>
          <w:sz w:val="20"/>
          <w:szCs w:val="20"/>
        </w:rPr>
        <w:t>[4]</w:t>
      </w:r>
      <w:r w:rsidRPr="00F72919">
        <w:rPr>
          <w:rFonts w:asciiTheme="majorHAnsi" w:hAnsiTheme="majorHAnsi" w:cstheme="majorHAnsi"/>
          <w:sz w:val="20"/>
          <w:szCs w:val="20"/>
        </w:rPr>
        <w:fldChar w:fldCharType="end"/>
      </w:r>
      <w:r w:rsidRPr="00F72919">
        <w:rPr>
          <w:rFonts w:asciiTheme="majorHAnsi" w:hAnsiTheme="majorHAnsi" w:cstheme="majorHAnsi"/>
          <w:sz w:val="20"/>
          <w:szCs w:val="20"/>
        </w:rPr>
        <w:t>.</w:t>
      </w:r>
    </w:p>
    <w:p w14:paraId="50A47ABB" w14:textId="77777777" w:rsidR="00F72919" w:rsidRDefault="00F72919" w:rsidP="00F72919">
      <w:pPr>
        <w:ind w:firstLine="284"/>
        <w:jc w:val="both"/>
        <w:rPr>
          <w:rFonts w:asciiTheme="majorHAnsi" w:hAnsiTheme="majorHAnsi" w:cstheme="majorHAnsi"/>
          <w:sz w:val="20"/>
          <w:szCs w:val="20"/>
        </w:rPr>
      </w:pPr>
    </w:p>
    <w:tbl>
      <w:tblPr>
        <w:tblStyle w:val="TableGrid"/>
        <w:tblW w:w="9060"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6"/>
        <w:gridCol w:w="4506"/>
      </w:tblGrid>
      <w:tr w:rsidR="00F72919" w:rsidRPr="00940C3C" w14:paraId="6C2077BD" w14:textId="77777777" w:rsidTr="00077250">
        <w:tc>
          <w:tcPr>
            <w:tcW w:w="4604" w:type="dxa"/>
          </w:tcPr>
          <w:p w14:paraId="7DE2402D" w14:textId="77777777" w:rsidR="00F72919" w:rsidRPr="00940C3C" w:rsidRDefault="00F72919" w:rsidP="00F72919">
            <w:pPr>
              <w:jc w:val="both"/>
              <w:rPr>
                <w:rFonts w:asciiTheme="majorHAnsi" w:hAnsiTheme="majorHAnsi" w:cstheme="majorHAnsi"/>
                <w:sz w:val="16"/>
                <w:szCs w:val="16"/>
              </w:rPr>
            </w:pPr>
            <w:r w:rsidRPr="00940C3C">
              <w:rPr>
                <w:noProof/>
                <w:sz w:val="16"/>
                <w:szCs w:val="16"/>
              </w:rPr>
              <w:drawing>
                <wp:inline distT="0" distB="0" distL="0" distR="0" wp14:anchorId="6051C86B" wp14:editId="3C829ABF">
                  <wp:extent cx="2809875" cy="2560320"/>
                  <wp:effectExtent l="0" t="0" r="9525" b="0"/>
                  <wp:docPr id="5" name="Picture 4" descr="001">
                    <a:hlinkClick xmlns:a="http://schemas.openxmlformats.org/drawingml/2006/main" r:id="" action="ppaction://hlinksldjump?num=21"/>
                    <a:extLst xmlns:a="http://schemas.openxmlformats.org/drawingml/2006/main">
                      <a:ext uri="{FF2B5EF4-FFF2-40B4-BE49-F238E27FC236}">
                        <a16:creationId xmlns:a16="http://schemas.microsoft.com/office/drawing/2014/main" id="{5BC7CC68-8120-0CAF-18A2-DF47559A79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001">
                            <a:hlinkClick r:id="" action="ppaction://hlinksldjump?num=21"/>
                            <a:extLst>
                              <a:ext uri="{FF2B5EF4-FFF2-40B4-BE49-F238E27FC236}">
                                <a16:creationId xmlns:a16="http://schemas.microsoft.com/office/drawing/2014/main" id="{5BC7CC68-8120-0CAF-18A2-DF47559A798D}"/>
                              </a:ext>
                            </a:extLst>
                          </pic:cNvPr>
                          <pic:cNvPicPr>
                            <a:picLocks noChangeAspect="1"/>
                          </pic:cNvPicPr>
                        </pic:nvPicPr>
                        <pic:blipFill>
                          <a:blip r:embed="rId10" cstate="print">
                            <a:lum bright="20000"/>
                            <a:extLst>
                              <a:ext uri="{BEBA8EAE-BF5A-486C-A8C5-ECC9F3942E4B}">
                                <a14:imgProps xmlns:a14="http://schemas.microsoft.com/office/drawing/2010/main">
                                  <a14:imgLayer r:embed="rId1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809875" cy="2560320"/>
                          </a:xfrm>
                          <a:prstGeom prst="rect">
                            <a:avLst/>
                          </a:prstGeom>
                          <a:noFill/>
                          <a:ln>
                            <a:noFill/>
                          </a:ln>
                        </pic:spPr>
                      </pic:pic>
                    </a:graphicData>
                  </a:graphic>
                </wp:inline>
              </w:drawing>
            </w:r>
          </w:p>
          <w:p w14:paraId="48368BC9" w14:textId="77777777" w:rsidR="00940C3C" w:rsidRDefault="00940C3C" w:rsidP="00F72919">
            <w:pPr>
              <w:jc w:val="center"/>
              <w:rPr>
                <w:rFonts w:eastAsia="Calibri" w:cs="Calibri Light"/>
                <w:bCs/>
                <w:sz w:val="16"/>
                <w:szCs w:val="16"/>
              </w:rPr>
            </w:pPr>
          </w:p>
          <w:p w14:paraId="39C8DD87" w14:textId="34EECCE0" w:rsidR="00F72919" w:rsidRPr="00940C3C" w:rsidRDefault="00F72919" w:rsidP="00F72919">
            <w:pPr>
              <w:jc w:val="center"/>
              <w:rPr>
                <w:rFonts w:eastAsia="Calibri" w:cs="Calibri Light"/>
                <w:bCs/>
                <w:sz w:val="16"/>
                <w:szCs w:val="16"/>
              </w:rPr>
            </w:pPr>
            <w:r w:rsidRPr="00940C3C">
              <w:rPr>
                <w:rFonts w:eastAsia="Calibri" w:cs="Calibri Light"/>
                <w:bCs/>
                <w:sz w:val="16"/>
                <w:szCs w:val="16"/>
              </w:rPr>
              <w:t xml:space="preserve">a. The Sultan Bayezid II Mosque from the western corner where the minaret is located </w:t>
            </w:r>
            <w:r w:rsidRPr="00940C3C">
              <w:rPr>
                <w:rFonts w:eastAsia="Calibri" w:cs="Calibri Light"/>
                <w:bCs/>
                <w:sz w:val="16"/>
                <w:szCs w:val="16"/>
              </w:rPr>
              <w:fldChar w:fldCharType="begin" w:fldLock="1"/>
            </w:r>
            <w:r w:rsidRPr="00940C3C">
              <w:rPr>
                <w:rFonts w:eastAsia="Calibri" w:cs="Calibri Light"/>
                <w:bCs/>
                <w:sz w:val="16"/>
                <w:szCs w:val="16"/>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940C3C">
              <w:rPr>
                <w:rFonts w:eastAsia="Calibri" w:cs="Calibri Light"/>
                <w:bCs/>
                <w:sz w:val="16"/>
                <w:szCs w:val="16"/>
              </w:rPr>
              <w:fldChar w:fldCharType="separate"/>
            </w:r>
            <w:r w:rsidRPr="00940C3C">
              <w:rPr>
                <w:rFonts w:eastAsia="Calibri" w:cs="Calibri Light"/>
                <w:bCs/>
                <w:sz w:val="16"/>
                <w:szCs w:val="16"/>
              </w:rPr>
              <w:t>[4]</w:t>
            </w:r>
            <w:r w:rsidRPr="00940C3C">
              <w:rPr>
                <w:rFonts w:eastAsia="Calibri" w:cs="Calibri Light"/>
                <w:bCs/>
                <w:sz w:val="16"/>
                <w:szCs w:val="16"/>
              </w:rPr>
              <w:fldChar w:fldCharType="end"/>
            </w:r>
          </w:p>
        </w:tc>
        <w:tc>
          <w:tcPr>
            <w:tcW w:w="4456" w:type="dxa"/>
          </w:tcPr>
          <w:p w14:paraId="17FE826F" w14:textId="77777777" w:rsidR="00F72919" w:rsidRPr="00940C3C" w:rsidRDefault="00F72919" w:rsidP="00F72919">
            <w:pPr>
              <w:jc w:val="both"/>
              <w:rPr>
                <w:rFonts w:asciiTheme="majorHAnsi" w:hAnsiTheme="majorHAnsi" w:cstheme="majorHAnsi"/>
                <w:sz w:val="16"/>
                <w:szCs w:val="16"/>
              </w:rPr>
            </w:pPr>
            <w:r w:rsidRPr="00940C3C">
              <w:rPr>
                <w:noProof/>
                <w:sz w:val="16"/>
                <w:szCs w:val="16"/>
              </w:rPr>
              <w:drawing>
                <wp:inline distT="0" distB="0" distL="0" distR="0" wp14:anchorId="0876E406" wp14:editId="54166304">
                  <wp:extent cx="2722245" cy="2560320"/>
                  <wp:effectExtent l="0" t="0" r="1905" b="0"/>
                  <wp:docPr id="1024446849" name="Picture 1" descr="E:\My Hard Disk\Works of PhD\Abdelrahman&amp;MALAK\Malak\004_Resom\Ayverdi Ekrem Hakki 1982 Avrupa'da Osmanli Minari Eserleri IV\scan0007.jpg">
                    <a:extLst xmlns:a="http://schemas.openxmlformats.org/drawingml/2006/main">
                      <a:ext uri="{FF2B5EF4-FFF2-40B4-BE49-F238E27FC236}">
                        <a16:creationId xmlns:a16="http://schemas.microsoft.com/office/drawing/2014/main" id="{88819949-3ABB-4A3A-52BF-1C25E00C25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E:\My Hard Disk\Works of PhD\Abdelrahman&amp;MALAK\Malak\004_Resom\Ayverdi Ekrem Hakki 1982 Avrupa'da Osmanli Minari Eserleri IV\scan0007.jpg">
                            <a:extLst>
                              <a:ext uri="{FF2B5EF4-FFF2-40B4-BE49-F238E27FC236}">
                                <a16:creationId xmlns:a16="http://schemas.microsoft.com/office/drawing/2014/main" id="{88819949-3ABB-4A3A-52BF-1C25E00C259B}"/>
                              </a:ext>
                            </a:extLst>
                          </pic:cNvPr>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22245" cy="2560320"/>
                          </a:xfrm>
                          <a:prstGeom prst="rect">
                            <a:avLst/>
                          </a:prstGeom>
                          <a:noFill/>
                          <a:ln>
                            <a:noFill/>
                          </a:ln>
                        </pic:spPr>
                      </pic:pic>
                    </a:graphicData>
                  </a:graphic>
                </wp:inline>
              </w:drawing>
            </w:r>
          </w:p>
          <w:p w14:paraId="06488D64" w14:textId="77777777" w:rsidR="00940C3C" w:rsidRDefault="00940C3C" w:rsidP="00F72919">
            <w:pPr>
              <w:jc w:val="center"/>
              <w:rPr>
                <w:rFonts w:asciiTheme="majorHAnsi" w:hAnsiTheme="majorHAnsi" w:cstheme="majorHAnsi"/>
                <w:bCs/>
                <w:sz w:val="16"/>
                <w:szCs w:val="16"/>
              </w:rPr>
            </w:pPr>
          </w:p>
          <w:p w14:paraId="69E75E7B" w14:textId="6F9D72C3" w:rsidR="00F72919" w:rsidRPr="00940C3C" w:rsidRDefault="00F72919" w:rsidP="00F72919">
            <w:pPr>
              <w:jc w:val="center"/>
              <w:rPr>
                <w:rFonts w:asciiTheme="majorHAnsi" w:hAnsiTheme="majorHAnsi" w:cstheme="majorHAnsi"/>
                <w:sz w:val="16"/>
                <w:szCs w:val="16"/>
              </w:rPr>
            </w:pPr>
            <w:r w:rsidRPr="00940C3C">
              <w:rPr>
                <w:rFonts w:asciiTheme="majorHAnsi" w:hAnsiTheme="majorHAnsi" w:cstheme="majorHAnsi"/>
                <w:bCs/>
                <w:sz w:val="16"/>
                <w:szCs w:val="16"/>
              </w:rPr>
              <w:t xml:space="preserve">b. The Sultan Bayezid II Mosque, a plan </w:t>
            </w:r>
            <w:r w:rsidRPr="00940C3C">
              <w:rPr>
                <w:rFonts w:asciiTheme="majorHAnsi" w:hAnsiTheme="majorHAnsi" w:cstheme="majorHAnsi"/>
                <w:bCs/>
                <w:sz w:val="16"/>
                <w:szCs w:val="16"/>
              </w:rPr>
              <w:fldChar w:fldCharType="begin" w:fldLock="1"/>
            </w:r>
            <w:r w:rsidRPr="00940C3C">
              <w:rPr>
                <w:rFonts w:asciiTheme="majorHAnsi" w:hAnsiTheme="majorHAnsi" w:cstheme="majorHAnsi"/>
                <w:bCs/>
                <w:sz w:val="16"/>
                <w:szCs w:val="16"/>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940C3C">
              <w:rPr>
                <w:rFonts w:asciiTheme="majorHAnsi" w:hAnsiTheme="majorHAnsi" w:cstheme="majorHAnsi"/>
                <w:bCs/>
                <w:sz w:val="16"/>
                <w:szCs w:val="16"/>
              </w:rPr>
              <w:fldChar w:fldCharType="separate"/>
            </w:r>
            <w:r w:rsidRPr="00940C3C">
              <w:rPr>
                <w:rFonts w:asciiTheme="majorHAnsi" w:hAnsiTheme="majorHAnsi" w:cstheme="majorHAnsi"/>
                <w:bCs/>
                <w:sz w:val="16"/>
                <w:szCs w:val="16"/>
              </w:rPr>
              <w:t>[20]</w:t>
            </w:r>
            <w:r w:rsidRPr="00940C3C">
              <w:rPr>
                <w:rFonts w:asciiTheme="majorHAnsi" w:hAnsiTheme="majorHAnsi" w:cstheme="majorHAnsi"/>
                <w:sz w:val="16"/>
                <w:szCs w:val="16"/>
              </w:rPr>
              <w:fldChar w:fldCharType="end"/>
            </w:r>
          </w:p>
        </w:tc>
      </w:tr>
      <w:tr w:rsidR="00077250" w:rsidRPr="00077250" w14:paraId="3F477D07" w14:textId="77777777" w:rsidTr="00077250">
        <w:tc>
          <w:tcPr>
            <w:tcW w:w="9060" w:type="dxa"/>
            <w:gridSpan w:val="2"/>
          </w:tcPr>
          <w:p w14:paraId="56AFCA5D" w14:textId="77777777" w:rsidR="00077250" w:rsidRDefault="00077250" w:rsidP="00077250">
            <w:pPr>
              <w:jc w:val="center"/>
              <w:rPr>
                <w:rFonts w:asciiTheme="majorHAnsi" w:hAnsiTheme="majorHAnsi" w:cstheme="majorHAnsi"/>
                <w:bCs/>
                <w:sz w:val="16"/>
                <w:szCs w:val="16"/>
              </w:rPr>
            </w:pPr>
          </w:p>
          <w:p w14:paraId="3CB322B6" w14:textId="3A39CE65" w:rsidR="00077250" w:rsidRPr="00077250" w:rsidRDefault="00077250" w:rsidP="00077250">
            <w:pPr>
              <w:jc w:val="center"/>
              <w:rPr>
                <w:rFonts w:asciiTheme="majorHAnsi" w:hAnsiTheme="majorHAnsi" w:cstheme="majorHAnsi"/>
                <w:sz w:val="16"/>
                <w:szCs w:val="16"/>
              </w:rPr>
            </w:pPr>
            <w:r w:rsidRPr="00077250">
              <w:rPr>
                <w:rFonts w:asciiTheme="majorHAnsi" w:hAnsiTheme="majorHAnsi" w:cstheme="majorHAnsi"/>
                <w:bCs/>
                <w:sz w:val="16"/>
                <w:szCs w:val="16"/>
              </w:rPr>
              <w:t>Figure 2(</w:t>
            </w:r>
            <w:proofErr w:type="spellStart"/>
            <w:r w:rsidRPr="00077250">
              <w:rPr>
                <w:rFonts w:asciiTheme="majorHAnsi" w:hAnsiTheme="majorHAnsi" w:cstheme="majorHAnsi"/>
                <w:bCs/>
                <w:sz w:val="16"/>
                <w:szCs w:val="16"/>
              </w:rPr>
              <w:t>a&amp;b</w:t>
            </w:r>
            <w:proofErr w:type="spellEnd"/>
            <w:r w:rsidRPr="00077250">
              <w:rPr>
                <w:rFonts w:asciiTheme="majorHAnsi" w:hAnsiTheme="majorHAnsi" w:cstheme="majorHAnsi"/>
                <w:bCs/>
                <w:sz w:val="16"/>
                <w:szCs w:val="16"/>
              </w:rPr>
              <w:t>). 1: The main Arabic foundation inscription; 2: The secondary Arabic foundation inscription</w:t>
            </w:r>
          </w:p>
        </w:tc>
      </w:tr>
    </w:tbl>
    <w:p w14:paraId="4E33D789" w14:textId="77777777" w:rsidR="00F72919" w:rsidRDefault="00F72919" w:rsidP="00F72919">
      <w:pPr>
        <w:ind w:firstLine="284"/>
        <w:jc w:val="both"/>
        <w:rPr>
          <w:rFonts w:asciiTheme="majorHAnsi" w:hAnsiTheme="majorHAnsi" w:cstheme="majorHAnsi"/>
          <w:sz w:val="20"/>
          <w:szCs w:val="20"/>
        </w:rPr>
      </w:pPr>
    </w:p>
    <w:p w14:paraId="1F5A3038" w14:textId="77777777" w:rsidR="00077250" w:rsidRPr="00077250" w:rsidRDefault="00077250" w:rsidP="00077250">
      <w:pPr>
        <w:ind w:left="284" w:firstLine="284"/>
        <w:jc w:val="both"/>
        <w:rPr>
          <w:rFonts w:asciiTheme="majorHAnsi" w:hAnsiTheme="majorHAnsi" w:cstheme="majorHAnsi"/>
          <w:sz w:val="20"/>
          <w:szCs w:val="20"/>
        </w:rPr>
      </w:pPr>
      <w:r w:rsidRPr="00077250">
        <w:rPr>
          <w:rFonts w:asciiTheme="majorHAnsi" w:hAnsiTheme="majorHAnsi" w:cstheme="majorHAnsi"/>
          <w:sz w:val="20"/>
          <w:szCs w:val="20"/>
        </w:rPr>
        <w:t>Despite the challenges it has faced over the centuries, including its use as a grain depot that caused significant interior damage, the Sultan Bayezid II Mosque has stood the test of time as a remarkable testament to the Ottoman architectural legacy in Greece. In recent decades, concerted efforts have been made to protect and conserve this monument, which is now under the custodianship of the 15</w:t>
      </w:r>
      <w:r w:rsidRPr="00077250">
        <w:rPr>
          <w:rFonts w:asciiTheme="majorHAnsi" w:hAnsiTheme="majorHAnsi" w:cstheme="majorHAnsi"/>
          <w:sz w:val="20"/>
          <w:szCs w:val="20"/>
          <w:vertAlign w:val="superscript"/>
        </w:rPr>
        <w:t>th</w:t>
      </w:r>
      <w:r w:rsidRPr="00077250">
        <w:rPr>
          <w:rFonts w:asciiTheme="majorHAnsi" w:hAnsiTheme="majorHAnsi" w:cstheme="majorHAnsi"/>
          <w:sz w:val="20"/>
          <w:szCs w:val="20"/>
        </w:rPr>
        <w:t xml:space="preserve"> Ephorate of Byzantine Antiquities of the Greek Ministry of Culture </w:t>
      </w:r>
      <w:r w:rsidRPr="00077250">
        <w:rPr>
          <w:rFonts w:asciiTheme="majorHAnsi" w:hAnsiTheme="majorHAnsi" w:cstheme="majorHAnsi"/>
          <w:sz w:val="20"/>
          <w:szCs w:val="20"/>
        </w:rPr>
        <w:fldChar w:fldCharType="begin" w:fldLock="1"/>
      </w:r>
      <w:r w:rsidRPr="00077250">
        <w:rPr>
          <w:rFonts w:asciiTheme="majorHAnsi" w:hAnsiTheme="majorHAnsi" w:cstheme="majorHAnsi"/>
          <w:sz w:val="20"/>
          <w:szCs w:val="20"/>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077250">
        <w:rPr>
          <w:rFonts w:asciiTheme="majorHAnsi" w:hAnsiTheme="majorHAnsi" w:cstheme="majorHAnsi"/>
          <w:sz w:val="20"/>
          <w:szCs w:val="20"/>
        </w:rPr>
        <w:fldChar w:fldCharType="separate"/>
      </w:r>
      <w:r w:rsidRPr="00077250">
        <w:rPr>
          <w:rFonts w:asciiTheme="majorHAnsi" w:hAnsiTheme="majorHAnsi" w:cstheme="majorHAnsi"/>
          <w:sz w:val="20"/>
          <w:szCs w:val="20"/>
        </w:rPr>
        <w:t>[28]</w:t>
      </w:r>
      <w:r w:rsidRPr="00077250">
        <w:rPr>
          <w:rFonts w:asciiTheme="majorHAnsi" w:hAnsiTheme="majorHAnsi" w:cstheme="majorHAnsi"/>
          <w:sz w:val="20"/>
          <w:szCs w:val="20"/>
        </w:rPr>
        <w:fldChar w:fldCharType="end"/>
      </w:r>
      <w:r w:rsidRPr="00077250">
        <w:rPr>
          <w:rFonts w:asciiTheme="majorHAnsi" w:hAnsiTheme="majorHAnsi" w:cstheme="majorHAnsi"/>
          <w:sz w:val="20"/>
          <w:szCs w:val="20"/>
        </w:rPr>
        <w:t>. This preservation work highlights the historic and cultural significance of the mosque, which remains a notable landmark, providing visitors with a unique glimpse into the artistic and architectural achievements of the Ottoman Empire in the Balkans.</w:t>
      </w:r>
    </w:p>
    <w:p w14:paraId="056C1CDB" w14:textId="5D023B5C" w:rsidR="00077250" w:rsidRDefault="00077250" w:rsidP="00077250">
      <w:pPr>
        <w:ind w:left="284" w:firstLine="284"/>
        <w:jc w:val="both"/>
        <w:rPr>
          <w:rFonts w:asciiTheme="majorHAnsi" w:hAnsiTheme="majorHAnsi" w:cstheme="majorHAnsi"/>
          <w:sz w:val="20"/>
          <w:szCs w:val="20"/>
        </w:rPr>
      </w:pPr>
      <w:r w:rsidRPr="00077250">
        <w:rPr>
          <w:rFonts w:asciiTheme="majorHAnsi" w:hAnsiTheme="majorHAnsi" w:cstheme="majorHAnsi"/>
          <w:sz w:val="20"/>
          <w:szCs w:val="20"/>
        </w:rPr>
        <w:t xml:space="preserve"> The mosque's unique monumental pyramid-shaped wooden roof was one of the most significant and rare wooden monuments in the world before it was entirely burned due to a massive fire during the last restoration project in 2017 </w:t>
      </w:r>
      <w:r w:rsidRPr="00077250">
        <w:rPr>
          <w:rFonts w:asciiTheme="majorHAnsi" w:hAnsiTheme="majorHAnsi" w:cstheme="majorHAnsi"/>
          <w:sz w:val="20"/>
          <w:szCs w:val="20"/>
        </w:rPr>
        <w:fldChar w:fldCharType="begin" w:fldLock="1"/>
      </w:r>
      <w:r w:rsidRPr="00077250">
        <w:rPr>
          <w:rFonts w:asciiTheme="majorHAnsi" w:hAnsiTheme="majorHAnsi" w:cstheme="majorHAnsi"/>
          <w:sz w:val="20"/>
          <w:szCs w:val="20"/>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077250">
        <w:rPr>
          <w:rFonts w:asciiTheme="majorHAnsi" w:hAnsiTheme="majorHAnsi" w:cstheme="majorHAnsi"/>
          <w:sz w:val="20"/>
          <w:szCs w:val="20"/>
        </w:rPr>
        <w:fldChar w:fldCharType="separate"/>
      </w:r>
      <w:r w:rsidRPr="00077250">
        <w:rPr>
          <w:rFonts w:asciiTheme="majorHAnsi" w:hAnsiTheme="majorHAnsi" w:cstheme="majorHAnsi"/>
          <w:sz w:val="20"/>
          <w:szCs w:val="20"/>
        </w:rPr>
        <w:t>[4]</w:t>
      </w:r>
      <w:r w:rsidRPr="00077250">
        <w:rPr>
          <w:rFonts w:asciiTheme="majorHAnsi" w:hAnsiTheme="majorHAnsi" w:cstheme="majorHAnsi"/>
          <w:sz w:val="20"/>
          <w:szCs w:val="20"/>
        </w:rPr>
        <w:fldChar w:fldCharType="end"/>
      </w:r>
      <w:r>
        <w:rPr>
          <w:rFonts w:asciiTheme="majorHAnsi" w:hAnsiTheme="majorHAnsi" w:cstheme="majorHAnsi"/>
          <w:sz w:val="20"/>
          <w:szCs w:val="20"/>
        </w:rPr>
        <w:t>.</w:t>
      </w:r>
    </w:p>
    <w:p w14:paraId="1F9BBAEE" w14:textId="72222D18" w:rsidR="00077250" w:rsidRDefault="00077250" w:rsidP="00077250">
      <w:pPr>
        <w:pStyle w:val="ListParagraph"/>
        <w:numPr>
          <w:ilvl w:val="0"/>
          <w:numId w:val="3"/>
        </w:numPr>
        <w:ind w:left="567" w:hanging="283"/>
        <w:jc w:val="both"/>
        <w:rPr>
          <w:rFonts w:asciiTheme="minorHAnsi" w:hAnsiTheme="minorHAnsi" w:cstheme="minorHAnsi"/>
          <w:b/>
          <w:bCs/>
          <w:sz w:val="18"/>
          <w:szCs w:val="18"/>
        </w:rPr>
      </w:pPr>
      <w:r w:rsidRPr="00077250">
        <w:rPr>
          <w:rFonts w:asciiTheme="minorHAnsi" w:hAnsiTheme="minorHAnsi" w:cstheme="minorHAnsi"/>
          <w:b/>
          <w:bCs/>
          <w:sz w:val="18"/>
          <w:szCs w:val="18"/>
        </w:rPr>
        <w:lastRenderedPageBreak/>
        <w:t>SEEING IS BELIEVING? THE CENTRAL ROLE OF VISION IN ART AND ARCHITECTURE</w:t>
      </w:r>
    </w:p>
    <w:p w14:paraId="6F0E9771" w14:textId="77777777" w:rsidR="00077250" w:rsidRPr="00077250" w:rsidRDefault="00077250" w:rsidP="00077250">
      <w:pPr>
        <w:ind w:left="284" w:firstLine="284"/>
        <w:jc w:val="both"/>
        <w:rPr>
          <w:rFonts w:asciiTheme="majorHAnsi" w:eastAsia="Times New Roman" w:hAnsiTheme="majorHAnsi" w:cstheme="majorHAnsi"/>
          <w:sz w:val="20"/>
          <w:szCs w:val="20"/>
          <w:lang w:eastAsia="ko-KR"/>
        </w:rPr>
      </w:pPr>
      <w:r w:rsidRPr="00077250">
        <w:rPr>
          <w:rFonts w:asciiTheme="majorHAnsi" w:eastAsia="Times New Roman" w:hAnsiTheme="majorHAnsi" w:cstheme="majorHAnsi"/>
          <w:sz w:val="20"/>
          <w:szCs w:val="20"/>
          <w:lang w:eastAsia="ko-KR"/>
        </w:rPr>
        <w:t xml:space="preserve">The realm of "visual arts" represents a relatively modern term encompassing a wide range of artistic disciplines that are perceptible to the human eye. This conceptual framework gained prominence in the Western world during the early to mid-20th century, coinciding with the emergence of modernist architecture. The visual arts encompass a diverse array of media, including painting, printmaking, advertising, and multimedia, all of which underscore the centrality of the visual in evaluating artistic worth, regardless of the subject matter. Furthermore, this term can be extended to encompass the decorative elements and calligraphic traditions prevalent in Islamic art and architecture </w:t>
      </w:r>
      <w:r w:rsidRPr="00077250">
        <w:rPr>
          <w:rFonts w:asciiTheme="majorHAnsi" w:eastAsia="Times New Roman" w:hAnsiTheme="majorHAnsi" w:cstheme="majorHAnsi"/>
          <w:sz w:val="20"/>
          <w:szCs w:val="20"/>
          <w:lang w:eastAsia="ko-KR"/>
        </w:rPr>
        <w:fldChar w:fldCharType="begin" w:fldLock="1"/>
      </w:r>
      <w:r w:rsidRPr="00077250">
        <w:rPr>
          <w:rFonts w:asciiTheme="majorHAnsi" w:eastAsia="Times New Roman" w:hAnsiTheme="majorHAnsi" w:cstheme="majorHAnsi"/>
          <w:sz w:val="20"/>
          <w:szCs w:val="20"/>
          <w:lang w:eastAsia="ko-KR"/>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077250">
        <w:rPr>
          <w:rFonts w:asciiTheme="majorHAnsi" w:eastAsia="Times New Roman" w:hAnsiTheme="majorHAnsi" w:cstheme="majorHAnsi"/>
          <w:sz w:val="20"/>
          <w:szCs w:val="20"/>
          <w:lang w:eastAsia="ko-KR"/>
        </w:rPr>
        <w:fldChar w:fldCharType="separate"/>
      </w:r>
      <w:r w:rsidRPr="00077250">
        <w:rPr>
          <w:rFonts w:asciiTheme="majorHAnsi" w:eastAsia="Times New Roman" w:hAnsiTheme="majorHAnsi" w:cstheme="majorHAnsi"/>
          <w:sz w:val="20"/>
          <w:szCs w:val="20"/>
          <w:lang w:eastAsia="ko-KR"/>
        </w:rPr>
        <w:t>[15]</w:t>
      </w:r>
      <w:r w:rsidRPr="00077250">
        <w:rPr>
          <w:rFonts w:asciiTheme="majorHAnsi" w:eastAsia="Times New Roman" w:hAnsiTheme="majorHAnsi" w:cstheme="majorHAnsi"/>
          <w:sz w:val="20"/>
          <w:szCs w:val="20"/>
          <w:lang w:val="id-ID" w:eastAsia="ko-KR"/>
        </w:rPr>
        <w:fldChar w:fldCharType="end"/>
      </w:r>
      <w:r w:rsidRPr="00077250">
        <w:rPr>
          <w:rFonts w:asciiTheme="majorHAnsi" w:eastAsia="Times New Roman" w:hAnsiTheme="majorHAnsi" w:cstheme="majorHAnsi"/>
          <w:sz w:val="20"/>
          <w:szCs w:val="20"/>
          <w:lang w:eastAsia="ko-KR"/>
        </w:rPr>
        <w:t xml:space="preserve">, </w:t>
      </w:r>
      <w:r w:rsidRPr="00077250">
        <w:rPr>
          <w:rFonts w:asciiTheme="majorHAnsi" w:eastAsia="Times New Roman" w:hAnsiTheme="majorHAnsi" w:cstheme="majorHAnsi"/>
          <w:sz w:val="20"/>
          <w:szCs w:val="20"/>
          <w:lang w:eastAsia="ko-KR"/>
        </w:rPr>
        <w:fldChar w:fldCharType="begin" w:fldLock="1"/>
      </w:r>
      <w:r w:rsidRPr="00077250">
        <w:rPr>
          <w:rFonts w:asciiTheme="majorHAnsi" w:eastAsia="Times New Roman" w:hAnsiTheme="majorHAnsi" w:cstheme="majorHAnsi"/>
          <w:sz w:val="20"/>
          <w:szCs w:val="20"/>
          <w:lang w:eastAsia="ko-KR"/>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077250">
        <w:rPr>
          <w:rFonts w:asciiTheme="majorHAnsi" w:eastAsia="Times New Roman" w:hAnsiTheme="majorHAnsi" w:cstheme="majorHAnsi"/>
          <w:sz w:val="20"/>
          <w:szCs w:val="20"/>
          <w:lang w:eastAsia="ko-KR"/>
        </w:rPr>
        <w:fldChar w:fldCharType="separate"/>
      </w:r>
      <w:r w:rsidRPr="00077250">
        <w:rPr>
          <w:rFonts w:asciiTheme="majorHAnsi" w:eastAsia="Times New Roman" w:hAnsiTheme="majorHAnsi" w:cstheme="majorHAnsi"/>
          <w:sz w:val="20"/>
          <w:szCs w:val="20"/>
          <w:lang w:eastAsia="ko-KR"/>
        </w:rPr>
        <w:t>[16]</w:t>
      </w:r>
      <w:r w:rsidRPr="00077250">
        <w:rPr>
          <w:rFonts w:asciiTheme="majorHAnsi" w:eastAsia="Times New Roman" w:hAnsiTheme="majorHAnsi" w:cstheme="majorHAnsi"/>
          <w:sz w:val="20"/>
          <w:szCs w:val="20"/>
          <w:lang w:val="id-ID" w:eastAsia="ko-KR"/>
        </w:rPr>
        <w:fldChar w:fldCharType="end"/>
      </w:r>
      <w:r w:rsidRPr="00077250">
        <w:rPr>
          <w:rFonts w:asciiTheme="majorHAnsi" w:eastAsia="Times New Roman" w:hAnsiTheme="majorHAnsi" w:cstheme="majorHAnsi"/>
          <w:sz w:val="20"/>
          <w:szCs w:val="20"/>
          <w:lang w:eastAsia="ko-KR"/>
        </w:rPr>
        <w:t>.</w:t>
      </w:r>
    </w:p>
    <w:p w14:paraId="1DD4CE00" w14:textId="77777777" w:rsidR="00077250" w:rsidRPr="00077250" w:rsidRDefault="00077250" w:rsidP="00077250">
      <w:pPr>
        <w:ind w:left="284" w:firstLine="284"/>
        <w:jc w:val="both"/>
        <w:rPr>
          <w:rFonts w:asciiTheme="majorHAnsi" w:eastAsia="Times New Roman" w:hAnsiTheme="majorHAnsi" w:cstheme="majorHAnsi"/>
          <w:sz w:val="20"/>
          <w:szCs w:val="20"/>
          <w:lang w:eastAsia="ko-KR"/>
        </w:rPr>
      </w:pPr>
      <w:r w:rsidRPr="00077250">
        <w:rPr>
          <w:rFonts w:asciiTheme="majorHAnsi" w:eastAsia="Times New Roman" w:hAnsiTheme="majorHAnsi" w:cstheme="majorHAnsi"/>
          <w:sz w:val="20"/>
          <w:szCs w:val="20"/>
          <w:lang w:eastAsia="ko-KR"/>
        </w:rPr>
        <w:t xml:space="preserve">At its core, the visual arts serve as a mode of communication that depends on the function and limitations of the human eye in perceiving and comprehending visual stimuli. For effective visual communication, the artwork must convey a clear and concise visual message that embodies a specific idea. The interpretation of the artwork varies based on its nature; for instance, music communicates through sound, sculpture through form, painting through </w:t>
      </w:r>
      <w:proofErr w:type="spellStart"/>
      <w:r w:rsidRPr="00077250">
        <w:rPr>
          <w:rFonts w:asciiTheme="majorHAnsi" w:eastAsia="Times New Roman" w:hAnsiTheme="majorHAnsi" w:cstheme="majorHAnsi"/>
          <w:sz w:val="20"/>
          <w:szCs w:val="20"/>
          <w:lang w:eastAsia="ko-KR"/>
        </w:rPr>
        <w:t>color</w:t>
      </w:r>
      <w:proofErr w:type="spellEnd"/>
      <w:r w:rsidRPr="00077250">
        <w:rPr>
          <w:rFonts w:asciiTheme="majorHAnsi" w:eastAsia="Times New Roman" w:hAnsiTheme="majorHAnsi" w:cstheme="majorHAnsi"/>
          <w:sz w:val="20"/>
          <w:szCs w:val="20"/>
          <w:lang w:eastAsia="ko-KR"/>
        </w:rPr>
        <w:t xml:space="preserve">, and written messages through calligraphy. The substance of any artistic work is its essence, while its external appearance embodies its form. In the realm of art, there exists a tight, often inseparable bond between content and form, particularly in the case of calligraphy </w:t>
      </w:r>
      <w:r w:rsidRPr="00077250">
        <w:rPr>
          <w:rFonts w:asciiTheme="majorHAnsi" w:eastAsia="Times New Roman" w:hAnsiTheme="majorHAnsi" w:cstheme="majorHAnsi"/>
          <w:sz w:val="20"/>
          <w:szCs w:val="20"/>
          <w:lang w:eastAsia="ko-KR"/>
        </w:rPr>
        <w:fldChar w:fldCharType="begin" w:fldLock="1"/>
      </w:r>
      <w:r w:rsidRPr="00077250">
        <w:rPr>
          <w:rFonts w:asciiTheme="majorHAnsi" w:eastAsia="Times New Roman" w:hAnsiTheme="majorHAnsi" w:cstheme="majorHAnsi"/>
          <w:sz w:val="20"/>
          <w:szCs w:val="20"/>
          <w:lang w:eastAsia="ko-KR"/>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077250">
        <w:rPr>
          <w:rFonts w:asciiTheme="majorHAnsi" w:eastAsia="Times New Roman" w:hAnsiTheme="majorHAnsi" w:cstheme="majorHAnsi"/>
          <w:sz w:val="20"/>
          <w:szCs w:val="20"/>
          <w:lang w:eastAsia="ko-KR"/>
        </w:rPr>
        <w:fldChar w:fldCharType="separate"/>
      </w:r>
      <w:r w:rsidRPr="00077250">
        <w:rPr>
          <w:rFonts w:asciiTheme="majorHAnsi" w:eastAsia="Times New Roman" w:hAnsiTheme="majorHAnsi" w:cstheme="majorHAnsi"/>
          <w:sz w:val="20"/>
          <w:szCs w:val="20"/>
          <w:lang w:eastAsia="ko-KR"/>
        </w:rPr>
        <w:t>[29]</w:t>
      </w:r>
      <w:r w:rsidRPr="00077250">
        <w:rPr>
          <w:rFonts w:asciiTheme="majorHAnsi" w:eastAsia="Times New Roman" w:hAnsiTheme="majorHAnsi" w:cstheme="majorHAnsi"/>
          <w:sz w:val="20"/>
          <w:szCs w:val="20"/>
          <w:lang w:val="id-ID" w:eastAsia="ko-KR"/>
        </w:rPr>
        <w:fldChar w:fldCharType="end"/>
      </w:r>
      <w:r w:rsidRPr="00077250">
        <w:rPr>
          <w:rFonts w:asciiTheme="majorHAnsi" w:eastAsia="Times New Roman" w:hAnsiTheme="majorHAnsi" w:cstheme="majorHAnsi"/>
          <w:sz w:val="20"/>
          <w:szCs w:val="20"/>
          <w:lang w:eastAsia="ko-KR"/>
        </w:rPr>
        <w:t xml:space="preserve">, </w:t>
      </w:r>
      <w:r w:rsidRPr="00077250">
        <w:rPr>
          <w:rFonts w:asciiTheme="majorHAnsi" w:eastAsia="Times New Roman" w:hAnsiTheme="majorHAnsi" w:cstheme="majorHAnsi"/>
          <w:sz w:val="20"/>
          <w:szCs w:val="20"/>
          <w:lang w:eastAsia="ko-KR"/>
        </w:rPr>
        <w:fldChar w:fldCharType="begin" w:fldLock="1"/>
      </w:r>
      <w:r w:rsidRPr="00077250">
        <w:rPr>
          <w:rFonts w:asciiTheme="majorHAnsi" w:eastAsia="Times New Roman" w:hAnsiTheme="majorHAnsi" w:cstheme="majorHAnsi"/>
          <w:sz w:val="20"/>
          <w:szCs w:val="20"/>
          <w:lang w:eastAsia="ko-KR"/>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077250">
        <w:rPr>
          <w:rFonts w:asciiTheme="majorHAnsi" w:eastAsia="Times New Roman" w:hAnsiTheme="majorHAnsi" w:cstheme="majorHAnsi"/>
          <w:sz w:val="20"/>
          <w:szCs w:val="20"/>
          <w:lang w:eastAsia="ko-KR"/>
        </w:rPr>
        <w:fldChar w:fldCharType="separate"/>
      </w:r>
      <w:r w:rsidRPr="00077250">
        <w:rPr>
          <w:rFonts w:asciiTheme="majorHAnsi" w:eastAsia="Times New Roman" w:hAnsiTheme="majorHAnsi" w:cstheme="majorHAnsi"/>
          <w:sz w:val="20"/>
          <w:szCs w:val="20"/>
          <w:lang w:eastAsia="ko-KR"/>
        </w:rPr>
        <w:t>[30]</w:t>
      </w:r>
      <w:r w:rsidRPr="00077250">
        <w:rPr>
          <w:rFonts w:asciiTheme="majorHAnsi" w:eastAsia="Times New Roman" w:hAnsiTheme="majorHAnsi" w:cstheme="majorHAnsi"/>
          <w:sz w:val="20"/>
          <w:szCs w:val="20"/>
          <w:lang w:val="id-ID" w:eastAsia="ko-KR"/>
        </w:rPr>
        <w:fldChar w:fldCharType="end"/>
      </w:r>
      <w:r w:rsidRPr="00077250">
        <w:rPr>
          <w:rFonts w:asciiTheme="majorHAnsi" w:eastAsia="Times New Roman" w:hAnsiTheme="majorHAnsi" w:cstheme="majorHAnsi"/>
          <w:sz w:val="20"/>
          <w:szCs w:val="20"/>
          <w:lang w:eastAsia="ko-KR"/>
        </w:rPr>
        <w:t xml:space="preserve">, </w:t>
      </w:r>
      <w:r w:rsidRPr="00077250">
        <w:rPr>
          <w:rFonts w:asciiTheme="majorHAnsi" w:eastAsia="Times New Roman" w:hAnsiTheme="majorHAnsi" w:cstheme="majorHAnsi"/>
          <w:sz w:val="20"/>
          <w:szCs w:val="20"/>
          <w:lang w:eastAsia="ko-KR"/>
        </w:rPr>
        <w:fldChar w:fldCharType="begin" w:fldLock="1"/>
      </w:r>
      <w:r w:rsidRPr="00077250">
        <w:rPr>
          <w:rFonts w:asciiTheme="majorHAnsi" w:eastAsia="Times New Roman" w:hAnsiTheme="majorHAnsi" w:cstheme="majorHAnsi"/>
          <w:sz w:val="20"/>
          <w:szCs w:val="20"/>
          <w:lang w:eastAsia="ko-KR"/>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077250">
        <w:rPr>
          <w:rFonts w:asciiTheme="majorHAnsi" w:eastAsia="Times New Roman" w:hAnsiTheme="majorHAnsi" w:cstheme="majorHAnsi"/>
          <w:sz w:val="20"/>
          <w:szCs w:val="20"/>
          <w:lang w:eastAsia="ko-KR"/>
        </w:rPr>
        <w:fldChar w:fldCharType="separate"/>
      </w:r>
      <w:r w:rsidRPr="00077250">
        <w:rPr>
          <w:rFonts w:asciiTheme="majorHAnsi" w:eastAsia="Times New Roman" w:hAnsiTheme="majorHAnsi" w:cstheme="majorHAnsi"/>
          <w:sz w:val="20"/>
          <w:szCs w:val="20"/>
          <w:lang w:eastAsia="ko-KR"/>
        </w:rPr>
        <w:t>[31]</w:t>
      </w:r>
      <w:r w:rsidRPr="00077250">
        <w:rPr>
          <w:rFonts w:asciiTheme="majorHAnsi" w:eastAsia="Times New Roman" w:hAnsiTheme="majorHAnsi" w:cstheme="majorHAnsi"/>
          <w:sz w:val="20"/>
          <w:szCs w:val="20"/>
          <w:lang w:val="id-ID" w:eastAsia="ko-KR"/>
        </w:rPr>
        <w:fldChar w:fldCharType="end"/>
      </w:r>
      <w:r w:rsidRPr="00077250">
        <w:rPr>
          <w:rFonts w:asciiTheme="majorHAnsi" w:eastAsia="Times New Roman" w:hAnsiTheme="majorHAnsi" w:cstheme="majorHAnsi"/>
          <w:sz w:val="20"/>
          <w:szCs w:val="20"/>
          <w:lang w:eastAsia="ko-KR"/>
        </w:rPr>
        <w:t>.</w:t>
      </w:r>
    </w:p>
    <w:p w14:paraId="394DC100" w14:textId="77777777" w:rsidR="00077250" w:rsidRDefault="00077250" w:rsidP="00077250">
      <w:pPr>
        <w:ind w:left="284" w:firstLine="284"/>
        <w:jc w:val="both"/>
        <w:rPr>
          <w:rFonts w:asciiTheme="majorHAnsi" w:eastAsia="Times New Roman" w:hAnsiTheme="majorHAnsi" w:cstheme="majorHAnsi"/>
          <w:sz w:val="20"/>
          <w:szCs w:val="20"/>
          <w:lang w:eastAsia="ko-KR"/>
        </w:rPr>
      </w:pPr>
      <w:r w:rsidRPr="00077250">
        <w:rPr>
          <w:rFonts w:asciiTheme="majorHAnsi" w:eastAsia="Times New Roman" w:hAnsiTheme="majorHAnsi" w:cstheme="majorHAnsi"/>
          <w:sz w:val="20"/>
          <w:szCs w:val="20"/>
          <w:lang w:eastAsia="ko-KR"/>
        </w:rPr>
        <w:t xml:space="preserve">Inscriptive panels in art and architecture often function on two levels of visualization. The first operates as a direct verbal system, exerting influence primarily on those who can read and comprehend the textual meaning. The second, which could be argued to be more potent, involves the inscriptional content functioning as a nonverbal, symbolic system. This visual impact is directed at a broader audience, transcending linguistic barriers, and conveying a universal message of power, supremacy, and identity. Recognizing the composition of inscriptional art and its visual resonance is often more accessible and enduring than deciphering the textual content, as visual memorization is influenced by factors such as </w:t>
      </w:r>
      <w:proofErr w:type="spellStart"/>
      <w:r w:rsidRPr="00077250">
        <w:rPr>
          <w:rFonts w:asciiTheme="majorHAnsi" w:eastAsia="Times New Roman" w:hAnsiTheme="majorHAnsi" w:cstheme="majorHAnsi"/>
          <w:sz w:val="20"/>
          <w:szCs w:val="20"/>
          <w:lang w:eastAsia="ko-KR"/>
        </w:rPr>
        <w:t>color</w:t>
      </w:r>
      <w:proofErr w:type="spellEnd"/>
      <w:r w:rsidRPr="00077250">
        <w:rPr>
          <w:rFonts w:asciiTheme="majorHAnsi" w:eastAsia="Times New Roman" w:hAnsiTheme="majorHAnsi" w:cstheme="majorHAnsi"/>
          <w:sz w:val="20"/>
          <w:szCs w:val="20"/>
          <w:lang w:eastAsia="ko-KR"/>
        </w:rPr>
        <w:t xml:space="preserve">, design, scale, placement, and repetition </w:t>
      </w:r>
      <w:r w:rsidRPr="00077250">
        <w:rPr>
          <w:rFonts w:asciiTheme="majorHAnsi" w:eastAsia="Times New Roman" w:hAnsiTheme="majorHAnsi" w:cstheme="majorHAnsi"/>
          <w:sz w:val="20"/>
          <w:szCs w:val="20"/>
          <w:lang w:eastAsia="ko-KR"/>
        </w:rPr>
        <w:fldChar w:fldCharType="begin" w:fldLock="1"/>
      </w:r>
      <w:r w:rsidRPr="00077250">
        <w:rPr>
          <w:rFonts w:asciiTheme="majorHAnsi" w:eastAsia="Times New Roman" w:hAnsiTheme="majorHAnsi" w:cstheme="majorHAnsi"/>
          <w:sz w:val="20"/>
          <w:szCs w:val="20"/>
          <w:lang w:eastAsia="ko-KR"/>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077250">
        <w:rPr>
          <w:rFonts w:asciiTheme="majorHAnsi" w:eastAsia="Times New Roman" w:hAnsiTheme="majorHAnsi" w:cstheme="majorHAnsi"/>
          <w:sz w:val="20"/>
          <w:szCs w:val="20"/>
          <w:lang w:eastAsia="ko-KR"/>
        </w:rPr>
        <w:fldChar w:fldCharType="separate"/>
      </w:r>
      <w:r w:rsidRPr="00077250">
        <w:rPr>
          <w:rFonts w:asciiTheme="majorHAnsi" w:eastAsia="Times New Roman" w:hAnsiTheme="majorHAnsi" w:cstheme="majorHAnsi"/>
          <w:sz w:val="20"/>
          <w:szCs w:val="20"/>
          <w:lang w:eastAsia="ko-KR"/>
        </w:rPr>
        <w:t>[14]</w:t>
      </w:r>
      <w:r w:rsidRPr="00077250">
        <w:rPr>
          <w:rFonts w:asciiTheme="majorHAnsi" w:eastAsia="Times New Roman" w:hAnsiTheme="majorHAnsi" w:cstheme="majorHAnsi"/>
          <w:sz w:val="20"/>
          <w:szCs w:val="20"/>
          <w:lang w:val="id-ID" w:eastAsia="ko-KR"/>
        </w:rPr>
        <w:fldChar w:fldCharType="end"/>
      </w:r>
      <w:r w:rsidRPr="00077250">
        <w:rPr>
          <w:rFonts w:asciiTheme="majorHAnsi" w:eastAsia="Times New Roman" w:hAnsiTheme="majorHAnsi" w:cstheme="majorHAnsi"/>
          <w:sz w:val="20"/>
          <w:szCs w:val="20"/>
          <w:lang w:eastAsia="ko-KR"/>
        </w:rPr>
        <w:t>.</w:t>
      </w:r>
    </w:p>
    <w:p w14:paraId="3CEA9884" w14:textId="77777777" w:rsidR="00077250" w:rsidRDefault="00077250" w:rsidP="00077250">
      <w:pPr>
        <w:ind w:firstLine="284"/>
        <w:jc w:val="both"/>
        <w:rPr>
          <w:rFonts w:asciiTheme="majorHAnsi" w:eastAsia="Times New Roman" w:hAnsiTheme="majorHAnsi" w:cstheme="majorHAnsi"/>
          <w:sz w:val="20"/>
          <w:szCs w:val="20"/>
          <w:lang w:eastAsia="ko-KR"/>
        </w:rPr>
      </w:pPr>
    </w:p>
    <w:p w14:paraId="0E5AB2B8" w14:textId="33DBC1EF" w:rsidR="00077250" w:rsidRDefault="00077250" w:rsidP="00077250">
      <w:pPr>
        <w:pStyle w:val="ListParagraph"/>
        <w:numPr>
          <w:ilvl w:val="0"/>
          <w:numId w:val="3"/>
        </w:numPr>
        <w:ind w:left="567" w:hanging="283"/>
        <w:jc w:val="both"/>
        <w:rPr>
          <w:rFonts w:asciiTheme="minorHAnsi" w:hAnsiTheme="minorHAnsi" w:cstheme="minorHAnsi"/>
          <w:b/>
          <w:bCs/>
          <w:sz w:val="18"/>
          <w:szCs w:val="18"/>
        </w:rPr>
      </w:pPr>
      <w:r w:rsidRPr="00077250">
        <w:rPr>
          <w:rFonts w:asciiTheme="minorHAnsi" w:hAnsiTheme="minorHAnsi" w:cstheme="minorHAnsi"/>
          <w:b/>
          <w:bCs/>
          <w:sz w:val="18"/>
          <w:szCs w:val="18"/>
        </w:rPr>
        <w:t>THE RICHNESS OF COLOR IN HUMAN EXPERIENCE AND ISLAMIC ART</w:t>
      </w:r>
    </w:p>
    <w:p w14:paraId="1ED788E9" w14:textId="1AC2FCDD" w:rsidR="00077250" w:rsidRDefault="00077250" w:rsidP="00077250">
      <w:pPr>
        <w:pStyle w:val="ListParagraph"/>
        <w:numPr>
          <w:ilvl w:val="0"/>
          <w:numId w:val="6"/>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 xml:space="preserve">1. </w:t>
      </w:r>
      <w:proofErr w:type="spellStart"/>
      <w:r w:rsidRPr="00077250">
        <w:rPr>
          <w:rFonts w:asciiTheme="minorHAnsi" w:hAnsiTheme="minorHAnsi" w:cstheme="minorHAnsi"/>
          <w:b/>
          <w:bCs/>
          <w:sz w:val="18"/>
          <w:szCs w:val="18"/>
        </w:rPr>
        <w:t>Color</w:t>
      </w:r>
      <w:proofErr w:type="spellEnd"/>
      <w:r w:rsidRPr="00077250">
        <w:rPr>
          <w:rFonts w:asciiTheme="minorHAnsi" w:hAnsiTheme="minorHAnsi" w:cstheme="minorHAnsi"/>
          <w:b/>
          <w:bCs/>
          <w:sz w:val="18"/>
          <w:szCs w:val="18"/>
        </w:rPr>
        <w:t xml:space="preserve"> as a Sensory and Symbolic Dimension in the Qur'an</w:t>
      </w:r>
    </w:p>
    <w:p w14:paraId="3BCBC125" w14:textId="77777777" w:rsidR="00077250" w:rsidRPr="00077250" w:rsidRDefault="00077250" w:rsidP="00077250">
      <w:pPr>
        <w:ind w:left="284" w:firstLine="284"/>
        <w:jc w:val="both"/>
        <w:rPr>
          <w:rFonts w:asciiTheme="majorHAnsi" w:eastAsia="Times New Roman" w:hAnsiTheme="majorHAnsi" w:cstheme="majorHAnsi"/>
          <w:sz w:val="20"/>
          <w:szCs w:val="20"/>
          <w:lang w:eastAsia="ko-KR"/>
        </w:rPr>
      </w:pPr>
      <w:proofErr w:type="spellStart"/>
      <w:r w:rsidRPr="00077250">
        <w:rPr>
          <w:rFonts w:asciiTheme="majorHAnsi" w:eastAsia="Times New Roman" w:hAnsiTheme="majorHAnsi" w:cstheme="majorHAnsi"/>
          <w:sz w:val="20"/>
          <w:szCs w:val="20"/>
          <w:lang w:eastAsia="ko-KR"/>
        </w:rPr>
        <w:t>Colors</w:t>
      </w:r>
      <w:proofErr w:type="spellEnd"/>
      <w:r w:rsidRPr="00077250">
        <w:rPr>
          <w:rFonts w:asciiTheme="majorHAnsi" w:eastAsia="Times New Roman" w:hAnsiTheme="majorHAnsi" w:cstheme="majorHAnsi"/>
          <w:sz w:val="20"/>
          <w:szCs w:val="20"/>
          <w:lang w:eastAsia="ko-KR"/>
        </w:rPr>
        <w:t xml:space="preserve"> are fascinating and diverse in human life, enriching our experiences and adding beauty to our surroundings. In the Qur'an, </w:t>
      </w:r>
      <w:proofErr w:type="spellStart"/>
      <w:r w:rsidRPr="00077250">
        <w:rPr>
          <w:rFonts w:asciiTheme="majorHAnsi" w:eastAsia="Times New Roman" w:hAnsiTheme="majorHAnsi" w:cstheme="majorHAnsi"/>
          <w:sz w:val="20"/>
          <w:szCs w:val="20"/>
          <w:lang w:eastAsia="ko-KR"/>
        </w:rPr>
        <w:t>colors</w:t>
      </w:r>
      <w:proofErr w:type="spellEnd"/>
      <w:r w:rsidRPr="00077250">
        <w:rPr>
          <w:rFonts w:asciiTheme="majorHAnsi" w:eastAsia="Times New Roman" w:hAnsiTheme="majorHAnsi" w:cstheme="majorHAnsi"/>
          <w:sz w:val="20"/>
          <w:szCs w:val="20"/>
          <w:lang w:eastAsia="ko-KR"/>
        </w:rPr>
        <w:t xml:space="preserve"> are often mentioned in both symbolic and sensorial ways. For instance, the "saffron-</w:t>
      </w:r>
      <w:proofErr w:type="spellStart"/>
      <w:r w:rsidRPr="00077250">
        <w:rPr>
          <w:rFonts w:asciiTheme="majorHAnsi" w:eastAsia="Times New Roman" w:hAnsiTheme="majorHAnsi" w:cstheme="majorHAnsi"/>
          <w:sz w:val="20"/>
          <w:szCs w:val="20"/>
          <w:lang w:eastAsia="ko-KR"/>
        </w:rPr>
        <w:t>colored</w:t>
      </w:r>
      <w:proofErr w:type="spellEnd"/>
      <w:r w:rsidRPr="00077250">
        <w:rPr>
          <w:rFonts w:asciiTheme="majorHAnsi" w:eastAsia="Times New Roman" w:hAnsiTheme="majorHAnsi" w:cstheme="majorHAnsi"/>
          <w:sz w:val="20"/>
          <w:szCs w:val="20"/>
          <w:lang w:eastAsia="ko-KR"/>
        </w:rPr>
        <w:t xml:space="preserve">, bright in hue" description of the yellow cow in Surah Al-Baqarah (2:69) evokes a vivid visual image. The distinction between white and black threads during fasting in Surah Al-Baqarah (2:187) employs </w:t>
      </w:r>
      <w:proofErr w:type="spellStart"/>
      <w:r w:rsidRPr="00077250">
        <w:rPr>
          <w:rFonts w:asciiTheme="majorHAnsi" w:eastAsia="Times New Roman" w:hAnsiTheme="majorHAnsi" w:cstheme="majorHAnsi"/>
          <w:sz w:val="20"/>
          <w:szCs w:val="20"/>
          <w:lang w:eastAsia="ko-KR"/>
        </w:rPr>
        <w:t>color</w:t>
      </w:r>
      <w:proofErr w:type="spellEnd"/>
      <w:r w:rsidRPr="00077250">
        <w:rPr>
          <w:rFonts w:asciiTheme="majorHAnsi" w:eastAsia="Times New Roman" w:hAnsiTheme="majorHAnsi" w:cstheme="majorHAnsi"/>
          <w:sz w:val="20"/>
          <w:szCs w:val="20"/>
          <w:lang w:eastAsia="ko-KR"/>
        </w:rPr>
        <w:t xml:space="preserve"> to convey a clear conceptual distinction. Similarly, the references to the "green and ripe ears of corn" in Surah Yusuf (12:43) and the "blue </w:t>
      </w:r>
      <w:proofErr w:type="spellStart"/>
      <w:r w:rsidRPr="00077250">
        <w:rPr>
          <w:rFonts w:asciiTheme="majorHAnsi" w:eastAsia="Times New Roman" w:hAnsiTheme="majorHAnsi" w:cstheme="majorHAnsi"/>
          <w:sz w:val="20"/>
          <w:szCs w:val="20"/>
          <w:lang w:eastAsia="ko-KR"/>
        </w:rPr>
        <w:t>color</w:t>
      </w:r>
      <w:proofErr w:type="spellEnd"/>
      <w:r w:rsidRPr="00077250">
        <w:rPr>
          <w:rFonts w:asciiTheme="majorHAnsi" w:eastAsia="Times New Roman" w:hAnsiTheme="majorHAnsi" w:cstheme="majorHAnsi"/>
          <w:sz w:val="20"/>
          <w:szCs w:val="20"/>
          <w:lang w:eastAsia="ko-KR"/>
        </w:rPr>
        <w:t xml:space="preserve"> associated with the Day of Judgment" in Surah Taha (20:102) leverage </w:t>
      </w:r>
      <w:proofErr w:type="spellStart"/>
      <w:r w:rsidRPr="00077250">
        <w:rPr>
          <w:rFonts w:asciiTheme="majorHAnsi" w:eastAsia="Times New Roman" w:hAnsiTheme="majorHAnsi" w:cstheme="majorHAnsi"/>
          <w:sz w:val="20"/>
          <w:szCs w:val="20"/>
          <w:lang w:eastAsia="ko-KR"/>
        </w:rPr>
        <w:t>color</w:t>
      </w:r>
      <w:proofErr w:type="spellEnd"/>
      <w:r w:rsidRPr="00077250">
        <w:rPr>
          <w:rFonts w:asciiTheme="majorHAnsi" w:eastAsia="Times New Roman" w:hAnsiTheme="majorHAnsi" w:cstheme="majorHAnsi"/>
          <w:sz w:val="20"/>
          <w:szCs w:val="20"/>
          <w:lang w:eastAsia="ko-KR"/>
        </w:rPr>
        <w:t xml:space="preserve"> to heighten the sensory and metaphorical resonance of the Quranic passages </w:t>
      </w:r>
      <w:r w:rsidRPr="00077250">
        <w:rPr>
          <w:rFonts w:asciiTheme="majorHAnsi" w:eastAsia="Times New Roman" w:hAnsiTheme="majorHAnsi" w:cstheme="majorHAnsi"/>
          <w:sz w:val="20"/>
          <w:szCs w:val="20"/>
          <w:lang w:eastAsia="ko-KR"/>
        </w:rPr>
        <w:fldChar w:fldCharType="begin" w:fldLock="1"/>
      </w:r>
      <w:r w:rsidRPr="00077250">
        <w:rPr>
          <w:rFonts w:asciiTheme="majorHAnsi" w:eastAsia="Times New Roman" w:hAnsiTheme="majorHAnsi" w:cstheme="majorHAnsi"/>
          <w:sz w:val="20"/>
          <w:szCs w:val="20"/>
          <w:lang w:eastAsia="ko-KR"/>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077250">
        <w:rPr>
          <w:rFonts w:asciiTheme="majorHAnsi" w:eastAsia="Times New Roman" w:hAnsiTheme="majorHAnsi" w:cstheme="majorHAnsi"/>
          <w:sz w:val="20"/>
          <w:szCs w:val="20"/>
          <w:lang w:eastAsia="ko-KR"/>
        </w:rPr>
        <w:fldChar w:fldCharType="separate"/>
      </w:r>
      <w:r w:rsidRPr="00077250">
        <w:rPr>
          <w:rFonts w:asciiTheme="majorHAnsi" w:eastAsia="Times New Roman" w:hAnsiTheme="majorHAnsi" w:cstheme="majorHAnsi"/>
          <w:sz w:val="20"/>
          <w:szCs w:val="20"/>
          <w:lang w:eastAsia="ko-KR"/>
        </w:rPr>
        <w:t>[32]</w:t>
      </w:r>
      <w:r w:rsidRPr="00077250">
        <w:rPr>
          <w:rFonts w:asciiTheme="majorHAnsi" w:eastAsia="Times New Roman" w:hAnsiTheme="majorHAnsi" w:cstheme="majorHAnsi"/>
          <w:sz w:val="20"/>
          <w:szCs w:val="20"/>
          <w:lang w:val="id-ID" w:eastAsia="ko-KR"/>
        </w:rPr>
        <w:fldChar w:fldCharType="end"/>
      </w:r>
      <w:r w:rsidRPr="00077250">
        <w:rPr>
          <w:rFonts w:asciiTheme="majorHAnsi" w:eastAsia="Times New Roman" w:hAnsiTheme="majorHAnsi" w:cstheme="majorHAnsi"/>
          <w:sz w:val="20"/>
          <w:szCs w:val="20"/>
          <w:lang w:eastAsia="ko-KR"/>
        </w:rPr>
        <w:t>.</w:t>
      </w:r>
    </w:p>
    <w:p w14:paraId="6A18606F" w14:textId="77777777" w:rsidR="00077250" w:rsidRDefault="00077250" w:rsidP="00077250">
      <w:pPr>
        <w:ind w:left="284" w:firstLine="284"/>
        <w:jc w:val="both"/>
        <w:rPr>
          <w:rFonts w:asciiTheme="majorHAnsi" w:eastAsia="Times New Roman" w:hAnsiTheme="majorHAnsi" w:cstheme="majorHAnsi"/>
          <w:sz w:val="20"/>
          <w:szCs w:val="20"/>
          <w:lang w:eastAsia="ko-KR"/>
        </w:rPr>
      </w:pPr>
      <w:r w:rsidRPr="00077250">
        <w:rPr>
          <w:rFonts w:asciiTheme="majorHAnsi" w:eastAsia="Times New Roman" w:hAnsiTheme="majorHAnsi" w:cstheme="majorHAnsi"/>
          <w:sz w:val="20"/>
          <w:szCs w:val="20"/>
          <w:lang w:eastAsia="ko-KR"/>
        </w:rPr>
        <w:t xml:space="preserve">Furthermore, Surah Fatir (35:27) celebrates the diversity of creation, including "fruits of varying </w:t>
      </w:r>
      <w:proofErr w:type="spellStart"/>
      <w:r w:rsidRPr="00077250">
        <w:rPr>
          <w:rFonts w:asciiTheme="majorHAnsi" w:eastAsia="Times New Roman" w:hAnsiTheme="majorHAnsi" w:cstheme="majorHAnsi"/>
          <w:sz w:val="20"/>
          <w:szCs w:val="20"/>
          <w:lang w:eastAsia="ko-KR"/>
        </w:rPr>
        <w:t>colors</w:t>
      </w:r>
      <w:proofErr w:type="spellEnd"/>
      <w:r w:rsidRPr="00077250">
        <w:rPr>
          <w:rFonts w:asciiTheme="majorHAnsi" w:eastAsia="Times New Roman" w:hAnsiTheme="majorHAnsi" w:cstheme="majorHAnsi"/>
          <w:sz w:val="20"/>
          <w:szCs w:val="20"/>
          <w:lang w:eastAsia="ko-KR"/>
        </w:rPr>
        <w:t xml:space="preserve">" and "mountains... white and red of varying shades and [some] extremely black." Surah Ar-Rahman (55:37) paints a vivid image of the sky "splitting open and becoming </w:t>
      </w:r>
      <w:proofErr w:type="spellStart"/>
      <w:r w:rsidRPr="00077250">
        <w:rPr>
          <w:rFonts w:asciiTheme="majorHAnsi" w:eastAsia="Times New Roman" w:hAnsiTheme="majorHAnsi" w:cstheme="majorHAnsi"/>
          <w:sz w:val="20"/>
          <w:szCs w:val="20"/>
          <w:lang w:eastAsia="ko-KR"/>
        </w:rPr>
        <w:t>rose-colored</w:t>
      </w:r>
      <w:proofErr w:type="spellEnd"/>
      <w:r w:rsidRPr="00077250">
        <w:rPr>
          <w:rFonts w:asciiTheme="majorHAnsi" w:eastAsia="Times New Roman" w:hAnsiTheme="majorHAnsi" w:cstheme="majorHAnsi"/>
          <w:sz w:val="20"/>
          <w:szCs w:val="20"/>
          <w:lang w:eastAsia="ko-KR"/>
        </w:rPr>
        <w:t xml:space="preserve"> like oil." These verses highlight the beauty and wonder of Allah's creation, imbuing </w:t>
      </w:r>
      <w:proofErr w:type="spellStart"/>
      <w:r w:rsidRPr="00077250">
        <w:rPr>
          <w:rFonts w:asciiTheme="majorHAnsi" w:eastAsia="Times New Roman" w:hAnsiTheme="majorHAnsi" w:cstheme="majorHAnsi"/>
          <w:sz w:val="20"/>
          <w:szCs w:val="20"/>
          <w:lang w:eastAsia="ko-KR"/>
        </w:rPr>
        <w:t>color</w:t>
      </w:r>
      <w:proofErr w:type="spellEnd"/>
      <w:r w:rsidRPr="00077250">
        <w:rPr>
          <w:rFonts w:asciiTheme="majorHAnsi" w:eastAsia="Times New Roman" w:hAnsiTheme="majorHAnsi" w:cstheme="majorHAnsi"/>
          <w:sz w:val="20"/>
          <w:szCs w:val="20"/>
          <w:lang w:eastAsia="ko-KR"/>
        </w:rPr>
        <w:t xml:space="preserve"> with profound symbolic and sensory meanings </w:t>
      </w:r>
      <w:r w:rsidRPr="00077250">
        <w:rPr>
          <w:rFonts w:asciiTheme="majorHAnsi" w:eastAsia="Times New Roman" w:hAnsiTheme="majorHAnsi" w:cstheme="majorHAnsi"/>
          <w:sz w:val="20"/>
          <w:szCs w:val="20"/>
          <w:lang w:eastAsia="ko-KR"/>
        </w:rPr>
        <w:fldChar w:fldCharType="begin" w:fldLock="1"/>
      </w:r>
      <w:r w:rsidRPr="00077250">
        <w:rPr>
          <w:rFonts w:asciiTheme="majorHAnsi" w:eastAsia="Times New Roman" w:hAnsiTheme="majorHAnsi" w:cstheme="majorHAnsi"/>
          <w:sz w:val="20"/>
          <w:szCs w:val="20"/>
          <w:lang w:eastAsia="ko-KR"/>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077250">
        <w:rPr>
          <w:rFonts w:asciiTheme="majorHAnsi" w:eastAsia="Times New Roman" w:hAnsiTheme="majorHAnsi" w:cstheme="majorHAnsi"/>
          <w:sz w:val="20"/>
          <w:szCs w:val="20"/>
          <w:lang w:eastAsia="ko-KR"/>
        </w:rPr>
        <w:fldChar w:fldCharType="separate"/>
      </w:r>
      <w:r w:rsidRPr="00077250">
        <w:rPr>
          <w:rFonts w:asciiTheme="majorHAnsi" w:eastAsia="Times New Roman" w:hAnsiTheme="majorHAnsi" w:cstheme="majorHAnsi"/>
          <w:sz w:val="20"/>
          <w:szCs w:val="20"/>
          <w:lang w:eastAsia="ko-KR"/>
        </w:rPr>
        <w:t>[32]</w:t>
      </w:r>
      <w:r w:rsidRPr="00077250">
        <w:rPr>
          <w:rFonts w:asciiTheme="majorHAnsi" w:eastAsia="Times New Roman" w:hAnsiTheme="majorHAnsi" w:cstheme="majorHAnsi"/>
          <w:sz w:val="20"/>
          <w:szCs w:val="20"/>
          <w:lang w:val="id-ID" w:eastAsia="ko-KR"/>
        </w:rPr>
        <w:fldChar w:fldCharType="end"/>
      </w:r>
      <w:r w:rsidRPr="00077250">
        <w:rPr>
          <w:rFonts w:asciiTheme="majorHAnsi" w:eastAsia="Times New Roman" w:hAnsiTheme="majorHAnsi" w:cstheme="majorHAnsi"/>
          <w:sz w:val="20"/>
          <w:szCs w:val="20"/>
          <w:lang w:eastAsia="ko-KR"/>
        </w:rPr>
        <w:t xml:space="preserve">, </w:t>
      </w:r>
      <w:r w:rsidRPr="00077250">
        <w:rPr>
          <w:rFonts w:asciiTheme="majorHAnsi" w:eastAsia="Times New Roman" w:hAnsiTheme="majorHAnsi" w:cstheme="majorHAnsi"/>
          <w:sz w:val="20"/>
          <w:szCs w:val="20"/>
          <w:lang w:eastAsia="ko-KR"/>
        </w:rPr>
        <w:fldChar w:fldCharType="begin" w:fldLock="1"/>
      </w:r>
      <w:r w:rsidRPr="00077250">
        <w:rPr>
          <w:rFonts w:asciiTheme="majorHAnsi" w:eastAsia="Times New Roman" w:hAnsiTheme="majorHAnsi" w:cstheme="majorHAnsi"/>
          <w:sz w:val="20"/>
          <w:szCs w:val="20"/>
          <w:lang w:eastAsia="ko-KR"/>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077250">
        <w:rPr>
          <w:rFonts w:asciiTheme="majorHAnsi" w:eastAsia="Times New Roman" w:hAnsiTheme="majorHAnsi" w:cstheme="majorHAnsi"/>
          <w:sz w:val="20"/>
          <w:szCs w:val="20"/>
          <w:lang w:eastAsia="ko-KR"/>
        </w:rPr>
        <w:fldChar w:fldCharType="separate"/>
      </w:r>
      <w:r w:rsidRPr="00077250">
        <w:rPr>
          <w:rFonts w:asciiTheme="majorHAnsi" w:eastAsia="Times New Roman" w:hAnsiTheme="majorHAnsi" w:cstheme="majorHAnsi"/>
          <w:sz w:val="20"/>
          <w:szCs w:val="20"/>
          <w:lang w:eastAsia="ko-KR"/>
        </w:rPr>
        <w:t>[33]</w:t>
      </w:r>
      <w:r w:rsidRPr="00077250">
        <w:rPr>
          <w:rFonts w:asciiTheme="majorHAnsi" w:eastAsia="Times New Roman" w:hAnsiTheme="majorHAnsi" w:cstheme="majorHAnsi"/>
          <w:sz w:val="20"/>
          <w:szCs w:val="20"/>
          <w:lang w:val="id-ID" w:eastAsia="ko-KR"/>
        </w:rPr>
        <w:fldChar w:fldCharType="end"/>
      </w:r>
      <w:r w:rsidRPr="00077250">
        <w:rPr>
          <w:rFonts w:asciiTheme="majorHAnsi" w:eastAsia="Times New Roman" w:hAnsiTheme="majorHAnsi" w:cstheme="majorHAnsi"/>
          <w:sz w:val="20"/>
          <w:szCs w:val="20"/>
          <w:lang w:eastAsia="ko-KR"/>
        </w:rPr>
        <w:t>.</w:t>
      </w:r>
    </w:p>
    <w:p w14:paraId="45537978" w14:textId="77777777" w:rsidR="00077250" w:rsidRDefault="00077250" w:rsidP="00077250">
      <w:pPr>
        <w:ind w:firstLine="284"/>
        <w:jc w:val="both"/>
        <w:rPr>
          <w:rFonts w:asciiTheme="majorHAnsi" w:eastAsia="Times New Roman" w:hAnsiTheme="majorHAnsi" w:cstheme="majorHAnsi"/>
          <w:sz w:val="20"/>
          <w:szCs w:val="20"/>
          <w:lang w:eastAsia="ko-KR"/>
        </w:rPr>
      </w:pPr>
    </w:p>
    <w:p w14:paraId="78A7A224" w14:textId="0B50A515" w:rsidR="00077250" w:rsidRDefault="00077250" w:rsidP="00077250">
      <w:pPr>
        <w:pStyle w:val="ListParagraph"/>
        <w:numPr>
          <w:ilvl w:val="0"/>
          <w:numId w:val="7"/>
        </w:numPr>
        <w:ind w:left="567" w:hanging="283"/>
        <w:jc w:val="both"/>
        <w:rPr>
          <w:rFonts w:asciiTheme="minorHAnsi" w:hAnsiTheme="minorHAnsi" w:cstheme="minorHAnsi"/>
          <w:b/>
          <w:bCs/>
          <w:sz w:val="18"/>
          <w:szCs w:val="18"/>
        </w:rPr>
      </w:pPr>
      <w:r w:rsidRPr="00077250">
        <w:rPr>
          <w:rFonts w:asciiTheme="minorHAnsi" w:hAnsiTheme="minorHAnsi" w:cstheme="minorHAnsi"/>
          <w:b/>
          <w:bCs/>
          <w:sz w:val="18"/>
          <w:szCs w:val="18"/>
        </w:rPr>
        <w:t xml:space="preserve">2. </w:t>
      </w:r>
      <w:proofErr w:type="spellStart"/>
      <w:r w:rsidRPr="00077250">
        <w:rPr>
          <w:rFonts w:asciiTheme="minorHAnsi" w:hAnsiTheme="minorHAnsi" w:cstheme="minorHAnsi"/>
          <w:b/>
          <w:bCs/>
          <w:sz w:val="18"/>
          <w:szCs w:val="18"/>
        </w:rPr>
        <w:t>Color</w:t>
      </w:r>
      <w:proofErr w:type="spellEnd"/>
      <w:r w:rsidRPr="00077250">
        <w:rPr>
          <w:rFonts w:asciiTheme="minorHAnsi" w:hAnsiTheme="minorHAnsi" w:cstheme="minorHAnsi"/>
          <w:b/>
          <w:bCs/>
          <w:sz w:val="18"/>
          <w:szCs w:val="18"/>
        </w:rPr>
        <w:t xml:space="preserve"> as a Fundamental Characteristic of the Visual World</w:t>
      </w:r>
    </w:p>
    <w:p w14:paraId="6E1B017A" w14:textId="1CE705F3" w:rsidR="00077250" w:rsidRDefault="00077250" w:rsidP="00077250">
      <w:pPr>
        <w:ind w:left="284" w:firstLine="284"/>
        <w:jc w:val="both"/>
        <w:rPr>
          <w:rFonts w:asciiTheme="majorHAnsi" w:eastAsia="Times New Roman" w:hAnsiTheme="majorHAnsi" w:cstheme="majorHAnsi"/>
          <w:sz w:val="20"/>
          <w:szCs w:val="20"/>
          <w:lang w:eastAsia="ko-KR"/>
        </w:rPr>
      </w:pPr>
      <w:proofErr w:type="spellStart"/>
      <w:r w:rsidRPr="00077250">
        <w:rPr>
          <w:rFonts w:asciiTheme="majorHAnsi" w:eastAsia="Times New Roman" w:hAnsiTheme="majorHAnsi" w:cstheme="majorHAnsi"/>
          <w:sz w:val="20"/>
          <w:szCs w:val="20"/>
          <w:lang w:eastAsia="ko-KR"/>
        </w:rPr>
        <w:t>Color</w:t>
      </w:r>
      <w:proofErr w:type="spellEnd"/>
      <w:r w:rsidRPr="00077250">
        <w:rPr>
          <w:rFonts w:asciiTheme="majorHAnsi" w:eastAsia="Times New Roman" w:hAnsiTheme="majorHAnsi" w:cstheme="majorHAnsi"/>
          <w:sz w:val="20"/>
          <w:szCs w:val="20"/>
          <w:lang w:eastAsia="ko-KR"/>
        </w:rPr>
        <w:t xml:space="preserve"> is one of the primary ways through which humans understand and engage with their surroundings. It is closely related to form and can sometimes be a fundamental characteristic or identity of an object or substance. As shapes have dimensions and measurements, </w:t>
      </w:r>
      <w:proofErr w:type="spellStart"/>
      <w:r w:rsidRPr="00077250">
        <w:rPr>
          <w:rFonts w:asciiTheme="majorHAnsi" w:eastAsia="Times New Roman" w:hAnsiTheme="majorHAnsi" w:cstheme="majorHAnsi"/>
          <w:sz w:val="20"/>
          <w:szCs w:val="20"/>
          <w:lang w:eastAsia="ko-KR"/>
        </w:rPr>
        <w:t>colors</w:t>
      </w:r>
      <w:proofErr w:type="spellEnd"/>
      <w:r w:rsidRPr="00077250">
        <w:rPr>
          <w:rFonts w:asciiTheme="majorHAnsi" w:eastAsia="Times New Roman" w:hAnsiTheme="majorHAnsi" w:cstheme="majorHAnsi"/>
          <w:sz w:val="20"/>
          <w:szCs w:val="20"/>
          <w:lang w:eastAsia="ko-KR"/>
        </w:rPr>
        <w:t xml:space="preserve"> also possess inherent physical properties. Like shapes, </w:t>
      </w:r>
      <w:proofErr w:type="spellStart"/>
      <w:r w:rsidRPr="00077250">
        <w:rPr>
          <w:rFonts w:asciiTheme="majorHAnsi" w:eastAsia="Times New Roman" w:hAnsiTheme="majorHAnsi" w:cstheme="majorHAnsi"/>
          <w:sz w:val="20"/>
          <w:szCs w:val="20"/>
          <w:lang w:eastAsia="ko-KR"/>
        </w:rPr>
        <w:t>colors</w:t>
      </w:r>
      <w:proofErr w:type="spellEnd"/>
      <w:r w:rsidRPr="00077250">
        <w:rPr>
          <w:rFonts w:asciiTheme="majorHAnsi" w:eastAsia="Times New Roman" w:hAnsiTheme="majorHAnsi" w:cstheme="majorHAnsi"/>
          <w:sz w:val="20"/>
          <w:szCs w:val="20"/>
          <w:lang w:eastAsia="ko-KR"/>
        </w:rPr>
        <w:t xml:space="preserve"> have relationships and organizational systems, adding depth and nuance to our visual experiences </w:t>
      </w:r>
      <w:r w:rsidRPr="00077250">
        <w:rPr>
          <w:rFonts w:asciiTheme="majorHAnsi" w:eastAsia="Times New Roman" w:hAnsiTheme="majorHAnsi" w:cstheme="majorHAnsi"/>
          <w:sz w:val="20"/>
          <w:szCs w:val="20"/>
          <w:lang w:eastAsia="ko-KR"/>
        </w:rPr>
        <w:fldChar w:fldCharType="begin" w:fldLock="1"/>
      </w:r>
      <w:r w:rsidRPr="00077250">
        <w:rPr>
          <w:rFonts w:asciiTheme="majorHAnsi" w:eastAsia="Times New Roman" w:hAnsiTheme="majorHAnsi" w:cstheme="majorHAnsi"/>
          <w:sz w:val="20"/>
          <w:szCs w:val="20"/>
          <w:lang w:eastAsia="ko-KR"/>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077250">
        <w:rPr>
          <w:rFonts w:asciiTheme="majorHAnsi" w:eastAsia="Times New Roman" w:hAnsiTheme="majorHAnsi" w:cstheme="majorHAnsi"/>
          <w:sz w:val="20"/>
          <w:szCs w:val="20"/>
          <w:lang w:eastAsia="ko-KR"/>
        </w:rPr>
        <w:fldChar w:fldCharType="separate"/>
      </w:r>
      <w:r w:rsidRPr="00077250">
        <w:rPr>
          <w:rFonts w:asciiTheme="majorHAnsi" w:eastAsia="Times New Roman" w:hAnsiTheme="majorHAnsi" w:cstheme="majorHAnsi"/>
          <w:sz w:val="20"/>
          <w:szCs w:val="20"/>
          <w:lang w:eastAsia="ko-KR"/>
        </w:rPr>
        <w:t>[34]</w:t>
      </w:r>
      <w:r w:rsidRPr="00077250">
        <w:rPr>
          <w:rFonts w:asciiTheme="majorHAnsi" w:eastAsia="Times New Roman" w:hAnsiTheme="majorHAnsi" w:cstheme="majorHAnsi"/>
          <w:sz w:val="20"/>
          <w:szCs w:val="20"/>
          <w:lang w:eastAsia="ko-KR"/>
        </w:rPr>
        <w:fldChar w:fldCharType="end"/>
      </w:r>
      <w:r w:rsidRPr="00077250">
        <w:rPr>
          <w:rFonts w:asciiTheme="majorHAnsi" w:eastAsia="Times New Roman" w:hAnsiTheme="majorHAnsi" w:cstheme="majorHAnsi"/>
          <w:sz w:val="20"/>
          <w:szCs w:val="20"/>
          <w:lang w:eastAsia="ko-KR"/>
        </w:rPr>
        <w:t xml:space="preserve">, </w:t>
      </w:r>
      <w:r w:rsidRPr="00077250">
        <w:rPr>
          <w:rFonts w:asciiTheme="majorHAnsi" w:eastAsia="Times New Roman" w:hAnsiTheme="majorHAnsi" w:cstheme="majorHAnsi"/>
          <w:sz w:val="20"/>
          <w:szCs w:val="20"/>
          <w:lang w:eastAsia="ko-KR"/>
        </w:rPr>
        <w:fldChar w:fldCharType="begin" w:fldLock="1"/>
      </w:r>
      <w:r w:rsidRPr="00077250">
        <w:rPr>
          <w:rFonts w:asciiTheme="majorHAnsi" w:eastAsia="Times New Roman" w:hAnsiTheme="majorHAnsi" w:cstheme="majorHAnsi"/>
          <w:sz w:val="20"/>
          <w:szCs w:val="20"/>
          <w:lang w:eastAsia="ko-KR"/>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077250">
        <w:rPr>
          <w:rFonts w:asciiTheme="majorHAnsi" w:eastAsia="Times New Roman" w:hAnsiTheme="majorHAnsi" w:cstheme="majorHAnsi"/>
          <w:sz w:val="20"/>
          <w:szCs w:val="20"/>
          <w:lang w:eastAsia="ko-KR"/>
        </w:rPr>
        <w:fldChar w:fldCharType="separate"/>
      </w:r>
      <w:r w:rsidRPr="00077250">
        <w:rPr>
          <w:rFonts w:asciiTheme="majorHAnsi" w:eastAsia="Times New Roman" w:hAnsiTheme="majorHAnsi" w:cstheme="majorHAnsi"/>
          <w:sz w:val="20"/>
          <w:szCs w:val="20"/>
          <w:lang w:eastAsia="ko-KR"/>
        </w:rPr>
        <w:t>[35]</w:t>
      </w:r>
      <w:r w:rsidRPr="00077250">
        <w:rPr>
          <w:rFonts w:asciiTheme="majorHAnsi" w:eastAsia="Times New Roman" w:hAnsiTheme="majorHAnsi" w:cstheme="majorHAnsi"/>
          <w:sz w:val="20"/>
          <w:szCs w:val="20"/>
          <w:lang w:eastAsia="ko-KR"/>
        </w:rPr>
        <w:fldChar w:fldCharType="end"/>
      </w:r>
      <w:r>
        <w:rPr>
          <w:rFonts w:asciiTheme="majorHAnsi" w:eastAsia="Times New Roman" w:hAnsiTheme="majorHAnsi" w:cstheme="majorHAnsi"/>
          <w:sz w:val="20"/>
          <w:szCs w:val="20"/>
          <w:lang w:eastAsia="ko-KR"/>
        </w:rPr>
        <w:t>.</w:t>
      </w:r>
    </w:p>
    <w:p w14:paraId="410A17CB" w14:textId="77777777" w:rsidR="00077250" w:rsidRDefault="00077250" w:rsidP="00077250">
      <w:pPr>
        <w:ind w:left="284" w:firstLine="284"/>
        <w:jc w:val="both"/>
        <w:rPr>
          <w:rFonts w:asciiTheme="majorHAnsi" w:eastAsia="Times New Roman" w:hAnsiTheme="majorHAnsi" w:cstheme="majorHAnsi"/>
          <w:sz w:val="20"/>
          <w:szCs w:val="20"/>
          <w:lang w:eastAsia="ko-KR"/>
        </w:rPr>
      </w:pPr>
    </w:p>
    <w:p w14:paraId="4642619F" w14:textId="6DBDBB31" w:rsidR="00077250" w:rsidRDefault="00077250" w:rsidP="00077250">
      <w:pPr>
        <w:pStyle w:val="ListParagraph"/>
        <w:numPr>
          <w:ilvl w:val="0"/>
          <w:numId w:val="8"/>
        </w:numPr>
        <w:ind w:left="567" w:hanging="283"/>
        <w:jc w:val="both"/>
        <w:rPr>
          <w:rFonts w:asciiTheme="minorHAnsi" w:hAnsiTheme="minorHAnsi" w:cstheme="minorHAnsi"/>
          <w:b/>
          <w:bCs/>
          <w:sz w:val="18"/>
          <w:szCs w:val="18"/>
        </w:rPr>
      </w:pPr>
      <w:r w:rsidRPr="00077250">
        <w:rPr>
          <w:rFonts w:asciiTheme="minorHAnsi" w:hAnsiTheme="minorHAnsi" w:cstheme="minorHAnsi"/>
          <w:b/>
          <w:bCs/>
          <w:sz w:val="18"/>
          <w:szCs w:val="18"/>
        </w:rPr>
        <w:t xml:space="preserve">3. The Physiology of </w:t>
      </w:r>
      <w:proofErr w:type="spellStart"/>
      <w:r w:rsidRPr="00077250">
        <w:rPr>
          <w:rFonts w:asciiTheme="minorHAnsi" w:hAnsiTheme="minorHAnsi" w:cstheme="minorHAnsi"/>
          <w:b/>
          <w:bCs/>
          <w:sz w:val="18"/>
          <w:szCs w:val="18"/>
        </w:rPr>
        <w:t>Color</w:t>
      </w:r>
      <w:proofErr w:type="spellEnd"/>
      <w:r w:rsidRPr="00077250">
        <w:rPr>
          <w:rFonts w:asciiTheme="minorHAnsi" w:hAnsiTheme="minorHAnsi" w:cstheme="minorHAnsi"/>
          <w:b/>
          <w:bCs/>
          <w:sz w:val="18"/>
          <w:szCs w:val="18"/>
        </w:rPr>
        <w:t xml:space="preserve"> Perception</w:t>
      </w:r>
    </w:p>
    <w:p w14:paraId="396456C7" w14:textId="43523323" w:rsidR="00077250" w:rsidRDefault="00077250" w:rsidP="00077250">
      <w:pPr>
        <w:ind w:left="284" w:firstLine="284"/>
        <w:jc w:val="both"/>
        <w:rPr>
          <w:rFonts w:asciiTheme="majorHAnsi" w:eastAsia="Times New Roman" w:hAnsiTheme="majorHAnsi" w:cstheme="majorHAnsi"/>
          <w:sz w:val="20"/>
          <w:szCs w:val="20"/>
          <w:lang w:eastAsia="ko-KR"/>
        </w:rPr>
      </w:pPr>
      <w:r w:rsidRPr="00077250">
        <w:rPr>
          <w:rFonts w:asciiTheme="majorHAnsi" w:eastAsia="Times New Roman" w:hAnsiTheme="majorHAnsi" w:cstheme="majorHAnsi"/>
          <w:sz w:val="20"/>
          <w:szCs w:val="20"/>
          <w:lang w:eastAsia="ko-KR"/>
        </w:rPr>
        <w:t>The term "</w:t>
      </w:r>
      <w:proofErr w:type="spellStart"/>
      <w:r w:rsidRPr="00077250">
        <w:rPr>
          <w:rFonts w:asciiTheme="majorHAnsi" w:eastAsia="Times New Roman" w:hAnsiTheme="majorHAnsi" w:cstheme="majorHAnsi"/>
          <w:sz w:val="20"/>
          <w:szCs w:val="20"/>
          <w:lang w:eastAsia="ko-KR"/>
        </w:rPr>
        <w:t>color</w:t>
      </w:r>
      <w:proofErr w:type="spellEnd"/>
      <w:r w:rsidRPr="00077250">
        <w:rPr>
          <w:rFonts w:asciiTheme="majorHAnsi" w:eastAsia="Times New Roman" w:hAnsiTheme="majorHAnsi" w:cstheme="majorHAnsi"/>
          <w:sz w:val="20"/>
          <w:szCs w:val="20"/>
          <w:lang w:eastAsia="ko-KR"/>
        </w:rPr>
        <w:t xml:space="preserve">" refers to the perceptual experience resulting from the interaction of light with our eyes and nervous system. From a physical perspective, </w:t>
      </w:r>
      <w:proofErr w:type="spellStart"/>
      <w:r w:rsidRPr="00077250">
        <w:rPr>
          <w:rFonts w:asciiTheme="majorHAnsi" w:eastAsia="Times New Roman" w:hAnsiTheme="majorHAnsi" w:cstheme="majorHAnsi"/>
          <w:sz w:val="20"/>
          <w:szCs w:val="20"/>
          <w:lang w:eastAsia="ko-KR"/>
        </w:rPr>
        <w:t>color</w:t>
      </w:r>
      <w:proofErr w:type="spellEnd"/>
      <w:r w:rsidRPr="00077250">
        <w:rPr>
          <w:rFonts w:asciiTheme="majorHAnsi" w:eastAsia="Times New Roman" w:hAnsiTheme="majorHAnsi" w:cstheme="majorHAnsi"/>
          <w:sz w:val="20"/>
          <w:szCs w:val="20"/>
          <w:lang w:eastAsia="ko-KR"/>
        </w:rPr>
        <w:t xml:space="preserve"> is the property of an object or substance that determines how it appears when light is reflected from its surface. Different materials absorb and reflect light in varying ways, leading to the perception of diverse </w:t>
      </w:r>
      <w:proofErr w:type="spellStart"/>
      <w:r w:rsidRPr="00077250">
        <w:rPr>
          <w:rFonts w:asciiTheme="majorHAnsi" w:eastAsia="Times New Roman" w:hAnsiTheme="majorHAnsi" w:cstheme="majorHAnsi"/>
          <w:sz w:val="20"/>
          <w:szCs w:val="20"/>
          <w:lang w:eastAsia="ko-KR"/>
        </w:rPr>
        <w:t>colors</w:t>
      </w:r>
      <w:proofErr w:type="spellEnd"/>
      <w:r w:rsidRPr="00077250">
        <w:rPr>
          <w:rFonts w:asciiTheme="majorHAnsi" w:eastAsia="Times New Roman" w:hAnsiTheme="majorHAnsi" w:cstheme="majorHAnsi"/>
          <w:sz w:val="20"/>
          <w:szCs w:val="20"/>
          <w:lang w:eastAsia="ko-KR"/>
        </w:rPr>
        <w:t xml:space="preserve">. From a physiological standpoint, </w:t>
      </w:r>
      <w:proofErr w:type="spellStart"/>
      <w:r w:rsidRPr="00077250">
        <w:rPr>
          <w:rFonts w:asciiTheme="majorHAnsi" w:eastAsia="Times New Roman" w:hAnsiTheme="majorHAnsi" w:cstheme="majorHAnsi"/>
          <w:sz w:val="20"/>
          <w:szCs w:val="20"/>
          <w:lang w:eastAsia="ko-KR"/>
        </w:rPr>
        <w:t>color</w:t>
      </w:r>
      <w:proofErr w:type="spellEnd"/>
      <w:r w:rsidRPr="00077250">
        <w:rPr>
          <w:rFonts w:asciiTheme="majorHAnsi" w:eastAsia="Times New Roman" w:hAnsiTheme="majorHAnsi" w:cstheme="majorHAnsi"/>
          <w:sz w:val="20"/>
          <w:szCs w:val="20"/>
          <w:lang w:eastAsia="ko-KR"/>
        </w:rPr>
        <w:t xml:space="preserve"> perception is a complex phenomenon related to the functioning of the human visual system. The light-receiving devices in the eye, such as the retina, interact with the reflected light to transmit </w:t>
      </w:r>
      <w:proofErr w:type="spellStart"/>
      <w:r w:rsidRPr="00077250">
        <w:rPr>
          <w:rFonts w:asciiTheme="majorHAnsi" w:eastAsia="Times New Roman" w:hAnsiTheme="majorHAnsi" w:cstheme="majorHAnsi"/>
          <w:sz w:val="20"/>
          <w:szCs w:val="20"/>
          <w:lang w:eastAsia="ko-KR"/>
        </w:rPr>
        <w:t>color</w:t>
      </w:r>
      <w:proofErr w:type="spellEnd"/>
      <w:r w:rsidRPr="00077250">
        <w:rPr>
          <w:rFonts w:asciiTheme="majorHAnsi" w:eastAsia="Times New Roman" w:hAnsiTheme="majorHAnsi" w:cstheme="majorHAnsi"/>
          <w:sz w:val="20"/>
          <w:szCs w:val="20"/>
          <w:lang w:eastAsia="ko-KR"/>
        </w:rPr>
        <w:t xml:space="preserve">-related information to the brain through a network of specialized optical </w:t>
      </w:r>
      <w:proofErr w:type="spellStart"/>
      <w:r w:rsidRPr="00077250">
        <w:rPr>
          <w:rFonts w:asciiTheme="majorHAnsi" w:eastAsia="Times New Roman" w:hAnsiTheme="majorHAnsi" w:cstheme="majorHAnsi"/>
          <w:sz w:val="20"/>
          <w:szCs w:val="20"/>
          <w:lang w:eastAsia="ko-KR"/>
        </w:rPr>
        <w:t>fibers</w:t>
      </w:r>
      <w:proofErr w:type="spellEnd"/>
      <w:r w:rsidRPr="00077250">
        <w:rPr>
          <w:rFonts w:asciiTheme="majorHAnsi" w:eastAsia="Times New Roman" w:hAnsiTheme="majorHAnsi" w:cstheme="majorHAnsi"/>
          <w:sz w:val="20"/>
          <w:szCs w:val="20"/>
          <w:lang w:eastAsia="ko-KR"/>
        </w:rPr>
        <w:t xml:space="preserve"> </w:t>
      </w:r>
      <w:r w:rsidRPr="00077250">
        <w:rPr>
          <w:rFonts w:asciiTheme="majorHAnsi" w:eastAsia="Times New Roman" w:hAnsiTheme="majorHAnsi" w:cstheme="majorHAnsi"/>
          <w:sz w:val="20"/>
          <w:szCs w:val="20"/>
          <w:lang w:eastAsia="ko-KR"/>
        </w:rPr>
        <w:fldChar w:fldCharType="begin" w:fldLock="1"/>
      </w:r>
      <w:r w:rsidRPr="00077250">
        <w:rPr>
          <w:rFonts w:asciiTheme="majorHAnsi" w:eastAsia="Times New Roman" w:hAnsiTheme="majorHAnsi" w:cstheme="majorHAnsi"/>
          <w:sz w:val="20"/>
          <w:szCs w:val="20"/>
          <w:lang w:eastAsia="ko-KR"/>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077250">
        <w:rPr>
          <w:rFonts w:asciiTheme="majorHAnsi" w:eastAsia="Times New Roman" w:hAnsiTheme="majorHAnsi" w:cstheme="majorHAnsi"/>
          <w:sz w:val="20"/>
          <w:szCs w:val="20"/>
          <w:lang w:eastAsia="ko-KR"/>
        </w:rPr>
        <w:fldChar w:fldCharType="separate"/>
      </w:r>
      <w:r w:rsidRPr="00077250">
        <w:rPr>
          <w:rFonts w:asciiTheme="majorHAnsi" w:eastAsia="Times New Roman" w:hAnsiTheme="majorHAnsi" w:cstheme="majorHAnsi"/>
          <w:sz w:val="20"/>
          <w:szCs w:val="20"/>
          <w:lang w:eastAsia="ko-KR"/>
        </w:rPr>
        <w:t>[36]</w:t>
      </w:r>
      <w:r w:rsidRPr="00077250">
        <w:rPr>
          <w:rFonts w:asciiTheme="majorHAnsi" w:eastAsia="Times New Roman" w:hAnsiTheme="majorHAnsi" w:cstheme="majorHAnsi"/>
          <w:sz w:val="20"/>
          <w:szCs w:val="20"/>
          <w:lang w:eastAsia="ko-KR"/>
        </w:rPr>
        <w:fldChar w:fldCharType="end"/>
      </w:r>
      <w:r w:rsidRPr="00077250">
        <w:rPr>
          <w:rFonts w:asciiTheme="majorHAnsi" w:eastAsia="Times New Roman" w:hAnsiTheme="majorHAnsi" w:cstheme="majorHAnsi"/>
          <w:sz w:val="20"/>
          <w:szCs w:val="20"/>
          <w:lang w:eastAsia="ko-KR"/>
        </w:rPr>
        <w:t xml:space="preserve">, </w:t>
      </w:r>
      <w:r w:rsidRPr="00077250">
        <w:rPr>
          <w:rFonts w:asciiTheme="majorHAnsi" w:eastAsia="Times New Roman" w:hAnsiTheme="majorHAnsi" w:cstheme="majorHAnsi"/>
          <w:sz w:val="20"/>
          <w:szCs w:val="20"/>
          <w:lang w:eastAsia="ko-KR"/>
        </w:rPr>
        <w:fldChar w:fldCharType="begin" w:fldLock="1"/>
      </w:r>
      <w:r w:rsidRPr="00077250">
        <w:rPr>
          <w:rFonts w:asciiTheme="majorHAnsi" w:eastAsia="Times New Roman" w:hAnsiTheme="majorHAnsi" w:cstheme="majorHAnsi"/>
          <w:sz w:val="20"/>
          <w:szCs w:val="20"/>
          <w:lang w:eastAsia="ko-KR"/>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077250">
        <w:rPr>
          <w:rFonts w:asciiTheme="majorHAnsi" w:eastAsia="Times New Roman" w:hAnsiTheme="majorHAnsi" w:cstheme="majorHAnsi"/>
          <w:sz w:val="20"/>
          <w:szCs w:val="20"/>
          <w:lang w:eastAsia="ko-KR"/>
        </w:rPr>
        <w:fldChar w:fldCharType="separate"/>
      </w:r>
      <w:r w:rsidRPr="00077250">
        <w:rPr>
          <w:rFonts w:asciiTheme="majorHAnsi" w:eastAsia="Times New Roman" w:hAnsiTheme="majorHAnsi" w:cstheme="majorHAnsi"/>
          <w:sz w:val="20"/>
          <w:szCs w:val="20"/>
          <w:lang w:eastAsia="ko-KR"/>
        </w:rPr>
        <w:t>[37]</w:t>
      </w:r>
      <w:r w:rsidRPr="00077250">
        <w:rPr>
          <w:rFonts w:asciiTheme="majorHAnsi" w:eastAsia="Times New Roman" w:hAnsiTheme="majorHAnsi" w:cstheme="majorHAnsi"/>
          <w:sz w:val="20"/>
          <w:szCs w:val="20"/>
          <w:lang w:eastAsia="ko-KR"/>
        </w:rPr>
        <w:fldChar w:fldCharType="end"/>
      </w:r>
      <w:r>
        <w:rPr>
          <w:rFonts w:asciiTheme="majorHAnsi" w:eastAsia="Times New Roman" w:hAnsiTheme="majorHAnsi" w:cstheme="majorHAnsi"/>
          <w:sz w:val="20"/>
          <w:szCs w:val="20"/>
          <w:lang w:eastAsia="ko-KR"/>
        </w:rPr>
        <w:t>.</w:t>
      </w:r>
    </w:p>
    <w:p w14:paraId="35BB5BAF" w14:textId="77777777" w:rsidR="00077250" w:rsidRDefault="00077250" w:rsidP="00077250">
      <w:pPr>
        <w:ind w:left="284" w:firstLine="284"/>
        <w:jc w:val="both"/>
        <w:rPr>
          <w:rFonts w:asciiTheme="majorHAnsi" w:eastAsia="Times New Roman" w:hAnsiTheme="majorHAnsi" w:cstheme="majorHAnsi"/>
          <w:sz w:val="20"/>
          <w:szCs w:val="20"/>
          <w:lang w:eastAsia="ko-KR"/>
        </w:rPr>
      </w:pPr>
    </w:p>
    <w:p w14:paraId="4A0FD324" w14:textId="1C28E18C" w:rsidR="00077250" w:rsidRPr="00077250" w:rsidRDefault="00077250" w:rsidP="00077250">
      <w:pPr>
        <w:pStyle w:val="ListParagraph"/>
        <w:numPr>
          <w:ilvl w:val="0"/>
          <w:numId w:val="9"/>
        </w:numPr>
        <w:ind w:left="567" w:hanging="283"/>
        <w:jc w:val="both"/>
        <w:rPr>
          <w:rFonts w:asciiTheme="minorHAnsi" w:eastAsia="Times New Roman" w:hAnsiTheme="minorHAnsi" w:cstheme="minorHAnsi"/>
          <w:b/>
          <w:bCs/>
          <w:sz w:val="18"/>
          <w:szCs w:val="18"/>
          <w:lang w:eastAsia="ko-KR"/>
        </w:rPr>
      </w:pPr>
      <w:r w:rsidRPr="00077250">
        <w:rPr>
          <w:rFonts w:asciiTheme="minorHAnsi" w:eastAsia="Times New Roman" w:hAnsiTheme="minorHAnsi" w:cstheme="minorHAnsi"/>
          <w:b/>
          <w:bCs/>
          <w:sz w:val="18"/>
          <w:szCs w:val="18"/>
          <w:lang w:eastAsia="ko-KR"/>
        </w:rPr>
        <w:t xml:space="preserve">4. The Role of </w:t>
      </w:r>
      <w:proofErr w:type="spellStart"/>
      <w:r w:rsidRPr="00077250">
        <w:rPr>
          <w:rFonts w:asciiTheme="minorHAnsi" w:eastAsia="Times New Roman" w:hAnsiTheme="minorHAnsi" w:cstheme="minorHAnsi"/>
          <w:b/>
          <w:bCs/>
          <w:sz w:val="18"/>
          <w:szCs w:val="18"/>
          <w:lang w:eastAsia="ko-KR"/>
        </w:rPr>
        <w:t>Color</w:t>
      </w:r>
      <w:proofErr w:type="spellEnd"/>
      <w:r w:rsidRPr="00077250">
        <w:rPr>
          <w:rFonts w:asciiTheme="minorHAnsi" w:eastAsia="Times New Roman" w:hAnsiTheme="minorHAnsi" w:cstheme="minorHAnsi"/>
          <w:b/>
          <w:bCs/>
          <w:sz w:val="18"/>
          <w:szCs w:val="18"/>
          <w:lang w:eastAsia="ko-KR"/>
        </w:rPr>
        <w:t xml:space="preserve"> in Visual Art and Architecture</w:t>
      </w:r>
    </w:p>
    <w:p w14:paraId="5C23DD39" w14:textId="77777777" w:rsidR="00077250" w:rsidRPr="00077250" w:rsidRDefault="00077250" w:rsidP="00077250">
      <w:pPr>
        <w:ind w:left="284" w:firstLine="284"/>
        <w:jc w:val="both"/>
        <w:rPr>
          <w:rFonts w:asciiTheme="majorHAnsi" w:eastAsia="Times New Roman" w:hAnsiTheme="majorHAnsi" w:cstheme="majorHAnsi"/>
          <w:sz w:val="20"/>
          <w:szCs w:val="20"/>
          <w:lang w:eastAsia="ko-KR"/>
        </w:rPr>
      </w:pPr>
      <w:proofErr w:type="spellStart"/>
      <w:r w:rsidRPr="00077250">
        <w:rPr>
          <w:rFonts w:asciiTheme="majorHAnsi" w:eastAsia="Times New Roman" w:hAnsiTheme="majorHAnsi" w:cstheme="majorHAnsi"/>
          <w:sz w:val="20"/>
          <w:szCs w:val="20"/>
          <w:lang w:eastAsia="ko-KR"/>
        </w:rPr>
        <w:t>Color</w:t>
      </w:r>
      <w:proofErr w:type="spellEnd"/>
      <w:r w:rsidRPr="00077250">
        <w:rPr>
          <w:rFonts w:asciiTheme="majorHAnsi" w:eastAsia="Times New Roman" w:hAnsiTheme="majorHAnsi" w:cstheme="majorHAnsi"/>
          <w:sz w:val="20"/>
          <w:szCs w:val="20"/>
          <w:lang w:eastAsia="ko-KR"/>
        </w:rPr>
        <w:t xml:space="preserve"> is pivotal in shaping visual artwork, significantly achieving aesthetic values and depth. It is a fundamental means of achieving beauty and expressiveness in various artistic disciplines, including engraving </w:t>
      </w:r>
      <w:r w:rsidRPr="00077250">
        <w:rPr>
          <w:rFonts w:asciiTheme="majorHAnsi" w:eastAsia="Times New Roman" w:hAnsiTheme="majorHAnsi" w:cstheme="majorHAnsi"/>
          <w:sz w:val="20"/>
          <w:szCs w:val="20"/>
          <w:lang w:eastAsia="ko-KR"/>
        </w:rPr>
        <w:lastRenderedPageBreak/>
        <w:t xml:space="preserve">and calligraphy. </w:t>
      </w:r>
      <w:proofErr w:type="spellStart"/>
      <w:r w:rsidRPr="00077250">
        <w:rPr>
          <w:rFonts w:asciiTheme="majorHAnsi" w:eastAsia="Times New Roman" w:hAnsiTheme="majorHAnsi" w:cstheme="majorHAnsi"/>
          <w:sz w:val="20"/>
          <w:szCs w:val="20"/>
          <w:lang w:eastAsia="ko-KR"/>
        </w:rPr>
        <w:t>Color</w:t>
      </w:r>
      <w:proofErr w:type="spellEnd"/>
      <w:r w:rsidRPr="00077250">
        <w:rPr>
          <w:rFonts w:asciiTheme="majorHAnsi" w:eastAsia="Times New Roman" w:hAnsiTheme="majorHAnsi" w:cstheme="majorHAnsi"/>
          <w:sz w:val="20"/>
          <w:szCs w:val="20"/>
          <w:lang w:eastAsia="ko-KR"/>
        </w:rPr>
        <w:t xml:space="preserve"> is no less important than form; the two are intricately linked, often conveying deep meanings in our subconscious minds stemming from inherited and acquired experiences </w:t>
      </w:r>
      <w:r w:rsidRPr="00077250">
        <w:rPr>
          <w:rFonts w:asciiTheme="majorHAnsi" w:eastAsia="Times New Roman" w:hAnsiTheme="majorHAnsi" w:cstheme="majorHAnsi"/>
          <w:sz w:val="20"/>
          <w:szCs w:val="20"/>
          <w:lang w:eastAsia="ko-KR"/>
        </w:rPr>
        <w:fldChar w:fldCharType="begin" w:fldLock="1"/>
      </w:r>
      <w:r w:rsidRPr="00077250">
        <w:rPr>
          <w:rFonts w:asciiTheme="majorHAnsi" w:eastAsia="Times New Roman" w:hAnsiTheme="majorHAnsi" w:cstheme="majorHAnsi"/>
          <w:sz w:val="20"/>
          <w:szCs w:val="20"/>
          <w:lang w:eastAsia="ko-KR"/>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077250">
        <w:rPr>
          <w:rFonts w:asciiTheme="majorHAnsi" w:eastAsia="Times New Roman" w:hAnsiTheme="majorHAnsi" w:cstheme="majorHAnsi"/>
          <w:sz w:val="20"/>
          <w:szCs w:val="20"/>
          <w:lang w:eastAsia="ko-KR"/>
        </w:rPr>
        <w:fldChar w:fldCharType="separate"/>
      </w:r>
      <w:r w:rsidRPr="00077250">
        <w:rPr>
          <w:rFonts w:asciiTheme="majorHAnsi" w:eastAsia="Times New Roman" w:hAnsiTheme="majorHAnsi" w:cstheme="majorHAnsi"/>
          <w:sz w:val="20"/>
          <w:szCs w:val="20"/>
          <w:lang w:eastAsia="ko-KR"/>
        </w:rPr>
        <w:t>[38]</w:t>
      </w:r>
      <w:r w:rsidRPr="00077250">
        <w:rPr>
          <w:rFonts w:asciiTheme="majorHAnsi" w:eastAsia="Times New Roman" w:hAnsiTheme="majorHAnsi" w:cstheme="majorHAnsi"/>
          <w:sz w:val="20"/>
          <w:szCs w:val="20"/>
          <w:lang w:eastAsia="ko-KR"/>
        </w:rPr>
        <w:fldChar w:fldCharType="end"/>
      </w:r>
      <w:r w:rsidRPr="00077250">
        <w:rPr>
          <w:rFonts w:asciiTheme="majorHAnsi" w:eastAsia="Times New Roman" w:hAnsiTheme="majorHAnsi" w:cstheme="majorHAnsi"/>
          <w:sz w:val="20"/>
          <w:szCs w:val="20"/>
          <w:lang w:eastAsia="ko-KR"/>
        </w:rPr>
        <w:t xml:space="preserve">, </w:t>
      </w:r>
      <w:r w:rsidRPr="00077250">
        <w:rPr>
          <w:rFonts w:asciiTheme="majorHAnsi" w:eastAsia="Times New Roman" w:hAnsiTheme="majorHAnsi" w:cstheme="majorHAnsi"/>
          <w:sz w:val="20"/>
          <w:szCs w:val="20"/>
          <w:lang w:eastAsia="ko-KR"/>
        </w:rPr>
        <w:fldChar w:fldCharType="begin" w:fldLock="1"/>
      </w:r>
      <w:r w:rsidRPr="00077250">
        <w:rPr>
          <w:rFonts w:asciiTheme="majorHAnsi" w:eastAsia="Times New Roman" w:hAnsiTheme="majorHAnsi" w:cstheme="majorHAnsi"/>
          <w:sz w:val="20"/>
          <w:szCs w:val="20"/>
          <w:lang w:eastAsia="ko-KR"/>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077250">
        <w:rPr>
          <w:rFonts w:asciiTheme="majorHAnsi" w:eastAsia="Times New Roman" w:hAnsiTheme="majorHAnsi" w:cstheme="majorHAnsi"/>
          <w:sz w:val="20"/>
          <w:szCs w:val="20"/>
          <w:lang w:eastAsia="ko-KR"/>
        </w:rPr>
        <w:fldChar w:fldCharType="separate"/>
      </w:r>
      <w:r w:rsidRPr="00077250">
        <w:rPr>
          <w:rFonts w:asciiTheme="majorHAnsi" w:eastAsia="Times New Roman" w:hAnsiTheme="majorHAnsi" w:cstheme="majorHAnsi"/>
          <w:sz w:val="20"/>
          <w:szCs w:val="20"/>
          <w:lang w:eastAsia="ko-KR"/>
        </w:rPr>
        <w:t>[39]</w:t>
      </w:r>
      <w:r w:rsidRPr="00077250">
        <w:rPr>
          <w:rFonts w:asciiTheme="majorHAnsi" w:eastAsia="Times New Roman" w:hAnsiTheme="majorHAnsi" w:cstheme="majorHAnsi"/>
          <w:sz w:val="20"/>
          <w:szCs w:val="20"/>
          <w:lang w:eastAsia="ko-KR"/>
        </w:rPr>
        <w:fldChar w:fldCharType="end"/>
      </w:r>
      <w:r w:rsidRPr="00077250">
        <w:rPr>
          <w:rFonts w:asciiTheme="majorHAnsi" w:eastAsia="Times New Roman" w:hAnsiTheme="majorHAnsi" w:cstheme="majorHAnsi"/>
          <w:sz w:val="20"/>
          <w:szCs w:val="20"/>
          <w:lang w:eastAsia="ko-KR"/>
        </w:rPr>
        <w:t>.</w:t>
      </w:r>
    </w:p>
    <w:p w14:paraId="2CF1281A" w14:textId="00D88A3D" w:rsidR="00077250" w:rsidRDefault="00077250" w:rsidP="00077250">
      <w:pPr>
        <w:ind w:left="284" w:firstLine="284"/>
        <w:jc w:val="both"/>
        <w:rPr>
          <w:rFonts w:asciiTheme="majorHAnsi" w:eastAsia="Times New Roman" w:hAnsiTheme="majorHAnsi" w:cstheme="majorHAnsi"/>
          <w:sz w:val="20"/>
          <w:szCs w:val="20"/>
          <w:lang w:eastAsia="ko-KR"/>
        </w:rPr>
      </w:pPr>
      <w:r w:rsidRPr="00077250">
        <w:rPr>
          <w:rFonts w:asciiTheme="majorHAnsi" w:eastAsia="Times New Roman" w:hAnsiTheme="majorHAnsi" w:cstheme="majorHAnsi"/>
          <w:sz w:val="20"/>
          <w:szCs w:val="20"/>
          <w:lang w:eastAsia="ko-KR"/>
        </w:rPr>
        <w:t xml:space="preserve">In Islamic art and architecture, </w:t>
      </w:r>
      <w:proofErr w:type="spellStart"/>
      <w:r w:rsidRPr="00077250">
        <w:rPr>
          <w:rFonts w:asciiTheme="majorHAnsi" w:eastAsia="Times New Roman" w:hAnsiTheme="majorHAnsi" w:cstheme="majorHAnsi"/>
          <w:sz w:val="20"/>
          <w:szCs w:val="20"/>
          <w:lang w:eastAsia="ko-KR"/>
        </w:rPr>
        <w:t>colors</w:t>
      </w:r>
      <w:proofErr w:type="spellEnd"/>
      <w:r w:rsidRPr="00077250">
        <w:rPr>
          <w:rFonts w:asciiTheme="majorHAnsi" w:eastAsia="Times New Roman" w:hAnsiTheme="majorHAnsi" w:cstheme="majorHAnsi"/>
          <w:sz w:val="20"/>
          <w:szCs w:val="20"/>
          <w:lang w:eastAsia="ko-KR"/>
        </w:rPr>
        <w:t xml:space="preserve"> have been strategically employed for functional and symbolic purposes. Foundational texts inscribed on buildings utilize </w:t>
      </w:r>
      <w:proofErr w:type="spellStart"/>
      <w:r w:rsidRPr="00077250">
        <w:rPr>
          <w:rFonts w:asciiTheme="majorHAnsi" w:eastAsia="Times New Roman" w:hAnsiTheme="majorHAnsi" w:cstheme="majorHAnsi"/>
          <w:sz w:val="20"/>
          <w:szCs w:val="20"/>
          <w:lang w:eastAsia="ko-KR"/>
        </w:rPr>
        <w:t>color</w:t>
      </w:r>
      <w:proofErr w:type="spellEnd"/>
      <w:r w:rsidRPr="00077250">
        <w:rPr>
          <w:rFonts w:asciiTheme="majorHAnsi" w:eastAsia="Times New Roman" w:hAnsiTheme="majorHAnsi" w:cstheme="majorHAnsi"/>
          <w:sz w:val="20"/>
          <w:szCs w:val="20"/>
          <w:lang w:eastAsia="ko-KR"/>
        </w:rPr>
        <w:t xml:space="preserve"> to enhance visual communication, attracting the viewer's attention and conveying messages. Aesthetically, the careful use of </w:t>
      </w:r>
      <w:proofErr w:type="spellStart"/>
      <w:r w:rsidRPr="00077250">
        <w:rPr>
          <w:rFonts w:asciiTheme="majorHAnsi" w:eastAsia="Times New Roman" w:hAnsiTheme="majorHAnsi" w:cstheme="majorHAnsi"/>
          <w:sz w:val="20"/>
          <w:szCs w:val="20"/>
          <w:lang w:eastAsia="ko-KR"/>
        </w:rPr>
        <w:t>color</w:t>
      </w:r>
      <w:proofErr w:type="spellEnd"/>
      <w:r w:rsidRPr="00077250">
        <w:rPr>
          <w:rFonts w:asciiTheme="majorHAnsi" w:eastAsia="Times New Roman" w:hAnsiTheme="majorHAnsi" w:cstheme="majorHAnsi"/>
          <w:sz w:val="20"/>
          <w:szCs w:val="20"/>
          <w:lang w:eastAsia="ko-KR"/>
        </w:rPr>
        <w:t xml:space="preserve"> in these inscriptions increases the beauty of the calligraphic forms, significantly influencing the audience's perceptions and reactions to their surroundings. Additionally, the use of </w:t>
      </w:r>
      <w:proofErr w:type="spellStart"/>
      <w:r w:rsidRPr="00077250">
        <w:rPr>
          <w:rFonts w:asciiTheme="majorHAnsi" w:eastAsia="Times New Roman" w:hAnsiTheme="majorHAnsi" w:cstheme="majorHAnsi"/>
          <w:sz w:val="20"/>
          <w:szCs w:val="20"/>
          <w:lang w:eastAsia="ko-KR"/>
        </w:rPr>
        <w:t>colors</w:t>
      </w:r>
      <w:proofErr w:type="spellEnd"/>
      <w:r w:rsidRPr="00077250">
        <w:rPr>
          <w:rFonts w:asciiTheme="majorHAnsi" w:eastAsia="Times New Roman" w:hAnsiTheme="majorHAnsi" w:cstheme="majorHAnsi"/>
          <w:sz w:val="20"/>
          <w:szCs w:val="20"/>
          <w:lang w:eastAsia="ko-KR"/>
        </w:rPr>
        <w:t xml:space="preserve"> played a crucial role in guiding the viewer's interpretation of an inscription. In some cases, </w:t>
      </w:r>
      <w:proofErr w:type="spellStart"/>
      <w:r w:rsidRPr="00077250">
        <w:rPr>
          <w:rFonts w:asciiTheme="majorHAnsi" w:eastAsia="Times New Roman" w:hAnsiTheme="majorHAnsi" w:cstheme="majorHAnsi"/>
          <w:sz w:val="20"/>
          <w:szCs w:val="20"/>
          <w:lang w:eastAsia="ko-KR"/>
        </w:rPr>
        <w:t>colors</w:t>
      </w:r>
      <w:proofErr w:type="spellEnd"/>
      <w:r w:rsidRPr="00077250">
        <w:rPr>
          <w:rFonts w:asciiTheme="majorHAnsi" w:eastAsia="Times New Roman" w:hAnsiTheme="majorHAnsi" w:cstheme="majorHAnsi"/>
          <w:sz w:val="20"/>
          <w:szCs w:val="20"/>
          <w:lang w:eastAsia="ko-KR"/>
        </w:rPr>
        <w:t xml:space="preserve"> – with the help of the frames’ styles and forms – establish what is referred to as a "map of reading an inscription." This suggests that the perfect employment of </w:t>
      </w:r>
      <w:proofErr w:type="spellStart"/>
      <w:r w:rsidRPr="00077250">
        <w:rPr>
          <w:rFonts w:asciiTheme="majorHAnsi" w:eastAsia="Times New Roman" w:hAnsiTheme="majorHAnsi" w:cstheme="majorHAnsi"/>
          <w:sz w:val="20"/>
          <w:szCs w:val="20"/>
          <w:lang w:eastAsia="ko-KR"/>
        </w:rPr>
        <w:t>color</w:t>
      </w:r>
      <w:proofErr w:type="spellEnd"/>
      <w:r w:rsidRPr="00077250">
        <w:rPr>
          <w:rFonts w:asciiTheme="majorHAnsi" w:eastAsia="Times New Roman" w:hAnsiTheme="majorHAnsi" w:cstheme="majorHAnsi"/>
          <w:sz w:val="20"/>
          <w:szCs w:val="20"/>
          <w:lang w:eastAsia="ko-KR"/>
        </w:rPr>
        <w:t xml:space="preserve"> played a significant role in determining the viewer's engagement and understanding of the inscriptive content. </w:t>
      </w:r>
      <w:proofErr w:type="spellStart"/>
      <w:r w:rsidRPr="00077250">
        <w:rPr>
          <w:rFonts w:asciiTheme="majorHAnsi" w:eastAsia="Times New Roman" w:hAnsiTheme="majorHAnsi" w:cstheme="majorHAnsi"/>
          <w:sz w:val="20"/>
          <w:szCs w:val="20"/>
          <w:lang w:eastAsia="ko-KR"/>
        </w:rPr>
        <w:t>Color</w:t>
      </w:r>
      <w:proofErr w:type="spellEnd"/>
      <w:r w:rsidRPr="00077250">
        <w:rPr>
          <w:rFonts w:asciiTheme="majorHAnsi" w:eastAsia="Times New Roman" w:hAnsiTheme="majorHAnsi" w:cstheme="majorHAnsi"/>
          <w:sz w:val="20"/>
          <w:szCs w:val="20"/>
          <w:lang w:eastAsia="ko-KR"/>
        </w:rPr>
        <w:t xml:space="preserve">, thus, becomes a powerful tool for the Ottomans to control </w:t>
      </w:r>
      <w:proofErr w:type="spellStart"/>
      <w:r w:rsidRPr="00077250">
        <w:rPr>
          <w:rFonts w:asciiTheme="majorHAnsi" w:eastAsia="Times New Roman" w:hAnsiTheme="majorHAnsi" w:cstheme="majorHAnsi"/>
          <w:sz w:val="20"/>
          <w:szCs w:val="20"/>
          <w:lang w:eastAsia="ko-KR"/>
        </w:rPr>
        <w:t>signaling</w:t>
      </w:r>
      <w:proofErr w:type="spellEnd"/>
      <w:r w:rsidRPr="00077250">
        <w:rPr>
          <w:rFonts w:asciiTheme="majorHAnsi" w:eastAsia="Times New Roman" w:hAnsiTheme="majorHAnsi" w:cstheme="majorHAnsi"/>
          <w:sz w:val="20"/>
          <w:szCs w:val="20"/>
          <w:lang w:eastAsia="ko-KR"/>
        </w:rPr>
        <w:t xml:space="preserve">, express their identity, and persuade their diverse audiences, including foreigners and Arabic speakers </w:t>
      </w:r>
      <w:r w:rsidRPr="00077250">
        <w:rPr>
          <w:rFonts w:asciiTheme="majorHAnsi" w:eastAsia="Times New Roman" w:hAnsiTheme="majorHAnsi" w:cstheme="majorHAnsi"/>
          <w:sz w:val="20"/>
          <w:szCs w:val="20"/>
          <w:lang w:eastAsia="ko-KR"/>
        </w:rPr>
        <w:fldChar w:fldCharType="begin" w:fldLock="1"/>
      </w:r>
      <w:r w:rsidRPr="00077250">
        <w:rPr>
          <w:rFonts w:asciiTheme="majorHAnsi" w:eastAsia="Times New Roman" w:hAnsiTheme="majorHAnsi" w:cstheme="majorHAnsi"/>
          <w:sz w:val="20"/>
          <w:szCs w:val="20"/>
          <w:lang w:eastAsia="ko-KR"/>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077250">
        <w:rPr>
          <w:rFonts w:asciiTheme="majorHAnsi" w:eastAsia="Times New Roman" w:hAnsiTheme="majorHAnsi" w:cstheme="majorHAnsi"/>
          <w:sz w:val="20"/>
          <w:szCs w:val="20"/>
          <w:lang w:eastAsia="ko-KR"/>
        </w:rPr>
        <w:fldChar w:fldCharType="separate"/>
      </w:r>
      <w:r w:rsidRPr="00077250">
        <w:rPr>
          <w:rFonts w:asciiTheme="majorHAnsi" w:eastAsia="Times New Roman" w:hAnsiTheme="majorHAnsi" w:cstheme="majorHAnsi"/>
          <w:sz w:val="20"/>
          <w:szCs w:val="20"/>
          <w:lang w:eastAsia="ko-KR"/>
        </w:rPr>
        <w:t>[40]</w:t>
      </w:r>
      <w:r w:rsidRPr="00077250">
        <w:rPr>
          <w:rFonts w:asciiTheme="majorHAnsi" w:eastAsia="Times New Roman" w:hAnsiTheme="majorHAnsi" w:cstheme="majorHAnsi"/>
          <w:sz w:val="20"/>
          <w:szCs w:val="20"/>
          <w:lang w:eastAsia="ko-KR"/>
        </w:rPr>
        <w:fldChar w:fldCharType="end"/>
      </w:r>
      <w:r w:rsidRPr="00077250">
        <w:rPr>
          <w:rFonts w:asciiTheme="majorHAnsi" w:eastAsia="Times New Roman" w:hAnsiTheme="majorHAnsi" w:cstheme="majorHAnsi"/>
          <w:sz w:val="20"/>
          <w:szCs w:val="20"/>
          <w:lang w:eastAsia="ko-KR"/>
        </w:rPr>
        <w:t xml:space="preserve">, </w:t>
      </w:r>
      <w:r w:rsidRPr="00077250">
        <w:rPr>
          <w:rFonts w:asciiTheme="majorHAnsi" w:eastAsia="Times New Roman" w:hAnsiTheme="majorHAnsi" w:cstheme="majorHAnsi"/>
          <w:sz w:val="20"/>
          <w:szCs w:val="20"/>
          <w:lang w:eastAsia="ko-KR"/>
        </w:rPr>
        <w:fldChar w:fldCharType="begin" w:fldLock="1"/>
      </w:r>
      <w:r w:rsidRPr="00077250">
        <w:rPr>
          <w:rFonts w:asciiTheme="majorHAnsi" w:eastAsia="Times New Roman" w:hAnsiTheme="majorHAnsi" w:cstheme="majorHAnsi"/>
          <w:sz w:val="20"/>
          <w:szCs w:val="20"/>
          <w:lang w:eastAsia="ko-KR"/>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077250">
        <w:rPr>
          <w:rFonts w:asciiTheme="majorHAnsi" w:eastAsia="Times New Roman" w:hAnsiTheme="majorHAnsi" w:cstheme="majorHAnsi"/>
          <w:sz w:val="20"/>
          <w:szCs w:val="20"/>
          <w:lang w:eastAsia="ko-KR"/>
        </w:rPr>
        <w:fldChar w:fldCharType="separate"/>
      </w:r>
      <w:r w:rsidRPr="00077250">
        <w:rPr>
          <w:rFonts w:asciiTheme="majorHAnsi" w:eastAsia="Times New Roman" w:hAnsiTheme="majorHAnsi" w:cstheme="majorHAnsi"/>
          <w:sz w:val="20"/>
          <w:szCs w:val="20"/>
          <w:lang w:eastAsia="ko-KR"/>
        </w:rPr>
        <w:t>[41]</w:t>
      </w:r>
      <w:r w:rsidRPr="00077250">
        <w:rPr>
          <w:rFonts w:asciiTheme="majorHAnsi" w:eastAsia="Times New Roman" w:hAnsiTheme="majorHAnsi" w:cstheme="majorHAnsi"/>
          <w:sz w:val="20"/>
          <w:szCs w:val="20"/>
          <w:lang w:eastAsia="ko-KR"/>
        </w:rPr>
        <w:fldChar w:fldCharType="end"/>
      </w:r>
      <w:r>
        <w:rPr>
          <w:rFonts w:asciiTheme="majorHAnsi" w:eastAsia="Times New Roman" w:hAnsiTheme="majorHAnsi" w:cstheme="majorHAnsi"/>
          <w:sz w:val="20"/>
          <w:szCs w:val="20"/>
          <w:lang w:eastAsia="ko-KR"/>
        </w:rPr>
        <w:t>.</w:t>
      </w:r>
    </w:p>
    <w:p w14:paraId="2D80186A" w14:textId="77777777" w:rsidR="00077250" w:rsidRDefault="00077250" w:rsidP="00077250">
      <w:pPr>
        <w:ind w:left="284" w:firstLine="284"/>
        <w:jc w:val="both"/>
        <w:rPr>
          <w:rFonts w:asciiTheme="majorHAnsi" w:eastAsia="Times New Roman" w:hAnsiTheme="majorHAnsi" w:cstheme="majorHAnsi"/>
          <w:sz w:val="20"/>
          <w:szCs w:val="20"/>
          <w:lang w:eastAsia="ko-KR"/>
        </w:rPr>
      </w:pPr>
    </w:p>
    <w:p w14:paraId="37977BCA" w14:textId="46486A40" w:rsidR="00077250" w:rsidRDefault="00077250" w:rsidP="00077250">
      <w:pPr>
        <w:pStyle w:val="ListParagraph"/>
        <w:numPr>
          <w:ilvl w:val="0"/>
          <w:numId w:val="8"/>
        </w:numPr>
        <w:ind w:left="567" w:hanging="283"/>
        <w:jc w:val="both"/>
        <w:rPr>
          <w:rFonts w:asciiTheme="minorHAnsi" w:hAnsiTheme="minorHAnsi" w:cstheme="minorHAnsi"/>
          <w:b/>
          <w:bCs/>
          <w:sz w:val="18"/>
          <w:szCs w:val="18"/>
        </w:rPr>
      </w:pPr>
      <w:r w:rsidRPr="00077250">
        <w:rPr>
          <w:rFonts w:asciiTheme="minorHAnsi" w:hAnsiTheme="minorHAnsi" w:cstheme="minorHAnsi"/>
          <w:b/>
          <w:bCs/>
          <w:sz w:val="18"/>
          <w:szCs w:val="18"/>
        </w:rPr>
        <w:t>FOUNDATION INSCRIPTIONS OF THE SULTAN BAYEZID II MOSQUE IN DIDYMÓTEICHON</w:t>
      </w:r>
    </w:p>
    <w:p w14:paraId="24EBA804" w14:textId="77777777" w:rsidR="00077250" w:rsidRPr="00077250" w:rsidRDefault="00077250" w:rsidP="00077250">
      <w:pPr>
        <w:ind w:left="284" w:firstLine="284"/>
        <w:jc w:val="both"/>
        <w:rPr>
          <w:rFonts w:asciiTheme="majorHAnsi" w:eastAsia="Times New Roman" w:hAnsiTheme="majorHAnsi" w:cstheme="majorHAnsi"/>
          <w:sz w:val="20"/>
          <w:szCs w:val="20"/>
          <w:lang w:eastAsia="ko-KR"/>
        </w:rPr>
      </w:pPr>
      <w:r w:rsidRPr="00077250">
        <w:rPr>
          <w:rFonts w:asciiTheme="majorHAnsi" w:eastAsia="Times New Roman" w:hAnsiTheme="majorHAnsi" w:cstheme="majorHAnsi"/>
          <w:sz w:val="20"/>
          <w:szCs w:val="20"/>
          <w:lang w:eastAsia="ko-KR"/>
        </w:rPr>
        <w:t xml:space="preserve">The Sultan Bayezid II Mosque in </w:t>
      </w:r>
      <w:proofErr w:type="spellStart"/>
      <w:r w:rsidRPr="00077250">
        <w:rPr>
          <w:rFonts w:asciiTheme="majorHAnsi" w:eastAsia="Times New Roman" w:hAnsiTheme="majorHAnsi" w:cstheme="majorHAnsi"/>
          <w:sz w:val="20"/>
          <w:szCs w:val="20"/>
          <w:lang w:eastAsia="ko-KR"/>
        </w:rPr>
        <w:t>Didymóteichon</w:t>
      </w:r>
      <w:proofErr w:type="spellEnd"/>
      <w:r w:rsidRPr="00077250">
        <w:rPr>
          <w:rFonts w:asciiTheme="majorHAnsi" w:eastAsia="Times New Roman" w:hAnsiTheme="majorHAnsi" w:cstheme="majorHAnsi"/>
          <w:sz w:val="20"/>
          <w:szCs w:val="20"/>
          <w:lang w:eastAsia="ko-KR"/>
        </w:rPr>
        <w:t xml:space="preserve"> contains two notable Arabic foundation inscriptions. The primary inscription is situated above the main portal on the NW façade, while the secondary inscription is located above the side door in the western section of the SW façade </w:t>
      </w:r>
      <w:r w:rsidRPr="00077250">
        <w:rPr>
          <w:rFonts w:asciiTheme="majorHAnsi" w:eastAsia="Times New Roman" w:hAnsiTheme="majorHAnsi" w:cstheme="majorHAnsi"/>
          <w:sz w:val="20"/>
          <w:szCs w:val="20"/>
          <w:lang w:eastAsia="ko-KR"/>
        </w:rPr>
        <w:fldChar w:fldCharType="begin" w:fldLock="1"/>
      </w:r>
      <w:r w:rsidRPr="00077250">
        <w:rPr>
          <w:rFonts w:asciiTheme="majorHAnsi" w:eastAsia="Times New Roman" w:hAnsiTheme="majorHAnsi" w:cstheme="majorHAnsi"/>
          <w:sz w:val="20"/>
          <w:szCs w:val="20"/>
          <w:lang w:eastAsia="ko-KR"/>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077250">
        <w:rPr>
          <w:rFonts w:asciiTheme="majorHAnsi" w:eastAsia="Times New Roman" w:hAnsiTheme="majorHAnsi" w:cstheme="majorHAnsi"/>
          <w:sz w:val="20"/>
          <w:szCs w:val="20"/>
          <w:lang w:eastAsia="ko-KR"/>
        </w:rPr>
        <w:fldChar w:fldCharType="separate"/>
      </w:r>
      <w:r w:rsidRPr="00077250">
        <w:rPr>
          <w:rFonts w:asciiTheme="majorHAnsi" w:eastAsia="Times New Roman" w:hAnsiTheme="majorHAnsi" w:cstheme="majorHAnsi"/>
          <w:sz w:val="20"/>
          <w:szCs w:val="20"/>
          <w:lang w:eastAsia="ko-KR"/>
        </w:rPr>
        <w:t>[4]</w:t>
      </w:r>
      <w:r w:rsidRPr="00077250">
        <w:rPr>
          <w:rFonts w:asciiTheme="majorHAnsi" w:eastAsia="Times New Roman" w:hAnsiTheme="majorHAnsi" w:cstheme="majorHAnsi"/>
          <w:sz w:val="20"/>
          <w:szCs w:val="20"/>
          <w:lang w:val="id-ID" w:eastAsia="ko-KR"/>
        </w:rPr>
        <w:fldChar w:fldCharType="end"/>
      </w:r>
      <w:r w:rsidRPr="00077250">
        <w:rPr>
          <w:rFonts w:asciiTheme="majorHAnsi" w:eastAsia="Times New Roman" w:hAnsiTheme="majorHAnsi" w:cstheme="majorHAnsi"/>
          <w:sz w:val="20"/>
          <w:szCs w:val="20"/>
          <w:lang w:eastAsia="ko-KR"/>
        </w:rPr>
        <w:t xml:space="preserve">. These inscriptions, along with the minaret, offer an overlooking view of the city and the citadel. Both inscriptions are crafted in a vibrant, </w:t>
      </w:r>
      <w:proofErr w:type="spellStart"/>
      <w:r w:rsidRPr="00077250">
        <w:rPr>
          <w:rFonts w:asciiTheme="majorHAnsi" w:eastAsia="Times New Roman" w:hAnsiTheme="majorHAnsi" w:cstheme="majorHAnsi"/>
          <w:sz w:val="20"/>
          <w:szCs w:val="20"/>
          <w:lang w:eastAsia="ko-KR"/>
        </w:rPr>
        <w:t>colorful</w:t>
      </w:r>
      <w:proofErr w:type="spellEnd"/>
      <w:r w:rsidRPr="00077250">
        <w:rPr>
          <w:rFonts w:asciiTheme="majorHAnsi" w:eastAsia="Times New Roman" w:hAnsiTheme="majorHAnsi" w:cstheme="majorHAnsi"/>
          <w:sz w:val="20"/>
          <w:szCs w:val="20"/>
          <w:lang w:eastAsia="ko-KR"/>
        </w:rPr>
        <w:t>, and artistically pleasing manner, serving as prominent focal points that capture the viewer’s attention.</w:t>
      </w:r>
    </w:p>
    <w:p w14:paraId="3873D649" w14:textId="77777777" w:rsidR="00077250" w:rsidRDefault="00077250" w:rsidP="00077250">
      <w:pPr>
        <w:ind w:left="284" w:firstLine="284"/>
        <w:jc w:val="both"/>
        <w:rPr>
          <w:rFonts w:asciiTheme="majorHAnsi" w:eastAsia="Times New Roman" w:hAnsiTheme="majorHAnsi" w:cstheme="majorHAnsi"/>
          <w:sz w:val="20"/>
          <w:szCs w:val="20"/>
          <w:lang w:eastAsia="ko-KR"/>
        </w:rPr>
      </w:pPr>
      <w:r w:rsidRPr="00077250">
        <w:rPr>
          <w:rFonts w:asciiTheme="majorHAnsi" w:eastAsia="Times New Roman" w:hAnsiTheme="majorHAnsi" w:cstheme="majorHAnsi"/>
          <w:sz w:val="20"/>
          <w:szCs w:val="20"/>
          <w:lang w:eastAsia="ko-KR"/>
        </w:rPr>
        <w:t>The main foundation inscription (Figures 3 &amp; 4) originates from (</w:t>
      </w:r>
      <w:proofErr w:type="spellStart"/>
      <w:r w:rsidRPr="00077250">
        <w:rPr>
          <w:rFonts w:asciiTheme="majorHAnsi" w:eastAsia="Times New Roman" w:hAnsiTheme="majorHAnsi" w:cstheme="majorHAnsi"/>
          <w:sz w:val="20"/>
          <w:szCs w:val="20"/>
          <w:lang w:eastAsia="ko-KR"/>
        </w:rPr>
        <w:t>almutamem</w:t>
      </w:r>
      <w:proofErr w:type="spellEnd"/>
      <w:r w:rsidRPr="00077250">
        <w:rPr>
          <w:rFonts w:asciiTheme="majorHAnsi" w:eastAsia="Times New Roman" w:hAnsiTheme="majorHAnsi" w:cstheme="majorHAnsi"/>
          <w:sz w:val="20"/>
          <w:szCs w:val="20"/>
          <w:lang w:eastAsia="ko-KR"/>
        </w:rPr>
        <w:t>=the last day) 30/3 (</w:t>
      </w:r>
      <w:proofErr w:type="spellStart"/>
      <w:r w:rsidRPr="00077250">
        <w:rPr>
          <w:rFonts w:asciiTheme="majorHAnsi" w:eastAsia="Times New Roman" w:hAnsiTheme="majorHAnsi" w:cstheme="majorHAnsi"/>
          <w:sz w:val="20"/>
          <w:szCs w:val="20"/>
          <w:lang w:eastAsia="ko-KR"/>
        </w:rPr>
        <w:t>Rabīʿ</w:t>
      </w:r>
      <w:proofErr w:type="spellEnd"/>
      <w:r w:rsidRPr="00077250">
        <w:rPr>
          <w:rFonts w:asciiTheme="majorHAnsi" w:eastAsia="Times New Roman" w:hAnsiTheme="majorHAnsi" w:cstheme="majorHAnsi"/>
          <w:sz w:val="20"/>
          <w:szCs w:val="20"/>
          <w:lang w:eastAsia="ko-KR"/>
        </w:rPr>
        <w:t xml:space="preserve"> al-Awwal)/823 H (Sunday 14/4/1420). It is a rectangular stone plaque measuring 1.25 meters in height and 2.15 meters in width, featuring three lines separated by red lines. The text is composed in the complex Thuluth (</w:t>
      </w:r>
      <w:proofErr w:type="spellStart"/>
      <w:r w:rsidRPr="00077250">
        <w:rPr>
          <w:rFonts w:asciiTheme="majorHAnsi" w:eastAsia="Times New Roman" w:hAnsiTheme="majorHAnsi" w:cstheme="majorHAnsi"/>
          <w:sz w:val="20"/>
          <w:szCs w:val="20"/>
          <w:lang w:eastAsia="ko-KR"/>
        </w:rPr>
        <w:t>Celî</w:t>
      </w:r>
      <w:proofErr w:type="spellEnd"/>
      <w:r w:rsidRPr="00077250">
        <w:rPr>
          <w:rFonts w:asciiTheme="majorHAnsi" w:eastAsia="Times New Roman" w:hAnsiTheme="majorHAnsi" w:cstheme="majorHAnsi"/>
          <w:sz w:val="20"/>
          <w:szCs w:val="20"/>
          <w:lang w:eastAsia="ko-KR"/>
        </w:rPr>
        <w:t xml:space="preserve"> </w:t>
      </w:r>
      <w:proofErr w:type="spellStart"/>
      <w:r w:rsidRPr="00077250">
        <w:rPr>
          <w:rFonts w:asciiTheme="majorHAnsi" w:eastAsia="Times New Roman" w:hAnsiTheme="majorHAnsi" w:cstheme="majorHAnsi"/>
          <w:sz w:val="20"/>
          <w:szCs w:val="20"/>
          <w:lang w:eastAsia="ko-KR"/>
        </w:rPr>
        <w:t>Sülüs</w:t>
      </w:r>
      <w:proofErr w:type="spellEnd"/>
      <w:r w:rsidRPr="00077250">
        <w:rPr>
          <w:rFonts w:asciiTheme="majorHAnsi" w:eastAsia="Times New Roman" w:hAnsiTheme="majorHAnsi" w:cstheme="majorHAnsi"/>
          <w:sz w:val="20"/>
          <w:szCs w:val="20"/>
          <w:lang w:eastAsia="ko-KR"/>
        </w:rPr>
        <w:t xml:space="preserve">) script, with the third line being particularly intricate. The inscriptions are in relief, with dark blue lettering set against a </w:t>
      </w:r>
      <w:proofErr w:type="gramStart"/>
      <w:r w:rsidRPr="00077250">
        <w:rPr>
          <w:rFonts w:asciiTheme="majorHAnsi" w:eastAsia="Times New Roman" w:hAnsiTheme="majorHAnsi" w:cstheme="majorHAnsi"/>
          <w:sz w:val="20"/>
          <w:szCs w:val="20"/>
          <w:lang w:eastAsia="ko-KR"/>
        </w:rPr>
        <w:t>pale yellow</w:t>
      </w:r>
      <w:proofErr w:type="gramEnd"/>
      <w:r w:rsidRPr="00077250">
        <w:rPr>
          <w:rFonts w:asciiTheme="majorHAnsi" w:eastAsia="Times New Roman" w:hAnsiTheme="majorHAnsi" w:cstheme="majorHAnsi"/>
          <w:sz w:val="20"/>
          <w:szCs w:val="20"/>
          <w:lang w:eastAsia="ko-KR"/>
        </w:rPr>
        <w:t xml:space="preserve"> backdrop. Additionally, a decorative border with red arrows surrounds the inscribed panel </w:t>
      </w:r>
      <w:r w:rsidRPr="00077250">
        <w:rPr>
          <w:rFonts w:asciiTheme="majorHAnsi" w:eastAsia="Times New Roman" w:hAnsiTheme="majorHAnsi" w:cstheme="majorHAnsi"/>
          <w:sz w:val="20"/>
          <w:szCs w:val="20"/>
          <w:lang w:eastAsia="ko-KR"/>
        </w:rPr>
        <w:fldChar w:fldCharType="begin" w:fldLock="1"/>
      </w:r>
      <w:r w:rsidRPr="00077250">
        <w:rPr>
          <w:rFonts w:asciiTheme="majorHAnsi" w:eastAsia="Times New Roman" w:hAnsiTheme="majorHAnsi" w:cstheme="majorHAnsi"/>
          <w:sz w:val="20"/>
          <w:szCs w:val="20"/>
          <w:lang w:eastAsia="ko-KR"/>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077250">
        <w:rPr>
          <w:rFonts w:asciiTheme="majorHAnsi" w:eastAsia="Times New Roman" w:hAnsiTheme="majorHAnsi" w:cstheme="majorHAnsi"/>
          <w:sz w:val="20"/>
          <w:szCs w:val="20"/>
          <w:lang w:eastAsia="ko-KR"/>
        </w:rPr>
        <w:fldChar w:fldCharType="separate"/>
      </w:r>
      <w:r w:rsidRPr="00077250">
        <w:rPr>
          <w:rFonts w:asciiTheme="majorHAnsi" w:eastAsia="Times New Roman" w:hAnsiTheme="majorHAnsi" w:cstheme="majorHAnsi"/>
          <w:sz w:val="20"/>
          <w:szCs w:val="20"/>
          <w:lang w:eastAsia="ko-KR"/>
        </w:rPr>
        <w:t>[4]</w:t>
      </w:r>
      <w:r w:rsidRPr="00077250">
        <w:rPr>
          <w:rFonts w:asciiTheme="majorHAnsi" w:eastAsia="Times New Roman" w:hAnsiTheme="majorHAnsi" w:cstheme="majorHAnsi"/>
          <w:sz w:val="20"/>
          <w:szCs w:val="20"/>
          <w:lang w:val="id-ID" w:eastAsia="ko-KR"/>
        </w:rPr>
        <w:fldChar w:fldCharType="end"/>
      </w:r>
      <w:r w:rsidRPr="00077250">
        <w:rPr>
          <w:rFonts w:asciiTheme="majorHAnsi" w:eastAsia="Times New Roman" w:hAnsiTheme="majorHAnsi" w:cstheme="majorHAnsi"/>
          <w:sz w:val="20"/>
          <w:szCs w:val="20"/>
          <w:lang w:eastAsia="ko-KR"/>
        </w:rPr>
        <w:t xml:space="preserve">, </w:t>
      </w:r>
      <w:r w:rsidRPr="00077250">
        <w:rPr>
          <w:rFonts w:asciiTheme="majorHAnsi" w:eastAsia="Times New Roman" w:hAnsiTheme="majorHAnsi" w:cstheme="majorHAnsi"/>
          <w:sz w:val="20"/>
          <w:szCs w:val="20"/>
          <w:lang w:eastAsia="ko-KR"/>
        </w:rPr>
        <w:fldChar w:fldCharType="begin" w:fldLock="1"/>
      </w:r>
      <w:r w:rsidRPr="00077250">
        <w:rPr>
          <w:rFonts w:asciiTheme="majorHAnsi" w:eastAsia="Times New Roman" w:hAnsiTheme="majorHAnsi" w:cstheme="majorHAnsi"/>
          <w:sz w:val="20"/>
          <w:szCs w:val="20"/>
          <w:lang w:eastAsia="ko-KR"/>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077250">
        <w:rPr>
          <w:rFonts w:asciiTheme="majorHAnsi" w:eastAsia="Times New Roman" w:hAnsiTheme="majorHAnsi" w:cstheme="majorHAnsi"/>
          <w:sz w:val="20"/>
          <w:szCs w:val="20"/>
          <w:lang w:eastAsia="ko-KR"/>
        </w:rPr>
        <w:fldChar w:fldCharType="separate"/>
      </w:r>
      <w:r w:rsidRPr="00077250">
        <w:rPr>
          <w:rFonts w:asciiTheme="majorHAnsi" w:eastAsia="Times New Roman" w:hAnsiTheme="majorHAnsi" w:cstheme="majorHAnsi"/>
          <w:sz w:val="20"/>
          <w:szCs w:val="20"/>
          <w:lang w:eastAsia="ko-KR"/>
        </w:rPr>
        <w:t>[9]</w:t>
      </w:r>
      <w:r w:rsidRPr="00077250">
        <w:rPr>
          <w:rFonts w:asciiTheme="majorHAnsi" w:eastAsia="Times New Roman" w:hAnsiTheme="majorHAnsi" w:cstheme="majorHAnsi"/>
          <w:sz w:val="20"/>
          <w:szCs w:val="20"/>
          <w:lang w:val="id-ID" w:eastAsia="ko-KR"/>
        </w:rPr>
        <w:fldChar w:fldCharType="end"/>
      </w:r>
      <w:r w:rsidRPr="00077250">
        <w:rPr>
          <w:rFonts w:asciiTheme="majorHAnsi" w:eastAsia="Times New Roman" w:hAnsiTheme="majorHAnsi" w:cstheme="majorHAnsi"/>
          <w:sz w:val="20"/>
          <w:szCs w:val="20"/>
          <w:lang w:eastAsia="ko-KR"/>
        </w:rPr>
        <w:t>.</w:t>
      </w:r>
    </w:p>
    <w:p w14:paraId="7A2AFFEE" w14:textId="77777777" w:rsidR="00077250" w:rsidRDefault="00077250" w:rsidP="00077250">
      <w:pPr>
        <w:ind w:left="284" w:firstLine="284"/>
        <w:jc w:val="both"/>
        <w:rPr>
          <w:rFonts w:asciiTheme="majorHAnsi" w:eastAsia="Times New Roman" w:hAnsiTheme="majorHAnsi" w:cstheme="majorHAnsi"/>
          <w:sz w:val="20"/>
          <w:szCs w:val="20"/>
          <w:lang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9"/>
        <w:gridCol w:w="4637"/>
      </w:tblGrid>
      <w:tr w:rsidR="00077250" w:rsidRPr="00940C3C" w14:paraId="6051C9C3" w14:textId="77777777" w:rsidTr="00077250">
        <w:tc>
          <w:tcPr>
            <w:tcW w:w="4144" w:type="dxa"/>
            <w:vMerge w:val="restart"/>
          </w:tcPr>
          <w:p w14:paraId="046E0D32" w14:textId="2FB722AE" w:rsidR="00077250" w:rsidRPr="00940C3C" w:rsidRDefault="00077250" w:rsidP="00077250">
            <w:pPr>
              <w:jc w:val="both"/>
              <w:rPr>
                <w:rFonts w:asciiTheme="majorHAnsi" w:eastAsia="Times New Roman" w:hAnsiTheme="majorHAnsi" w:cstheme="majorHAnsi"/>
                <w:sz w:val="16"/>
                <w:szCs w:val="16"/>
                <w:lang w:eastAsia="ko-KR"/>
              </w:rPr>
            </w:pPr>
            <w:r w:rsidRPr="00940C3C">
              <w:rPr>
                <w:noProof/>
                <w:sz w:val="16"/>
                <w:szCs w:val="16"/>
              </w:rPr>
              <w:drawing>
                <wp:inline distT="0" distB="0" distL="0" distR="0" wp14:anchorId="1FBA325F" wp14:editId="452B3317">
                  <wp:extent cx="2607945" cy="4277995"/>
                  <wp:effectExtent l="0" t="0" r="1905" b="8255"/>
                  <wp:docPr id="1013226479" name="Picture 3" descr="A stone building with a 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226479" name="Picture 3" descr="A stone building with a door&#10;&#10;Description automatically generated"/>
                          <pic:cNvPicPr>
                            <a:picLocks noChangeAspect="1"/>
                          </pic:cNvPicPr>
                        </pic:nvPicPr>
                        <pic:blipFill rotWithShape="1">
                          <a:blip r:embed="rId13" cstate="print">
                            <a:extLst>
                              <a:ext uri="{28A0092B-C50C-407E-A947-70E740481C1C}">
                                <a14:useLocalDpi xmlns:a14="http://schemas.microsoft.com/office/drawing/2010/main" val="0"/>
                              </a:ext>
                            </a:extLst>
                          </a:blip>
                          <a:srcRect l="11357" t="4520" r="16584"/>
                          <a:stretch/>
                        </pic:blipFill>
                        <pic:spPr bwMode="auto">
                          <a:xfrm>
                            <a:off x="0" y="0"/>
                            <a:ext cx="2607945" cy="427799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632" w:type="dxa"/>
          </w:tcPr>
          <w:p w14:paraId="0CFCFBBA" w14:textId="57E2D83B" w:rsidR="00077250" w:rsidRPr="00940C3C" w:rsidRDefault="00077250" w:rsidP="00077250">
            <w:pPr>
              <w:jc w:val="both"/>
              <w:rPr>
                <w:rFonts w:asciiTheme="majorHAnsi" w:eastAsia="Times New Roman" w:hAnsiTheme="majorHAnsi" w:cstheme="majorHAnsi"/>
                <w:sz w:val="16"/>
                <w:szCs w:val="16"/>
                <w:lang w:eastAsia="ko-KR"/>
              </w:rPr>
            </w:pPr>
            <w:r w:rsidRPr="00940C3C">
              <w:rPr>
                <w:noProof/>
                <w:sz w:val="16"/>
                <w:szCs w:val="16"/>
              </w:rPr>
              <w:drawing>
                <wp:inline distT="0" distB="0" distL="0" distR="0" wp14:anchorId="348E25E7" wp14:editId="4C50D9EC">
                  <wp:extent cx="2926080" cy="1772920"/>
                  <wp:effectExtent l="0" t="0" r="7620" b="0"/>
                  <wp:docPr id="1778088035" name="Picture 6" descr="A close-up of a wall with arabic wri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088035" name="Picture 6" descr="A close-up of a wall with arabic writing&#10;&#10;Description automatically generated"/>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26080" cy="1772920"/>
                          </a:xfrm>
                          <a:prstGeom prst="rect">
                            <a:avLst/>
                          </a:prstGeom>
                          <a:noFill/>
                          <a:ln>
                            <a:noFill/>
                          </a:ln>
                        </pic:spPr>
                      </pic:pic>
                    </a:graphicData>
                  </a:graphic>
                </wp:inline>
              </w:drawing>
            </w:r>
          </w:p>
        </w:tc>
      </w:tr>
      <w:tr w:rsidR="00077250" w:rsidRPr="00940C3C" w14:paraId="6AF7AAB8" w14:textId="77777777" w:rsidTr="00077250">
        <w:tc>
          <w:tcPr>
            <w:tcW w:w="4144" w:type="dxa"/>
            <w:vMerge/>
          </w:tcPr>
          <w:p w14:paraId="3CB62AB6" w14:textId="77777777" w:rsidR="00077250" w:rsidRPr="00940C3C" w:rsidRDefault="00077250" w:rsidP="00077250">
            <w:pPr>
              <w:jc w:val="both"/>
              <w:rPr>
                <w:rFonts w:asciiTheme="majorHAnsi" w:eastAsia="Times New Roman" w:hAnsiTheme="majorHAnsi" w:cstheme="majorHAnsi"/>
                <w:sz w:val="16"/>
                <w:szCs w:val="16"/>
                <w:lang w:eastAsia="ko-KR"/>
              </w:rPr>
            </w:pPr>
          </w:p>
        </w:tc>
        <w:tc>
          <w:tcPr>
            <w:tcW w:w="4632" w:type="dxa"/>
          </w:tcPr>
          <w:p w14:paraId="014FF956" w14:textId="77777777" w:rsidR="00940C3C" w:rsidRDefault="00940C3C" w:rsidP="00077250">
            <w:pPr>
              <w:jc w:val="both"/>
              <w:rPr>
                <w:rFonts w:asciiTheme="majorHAnsi" w:eastAsia="Times New Roman" w:hAnsiTheme="majorHAnsi" w:cstheme="majorHAnsi"/>
                <w:bCs/>
                <w:sz w:val="16"/>
                <w:szCs w:val="16"/>
                <w:lang w:eastAsia="ko-KR"/>
              </w:rPr>
            </w:pPr>
          </w:p>
          <w:p w14:paraId="676BF2A5" w14:textId="33488CD8" w:rsidR="00077250" w:rsidRDefault="00077250" w:rsidP="00077250">
            <w:pPr>
              <w:jc w:val="both"/>
              <w:rPr>
                <w:rFonts w:asciiTheme="majorHAnsi" w:eastAsia="Times New Roman" w:hAnsiTheme="majorHAnsi" w:cstheme="majorHAnsi"/>
                <w:sz w:val="16"/>
                <w:szCs w:val="16"/>
                <w:lang w:eastAsia="ko-KR"/>
              </w:rPr>
            </w:pPr>
            <w:r w:rsidRPr="00940C3C">
              <w:rPr>
                <w:rFonts w:asciiTheme="majorHAnsi" w:eastAsia="Times New Roman" w:hAnsiTheme="majorHAnsi" w:cstheme="majorHAnsi"/>
                <w:bCs/>
                <w:sz w:val="16"/>
                <w:szCs w:val="16"/>
                <w:lang w:eastAsia="ko-KR"/>
              </w:rPr>
              <w:t xml:space="preserve">Figure 4. The main Arabic foundation inscription </w:t>
            </w:r>
            <w:r w:rsidRPr="00940C3C">
              <w:rPr>
                <w:rFonts w:asciiTheme="majorHAnsi" w:eastAsia="Times New Roman" w:hAnsiTheme="majorHAnsi" w:cstheme="majorHAnsi"/>
                <w:bCs/>
                <w:sz w:val="16"/>
                <w:szCs w:val="16"/>
                <w:lang w:eastAsia="ko-KR"/>
              </w:rPr>
              <w:fldChar w:fldCharType="begin" w:fldLock="1"/>
            </w:r>
            <w:r w:rsidRPr="00940C3C">
              <w:rPr>
                <w:rFonts w:asciiTheme="majorHAnsi" w:eastAsia="Times New Roman" w:hAnsiTheme="majorHAnsi" w:cstheme="majorHAnsi"/>
                <w:bCs/>
                <w:sz w:val="16"/>
                <w:szCs w:val="16"/>
                <w:lang w:eastAsia="ko-KR"/>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940C3C">
              <w:rPr>
                <w:rFonts w:asciiTheme="majorHAnsi" w:eastAsia="Times New Roman" w:hAnsiTheme="majorHAnsi" w:cstheme="majorHAnsi"/>
                <w:bCs/>
                <w:sz w:val="16"/>
                <w:szCs w:val="16"/>
                <w:lang w:eastAsia="ko-KR"/>
              </w:rPr>
              <w:fldChar w:fldCharType="separate"/>
            </w:r>
            <w:r w:rsidRPr="00940C3C">
              <w:rPr>
                <w:rFonts w:asciiTheme="majorHAnsi" w:eastAsia="Times New Roman" w:hAnsiTheme="majorHAnsi" w:cstheme="majorHAnsi"/>
                <w:bCs/>
                <w:sz w:val="16"/>
                <w:szCs w:val="16"/>
                <w:lang w:eastAsia="ko-KR"/>
              </w:rPr>
              <w:t>[4]</w:t>
            </w:r>
            <w:r w:rsidRPr="00940C3C">
              <w:rPr>
                <w:rFonts w:asciiTheme="majorHAnsi" w:eastAsia="Times New Roman" w:hAnsiTheme="majorHAnsi" w:cstheme="majorHAnsi"/>
                <w:sz w:val="16"/>
                <w:szCs w:val="16"/>
                <w:lang w:eastAsia="ko-KR"/>
              </w:rPr>
              <w:fldChar w:fldCharType="end"/>
            </w:r>
          </w:p>
          <w:p w14:paraId="33915F09" w14:textId="76A9A11D" w:rsidR="00940C3C" w:rsidRPr="00940C3C" w:rsidRDefault="00940C3C" w:rsidP="00077250">
            <w:pPr>
              <w:jc w:val="both"/>
              <w:rPr>
                <w:rFonts w:asciiTheme="majorHAnsi" w:eastAsia="Times New Roman" w:hAnsiTheme="majorHAnsi" w:cstheme="majorHAnsi"/>
                <w:sz w:val="16"/>
                <w:szCs w:val="16"/>
                <w:lang w:eastAsia="ko-KR"/>
              </w:rPr>
            </w:pPr>
          </w:p>
        </w:tc>
      </w:tr>
      <w:tr w:rsidR="00077250" w:rsidRPr="00940C3C" w14:paraId="6713CB11" w14:textId="77777777" w:rsidTr="00077250">
        <w:tc>
          <w:tcPr>
            <w:tcW w:w="4144" w:type="dxa"/>
            <w:vMerge/>
          </w:tcPr>
          <w:p w14:paraId="3A5D3580" w14:textId="77777777" w:rsidR="00077250" w:rsidRPr="00940C3C" w:rsidRDefault="00077250" w:rsidP="00077250">
            <w:pPr>
              <w:jc w:val="both"/>
              <w:rPr>
                <w:rFonts w:asciiTheme="majorHAnsi" w:eastAsia="Times New Roman" w:hAnsiTheme="majorHAnsi" w:cstheme="majorHAnsi"/>
                <w:sz w:val="16"/>
                <w:szCs w:val="16"/>
                <w:lang w:eastAsia="ko-KR"/>
              </w:rPr>
            </w:pPr>
          </w:p>
        </w:tc>
        <w:tc>
          <w:tcPr>
            <w:tcW w:w="4632" w:type="dxa"/>
          </w:tcPr>
          <w:p w14:paraId="24DA55A1" w14:textId="5AED17D7" w:rsidR="00077250" w:rsidRPr="00940C3C" w:rsidRDefault="00077250" w:rsidP="00077250">
            <w:pPr>
              <w:jc w:val="both"/>
              <w:rPr>
                <w:rFonts w:asciiTheme="majorHAnsi" w:eastAsia="Times New Roman" w:hAnsiTheme="majorHAnsi" w:cstheme="majorHAnsi"/>
                <w:sz w:val="16"/>
                <w:szCs w:val="16"/>
                <w:lang w:eastAsia="ko-KR"/>
              </w:rPr>
            </w:pPr>
            <w:r w:rsidRPr="00940C3C">
              <w:rPr>
                <w:noProof/>
                <w:sz w:val="16"/>
                <w:szCs w:val="16"/>
              </w:rPr>
              <w:drawing>
                <wp:inline distT="0" distB="0" distL="0" distR="0" wp14:anchorId="54B88AB1" wp14:editId="46AD7E3E">
                  <wp:extent cx="2926080" cy="2190115"/>
                  <wp:effectExtent l="0" t="0" r="7620" b="635"/>
                  <wp:docPr id="1261205453" name="Picture 5" descr="A close-up of a stone ar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205453" name="Picture 5" descr="A close-up of a stone arch&#10;&#10;Description automatically generated"/>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26080" cy="2190115"/>
                          </a:xfrm>
                          <a:prstGeom prst="rect">
                            <a:avLst/>
                          </a:prstGeom>
                          <a:noFill/>
                          <a:ln>
                            <a:noFill/>
                          </a:ln>
                        </pic:spPr>
                      </pic:pic>
                    </a:graphicData>
                  </a:graphic>
                </wp:inline>
              </w:drawing>
            </w:r>
          </w:p>
        </w:tc>
      </w:tr>
      <w:tr w:rsidR="00077250" w:rsidRPr="00940C3C" w14:paraId="4776283E" w14:textId="77777777" w:rsidTr="00077250">
        <w:tc>
          <w:tcPr>
            <w:tcW w:w="4144" w:type="dxa"/>
          </w:tcPr>
          <w:p w14:paraId="33CF5B50" w14:textId="77777777" w:rsidR="00940C3C" w:rsidRDefault="00940C3C" w:rsidP="00077250">
            <w:pPr>
              <w:jc w:val="both"/>
              <w:rPr>
                <w:rFonts w:asciiTheme="majorHAnsi" w:eastAsia="Times New Roman" w:hAnsiTheme="majorHAnsi" w:cstheme="majorHAnsi"/>
                <w:bCs/>
                <w:sz w:val="16"/>
                <w:szCs w:val="16"/>
                <w:lang w:eastAsia="ko-KR"/>
              </w:rPr>
            </w:pPr>
          </w:p>
          <w:p w14:paraId="7D62333F" w14:textId="3A679BC3" w:rsidR="00077250" w:rsidRPr="00940C3C" w:rsidRDefault="00077250" w:rsidP="00077250">
            <w:pPr>
              <w:jc w:val="both"/>
              <w:rPr>
                <w:rFonts w:asciiTheme="majorHAnsi" w:eastAsia="Times New Roman" w:hAnsiTheme="majorHAnsi" w:cstheme="majorHAnsi"/>
                <w:sz w:val="16"/>
                <w:szCs w:val="16"/>
                <w:lang w:eastAsia="ko-KR"/>
              </w:rPr>
            </w:pPr>
            <w:r w:rsidRPr="00940C3C">
              <w:rPr>
                <w:rFonts w:asciiTheme="majorHAnsi" w:eastAsia="Times New Roman" w:hAnsiTheme="majorHAnsi" w:cstheme="majorHAnsi"/>
                <w:bCs/>
                <w:sz w:val="16"/>
                <w:szCs w:val="16"/>
                <w:lang w:eastAsia="ko-KR"/>
              </w:rPr>
              <w:t xml:space="preserve">Figure 3. The Sultan Bayezid II Mosque, featuring its main portal with an Arabic foundation inscription </w:t>
            </w:r>
            <w:r w:rsidRPr="00940C3C">
              <w:rPr>
                <w:rFonts w:asciiTheme="majorHAnsi" w:eastAsia="Times New Roman" w:hAnsiTheme="majorHAnsi" w:cstheme="majorHAnsi"/>
                <w:bCs/>
                <w:sz w:val="16"/>
                <w:szCs w:val="16"/>
                <w:lang w:eastAsia="ko-KR"/>
              </w:rPr>
              <w:fldChar w:fldCharType="begin" w:fldLock="1"/>
            </w:r>
            <w:r w:rsidRPr="00940C3C">
              <w:rPr>
                <w:rFonts w:asciiTheme="majorHAnsi" w:eastAsia="Times New Roman" w:hAnsiTheme="majorHAnsi" w:cstheme="majorHAnsi"/>
                <w:bCs/>
                <w:sz w:val="16"/>
                <w:szCs w:val="16"/>
                <w:lang w:eastAsia="ko-KR"/>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940C3C">
              <w:rPr>
                <w:rFonts w:asciiTheme="majorHAnsi" w:eastAsia="Times New Roman" w:hAnsiTheme="majorHAnsi" w:cstheme="majorHAnsi"/>
                <w:bCs/>
                <w:sz w:val="16"/>
                <w:szCs w:val="16"/>
                <w:lang w:eastAsia="ko-KR"/>
              </w:rPr>
              <w:fldChar w:fldCharType="separate"/>
            </w:r>
            <w:r w:rsidRPr="00940C3C">
              <w:rPr>
                <w:rFonts w:asciiTheme="majorHAnsi" w:eastAsia="Times New Roman" w:hAnsiTheme="majorHAnsi" w:cstheme="majorHAnsi"/>
                <w:bCs/>
                <w:sz w:val="16"/>
                <w:szCs w:val="16"/>
                <w:lang w:eastAsia="ko-KR"/>
              </w:rPr>
              <w:t>[4]</w:t>
            </w:r>
            <w:r w:rsidRPr="00940C3C">
              <w:rPr>
                <w:rFonts w:asciiTheme="majorHAnsi" w:eastAsia="Times New Roman" w:hAnsiTheme="majorHAnsi" w:cstheme="majorHAnsi"/>
                <w:sz w:val="16"/>
                <w:szCs w:val="16"/>
                <w:lang w:eastAsia="ko-KR"/>
              </w:rPr>
              <w:fldChar w:fldCharType="end"/>
            </w:r>
            <w:r w:rsidRPr="00940C3C">
              <w:rPr>
                <w:rFonts w:asciiTheme="majorHAnsi" w:eastAsia="Times New Roman" w:hAnsiTheme="majorHAnsi" w:cstheme="majorHAnsi"/>
                <w:bCs/>
                <w:sz w:val="16"/>
                <w:szCs w:val="16"/>
                <w:lang w:eastAsia="ko-KR"/>
              </w:rPr>
              <w:t>.</w:t>
            </w:r>
          </w:p>
        </w:tc>
        <w:tc>
          <w:tcPr>
            <w:tcW w:w="4632" w:type="dxa"/>
          </w:tcPr>
          <w:p w14:paraId="1B9EE944" w14:textId="77777777" w:rsidR="00940C3C" w:rsidRDefault="00940C3C" w:rsidP="00077250">
            <w:pPr>
              <w:jc w:val="both"/>
              <w:rPr>
                <w:rFonts w:asciiTheme="majorHAnsi" w:eastAsia="Times New Roman" w:hAnsiTheme="majorHAnsi" w:cstheme="majorHAnsi"/>
                <w:bCs/>
                <w:sz w:val="16"/>
                <w:szCs w:val="16"/>
                <w:lang w:eastAsia="ko-KR"/>
              </w:rPr>
            </w:pPr>
          </w:p>
          <w:p w14:paraId="3B55038E" w14:textId="741D1AED" w:rsidR="00077250" w:rsidRPr="00940C3C" w:rsidRDefault="00077250" w:rsidP="00077250">
            <w:pPr>
              <w:jc w:val="both"/>
              <w:rPr>
                <w:rFonts w:asciiTheme="majorHAnsi" w:eastAsia="Times New Roman" w:hAnsiTheme="majorHAnsi" w:cstheme="majorHAnsi"/>
                <w:sz w:val="16"/>
                <w:szCs w:val="16"/>
                <w:lang w:eastAsia="ko-KR"/>
              </w:rPr>
            </w:pPr>
            <w:r w:rsidRPr="00940C3C">
              <w:rPr>
                <w:rFonts w:asciiTheme="majorHAnsi" w:eastAsia="Times New Roman" w:hAnsiTheme="majorHAnsi" w:cstheme="majorHAnsi"/>
                <w:bCs/>
                <w:sz w:val="16"/>
                <w:szCs w:val="16"/>
                <w:lang w:eastAsia="ko-KR"/>
              </w:rPr>
              <w:t xml:space="preserve">Figure 5. The secondary door with its Arabic foundation inscription </w:t>
            </w:r>
            <w:r w:rsidRPr="00940C3C">
              <w:rPr>
                <w:rFonts w:asciiTheme="majorHAnsi" w:eastAsia="Times New Roman" w:hAnsiTheme="majorHAnsi" w:cstheme="majorHAnsi"/>
                <w:bCs/>
                <w:sz w:val="16"/>
                <w:szCs w:val="16"/>
                <w:lang w:eastAsia="ko-KR"/>
              </w:rPr>
              <w:fldChar w:fldCharType="begin" w:fldLock="1"/>
            </w:r>
            <w:r w:rsidRPr="00940C3C">
              <w:rPr>
                <w:rFonts w:asciiTheme="majorHAnsi" w:eastAsia="Times New Roman" w:hAnsiTheme="majorHAnsi" w:cstheme="majorHAnsi"/>
                <w:bCs/>
                <w:sz w:val="16"/>
                <w:szCs w:val="16"/>
                <w:lang w:eastAsia="ko-KR"/>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940C3C">
              <w:rPr>
                <w:rFonts w:asciiTheme="majorHAnsi" w:eastAsia="Times New Roman" w:hAnsiTheme="majorHAnsi" w:cstheme="majorHAnsi"/>
                <w:bCs/>
                <w:sz w:val="16"/>
                <w:szCs w:val="16"/>
                <w:lang w:eastAsia="ko-KR"/>
              </w:rPr>
              <w:fldChar w:fldCharType="separate"/>
            </w:r>
            <w:r w:rsidRPr="00940C3C">
              <w:rPr>
                <w:rFonts w:asciiTheme="majorHAnsi" w:eastAsia="Times New Roman" w:hAnsiTheme="majorHAnsi" w:cstheme="majorHAnsi"/>
                <w:bCs/>
                <w:sz w:val="16"/>
                <w:szCs w:val="16"/>
                <w:lang w:eastAsia="ko-KR"/>
              </w:rPr>
              <w:t>[4]</w:t>
            </w:r>
            <w:r w:rsidRPr="00940C3C">
              <w:rPr>
                <w:rFonts w:asciiTheme="majorHAnsi" w:eastAsia="Times New Roman" w:hAnsiTheme="majorHAnsi" w:cstheme="majorHAnsi"/>
                <w:sz w:val="16"/>
                <w:szCs w:val="16"/>
                <w:lang w:eastAsia="ko-KR"/>
              </w:rPr>
              <w:fldChar w:fldCharType="end"/>
            </w:r>
          </w:p>
        </w:tc>
      </w:tr>
    </w:tbl>
    <w:p w14:paraId="1FC1E855" w14:textId="77777777" w:rsidR="00077250" w:rsidRDefault="00077250" w:rsidP="00077250">
      <w:pPr>
        <w:ind w:left="284" w:firstLine="284"/>
        <w:jc w:val="both"/>
        <w:rPr>
          <w:rFonts w:asciiTheme="majorHAnsi" w:eastAsia="Times New Roman" w:hAnsiTheme="majorHAnsi" w:cstheme="majorHAnsi"/>
          <w:sz w:val="20"/>
          <w:szCs w:val="20"/>
          <w:lang w:eastAsia="ko-KR"/>
        </w:rPr>
      </w:pPr>
    </w:p>
    <w:p w14:paraId="6C89ECFD" w14:textId="77777777" w:rsidR="00077250" w:rsidRDefault="00077250" w:rsidP="00077250">
      <w:pPr>
        <w:ind w:left="284" w:firstLine="284"/>
        <w:jc w:val="both"/>
        <w:rPr>
          <w:rFonts w:asciiTheme="majorHAnsi" w:eastAsia="Times New Roman" w:hAnsiTheme="majorHAnsi" w:cstheme="majorHAnsi"/>
          <w:sz w:val="20"/>
          <w:szCs w:val="20"/>
          <w:lang w:eastAsia="ko-KR"/>
        </w:rPr>
      </w:pPr>
      <w:r w:rsidRPr="00077250">
        <w:rPr>
          <w:rFonts w:asciiTheme="majorHAnsi" w:eastAsia="Times New Roman" w:hAnsiTheme="majorHAnsi" w:cstheme="majorHAnsi"/>
          <w:sz w:val="20"/>
          <w:szCs w:val="20"/>
          <w:lang w:eastAsia="ko-KR"/>
        </w:rPr>
        <w:lastRenderedPageBreak/>
        <w:t xml:space="preserve">The secondary dedicatory inscription (Figure 5, 6, 7) of Sultan Bayezid’s Mosque in </w:t>
      </w:r>
      <w:proofErr w:type="spellStart"/>
      <w:r w:rsidRPr="00077250">
        <w:rPr>
          <w:rFonts w:asciiTheme="majorHAnsi" w:eastAsia="Times New Roman" w:hAnsiTheme="majorHAnsi" w:cstheme="majorHAnsi"/>
          <w:sz w:val="20"/>
          <w:szCs w:val="20"/>
          <w:lang w:eastAsia="ko-KR"/>
        </w:rPr>
        <w:t>Didymoteichon</w:t>
      </w:r>
      <w:proofErr w:type="spellEnd"/>
      <w:r w:rsidRPr="00077250">
        <w:rPr>
          <w:rFonts w:asciiTheme="majorHAnsi" w:eastAsia="Times New Roman" w:hAnsiTheme="majorHAnsi" w:cstheme="majorHAnsi"/>
          <w:sz w:val="20"/>
          <w:szCs w:val="20"/>
          <w:lang w:eastAsia="ko-KR"/>
        </w:rPr>
        <w:t xml:space="preserve">, located above the western entrance of the SW façade, dates to the year 824 H (6/1/1421- 25/12/1421). This inscription, carved onto a rectangular stone plaque measuring 80 </w:t>
      </w:r>
      <w:proofErr w:type="spellStart"/>
      <w:r w:rsidRPr="00077250">
        <w:rPr>
          <w:rFonts w:asciiTheme="majorHAnsi" w:eastAsia="Times New Roman" w:hAnsiTheme="majorHAnsi" w:cstheme="majorHAnsi"/>
          <w:sz w:val="20"/>
          <w:szCs w:val="20"/>
          <w:lang w:eastAsia="ko-KR"/>
        </w:rPr>
        <w:t>centimeters</w:t>
      </w:r>
      <w:proofErr w:type="spellEnd"/>
      <w:r w:rsidRPr="00077250">
        <w:rPr>
          <w:rFonts w:asciiTheme="majorHAnsi" w:eastAsia="Times New Roman" w:hAnsiTheme="majorHAnsi" w:cstheme="majorHAnsi"/>
          <w:sz w:val="20"/>
          <w:szCs w:val="20"/>
          <w:lang w:eastAsia="ko-KR"/>
        </w:rPr>
        <w:t xml:space="preserve"> in height and 130 </w:t>
      </w:r>
      <w:proofErr w:type="spellStart"/>
      <w:r w:rsidRPr="00077250">
        <w:rPr>
          <w:rFonts w:asciiTheme="majorHAnsi" w:eastAsia="Times New Roman" w:hAnsiTheme="majorHAnsi" w:cstheme="majorHAnsi"/>
          <w:sz w:val="20"/>
          <w:szCs w:val="20"/>
          <w:lang w:eastAsia="ko-KR"/>
        </w:rPr>
        <w:t>centimeters</w:t>
      </w:r>
      <w:proofErr w:type="spellEnd"/>
      <w:r w:rsidRPr="00077250">
        <w:rPr>
          <w:rFonts w:asciiTheme="majorHAnsi" w:eastAsia="Times New Roman" w:hAnsiTheme="majorHAnsi" w:cstheme="majorHAnsi"/>
          <w:sz w:val="20"/>
          <w:szCs w:val="20"/>
          <w:lang w:eastAsia="ko-KR"/>
        </w:rPr>
        <w:t xml:space="preserve"> in width, features, almost as the main inscription, three lines delineated and separated by red lines. The script employed is Thuluth, presented in a complex manner. The text is in relief, with dark blue lettering against a pale-yellow background </w:t>
      </w:r>
      <w:r w:rsidRPr="00077250">
        <w:rPr>
          <w:rFonts w:asciiTheme="majorHAnsi" w:eastAsia="Times New Roman" w:hAnsiTheme="majorHAnsi" w:cstheme="majorHAnsi"/>
          <w:sz w:val="20"/>
          <w:szCs w:val="20"/>
          <w:lang w:eastAsia="ko-KR"/>
        </w:rPr>
        <w:fldChar w:fldCharType="begin" w:fldLock="1"/>
      </w:r>
      <w:r w:rsidRPr="00077250">
        <w:rPr>
          <w:rFonts w:asciiTheme="majorHAnsi" w:eastAsia="Times New Roman" w:hAnsiTheme="majorHAnsi" w:cstheme="majorHAnsi"/>
          <w:sz w:val="20"/>
          <w:szCs w:val="20"/>
          <w:lang w:eastAsia="ko-KR"/>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077250">
        <w:rPr>
          <w:rFonts w:asciiTheme="majorHAnsi" w:eastAsia="Times New Roman" w:hAnsiTheme="majorHAnsi" w:cstheme="majorHAnsi"/>
          <w:sz w:val="20"/>
          <w:szCs w:val="20"/>
          <w:lang w:eastAsia="ko-KR"/>
        </w:rPr>
        <w:fldChar w:fldCharType="separate"/>
      </w:r>
      <w:r w:rsidRPr="00077250">
        <w:rPr>
          <w:rFonts w:asciiTheme="majorHAnsi" w:eastAsia="Times New Roman" w:hAnsiTheme="majorHAnsi" w:cstheme="majorHAnsi"/>
          <w:sz w:val="20"/>
          <w:szCs w:val="20"/>
          <w:lang w:eastAsia="ko-KR"/>
        </w:rPr>
        <w:t>[4]</w:t>
      </w:r>
      <w:r w:rsidRPr="00077250">
        <w:rPr>
          <w:rFonts w:asciiTheme="majorHAnsi" w:eastAsia="Times New Roman" w:hAnsiTheme="majorHAnsi" w:cstheme="majorHAnsi"/>
          <w:sz w:val="20"/>
          <w:szCs w:val="20"/>
          <w:lang w:val="id-ID" w:eastAsia="ko-KR"/>
        </w:rPr>
        <w:fldChar w:fldCharType="end"/>
      </w:r>
      <w:r w:rsidRPr="00077250">
        <w:rPr>
          <w:rFonts w:asciiTheme="majorHAnsi" w:eastAsia="Times New Roman" w:hAnsiTheme="majorHAnsi" w:cstheme="majorHAnsi"/>
          <w:sz w:val="20"/>
          <w:szCs w:val="20"/>
          <w:lang w:eastAsia="ko-KR"/>
        </w:rPr>
        <w:t xml:space="preserve">, </w:t>
      </w:r>
      <w:r w:rsidRPr="00077250">
        <w:rPr>
          <w:rFonts w:asciiTheme="majorHAnsi" w:eastAsia="Times New Roman" w:hAnsiTheme="majorHAnsi" w:cstheme="majorHAnsi"/>
          <w:sz w:val="20"/>
          <w:szCs w:val="20"/>
          <w:lang w:eastAsia="ko-KR"/>
        </w:rPr>
        <w:fldChar w:fldCharType="begin" w:fldLock="1"/>
      </w:r>
      <w:r w:rsidRPr="00077250">
        <w:rPr>
          <w:rFonts w:asciiTheme="majorHAnsi" w:eastAsia="Times New Roman" w:hAnsiTheme="majorHAnsi" w:cstheme="majorHAnsi"/>
          <w:sz w:val="20"/>
          <w:szCs w:val="20"/>
          <w:lang w:eastAsia="ko-KR"/>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077250">
        <w:rPr>
          <w:rFonts w:asciiTheme="majorHAnsi" w:eastAsia="Times New Roman" w:hAnsiTheme="majorHAnsi" w:cstheme="majorHAnsi"/>
          <w:sz w:val="20"/>
          <w:szCs w:val="20"/>
          <w:lang w:eastAsia="ko-KR"/>
        </w:rPr>
        <w:fldChar w:fldCharType="separate"/>
      </w:r>
      <w:r w:rsidRPr="00077250">
        <w:rPr>
          <w:rFonts w:asciiTheme="majorHAnsi" w:eastAsia="Times New Roman" w:hAnsiTheme="majorHAnsi" w:cstheme="majorHAnsi"/>
          <w:sz w:val="20"/>
          <w:szCs w:val="20"/>
          <w:lang w:eastAsia="ko-KR"/>
        </w:rPr>
        <w:t>[9]</w:t>
      </w:r>
      <w:r w:rsidRPr="00077250">
        <w:rPr>
          <w:rFonts w:asciiTheme="majorHAnsi" w:eastAsia="Times New Roman" w:hAnsiTheme="majorHAnsi" w:cstheme="majorHAnsi"/>
          <w:sz w:val="20"/>
          <w:szCs w:val="20"/>
          <w:lang w:val="id-ID" w:eastAsia="ko-KR"/>
        </w:rPr>
        <w:fldChar w:fldCharType="end"/>
      </w:r>
      <w:r w:rsidRPr="00077250">
        <w:rPr>
          <w:rFonts w:asciiTheme="majorHAnsi" w:eastAsia="Times New Roman" w:hAnsiTheme="majorHAnsi" w:cstheme="majorHAnsi"/>
          <w:sz w:val="20"/>
          <w:szCs w:val="20"/>
          <w:lang w:eastAsia="ko-KR"/>
        </w:rPr>
        <w:t>.</w:t>
      </w:r>
    </w:p>
    <w:p w14:paraId="275FFFE9" w14:textId="77777777" w:rsidR="00077250" w:rsidRDefault="00077250" w:rsidP="00077250">
      <w:pPr>
        <w:ind w:left="284" w:firstLine="284"/>
        <w:jc w:val="both"/>
        <w:rPr>
          <w:rFonts w:asciiTheme="majorHAnsi" w:eastAsia="Times New Roman" w:hAnsiTheme="majorHAnsi" w:cstheme="majorHAnsi"/>
          <w:sz w:val="20"/>
          <w:szCs w:val="20"/>
          <w:lang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4"/>
        <w:gridCol w:w="4322"/>
      </w:tblGrid>
      <w:tr w:rsidR="00077250" w14:paraId="0766FC10" w14:textId="77777777" w:rsidTr="00077250">
        <w:tc>
          <w:tcPr>
            <w:tcW w:w="4530" w:type="dxa"/>
          </w:tcPr>
          <w:p w14:paraId="29C25EBF" w14:textId="74279191" w:rsidR="00077250" w:rsidRDefault="00077250" w:rsidP="00077250">
            <w:pPr>
              <w:jc w:val="both"/>
              <w:rPr>
                <w:rFonts w:asciiTheme="majorHAnsi" w:eastAsia="Times New Roman" w:hAnsiTheme="majorHAnsi" w:cstheme="majorHAnsi"/>
                <w:sz w:val="20"/>
                <w:szCs w:val="20"/>
                <w:lang w:eastAsia="ko-KR"/>
              </w:rPr>
            </w:pPr>
            <w:r>
              <w:rPr>
                <w:noProof/>
              </w:rPr>
              <w:drawing>
                <wp:inline distT="0" distB="0" distL="0" distR="0" wp14:anchorId="2D0853E0" wp14:editId="338676F1">
                  <wp:extent cx="2834640" cy="2249805"/>
                  <wp:effectExtent l="0" t="0" r="3810" b="0"/>
                  <wp:docPr id="592676262" name="Picture 7" descr="A close-up of a wall with arabic wri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676262" name="Picture 7" descr="A close-up of a wall with arabic writing&#10;&#10;Description automatically generated"/>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34640" cy="2249805"/>
                          </a:xfrm>
                          <a:prstGeom prst="rect">
                            <a:avLst/>
                          </a:prstGeom>
                          <a:noFill/>
                          <a:ln>
                            <a:noFill/>
                          </a:ln>
                        </pic:spPr>
                      </pic:pic>
                    </a:graphicData>
                  </a:graphic>
                </wp:inline>
              </w:drawing>
            </w:r>
          </w:p>
        </w:tc>
        <w:tc>
          <w:tcPr>
            <w:tcW w:w="4530" w:type="dxa"/>
          </w:tcPr>
          <w:p w14:paraId="20B97FC2" w14:textId="6BB063E6" w:rsidR="00077250" w:rsidRPr="00077250" w:rsidRDefault="00077250" w:rsidP="00077250">
            <w:pPr>
              <w:jc w:val="both"/>
              <w:rPr>
                <w:rFonts w:asciiTheme="majorHAnsi" w:eastAsia="Times New Roman" w:hAnsiTheme="majorHAnsi" w:cstheme="majorHAnsi"/>
                <w:sz w:val="20"/>
                <w:szCs w:val="20"/>
                <w:lang w:eastAsia="ko-KR"/>
              </w:rPr>
            </w:pPr>
            <w:r>
              <w:rPr>
                <w:noProof/>
              </w:rPr>
              <w:drawing>
                <wp:inline distT="0" distB="0" distL="0" distR="0" wp14:anchorId="001457D4" wp14:editId="277A1D03">
                  <wp:extent cx="2743200" cy="2295525"/>
                  <wp:effectExtent l="0" t="0" r="0" b="9525"/>
                  <wp:docPr id="1778088032" name="Picture 1" descr="C:\Users\Yassmin\Desktop\تعديل رسمه ملون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088032" name="Picture 1" descr="C:\Users\Yassmin\Desktop\تعديل رسمه ملونه.jpg"/>
                          <pic:cNvPicPr>
                            <a:picLocks noChangeAspect="1"/>
                          </pic:cNvPicPr>
                        </pic:nvPicPr>
                        <pic:blipFill rotWithShape="1">
                          <a:blip r:embed="rId17" cstate="print">
                            <a:extLst>
                              <a:ext uri="{28A0092B-C50C-407E-A947-70E740481C1C}">
                                <a14:useLocalDpi xmlns:a14="http://schemas.microsoft.com/office/drawing/2010/main" val="0"/>
                              </a:ext>
                            </a:extLst>
                          </a:blip>
                          <a:srcRect/>
                          <a:stretch/>
                        </pic:blipFill>
                        <pic:spPr bwMode="auto">
                          <a:xfrm>
                            <a:off x="0" y="0"/>
                            <a:ext cx="2743200" cy="229552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77250" w:rsidRPr="00940C3C" w14:paraId="1B4E4C13" w14:textId="77777777" w:rsidTr="00077250">
        <w:tc>
          <w:tcPr>
            <w:tcW w:w="4530" w:type="dxa"/>
          </w:tcPr>
          <w:p w14:paraId="097008DE" w14:textId="77777777" w:rsidR="00940C3C" w:rsidRDefault="00940C3C" w:rsidP="00077250">
            <w:pPr>
              <w:jc w:val="both"/>
              <w:rPr>
                <w:rFonts w:asciiTheme="majorHAnsi" w:eastAsia="Times New Roman" w:hAnsiTheme="majorHAnsi" w:cstheme="majorHAnsi"/>
                <w:bCs/>
                <w:sz w:val="16"/>
                <w:szCs w:val="16"/>
                <w:lang w:eastAsia="ko-KR"/>
              </w:rPr>
            </w:pPr>
          </w:p>
          <w:p w14:paraId="14E0A956" w14:textId="621CE452" w:rsidR="00077250" w:rsidRPr="00940C3C" w:rsidRDefault="00077250" w:rsidP="00077250">
            <w:pPr>
              <w:jc w:val="both"/>
              <w:rPr>
                <w:rFonts w:asciiTheme="majorHAnsi" w:eastAsia="Times New Roman" w:hAnsiTheme="majorHAnsi" w:cstheme="majorHAnsi"/>
                <w:sz w:val="16"/>
                <w:szCs w:val="16"/>
                <w:lang w:eastAsia="ko-KR"/>
              </w:rPr>
            </w:pPr>
            <w:r w:rsidRPr="00940C3C">
              <w:rPr>
                <w:rFonts w:asciiTheme="majorHAnsi" w:eastAsia="Times New Roman" w:hAnsiTheme="majorHAnsi" w:cstheme="majorHAnsi"/>
                <w:bCs/>
                <w:sz w:val="16"/>
                <w:szCs w:val="16"/>
                <w:lang w:eastAsia="ko-KR"/>
              </w:rPr>
              <w:t xml:space="preserve">Figure 6. Bayezid II Mosque, the secondary Arabic foundation inscription </w:t>
            </w:r>
            <w:r w:rsidRPr="00940C3C">
              <w:rPr>
                <w:rFonts w:asciiTheme="majorHAnsi" w:eastAsia="Times New Roman" w:hAnsiTheme="majorHAnsi" w:cstheme="majorHAnsi"/>
                <w:bCs/>
                <w:sz w:val="16"/>
                <w:szCs w:val="16"/>
                <w:lang w:eastAsia="ko-KR"/>
              </w:rPr>
              <w:fldChar w:fldCharType="begin" w:fldLock="1"/>
            </w:r>
            <w:r w:rsidRPr="00940C3C">
              <w:rPr>
                <w:rFonts w:asciiTheme="majorHAnsi" w:eastAsia="Times New Roman" w:hAnsiTheme="majorHAnsi" w:cstheme="majorHAnsi"/>
                <w:bCs/>
                <w:sz w:val="16"/>
                <w:szCs w:val="16"/>
                <w:lang w:eastAsia="ko-KR"/>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940C3C">
              <w:rPr>
                <w:rFonts w:asciiTheme="majorHAnsi" w:eastAsia="Times New Roman" w:hAnsiTheme="majorHAnsi" w:cstheme="majorHAnsi"/>
                <w:bCs/>
                <w:sz w:val="16"/>
                <w:szCs w:val="16"/>
                <w:lang w:eastAsia="ko-KR"/>
              </w:rPr>
              <w:fldChar w:fldCharType="separate"/>
            </w:r>
            <w:r w:rsidRPr="00940C3C">
              <w:rPr>
                <w:rFonts w:asciiTheme="majorHAnsi" w:eastAsia="Times New Roman" w:hAnsiTheme="majorHAnsi" w:cstheme="majorHAnsi"/>
                <w:bCs/>
                <w:sz w:val="16"/>
                <w:szCs w:val="16"/>
                <w:lang w:eastAsia="ko-KR"/>
              </w:rPr>
              <w:t>[4]</w:t>
            </w:r>
            <w:r w:rsidRPr="00940C3C">
              <w:rPr>
                <w:rFonts w:asciiTheme="majorHAnsi" w:eastAsia="Times New Roman" w:hAnsiTheme="majorHAnsi" w:cstheme="majorHAnsi"/>
                <w:sz w:val="16"/>
                <w:szCs w:val="16"/>
                <w:lang w:eastAsia="ko-KR"/>
              </w:rPr>
              <w:fldChar w:fldCharType="end"/>
            </w:r>
          </w:p>
        </w:tc>
        <w:tc>
          <w:tcPr>
            <w:tcW w:w="4530" w:type="dxa"/>
          </w:tcPr>
          <w:p w14:paraId="6564726E" w14:textId="77777777" w:rsidR="00940C3C" w:rsidRDefault="00940C3C" w:rsidP="00077250">
            <w:pPr>
              <w:jc w:val="both"/>
              <w:rPr>
                <w:rFonts w:asciiTheme="majorHAnsi" w:eastAsia="Times New Roman" w:hAnsiTheme="majorHAnsi" w:cstheme="majorHAnsi"/>
                <w:bCs/>
                <w:sz w:val="16"/>
                <w:szCs w:val="16"/>
                <w:lang w:eastAsia="ko-KR"/>
              </w:rPr>
            </w:pPr>
          </w:p>
          <w:p w14:paraId="09CD1293" w14:textId="2A10E66B" w:rsidR="00077250" w:rsidRPr="00940C3C" w:rsidRDefault="00077250" w:rsidP="00077250">
            <w:pPr>
              <w:jc w:val="both"/>
              <w:rPr>
                <w:rFonts w:asciiTheme="majorHAnsi" w:eastAsia="Times New Roman" w:hAnsiTheme="majorHAnsi" w:cstheme="majorHAnsi"/>
                <w:sz w:val="16"/>
                <w:szCs w:val="16"/>
                <w:lang w:eastAsia="ko-KR"/>
              </w:rPr>
            </w:pPr>
            <w:r w:rsidRPr="00940C3C">
              <w:rPr>
                <w:rFonts w:asciiTheme="majorHAnsi" w:eastAsia="Times New Roman" w:hAnsiTheme="majorHAnsi" w:cstheme="majorHAnsi"/>
                <w:bCs/>
                <w:sz w:val="16"/>
                <w:szCs w:val="16"/>
                <w:lang w:eastAsia="ko-KR"/>
              </w:rPr>
              <w:t>Figure 7. Bayezid II Mosque, transcription of the secondary Arabic foundation inscription. ©Yasmin Kasem 2022</w:t>
            </w:r>
          </w:p>
        </w:tc>
      </w:tr>
    </w:tbl>
    <w:p w14:paraId="1D030AEC" w14:textId="77777777" w:rsidR="00077250" w:rsidRDefault="00077250" w:rsidP="00077250">
      <w:pPr>
        <w:ind w:left="284" w:firstLine="284"/>
        <w:jc w:val="both"/>
        <w:rPr>
          <w:rFonts w:asciiTheme="majorHAnsi" w:eastAsia="Times New Roman" w:hAnsiTheme="majorHAnsi" w:cstheme="majorHAnsi"/>
          <w:sz w:val="20"/>
          <w:szCs w:val="20"/>
          <w:lang w:eastAsia="ko-KR"/>
        </w:rPr>
      </w:pPr>
    </w:p>
    <w:p w14:paraId="28335176" w14:textId="77777777" w:rsidR="00077250" w:rsidRPr="00077250" w:rsidRDefault="00077250" w:rsidP="00077250">
      <w:pPr>
        <w:ind w:left="284" w:firstLine="284"/>
        <w:jc w:val="both"/>
        <w:rPr>
          <w:rFonts w:asciiTheme="majorHAnsi" w:eastAsia="Times New Roman" w:hAnsiTheme="majorHAnsi" w:cstheme="majorHAnsi"/>
          <w:sz w:val="20"/>
          <w:szCs w:val="20"/>
          <w:lang w:eastAsia="ko-KR"/>
        </w:rPr>
      </w:pPr>
      <w:r w:rsidRPr="00077250">
        <w:rPr>
          <w:rFonts w:asciiTheme="majorHAnsi" w:eastAsia="Times New Roman" w:hAnsiTheme="majorHAnsi" w:cstheme="majorHAnsi"/>
          <w:sz w:val="20"/>
          <w:szCs w:val="20"/>
          <w:lang w:eastAsia="ko-KR"/>
        </w:rPr>
        <w:t xml:space="preserve">The remarkable visual representation of both inscriptions corresponds to the significant importance of the information they convey. The primary inscription conveys details about the building's function, the full name and titles of its founder, Sultan Mehmed Çelebi, who oversaw the construction of the mosque, and the precise date of the building's completion. The secondary inscription lists the city's name, the qadi, the supervisor, and the architect, along with their respective titles, and the exact date of the mosque's completion </w:t>
      </w:r>
      <w:r w:rsidRPr="00077250">
        <w:rPr>
          <w:rFonts w:asciiTheme="majorHAnsi" w:eastAsia="Times New Roman" w:hAnsiTheme="majorHAnsi" w:cstheme="majorHAnsi"/>
          <w:sz w:val="20"/>
          <w:szCs w:val="20"/>
          <w:lang w:eastAsia="ko-KR"/>
        </w:rPr>
        <w:fldChar w:fldCharType="begin" w:fldLock="1"/>
      </w:r>
      <w:r w:rsidRPr="00077250">
        <w:rPr>
          <w:rFonts w:asciiTheme="majorHAnsi" w:eastAsia="Times New Roman" w:hAnsiTheme="majorHAnsi" w:cstheme="majorHAnsi"/>
          <w:sz w:val="20"/>
          <w:szCs w:val="20"/>
          <w:lang w:eastAsia="ko-KR"/>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077250">
        <w:rPr>
          <w:rFonts w:asciiTheme="majorHAnsi" w:eastAsia="Times New Roman" w:hAnsiTheme="majorHAnsi" w:cstheme="majorHAnsi"/>
          <w:sz w:val="20"/>
          <w:szCs w:val="20"/>
          <w:lang w:eastAsia="ko-KR"/>
        </w:rPr>
        <w:fldChar w:fldCharType="separate"/>
      </w:r>
      <w:r w:rsidRPr="00077250">
        <w:rPr>
          <w:rFonts w:asciiTheme="majorHAnsi" w:eastAsia="Times New Roman" w:hAnsiTheme="majorHAnsi" w:cstheme="majorHAnsi"/>
          <w:sz w:val="20"/>
          <w:szCs w:val="20"/>
          <w:lang w:eastAsia="ko-KR"/>
        </w:rPr>
        <w:t>[4]</w:t>
      </w:r>
      <w:r w:rsidRPr="00077250">
        <w:rPr>
          <w:rFonts w:asciiTheme="majorHAnsi" w:eastAsia="Times New Roman" w:hAnsiTheme="majorHAnsi" w:cstheme="majorHAnsi"/>
          <w:sz w:val="20"/>
          <w:szCs w:val="20"/>
          <w:lang w:eastAsia="ko-KR"/>
        </w:rPr>
        <w:fldChar w:fldCharType="end"/>
      </w:r>
      <w:r w:rsidRPr="00077250">
        <w:rPr>
          <w:rFonts w:asciiTheme="majorHAnsi" w:eastAsia="Times New Roman" w:hAnsiTheme="majorHAnsi" w:cstheme="majorHAnsi"/>
          <w:sz w:val="20"/>
          <w:szCs w:val="20"/>
          <w:lang w:eastAsia="ko-KR"/>
        </w:rPr>
        <w:t xml:space="preserve">, </w:t>
      </w:r>
      <w:r w:rsidRPr="00077250">
        <w:rPr>
          <w:rFonts w:asciiTheme="majorHAnsi" w:eastAsia="Times New Roman" w:hAnsiTheme="majorHAnsi" w:cstheme="majorHAnsi"/>
          <w:sz w:val="20"/>
          <w:szCs w:val="20"/>
          <w:lang w:eastAsia="ko-KR"/>
        </w:rPr>
        <w:fldChar w:fldCharType="begin" w:fldLock="1"/>
      </w:r>
      <w:r w:rsidRPr="00077250">
        <w:rPr>
          <w:rFonts w:asciiTheme="majorHAnsi" w:eastAsia="Times New Roman" w:hAnsiTheme="majorHAnsi" w:cstheme="majorHAnsi"/>
          <w:sz w:val="20"/>
          <w:szCs w:val="20"/>
          <w:lang w:eastAsia="ko-KR"/>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077250">
        <w:rPr>
          <w:rFonts w:asciiTheme="majorHAnsi" w:eastAsia="Times New Roman" w:hAnsiTheme="majorHAnsi" w:cstheme="majorHAnsi"/>
          <w:sz w:val="20"/>
          <w:szCs w:val="20"/>
          <w:lang w:eastAsia="ko-KR"/>
        </w:rPr>
        <w:fldChar w:fldCharType="separate"/>
      </w:r>
      <w:r w:rsidRPr="00077250">
        <w:rPr>
          <w:rFonts w:asciiTheme="majorHAnsi" w:eastAsia="Times New Roman" w:hAnsiTheme="majorHAnsi" w:cstheme="majorHAnsi"/>
          <w:sz w:val="20"/>
          <w:szCs w:val="20"/>
          <w:lang w:eastAsia="ko-KR"/>
        </w:rPr>
        <w:t>[9]</w:t>
      </w:r>
      <w:r w:rsidRPr="00077250">
        <w:rPr>
          <w:rFonts w:asciiTheme="majorHAnsi" w:eastAsia="Times New Roman" w:hAnsiTheme="majorHAnsi" w:cstheme="majorHAnsi"/>
          <w:sz w:val="20"/>
          <w:szCs w:val="20"/>
          <w:lang w:eastAsia="ko-KR"/>
        </w:rPr>
        <w:fldChar w:fldCharType="end"/>
      </w:r>
      <w:r w:rsidRPr="00077250">
        <w:rPr>
          <w:rFonts w:asciiTheme="majorHAnsi" w:eastAsia="Times New Roman" w:hAnsiTheme="majorHAnsi" w:cstheme="majorHAnsi"/>
          <w:sz w:val="20"/>
          <w:szCs w:val="20"/>
          <w:lang w:eastAsia="ko-KR"/>
        </w:rPr>
        <w:t>.</w:t>
      </w:r>
    </w:p>
    <w:p w14:paraId="60C97AC8" w14:textId="77777777" w:rsidR="00077250" w:rsidRDefault="00077250" w:rsidP="00077250">
      <w:pPr>
        <w:ind w:left="284" w:firstLine="284"/>
        <w:jc w:val="both"/>
        <w:rPr>
          <w:rFonts w:asciiTheme="majorHAnsi" w:eastAsia="Times New Roman" w:hAnsiTheme="majorHAnsi" w:cstheme="majorHAnsi"/>
          <w:sz w:val="20"/>
          <w:szCs w:val="20"/>
          <w:lang w:eastAsia="ko-KR"/>
        </w:rPr>
      </w:pPr>
      <w:r w:rsidRPr="00077250">
        <w:rPr>
          <w:rFonts w:asciiTheme="majorHAnsi" w:eastAsia="Times New Roman" w:hAnsiTheme="majorHAnsi" w:cstheme="majorHAnsi"/>
          <w:sz w:val="20"/>
          <w:szCs w:val="20"/>
          <w:lang w:eastAsia="ko-KR"/>
        </w:rPr>
        <w:t>Numerous significant contributions have been made with respect to the interpretation, transliteration, and translation of the inscriptions. Βα</w:t>
      </w:r>
      <w:proofErr w:type="spellStart"/>
      <w:r w:rsidRPr="00077250">
        <w:rPr>
          <w:rFonts w:asciiTheme="majorHAnsi" w:eastAsia="Times New Roman" w:hAnsiTheme="majorHAnsi" w:cstheme="majorHAnsi"/>
          <w:sz w:val="20"/>
          <w:szCs w:val="20"/>
          <w:lang w:eastAsia="ko-KR"/>
        </w:rPr>
        <w:t>φείδης</w:t>
      </w:r>
      <w:proofErr w:type="spellEnd"/>
      <w:r w:rsidRPr="00077250">
        <w:rPr>
          <w:rFonts w:asciiTheme="majorHAnsi" w:eastAsia="Times New Roman" w:hAnsiTheme="majorHAnsi" w:cstheme="majorHAnsi"/>
          <w:sz w:val="20"/>
          <w:szCs w:val="20"/>
          <w:lang w:eastAsia="ko-KR"/>
        </w:rPr>
        <w:t xml:space="preserve"> (1937) presented a Greek translation based on a Turkish translation by the Mufti of Evros at the time, which contains numerous errors, particularly regarding the dating </w:t>
      </w:r>
      <w:r w:rsidRPr="00077250">
        <w:rPr>
          <w:rFonts w:asciiTheme="majorHAnsi" w:eastAsia="Times New Roman" w:hAnsiTheme="majorHAnsi" w:cstheme="majorHAnsi"/>
          <w:sz w:val="20"/>
          <w:szCs w:val="20"/>
          <w:lang w:eastAsia="ko-KR"/>
        </w:rPr>
        <w:fldChar w:fldCharType="begin" w:fldLock="1"/>
      </w:r>
      <w:r w:rsidRPr="00077250">
        <w:rPr>
          <w:rFonts w:asciiTheme="majorHAnsi" w:eastAsia="Times New Roman" w:hAnsiTheme="majorHAnsi" w:cstheme="majorHAnsi"/>
          <w:sz w:val="20"/>
          <w:szCs w:val="20"/>
          <w:lang w:eastAsia="ko-KR"/>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077250">
        <w:rPr>
          <w:rFonts w:asciiTheme="majorHAnsi" w:eastAsia="Times New Roman" w:hAnsiTheme="majorHAnsi" w:cstheme="majorHAnsi"/>
          <w:sz w:val="20"/>
          <w:szCs w:val="20"/>
          <w:lang w:eastAsia="ko-KR"/>
        </w:rPr>
        <w:fldChar w:fldCharType="separate"/>
      </w:r>
      <w:r w:rsidRPr="00077250">
        <w:rPr>
          <w:rFonts w:asciiTheme="majorHAnsi" w:eastAsia="Times New Roman" w:hAnsiTheme="majorHAnsi" w:cstheme="majorHAnsi"/>
          <w:sz w:val="20"/>
          <w:szCs w:val="20"/>
          <w:lang w:eastAsia="ko-KR"/>
        </w:rPr>
        <w:t>[42]</w:t>
      </w:r>
      <w:r w:rsidRPr="00077250">
        <w:rPr>
          <w:rFonts w:asciiTheme="majorHAnsi" w:eastAsia="Times New Roman" w:hAnsiTheme="majorHAnsi" w:cstheme="majorHAnsi"/>
          <w:sz w:val="20"/>
          <w:szCs w:val="20"/>
          <w:lang w:eastAsia="ko-KR"/>
        </w:rPr>
        <w:fldChar w:fldCharType="end"/>
      </w:r>
      <w:r w:rsidRPr="00077250">
        <w:rPr>
          <w:rFonts w:asciiTheme="majorHAnsi" w:eastAsia="Times New Roman" w:hAnsiTheme="majorHAnsi" w:cstheme="majorHAnsi"/>
          <w:sz w:val="20"/>
          <w:szCs w:val="20"/>
          <w:lang w:eastAsia="ko-KR"/>
        </w:rPr>
        <w:t xml:space="preserve">. Subsequently, Ayverdi (1956; 1972; 1982) published an Arabic reading and a Turkish translation of the inscription, which contained misreadings of certain words and consequently led to an inaccurate corresponding Gregorian date </w:t>
      </w:r>
      <w:r w:rsidRPr="00077250">
        <w:rPr>
          <w:rFonts w:asciiTheme="majorHAnsi" w:eastAsia="Times New Roman" w:hAnsiTheme="majorHAnsi" w:cstheme="majorHAnsi"/>
          <w:sz w:val="20"/>
          <w:szCs w:val="20"/>
          <w:lang w:eastAsia="ko-KR"/>
        </w:rPr>
        <w:fldChar w:fldCharType="begin" w:fldLock="1"/>
      </w:r>
      <w:r w:rsidRPr="00077250">
        <w:rPr>
          <w:rFonts w:asciiTheme="majorHAnsi" w:eastAsia="Times New Roman" w:hAnsiTheme="majorHAnsi" w:cstheme="majorHAnsi"/>
          <w:sz w:val="20"/>
          <w:szCs w:val="20"/>
          <w:lang w:eastAsia="ko-KR"/>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077250">
        <w:rPr>
          <w:rFonts w:asciiTheme="majorHAnsi" w:eastAsia="Times New Roman" w:hAnsiTheme="majorHAnsi" w:cstheme="majorHAnsi"/>
          <w:sz w:val="20"/>
          <w:szCs w:val="20"/>
          <w:lang w:eastAsia="ko-KR"/>
        </w:rPr>
        <w:fldChar w:fldCharType="separate"/>
      </w:r>
      <w:r w:rsidRPr="00077250">
        <w:rPr>
          <w:rFonts w:asciiTheme="majorHAnsi" w:eastAsia="Times New Roman" w:hAnsiTheme="majorHAnsi" w:cstheme="majorHAnsi"/>
          <w:sz w:val="20"/>
          <w:szCs w:val="20"/>
          <w:lang w:eastAsia="ko-KR"/>
        </w:rPr>
        <w:t>[18]</w:t>
      </w:r>
      <w:r w:rsidRPr="00077250">
        <w:rPr>
          <w:rFonts w:asciiTheme="majorHAnsi" w:eastAsia="Times New Roman" w:hAnsiTheme="majorHAnsi" w:cstheme="majorHAnsi"/>
          <w:sz w:val="20"/>
          <w:szCs w:val="20"/>
          <w:lang w:eastAsia="ko-KR"/>
        </w:rPr>
        <w:fldChar w:fldCharType="end"/>
      </w:r>
      <w:r w:rsidRPr="00077250">
        <w:rPr>
          <w:rFonts w:asciiTheme="majorHAnsi" w:eastAsia="Times New Roman" w:hAnsiTheme="majorHAnsi" w:cstheme="majorHAnsi"/>
          <w:sz w:val="20"/>
          <w:szCs w:val="20"/>
          <w:lang w:eastAsia="ko-KR"/>
        </w:rPr>
        <w:t xml:space="preserve">, </w:t>
      </w:r>
      <w:r w:rsidRPr="00077250">
        <w:rPr>
          <w:rFonts w:asciiTheme="majorHAnsi" w:eastAsia="Times New Roman" w:hAnsiTheme="majorHAnsi" w:cstheme="majorHAnsi"/>
          <w:sz w:val="20"/>
          <w:szCs w:val="20"/>
          <w:lang w:eastAsia="ko-KR"/>
        </w:rPr>
        <w:fldChar w:fldCharType="begin" w:fldLock="1"/>
      </w:r>
      <w:r w:rsidRPr="00077250">
        <w:rPr>
          <w:rFonts w:asciiTheme="majorHAnsi" w:eastAsia="Times New Roman" w:hAnsiTheme="majorHAnsi" w:cstheme="majorHAnsi"/>
          <w:sz w:val="20"/>
          <w:szCs w:val="20"/>
          <w:lang w:eastAsia="ko-KR"/>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077250">
        <w:rPr>
          <w:rFonts w:asciiTheme="majorHAnsi" w:eastAsia="Times New Roman" w:hAnsiTheme="majorHAnsi" w:cstheme="majorHAnsi"/>
          <w:sz w:val="20"/>
          <w:szCs w:val="20"/>
          <w:lang w:eastAsia="ko-KR"/>
        </w:rPr>
        <w:fldChar w:fldCharType="separate"/>
      </w:r>
      <w:r w:rsidRPr="00077250">
        <w:rPr>
          <w:rFonts w:asciiTheme="majorHAnsi" w:eastAsia="Times New Roman" w:hAnsiTheme="majorHAnsi" w:cstheme="majorHAnsi"/>
          <w:sz w:val="20"/>
          <w:szCs w:val="20"/>
          <w:lang w:eastAsia="ko-KR"/>
        </w:rPr>
        <w:t>[19]</w:t>
      </w:r>
      <w:r w:rsidRPr="00077250">
        <w:rPr>
          <w:rFonts w:asciiTheme="majorHAnsi" w:eastAsia="Times New Roman" w:hAnsiTheme="majorHAnsi" w:cstheme="majorHAnsi"/>
          <w:sz w:val="20"/>
          <w:szCs w:val="20"/>
          <w:lang w:eastAsia="ko-KR"/>
        </w:rPr>
        <w:fldChar w:fldCharType="end"/>
      </w:r>
      <w:r w:rsidRPr="00077250">
        <w:rPr>
          <w:rFonts w:asciiTheme="majorHAnsi" w:eastAsia="Times New Roman" w:hAnsiTheme="majorHAnsi" w:cstheme="majorHAnsi"/>
          <w:sz w:val="20"/>
          <w:szCs w:val="20"/>
          <w:lang w:eastAsia="ko-KR"/>
        </w:rPr>
        <w:t xml:space="preserve">, </w:t>
      </w:r>
      <w:r w:rsidRPr="00077250">
        <w:rPr>
          <w:rFonts w:asciiTheme="majorHAnsi" w:eastAsia="Times New Roman" w:hAnsiTheme="majorHAnsi" w:cstheme="majorHAnsi"/>
          <w:sz w:val="20"/>
          <w:szCs w:val="20"/>
          <w:lang w:eastAsia="ko-KR"/>
        </w:rPr>
        <w:fldChar w:fldCharType="begin" w:fldLock="1"/>
      </w:r>
      <w:r w:rsidRPr="00077250">
        <w:rPr>
          <w:rFonts w:asciiTheme="majorHAnsi" w:eastAsia="Times New Roman" w:hAnsiTheme="majorHAnsi" w:cstheme="majorHAnsi"/>
          <w:sz w:val="20"/>
          <w:szCs w:val="20"/>
          <w:lang w:eastAsia="ko-KR"/>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077250">
        <w:rPr>
          <w:rFonts w:asciiTheme="majorHAnsi" w:eastAsia="Times New Roman" w:hAnsiTheme="majorHAnsi" w:cstheme="majorHAnsi"/>
          <w:sz w:val="20"/>
          <w:szCs w:val="20"/>
          <w:lang w:eastAsia="ko-KR"/>
        </w:rPr>
        <w:fldChar w:fldCharType="separate"/>
      </w:r>
      <w:r w:rsidRPr="00077250">
        <w:rPr>
          <w:rFonts w:asciiTheme="majorHAnsi" w:eastAsia="Times New Roman" w:hAnsiTheme="majorHAnsi" w:cstheme="majorHAnsi"/>
          <w:sz w:val="20"/>
          <w:szCs w:val="20"/>
          <w:lang w:eastAsia="ko-KR"/>
        </w:rPr>
        <w:t>[20]</w:t>
      </w:r>
      <w:r w:rsidRPr="00077250">
        <w:rPr>
          <w:rFonts w:asciiTheme="majorHAnsi" w:eastAsia="Times New Roman" w:hAnsiTheme="majorHAnsi" w:cstheme="majorHAnsi"/>
          <w:sz w:val="20"/>
          <w:szCs w:val="20"/>
          <w:lang w:eastAsia="ko-KR"/>
        </w:rPr>
        <w:fldChar w:fldCharType="end"/>
      </w:r>
      <w:r w:rsidRPr="00077250">
        <w:rPr>
          <w:rFonts w:asciiTheme="majorHAnsi" w:eastAsia="Times New Roman" w:hAnsiTheme="majorHAnsi" w:cstheme="majorHAnsi"/>
          <w:sz w:val="20"/>
          <w:szCs w:val="20"/>
          <w:lang w:eastAsia="ko-KR"/>
        </w:rPr>
        <w:t xml:space="preserve">. All subsequent studies have followed Ayverdi's reading and translation, including Türkoğlu (1998) </w:t>
      </w:r>
      <w:r w:rsidRPr="00077250">
        <w:rPr>
          <w:rFonts w:asciiTheme="majorHAnsi" w:eastAsia="Times New Roman" w:hAnsiTheme="majorHAnsi" w:cstheme="majorHAnsi"/>
          <w:sz w:val="20"/>
          <w:szCs w:val="20"/>
          <w:lang w:eastAsia="ko-KR"/>
        </w:rPr>
        <w:fldChar w:fldCharType="begin" w:fldLock="1"/>
      </w:r>
      <w:r w:rsidRPr="00077250">
        <w:rPr>
          <w:rFonts w:asciiTheme="majorHAnsi" w:eastAsia="Times New Roman" w:hAnsiTheme="majorHAnsi" w:cstheme="majorHAnsi"/>
          <w:sz w:val="20"/>
          <w:szCs w:val="20"/>
          <w:lang w:eastAsia="ko-KR"/>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077250">
        <w:rPr>
          <w:rFonts w:asciiTheme="majorHAnsi" w:eastAsia="Times New Roman" w:hAnsiTheme="majorHAnsi" w:cstheme="majorHAnsi"/>
          <w:sz w:val="20"/>
          <w:szCs w:val="20"/>
          <w:lang w:eastAsia="ko-KR"/>
        </w:rPr>
        <w:fldChar w:fldCharType="separate"/>
      </w:r>
      <w:r w:rsidRPr="00077250">
        <w:rPr>
          <w:rFonts w:asciiTheme="majorHAnsi" w:eastAsia="Times New Roman" w:hAnsiTheme="majorHAnsi" w:cstheme="majorHAnsi"/>
          <w:sz w:val="20"/>
          <w:szCs w:val="20"/>
          <w:lang w:eastAsia="ko-KR"/>
        </w:rPr>
        <w:t>[23]</w:t>
      </w:r>
      <w:r w:rsidRPr="00077250">
        <w:rPr>
          <w:rFonts w:asciiTheme="majorHAnsi" w:eastAsia="Times New Roman" w:hAnsiTheme="majorHAnsi" w:cstheme="majorHAnsi"/>
          <w:sz w:val="20"/>
          <w:szCs w:val="20"/>
          <w:lang w:eastAsia="ko-KR"/>
        </w:rPr>
        <w:fldChar w:fldCharType="end"/>
      </w:r>
      <w:r w:rsidRPr="00077250">
        <w:rPr>
          <w:rFonts w:asciiTheme="majorHAnsi" w:eastAsia="Times New Roman" w:hAnsiTheme="majorHAnsi" w:cstheme="majorHAnsi"/>
          <w:sz w:val="20"/>
          <w:szCs w:val="20"/>
          <w:lang w:eastAsia="ko-KR"/>
        </w:rPr>
        <w:t xml:space="preserve">, </w:t>
      </w:r>
      <w:proofErr w:type="spellStart"/>
      <w:r w:rsidRPr="00077250">
        <w:rPr>
          <w:rFonts w:asciiTheme="majorHAnsi" w:eastAsia="Times New Roman" w:hAnsiTheme="majorHAnsi" w:cstheme="majorHAnsi"/>
          <w:sz w:val="20"/>
          <w:szCs w:val="20"/>
          <w:lang w:eastAsia="ko-KR"/>
        </w:rPr>
        <w:t>Bıçakçı</w:t>
      </w:r>
      <w:proofErr w:type="spellEnd"/>
      <w:r w:rsidRPr="00077250">
        <w:rPr>
          <w:rFonts w:asciiTheme="majorHAnsi" w:eastAsia="Times New Roman" w:hAnsiTheme="majorHAnsi" w:cstheme="majorHAnsi"/>
          <w:sz w:val="20"/>
          <w:szCs w:val="20"/>
          <w:lang w:eastAsia="ko-KR"/>
        </w:rPr>
        <w:t xml:space="preserve"> (2003) </w:t>
      </w:r>
      <w:r w:rsidRPr="00077250">
        <w:rPr>
          <w:rFonts w:asciiTheme="majorHAnsi" w:eastAsia="Times New Roman" w:hAnsiTheme="majorHAnsi" w:cstheme="majorHAnsi"/>
          <w:sz w:val="20"/>
          <w:szCs w:val="20"/>
          <w:lang w:eastAsia="ko-KR"/>
        </w:rPr>
        <w:fldChar w:fldCharType="begin" w:fldLock="1"/>
      </w:r>
      <w:r w:rsidRPr="00077250">
        <w:rPr>
          <w:rFonts w:asciiTheme="majorHAnsi" w:eastAsia="Times New Roman" w:hAnsiTheme="majorHAnsi" w:cstheme="majorHAnsi"/>
          <w:sz w:val="20"/>
          <w:szCs w:val="20"/>
          <w:lang w:eastAsia="ko-KR"/>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077250">
        <w:rPr>
          <w:rFonts w:asciiTheme="majorHAnsi" w:eastAsia="Times New Roman" w:hAnsiTheme="majorHAnsi" w:cstheme="majorHAnsi"/>
          <w:sz w:val="20"/>
          <w:szCs w:val="20"/>
          <w:lang w:eastAsia="ko-KR"/>
        </w:rPr>
        <w:fldChar w:fldCharType="separate"/>
      </w:r>
      <w:r w:rsidRPr="00077250">
        <w:rPr>
          <w:rFonts w:asciiTheme="majorHAnsi" w:eastAsia="Times New Roman" w:hAnsiTheme="majorHAnsi" w:cstheme="majorHAnsi"/>
          <w:sz w:val="20"/>
          <w:szCs w:val="20"/>
          <w:lang w:eastAsia="ko-KR"/>
        </w:rPr>
        <w:t>[25]</w:t>
      </w:r>
      <w:r w:rsidRPr="00077250">
        <w:rPr>
          <w:rFonts w:asciiTheme="majorHAnsi" w:eastAsia="Times New Roman" w:hAnsiTheme="majorHAnsi" w:cstheme="majorHAnsi"/>
          <w:sz w:val="20"/>
          <w:szCs w:val="20"/>
          <w:lang w:eastAsia="ko-KR"/>
        </w:rPr>
        <w:fldChar w:fldCharType="end"/>
      </w:r>
      <w:r w:rsidRPr="00077250">
        <w:rPr>
          <w:rFonts w:asciiTheme="majorHAnsi" w:eastAsia="Times New Roman" w:hAnsiTheme="majorHAnsi" w:cstheme="majorHAnsi"/>
          <w:sz w:val="20"/>
          <w:szCs w:val="20"/>
          <w:lang w:eastAsia="ko-KR"/>
        </w:rPr>
        <w:t xml:space="preserve">, and </w:t>
      </w:r>
      <w:proofErr w:type="spellStart"/>
      <w:r w:rsidRPr="00077250">
        <w:rPr>
          <w:rFonts w:asciiTheme="majorHAnsi" w:eastAsia="Times New Roman" w:hAnsiTheme="majorHAnsi" w:cstheme="majorHAnsi"/>
          <w:sz w:val="20"/>
          <w:szCs w:val="20"/>
          <w:lang w:eastAsia="ko-KR"/>
        </w:rPr>
        <w:t>Yapar</w:t>
      </w:r>
      <w:proofErr w:type="spellEnd"/>
      <w:r w:rsidRPr="00077250">
        <w:rPr>
          <w:rFonts w:asciiTheme="majorHAnsi" w:eastAsia="Times New Roman" w:hAnsiTheme="majorHAnsi" w:cstheme="majorHAnsi"/>
          <w:sz w:val="20"/>
          <w:szCs w:val="20"/>
          <w:lang w:eastAsia="ko-KR"/>
        </w:rPr>
        <w:t xml:space="preserve"> (2007) </w:t>
      </w:r>
      <w:r w:rsidRPr="00077250">
        <w:rPr>
          <w:rFonts w:asciiTheme="majorHAnsi" w:eastAsia="Times New Roman" w:hAnsiTheme="majorHAnsi" w:cstheme="majorHAnsi"/>
          <w:sz w:val="20"/>
          <w:szCs w:val="20"/>
          <w:lang w:eastAsia="ko-KR"/>
        </w:rPr>
        <w:fldChar w:fldCharType="begin" w:fldLock="1"/>
      </w:r>
      <w:r w:rsidRPr="00077250">
        <w:rPr>
          <w:rFonts w:asciiTheme="majorHAnsi" w:eastAsia="Times New Roman" w:hAnsiTheme="majorHAnsi" w:cstheme="majorHAnsi"/>
          <w:sz w:val="20"/>
          <w:szCs w:val="20"/>
          <w:lang w:eastAsia="ko-KR"/>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077250">
        <w:rPr>
          <w:rFonts w:asciiTheme="majorHAnsi" w:eastAsia="Times New Roman" w:hAnsiTheme="majorHAnsi" w:cstheme="majorHAnsi"/>
          <w:sz w:val="20"/>
          <w:szCs w:val="20"/>
          <w:lang w:eastAsia="ko-KR"/>
        </w:rPr>
        <w:fldChar w:fldCharType="separate"/>
      </w:r>
      <w:r w:rsidRPr="00077250">
        <w:rPr>
          <w:rFonts w:asciiTheme="majorHAnsi" w:eastAsia="Times New Roman" w:hAnsiTheme="majorHAnsi" w:cstheme="majorHAnsi"/>
          <w:sz w:val="20"/>
          <w:szCs w:val="20"/>
          <w:lang w:eastAsia="ko-KR"/>
        </w:rPr>
        <w:t>[26]</w:t>
      </w:r>
      <w:r w:rsidRPr="00077250">
        <w:rPr>
          <w:rFonts w:asciiTheme="majorHAnsi" w:eastAsia="Times New Roman" w:hAnsiTheme="majorHAnsi" w:cstheme="majorHAnsi"/>
          <w:sz w:val="20"/>
          <w:szCs w:val="20"/>
          <w:lang w:eastAsia="ko-KR"/>
        </w:rPr>
        <w:fldChar w:fldCharType="end"/>
      </w:r>
      <w:r w:rsidRPr="00077250">
        <w:rPr>
          <w:rFonts w:asciiTheme="majorHAnsi" w:eastAsia="Times New Roman" w:hAnsiTheme="majorHAnsi" w:cstheme="majorHAnsi"/>
          <w:sz w:val="20"/>
          <w:szCs w:val="20"/>
          <w:lang w:eastAsia="ko-KR"/>
        </w:rPr>
        <w:t xml:space="preserve">, all of whom reproduced the same errors in their full readings and Turkish translations. A new reading and English translation have been provided by Ameen (2012) </w:t>
      </w:r>
      <w:r w:rsidRPr="00077250">
        <w:rPr>
          <w:rFonts w:asciiTheme="majorHAnsi" w:eastAsia="Times New Roman" w:hAnsiTheme="majorHAnsi" w:cstheme="majorHAnsi"/>
          <w:sz w:val="20"/>
          <w:szCs w:val="20"/>
          <w:lang w:eastAsia="ko-KR"/>
        </w:rPr>
        <w:fldChar w:fldCharType="begin" w:fldLock="1"/>
      </w:r>
      <w:r w:rsidRPr="00077250">
        <w:rPr>
          <w:rFonts w:asciiTheme="majorHAnsi" w:eastAsia="Times New Roman" w:hAnsiTheme="majorHAnsi" w:cstheme="majorHAnsi"/>
          <w:sz w:val="20"/>
          <w:szCs w:val="20"/>
          <w:lang w:eastAsia="ko-KR"/>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077250">
        <w:rPr>
          <w:rFonts w:asciiTheme="majorHAnsi" w:eastAsia="Times New Roman" w:hAnsiTheme="majorHAnsi" w:cstheme="majorHAnsi"/>
          <w:sz w:val="20"/>
          <w:szCs w:val="20"/>
          <w:lang w:eastAsia="ko-KR"/>
        </w:rPr>
        <w:fldChar w:fldCharType="separate"/>
      </w:r>
      <w:r w:rsidRPr="00077250">
        <w:rPr>
          <w:rFonts w:asciiTheme="majorHAnsi" w:eastAsia="Times New Roman" w:hAnsiTheme="majorHAnsi" w:cstheme="majorHAnsi"/>
          <w:sz w:val="20"/>
          <w:szCs w:val="20"/>
          <w:lang w:eastAsia="ko-KR"/>
        </w:rPr>
        <w:t>[9]</w:t>
      </w:r>
      <w:r w:rsidRPr="00077250">
        <w:rPr>
          <w:rFonts w:asciiTheme="majorHAnsi" w:eastAsia="Times New Roman" w:hAnsiTheme="majorHAnsi" w:cstheme="majorHAnsi"/>
          <w:sz w:val="20"/>
          <w:szCs w:val="20"/>
          <w:lang w:eastAsia="ko-KR"/>
        </w:rPr>
        <w:fldChar w:fldCharType="end"/>
      </w:r>
      <w:r>
        <w:rPr>
          <w:rFonts w:asciiTheme="majorHAnsi" w:eastAsia="Times New Roman" w:hAnsiTheme="majorHAnsi" w:cstheme="majorHAnsi"/>
          <w:sz w:val="20"/>
          <w:szCs w:val="20"/>
          <w:lang w:eastAsia="ko-KR"/>
        </w:rPr>
        <w:t>.</w:t>
      </w:r>
    </w:p>
    <w:p w14:paraId="1BB4C46D" w14:textId="77777777" w:rsidR="00077250" w:rsidRDefault="00077250" w:rsidP="00077250">
      <w:pPr>
        <w:ind w:left="284" w:firstLine="284"/>
        <w:jc w:val="both"/>
        <w:rPr>
          <w:rFonts w:asciiTheme="majorHAnsi" w:eastAsia="Times New Roman" w:hAnsiTheme="majorHAnsi" w:cstheme="majorHAnsi"/>
          <w:sz w:val="20"/>
          <w:szCs w:val="20"/>
          <w:lang w:eastAsia="ko-KR"/>
        </w:rPr>
      </w:pPr>
    </w:p>
    <w:p w14:paraId="3B08DE47" w14:textId="1B94B510" w:rsidR="00077250" w:rsidRDefault="00077250" w:rsidP="00077250">
      <w:pPr>
        <w:pStyle w:val="ListParagraph"/>
        <w:numPr>
          <w:ilvl w:val="0"/>
          <w:numId w:val="8"/>
        </w:numPr>
        <w:ind w:left="567" w:hanging="283"/>
        <w:jc w:val="both"/>
        <w:rPr>
          <w:rFonts w:asciiTheme="minorHAnsi" w:hAnsiTheme="minorHAnsi" w:cstheme="minorHAnsi"/>
          <w:b/>
          <w:bCs/>
          <w:sz w:val="18"/>
          <w:szCs w:val="18"/>
        </w:rPr>
      </w:pPr>
      <w:r w:rsidRPr="00077250">
        <w:rPr>
          <w:rFonts w:asciiTheme="minorHAnsi" w:hAnsiTheme="minorHAnsi" w:cstheme="minorHAnsi"/>
          <w:b/>
          <w:bCs/>
          <w:sz w:val="18"/>
          <w:szCs w:val="18"/>
        </w:rPr>
        <w:t>DISCUSSION</w:t>
      </w:r>
    </w:p>
    <w:p w14:paraId="169A3FB6" w14:textId="77777777" w:rsidR="00077250" w:rsidRPr="00077250" w:rsidRDefault="00077250" w:rsidP="00077250">
      <w:pPr>
        <w:ind w:left="284" w:firstLine="284"/>
        <w:jc w:val="both"/>
        <w:rPr>
          <w:rFonts w:asciiTheme="majorHAnsi" w:eastAsia="Times New Roman" w:hAnsiTheme="majorHAnsi" w:cstheme="majorHAnsi"/>
          <w:sz w:val="20"/>
          <w:szCs w:val="20"/>
          <w:lang w:eastAsia="ko-KR"/>
        </w:rPr>
      </w:pPr>
      <w:r w:rsidRPr="00077250">
        <w:rPr>
          <w:rFonts w:asciiTheme="majorHAnsi" w:eastAsia="Times New Roman" w:hAnsiTheme="majorHAnsi" w:cstheme="majorHAnsi"/>
          <w:sz w:val="20"/>
          <w:szCs w:val="20"/>
          <w:lang w:eastAsia="ko-KR"/>
        </w:rPr>
        <w:t xml:space="preserve">The Sultan Bayezid II Mosque in </w:t>
      </w:r>
      <w:proofErr w:type="spellStart"/>
      <w:r w:rsidRPr="00077250">
        <w:rPr>
          <w:rFonts w:asciiTheme="majorHAnsi" w:eastAsia="Times New Roman" w:hAnsiTheme="majorHAnsi" w:cstheme="majorHAnsi"/>
          <w:sz w:val="20"/>
          <w:szCs w:val="20"/>
          <w:lang w:eastAsia="ko-KR"/>
        </w:rPr>
        <w:t>Didymóteichon</w:t>
      </w:r>
      <w:proofErr w:type="spellEnd"/>
      <w:r w:rsidRPr="00077250">
        <w:rPr>
          <w:rFonts w:asciiTheme="majorHAnsi" w:eastAsia="Times New Roman" w:hAnsiTheme="majorHAnsi" w:cstheme="majorHAnsi"/>
          <w:sz w:val="20"/>
          <w:szCs w:val="20"/>
          <w:lang w:eastAsia="ko-KR"/>
        </w:rPr>
        <w:t xml:space="preserve"> stands as a testament to the rich cultural, linguistic, and artistic legacy of the Ottomans in Greece. The Arabic inscriptions on the mosque's exterior serve as powerful visual expressions of Ottoman identity and authority, notable for their skilful use of </w:t>
      </w:r>
      <w:proofErr w:type="spellStart"/>
      <w:r w:rsidRPr="00077250">
        <w:rPr>
          <w:rFonts w:asciiTheme="majorHAnsi" w:eastAsia="Times New Roman" w:hAnsiTheme="majorHAnsi" w:cstheme="majorHAnsi"/>
          <w:sz w:val="20"/>
          <w:szCs w:val="20"/>
          <w:lang w:eastAsia="ko-KR"/>
        </w:rPr>
        <w:t>color</w:t>
      </w:r>
      <w:proofErr w:type="spellEnd"/>
      <w:r w:rsidRPr="00077250">
        <w:rPr>
          <w:rFonts w:asciiTheme="majorHAnsi" w:eastAsia="Times New Roman" w:hAnsiTheme="majorHAnsi" w:cstheme="majorHAnsi"/>
          <w:sz w:val="20"/>
          <w:szCs w:val="20"/>
          <w:lang w:eastAsia="ko-KR"/>
        </w:rPr>
        <w:t xml:space="preserve"> to capture the viewer's attention and convey a sense of grandeur and permanence.</w:t>
      </w:r>
    </w:p>
    <w:p w14:paraId="368AF386" w14:textId="77777777" w:rsidR="00077250" w:rsidRPr="00077250" w:rsidRDefault="00077250" w:rsidP="00077250">
      <w:pPr>
        <w:ind w:left="284" w:firstLine="284"/>
        <w:jc w:val="both"/>
        <w:rPr>
          <w:rFonts w:asciiTheme="majorHAnsi" w:eastAsia="Times New Roman" w:hAnsiTheme="majorHAnsi" w:cstheme="majorHAnsi"/>
          <w:sz w:val="20"/>
          <w:szCs w:val="20"/>
          <w:lang w:eastAsia="ko-KR"/>
        </w:rPr>
      </w:pPr>
      <w:r w:rsidRPr="00077250">
        <w:rPr>
          <w:rFonts w:asciiTheme="majorHAnsi" w:eastAsia="Times New Roman" w:hAnsiTheme="majorHAnsi" w:cstheme="majorHAnsi"/>
          <w:sz w:val="20"/>
          <w:szCs w:val="20"/>
          <w:lang w:eastAsia="ko-KR"/>
        </w:rPr>
        <w:t xml:space="preserve">The calligraphers strategically employed a </w:t>
      </w:r>
      <w:proofErr w:type="spellStart"/>
      <w:r w:rsidRPr="00077250">
        <w:rPr>
          <w:rFonts w:asciiTheme="majorHAnsi" w:eastAsia="Times New Roman" w:hAnsiTheme="majorHAnsi" w:cstheme="majorHAnsi"/>
          <w:sz w:val="20"/>
          <w:szCs w:val="20"/>
          <w:lang w:eastAsia="ko-KR"/>
        </w:rPr>
        <w:t>color</w:t>
      </w:r>
      <w:proofErr w:type="spellEnd"/>
      <w:r w:rsidRPr="00077250">
        <w:rPr>
          <w:rFonts w:asciiTheme="majorHAnsi" w:eastAsia="Times New Roman" w:hAnsiTheme="majorHAnsi" w:cstheme="majorHAnsi"/>
          <w:sz w:val="20"/>
          <w:szCs w:val="20"/>
          <w:lang w:eastAsia="ko-KR"/>
        </w:rPr>
        <w:t xml:space="preserve"> palette primarily featuring dark blue lettering against a </w:t>
      </w:r>
      <w:proofErr w:type="gramStart"/>
      <w:r w:rsidRPr="00077250">
        <w:rPr>
          <w:rFonts w:asciiTheme="majorHAnsi" w:eastAsia="Times New Roman" w:hAnsiTheme="majorHAnsi" w:cstheme="majorHAnsi"/>
          <w:sz w:val="20"/>
          <w:szCs w:val="20"/>
          <w:lang w:eastAsia="ko-KR"/>
        </w:rPr>
        <w:t>pale yellow</w:t>
      </w:r>
      <w:proofErr w:type="gramEnd"/>
      <w:r w:rsidRPr="00077250">
        <w:rPr>
          <w:rFonts w:asciiTheme="majorHAnsi" w:eastAsia="Times New Roman" w:hAnsiTheme="majorHAnsi" w:cstheme="majorHAnsi"/>
          <w:sz w:val="20"/>
          <w:szCs w:val="20"/>
          <w:lang w:eastAsia="ko-KR"/>
        </w:rPr>
        <w:t xml:space="preserve"> background to create visual contrast and enhance the legibility of the intricate thuluth script. This deliberate use of </w:t>
      </w:r>
      <w:proofErr w:type="spellStart"/>
      <w:r w:rsidRPr="00077250">
        <w:rPr>
          <w:rFonts w:asciiTheme="majorHAnsi" w:eastAsia="Times New Roman" w:hAnsiTheme="majorHAnsi" w:cstheme="majorHAnsi"/>
          <w:sz w:val="20"/>
          <w:szCs w:val="20"/>
          <w:lang w:eastAsia="ko-KR"/>
        </w:rPr>
        <w:t>color</w:t>
      </w:r>
      <w:proofErr w:type="spellEnd"/>
      <w:r w:rsidRPr="00077250">
        <w:rPr>
          <w:rFonts w:asciiTheme="majorHAnsi" w:eastAsia="Times New Roman" w:hAnsiTheme="majorHAnsi" w:cstheme="majorHAnsi"/>
          <w:sz w:val="20"/>
          <w:szCs w:val="20"/>
          <w:lang w:eastAsia="ko-KR"/>
        </w:rPr>
        <w:t xml:space="preserve"> aimed to convey authority, power, and mystery, qualities integral to the Ottomans' visual communication strategies. The red outlines and borders surrounding the inscriptions further accentuate their prominence, signifying strength and commanding the viewer's focus.</w:t>
      </w:r>
    </w:p>
    <w:p w14:paraId="0BAD1D52" w14:textId="77777777" w:rsidR="00077250" w:rsidRPr="00077250" w:rsidRDefault="00077250" w:rsidP="00077250">
      <w:pPr>
        <w:ind w:left="284" w:firstLine="284"/>
        <w:jc w:val="both"/>
        <w:rPr>
          <w:rFonts w:asciiTheme="majorHAnsi" w:eastAsia="Times New Roman" w:hAnsiTheme="majorHAnsi" w:cstheme="majorHAnsi"/>
          <w:sz w:val="20"/>
          <w:szCs w:val="20"/>
          <w:lang w:eastAsia="ko-KR"/>
        </w:rPr>
      </w:pPr>
      <w:r w:rsidRPr="00077250">
        <w:rPr>
          <w:rFonts w:asciiTheme="majorHAnsi" w:eastAsia="Times New Roman" w:hAnsiTheme="majorHAnsi" w:cstheme="majorHAnsi"/>
          <w:sz w:val="20"/>
          <w:szCs w:val="20"/>
          <w:lang w:eastAsia="ko-KR"/>
        </w:rPr>
        <w:t xml:space="preserve">The calligraphers demonstrated mastery in maintaining a harmonious balance between the </w:t>
      </w:r>
      <w:proofErr w:type="spellStart"/>
      <w:r w:rsidRPr="00077250">
        <w:rPr>
          <w:rFonts w:asciiTheme="majorHAnsi" w:eastAsia="Times New Roman" w:hAnsiTheme="majorHAnsi" w:cstheme="majorHAnsi"/>
          <w:sz w:val="20"/>
          <w:szCs w:val="20"/>
          <w:lang w:eastAsia="ko-KR"/>
        </w:rPr>
        <w:t>colors</w:t>
      </w:r>
      <w:proofErr w:type="spellEnd"/>
      <w:r w:rsidRPr="00077250">
        <w:rPr>
          <w:rFonts w:asciiTheme="majorHAnsi" w:eastAsia="Times New Roman" w:hAnsiTheme="majorHAnsi" w:cstheme="majorHAnsi"/>
          <w:sz w:val="20"/>
          <w:szCs w:val="20"/>
          <w:lang w:eastAsia="ko-KR"/>
        </w:rPr>
        <w:t>. The repetition of red and blue hues, along with the careful gradation of shades, creates a visually appealing and interconnected composition. This measured approach ensures that the viewer's eye is drawn to explore the calligraphy's artistic merits without being overwhelmed by the chromatic elements.</w:t>
      </w:r>
    </w:p>
    <w:p w14:paraId="0B4A8AC4" w14:textId="77777777" w:rsidR="00077250" w:rsidRPr="00077250" w:rsidRDefault="00077250" w:rsidP="00077250">
      <w:pPr>
        <w:ind w:left="284" w:firstLine="284"/>
        <w:jc w:val="both"/>
        <w:rPr>
          <w:rFonts w:asciiTheme="majorHAnsi" w:eastAsia="Times New Roman" w:hAnsiTheme="majorHAnsi" w:cstheme="majorHAnsi"/>
          <w:sz w:val="20"/>
          <w:szCs w:val="20"/>
          <w:lang w:eastAsia="ko-KR"/>
        </w:rPr>
      </w:pPr>
      <w:r w:rsidRPr="00077250">
        <w:rPr>
          <w:rFonts w:asciiTheme="majorHAnsi" w:eastAsia="Times New Roman" w:hAnsiTheme="majorHAnsi" w:cstheme="majorHAnsi"/>
          <w:sz w:val="20"/>
          <w:szCs w:val="20"/>
          <w:lang w:eastAsia="ko-KR"/>
        </w:rPr>
        <w:t xml:space="preserve">The strategic placement of the inscriptions, overlooking the city and citadel, underscores their role as visual landmarks within the urban fabric. Despite the small scale of the engravings, the calligraphers' </w:t>
      </w:r>
      <w:proofErr w:type="spellStart"/>
      <w:r w:rsidRPr="00077250">
        <w:rPr>
          <w:rFonts w:asciiTheme="majorHAnsi" w:eastAsia="Times New Roman" w:hAnsiTheme="majorHAnsi" w:cstheme="majorHAnsi"/>
          <w:sz w:val="20"/>
          <w:szCs w:val="20"/>
          <w:lang w:eastAsia="ko-KR"/>
        </w:rPr>
        <w:t>skillful</w:t>
      </w:r>
      <w:proofErr w:type="spellEnd"/>
      <w:r w:rsidRPr="00077250">
        <w:rPr>
          <w:rFonts w:asciiTheme="majorHAnsi" w:eastAsia="Times New Roman" w:hAnsiTheme="majorHAnsi" w:cstheme="majorHAnsi"/>
          <w:sz w:val="20"/>
          <w:szCs w:val="20"/>
          <w:lang w:eastAsia="ko-KR"/>
        </w:rPr>
        <w:t xml:space="preserve"> </w:t>
      </w:r>
      <w:r w:rsidRPr="00077250">
        <w:rPr>
          <w:rFonts w:asciiTheme="majorHAnsi" w:eastAsia="Times New Roman" w:hAnsiTheme="majorHAnsi" w:cstheme="majorHAnsi"/>
          <w:sz w:val="20"/>
          <w:szCs w:val="20"/>
          <w:lang w:eastAsia="ko-KR"/>
        </w:rPr>
        <w:lastRenderedPageBreak/>
        <w:t xml:space="preserve">manipulation of </w:t>
      </w:r>
      <w:proofErr w:type="spellStart"/>
      <w:r w:rsidRPr="00077250">
        <w:rPr>
          <w:rFonts w:asciiTheme="majorHAnsi" w:eastAsia="Times New Roman" w:hAnsiTheme="majorHAnsi" w:cstheme="majorHAnsi"/>
          <w:sz w:val="20"/>
          <w:szCs w:val="20"/>
          <w:lang w:eastAsia="ko-KR"/>
        </w:rPr>
        <w:t>color</w:t>
      </w:r>
      <w:proofErr w:type="spellEnd"/>
      <w:r w:rsidRPr="00077250">
        <w:rPr>
          <w:rFonts w:asciiTheme="majorHAnsi" w:eastAsia="Times New Roman" w:hAnsiTheme="majorHAnsi" w:cstheme="majorHAnsi"/>
          <w:sz w:val="20"/>
          <w:szCs w:val="20"/>
          <w:lang w:eastAsia="ko-KR"/>
        </w:rPr>
        <w:t xml:space="preserve"> gradients and ability to create a harmonious composition further exemplify their mastery of the medium.</w:t>
      </w:r>
    </w:p>
    <w:p w14:paraId="45BA289E" w14:textId="77777777" w:rsidR="00077250" w:rsidRPr="00077250" w:rsidRDefault="00077250" w:rsidP="00077250">
      <w:pPr>
        <w:ind w:left="284" w:firstLine="284"/>
        <w:jc w:val="both"/>
        <w:rPr>
          <w:rFonts w:asciiTheme="majorHAnsi" w:eastAsia="Times New Roman" w:hAnsiTheme="majorHAnsi" w:cstheme="majorHAnsi"/>
          <w:sz w:val="20"/>
          <w:szCs w:val="20"/>
          <w:lang w:eastAsia="ko-KR"/>
        </w:rPr>
      </w:pPr>
      <w:r w:rsidRPr="00077250">
        <w:rPr>
          <w:rFonts w:asciiTheme="majorHAnsi" w:eastAsia="Times New Roman" w:hAnsiTheme="majorHAnsi" w:cstheme="majorHAnsi"/>
          <w:sz w:val="20"/>
          <w:szCs w:val="20"/>
          <w:lang w:eastAsia="ko-KR"/>
        </w:rPr>
        <w:t xml:space="preserve">The interplay of form and ground in the calligraphy achieves visually captivating and authoritative effects. The contrast between the dark blue lettering, the pale-yellow background, and the dynamic use of red outlines creates a visually compelling presence. This careful balance of </w:t>
      </w:r>
      <w:proofErr w:type="spellStart"/>
      <w:r w:rsidRPr="00077250">
        <w:rPr>
          <w:rFonts w:asciiTheme="majorHAnsi" w:eastAsia="Times New Roman" w:hAnsiTheme="majorHAnsi" w:cstheme="majorHAnsi"/>
          <w:sz w:val="20"/>
          <w:szCs w:val="20"/>
          <w:lang w:eastAsia="ko-KR"/>
        </w:rPr>
        <w:t>colors</w:t>
      </w:r>
      <w:proofErr w:type="spellEnd"/>
      <w:r w:rsidRPr="00077250">
        <w:rPr>
          <w:rFonts w:asciiTheme="majorHAnsi" w:eastAsia="Times New Roman" w:hAnsiTheme="majorHAnsi" w:cstheme="majorHAnsi"/>
          <w:sz w:val="20"/>
          <w:szCs w:val="20"/>
          <w:lang w:eastAsia="ko-KR"/>
        </w:rPr>
        <w:t xml:space="preserve"> and the calligrapher's attention to visual harmony are essential for ensuring clear legibility and a cohesive aesthetic experience for the viewer.</w:t>
      </w:r>
    </w:p>
    <w:p w14:paraId="11B4FDB5" w14:textId="77777777" w:rsidR="00077250" w:rsidRPr="00077250" w:rsidRDefault="00077250" w:rsidP="00077250">
      <w:pPr>
        <w:ind w:left="284" w:firstLine="284"/>
        <w:jc w:val="both"/>
        <w:rPr>
          <w:rFonts w:asciiTheme="majorHAnsi" w:eastAsia="Times New Roman" w:hAnsiTheme="majorHAnsi" w:cstheme="majorHAnsi"/>
          <w:sz w:val="20"/>
          <w:szCs w:val="20"/>
          <w:lang w:eastAsia="ko-KR"/>
        </w:rPr>
      </w:pPr>
      <w:r w:rsidRPr="00077250">
        <w:rPr>
          <w:rFonts w:asciiTheme="majorHAnsi" w:eastAsia="Times New Roman" w:hAnsiTheme="majorHAnsi" w:cstheme="majorHAnsi"/>
          <w:sz w:val="20"/>
          <w:szCs w:val="20"/>
          <w:lang w:eastAsia="ko-KR"/>
        </w:rPr>
        <w:t xml:space="preserve">The calligraphic inscriptions on the Sultan Bayezid II Mosque serve as a testament to the Ottomans' sophisticated visual communication strategies, where </w:t>
      </w:r>
      <w:proofErr w:type="spellStart"/>
      <w:r w:rsidRPr="00077250">
        <w:rPr>
          <w:rFonts w:asciiTheme="majorHAnsi" w:eastAsia="Times New Roman" w:hAnsiTheme="majorHAnsi" w:cstheme="majorHAnsi"/>
          <w:sz w:val="20"/>
          <w:szCs w:val="20"/>
          <w:lang w:eastAsia="ko-KR"/>
        </w:rPr>
        <w:t>color</w:t>
      </w:r>
      <w:proofErr w:type="spellEnd"/>
      <w:r w:rsidRPr="00077250">
        <w:rPr>
          <w:rFonts w:asciiTheme="majorHAnsi" w:eastAsia="Times New Roman" w:hAnsiTheme="majorHAnsi" w:cstheme="majorHAnsi"/>
          <w:sz w:val="20"/>
          <w:szCs w:val="20"/>
          <w:lang w:eastAsia="ko-KR"/>
        </w:rPr>
        <w:t xml:space="preserve"> played a crucial role in enhancing the symbolic significance and aesthetic appeal of these epigraphic works. By examining the strategic use of </w:t>
      </w:r>
      <w:proofErr w:type="spellStart"/>
      <w:r w:rsidRPr="00077250">
        <w:rPr>
          <w:rFonts w:asciiTheme="majorHAnsi" w:eastAsia="Times New Roman" w:hAnsiTheme="majorHAnsi" w:cstheme="majorHAnsi"/>
          <w:sz w:val="20"/>
          <w:szCs w:val="20"/>
          <w:lang w:eastAsia="ko-KR"/>
        </w:rPr>
        <w:t>color</w:t>
      </w:r>
      <w:proofErr w:type="spellEnd"/>
      <w:r w:rsidRPr="00077250">
        <w:rPr>
          <w:rFonts w:asciiTheme="majorHAnsi" w:eastAsia="Times New Roman" w:hAnsiTheme="majorHAnsi" w:cstheme="majorHAnsi"/>
          <w:sz w:val="20"/>
          <w:szCs w:val="20"/>
          <w:lang w:eastAsia="ko-KR"/>
        </w:rPr>
        <w:t xml:space="preserve"> in these inscriptions, this study provides valuable insights into the cultural, linguistic, and artistic dimensions of Ottoman visual culture in Greece.</w:t>
      </w:r>
    </w:p>
    <w:p w14:paraId="6775C718" w14:textId="77777777" w:rsidR="00077250" w:rsidRPr="00077250" w:rsidRDefault="00077250" w:rsidP="00077250">
      <w:pPr>
        <w:ind w:left="284" w:firstLine="284"/>
        <w:jc w:val="both"/>
        <w:rPr>
          <w:rFonts w:asciiTheme="majorHAnsi" w:eastAsia="Times New Roman" w:hAnsiTheme="majorHAnsi" w:cstheme="majorHAnsi"/>
          <w:sz w:val="20"/>
          <w:szCs w:val="20"/>
          <w:lang w:eastAsia="ko-KR"/>
        </w:rPr>
      </w:pPr>
      <w:r w:rsidRPr="00077250">
        <w:rPr>
          <w:rFonts w:asciiTheme="majorHAnsi" w:eastAsia="Times New Roman" w:hAnsiTheme="majorHAnsi" w:cstheme="majorHAnsi"/>
          <w:sz w:val="20"/>
          <w:szCs w:val="20"/>
          <w:lang w:eastAsia="ko-KR"/>
        </w:rPr>
        <w:t xml:space="preserve">The utilization of </w:t>
      </w:r>
      <w:proofErr w:type="spellStart"/>
      <w:r w:rsidRPr="00077250">
        <w:rPr>
          <w:rFonts w:asciiTheme="majorHAnsi" w:eastAsia="Times New Roman" w:hAnsiTheme="majorHAnsi" w:cstheme="majorHAnsi"/>
          <w:sz w:val="20"/>
          <w:szCs w:val="20"/>
          <w:lang w:eastAsia="ko-KR"/>
        </w:rPr>
        <w:t>color</w:t>
      </w:r>
      <w:proofErr w:type="spellEnd"/>
      <w:r w:rsidRPr="00077250">
        <w:rPr>
          <w:rFonts w:asciiTheme="majorHAnsi" w:eastAsia="Times New Roman" w:hAnsiTheme="majorHAnsi" w:cstheme="majorHAnsi"/>
          <w:sz w:val="20"/>
          <w:szCs w:val="20"/>
          <w:lang w:eastAsia="ko-KR"/>
        </w:rPr>
        <w:t xml:space="preserve"> in Ottoman architectural inscriptions carries deep cultural, religious, and artistic significance, reflecting the sophistication of the Ottoman Empire. Through an analysis of the calligraphic inscriptions adorning the Sultan Bayezid II Mosque in </w:t>
      </w:r>
      <w:proofErr w:type="spellStart"/>
      <w:r w:rsidRPr="00077250">
        <w:rPr>
          <w:rFonts w:asciiTheme="majorHAnsi" w:eastAsia="Times New Roman" w:hAnsiTheme="majorHAnsi" w:cstheme="majorHAnsi"/>
          <w:sz w:val="20"/>
          <w:szCs w:val="20"/>
          <w:lang w:eastAsia="ko-KR"/>
        </w:rPr>
        <w:t>Didymóteichon</w:t>
      </w:r>
      <w:proofErr w:type="spellEnd"/>
      <w:r w:rsidRPr="00077250">
        <w:rPr>
          <w:rFonts w:asciiTheme="majorHAnsi" w:eastAsia="Times New Roman" w:hAnsiTheme="majorHAnsi" w:cstheme="majorHAnsi"/>
          <w:sz w:val="20"/>
          <w:szCs w:val="20"/>
          <w:lang w:eastAsia="ko-KR"/>
        </w:rPr>
        <w:t xml:space="preserve">, Greece, this research delves into the intricate meanings of </w:t>
      </w:r>
      <w:proofErr w:type="spellStart"/>
      <w:r w:rsidRPr="00077250">
        <w:rPr>
          <w:rFonts w:asciiTheme="majorHAnsi" w:eastAsia="Times New Roman" w:hAnsiTheme="majorHAnsi" w:cstheme="majorHAnsi"/>
          <w:sz w:val="20"/>
          <w:szCs w:val="20"/>
          <w:lang w:eastAsia="ko-KR"/>
        </w:rPr>
        <w:t>color</w:t>
      </w:r>
      <w:proofErr w:type="spellEnd"/>
      <w:r w:rsidRPr="00077250">
        <w:rPr>
          <w:rFonts w:asciiTheme="majorHAnsi" w:eastAsia="Times New Roman" w:hAnsiTheme="majorHAnsi" w:cstheme="majorHAnsi"/>
          <w:sz w:val="20"/>
          <w:szCs w:val="20"/>
          <w:lang w:eastAsia="ko-KR"/>
        </w:rPr>
        <w:t xml:space="preserve"> within the realm of Ottoman visual communication and identity formation.</w:t>
      </w:r>
    </w:p>
    <w:p w14:paraId="2C63C25B" w14:textId="77777777" w:rsidR="00077250" w:rsidRPr="00077250" w:rsidRDefault="00077250" w:rsidP="00077250">
      <w:pPr>
        <w:ind w:left="284" w:firstLine="284"/>
        <w:jc w:val="both"/>
        <w:rPr>
          <w:rFonts w:asciiTheme="majorHAnsi" w:eastAsia="Times New Roman" w:hAnsiTheme="majorHAnsi" w:cstheme="majorHAnsi"/>
          <w:sz w:val="20"/>
          <w:szCs w:val="20"/>
          <w:lang w:eastAsia="ko-KR"/>
        </w:rPr>
      </w:pPr>
      <w:r w:rsidRPr="00077250">
        <w:rPr>
          <w:rFonts w:asciiTheme="majorHAnsi" w:eastAsia="Times New Roman" w:hAnsiTheme="majorHAnsi" w:cstheme="majorHAnsi"/>
          <w:sz w:val="20"/>
          <w:szCs w:val="20"/>
          <w:lang w:eastAsia="ko-KR"/>
        </w:rPr>
        <w:t xml:space="preserve">The Ottoman preference for specific </w:t>
      </w:r>
      <w:proofErr w:type="spellStart"/>
      <w:r w:rsidRPr="00077250">
        <w:rPr>
          <w:rFonts w:asciiTheme="majorHAnsi" w:eastAsia="Times New Roman" w:hAnsiTheme="majorHAnsi" w:cstheme="majorHAnsi"/>
          <w:sz w:val="20"/>
          <w:szCs w:val="20"/>
          <w:lang w:eastAsia="ko-KR"/>
        </w:rPr>
        <w:t>colors</w:t>
      </w:r>
      <w:proofErr w:type="spellEnd"/>
      <w:r w:rsidRPr="00077250">
        <w:rPr>
          <w:rFonts w:asciiTheme="majorHAnsi" w:eastAsia="Times New Roman" w:hAnsiTheme="majorHAnsi" w:cstheme="majorHAnsi"/>
          <w:sz w:val="20"/>
          <w:szCs w:val="20"/>
          <w:lang w:eastAsia="ko-KR"/>
        </w:rPr>
        <w:t xml:space="preserve"> in their inscriptions was not purely a matter of aesthetics, but rather a deliberate expression of the profound symbolic and spiritual associations entrenched in Islamic tradition. In this regard, we must note that medieval understandings of </w:t>
      </w:r>
      <w:proofErr w:type="spellStart"/>
      <w:r w:rsidRPr="00077250">
        <w:rPr>
          <w:rFonts w:asciiTheme="majorHAnsi" w:eastAsia="Times New Roman" w:hAnsiTheme="majorHAnsi" w:cstheme="majorHAnsi"/>
          <w:sz w:val="20"/>
          <w:szCs w:val="20"/>
          <w:lang w:eastAsia="ko-KR"/>
        </w:rPr>
        <w:t>colors</w:t>
      </w:r>
      <w:proofErr w:type="spellEnd"/>
      <w:r w:rsidRPr="00077250">
        <w:rPr>
          <w:rFonts w:asciiTheme="majorHAnsi" w:eastAsia="Times New Roman" w:hAnsiTheme="majorHAnsi" w:cstheme="majorHAnsi"/>
          <w:sz w:val="20"/>
          <w:szCs w:val="20"/>
          <w:lang w:eastAsia="ko-KR"/>
        </w:rPr>
        <w:t xml:space="preserve"> differed from our modern perceptions, and even within the same culture and religion, there were variations from one sect to another. For example, the historian al-Masudi (4th H/10th c.) expressed a particular fondness for the </w:t>
      </w:r>
      <w:proofErr w:type="spellStart"/>
      <w:r w:rsidRPr="00077250">
        <w:rPr>
          <w:rFonts w:asciiTheme="majorHAnsi" w:eastAsia="Times New Roman" w:hAnsiTheme="majorHAnsi" w:cstheme="majorHAnsi"/>
          <w:sz w:val="20"/>
          <w:szCs w:val="20"/>
          <w:lang w:eastAsia="ko-KR"/>
        </w:rPr>
        <w:t>color</w:t>
      </w:r>
      <w:proofErr w:type="spellEnd"/>
      <w:r w:rsidRPr="00077250">
        <w:rPr>
          <w:rFonts w:asciiTheme="majorHAnsi" w:eastAsia="Times New Roman" w:hAnsiTheme="majorHAnsi" w:cstheme="majorHAnsi"/>
          <w:sz w:val="20"/>
          <w:szCs w:val="20"/>
          <w:lang w:eastAsia="ko-KR"/>
        </w:rPr>
        <w:t xml:space="preserve"> red, stating that it was associated with children, women, and joy. He also noted that red is considered visually appealing as it enlarges the pupil, in contrast to black, which narrows it. Al-Masudi's account is exemplified in the context of Ottoman Ghadames, Libya. In Seljuq and Ottoman Turkey, red was the </w:t>
      </w:r>
      <w:proofErr w:type="spellStart"/>
      <w:r w:rsidRPr="00077250">
        <w:rPr>
          <w:rFonts w:asciiTheme="majorHAnsi" w:eastAsia="Times New Roman" w:hAnsiTheme="majorHAnsi" w:cstheme="majorHAnsi"/>
          <w:sz w:val="20"/>
          <w:szCs w:val="20"/>
          <w:lang w:eastAsia="ko-KR"/>
        </w:rPr>
        <w:t>color</w:t>
      </w:r>
      <w:proofErr w:type="spellEnd"/>
      <w:r w:rsidRPr="00077250">
        <w:rPr>
          <w:rFonts w:asciiTheme="majorHAnsi" w:eastAsia="Times New Roman" w:hAnsiTheme="majorHAnsi" w:cstheme="majorHAnsi"/>
          <w:sz w:val="20"/>
          <w:szCs w:val="20"/>
          <w:lang w:eastAsia="ko-KR"/>
        </w:rPr>
        <w:t xml:space="preserve"> for brides. Still, it was </w:t>
      </w:r>
      <w:proofErr w:type="spellStart"/>
      <w:r w:rsidRPr="00077250">
        <w:rPr>
          <w:rFonts w:asciiTheme="majorHAnsi" w:eastAsia="Times New Roman" w:hAnsiTheme="majorHAnsi" w:cstheme="majorHAnsi"/>
          <w:sz w:val="20"/>
          <w:szCs w:val="20"/>
          <w:lang w:eastAsia="ko-KR"/>
        </w:rPr>
        <w:t>favored</w:t>
      </w:r>
      <w:proofErr w:type="spellEnd"/>
      <w:r w:rsidRPr="00077250">
        <w:rPr>
          <w:rFonts w:asciiTheme="majorHAnsi" w:eastAsia="Times New Roman" w:hAnsiTheme="majorHAnsi" w:cstheme="majorHAnsi"/>
          <w:sz w:val="20"/>
          <w:szCs w:val="20"/>
          <w:lang w:eastAsia="ko-KR"/>
        </w:rPr>
        <w:t xml:space="preserve"> by prostitutes in Mamluk Egypt. Notably, </w:t>
      </w:r>
      <w:proofErr w:type="spellStart"/>
      <w:r w:rsidRPr="00077250">
        <w:rPr>
          <w:rFonts w:asciiTheme="majorHAnsi" w:eastAsia="Times New Roman" w:hAnsiTheme="majorHAnsi" w:cstheme="majorHAnsi"/>
          <w:sz w:val="20"/>
          <w:szCs w:val="20"/>
          <w:lang w:eastAsia="ko-KR"/>
        </w:rPr>
        <w:t>Didymóteichon</w:t>
      </w:r>
      <w:proofErr w:type="spellEnd"/>
      <w:r w:rsidRPr="00077250">
        <w:rPr>
          <w:rFonts w:asciiTheme="majorHAnsi" w:eastAsia="Times New Roman" w:hAnsiTheme="majorHAnsi" w:cstheme="majorHAnsi"/>
          <w:sz w:val="20"/>
          <w:szCs w:val="20"/>
          <w:lang w:eastAsia="ko-KR"/>
        </w:rPr>
        <w:t xml:space="preserve">, the city under study, gained widespread recognition for its red glasses, dishes, bowls, and ewers, as documented by </w:t>
      </w:r>
      <w:proofErr w:type="spellStart"/>
      <w:r w:rsidRPr="00077250">
        <w:rPr>
          <w:rFonts w:asciiTheme="majorHAnsi" w:eastAsia="Times New Roman" w:hAnsiTheme="majorHAnsi" w:cstheme="majorHAnsi"/>
          <w:sz w:val="20"/>
          <w:szCs w:val="20"/>
          <w:lang w:eastAsia="ko-KR"/>
        </w:rPr>
        <w:t>Evliya</w:t>
      </w:r>
      <w:proofErr w:type="spellEnd"/>
      <w:r w:rsidRPr="00077250">
        <w:rPr>
          <w:rFonts w:asciiTheme="majorHAnsi" w:eastAsia="Times New Roman" w:hAnsiTheme="majorHAnsi" w:cstheme="majorHAnsi"/>
          <w:sz w:val="20"/>
          <w:szCs w:val="20"/>
          <w:lang w:eastAsia="ko-KR"/>
        </w:rPr>
        <w:t xml:space="preserve"> Çelebi </w:t>
      </w:r>
      <w:r w:rsidRPr="00077250">
        <w:rPr>
          <w:rFonts w:asciiTheme="majorHAnsi" w:eastAsia="Times New Roman" w:hAnsiTheme="majorHAnsi" w:cstheme="majorHAnsi"/>
          <w:sz w:val="20"/>
          <w:szCs w:val="20"/>
          <w:lang w:eastAsia="ko-KR"/>
        </w:rPr>
        <w:fldChar w:fldCharType="begin" w:fldLock="1"/>
      </w:r>
      <w:r w:rsidRPr="00077250">
        <w:rPr>
          <w:rFonts w:asciiTheme="majorHAnsi" w:eastAsia="Times New Roman" w:hAnsiTheme="majorHAnsi" w:cstheme="majorHAnsi"/>
          <w:sz w:val="20"/>
          <w:szCs w:val="20"/>
          <w:lang w:eastAsia="ko-KR"/>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077250">
        <w:rPr>
          <w:rFonts w:asciiTheme="majorHAnsi" w:eastAsia="Times New Roman" w:hAnsiTheme="majorHAnsi" w:cstheme="majorHAnsi"/>
          <w:sz w:val="20"/>
          <w:szCs w:val="20"/>
          <w:lang w:eastAsia="ko-KR"/>
        </w:rPr>
        <w:fldChar w:fldCharType="separate"/>
      </w:r>
      <w:r w:rsidRPr="00077250">
        <w:rPr>
          <w:rFonts w:asciiTheme="majorHAnsi" w:eastAsia="Times New Roman" w:hAnsiTheme="majorHAnsi" w:cstheme="majorHAnsi"/>
          <w:sz w:val="20"/>
          <w:szCs w:val="20"/>
          <w:lang w:eastAsia="ko-KR"/>
        </w:rPr>
        <w:t>[46]</w:t>
      </w:r>
      <w:r w:rsidRPr="00077250">
        <w:rPr>
          <w:rFonts w:asciiTheme="majorHAnsi" w:eastAsia="Times New Roman" w:hAnsiTheme="majorHAnsi" w:cstheme="majorHAnsi"/>
          <w:sz w:val="20"/>
          <w:szCs w:val="20"/>
          <w:lang w:eastAsia="ko-KR"/>
        </w:rPr>
        <w:fldChar w:fldCharType="end"/>
      </w:r>
      <w:r w:rsidRPr="00077250">
        <w:rPr>
          <w:rFonts w:asciiTheme="majorHAnsi" w:eastAsia="Times New Roman" w:hAnsiTheme="majorHAnsi" w:cstheme="majorHAnsi"/>
          <w:sz w:val="20"/>
          <w:szCs w:val="20"/>
          <w:lang w:eastAsia="ko-KR"/>
        </w:rPr>
        <w:fldChar w:fldCharType="begin" w:fldLock="1"/>
      </w:r>
      <w:r w:rsidRPr="00077250">
        <w:rPr>
          <w:rFonts w:asciiTheme="majorHAnsi" w:eastAsia="Times New Roman" w:hAnsiTheme="majorHAnsi" w:cstheme="majorHAnsi"/>
          <w:sz w:val="20"/>
          <w:szCs w:val="20"/>
          <w:lang w:eastAsia="ko-KR"/>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077250">
        <w:rPr>
          <w:rFonts w:asciiTheme="majorHAnsi" w:eastAsia="Times New Roman" w:hAnsiTheme="majorHAnsi" w:cstheme="majorHAnsi"/>
          <w:sz w:val="20"/>
          <w:szCs w:val="20"/>
          <w:lang w:eastAsia="ko-KR"/>
        </w:rPr>
        <w:fldChar w:fldCharType="separate"/>
      </w:r>
      <w:r w:rsidRPr="00077250">
        <w:rPr>
          <w:rFonts w:asciiTheme="majorHAnsi" w:eastAsia="Times New Roman" w:hAnsiTheme="majorHAnsi" w:cstheme="majorHAnsi"/>
          <w:sz w:val="20"/>
          <w:szCs w:val="20"/>
          <w:lang w:eastAsia="ko-KR"/>
        </w:rPr>
        <w:fldChar w:fldCharType="end"/>
      </w:r>
      <w:r w:rsidRPr="00077250">
        <w:rPr>
          <w:rFonts w:asciiTheme="majorHAnsi" w:eastAsia="Times New Roman" w:hAnsiTheme="majorHAnsi" w:cstheme="majorHAnsi"/>
          <w:sz w:val="20"/>
          <w:szCs w:val="20"/>
          <w:lang w:eastAsia="ko-KR"/>
        </w:rPr>
        <w:t xml:space="preserve">. </w:t>
      </w:r>
    </w:p>
    <w:p w14:paraId="0A23E059" w14:textId="77777777" w:rsidR="00077250" w:rsidRPr="00077250" w:rsidRDefault="00077250" w:rsidP="00077250">
      <w:pPr>
        <w:ind w:left="284" w:firstLine="284"/>
        <w:jc w:val="both"/>
        <w:rPr>
          <w:rFonts w:asciiTheme="majorHAnsi" w:eastAsia="Times New Roman" w:hAnsiTheme="majorHAnsi" w:cstheme="majorHAnsi"/>
          <w:sz w:val="20"/>
          <w:szCs w:val="20"/>
          <w:lang w:eastAsia="ko-KR"/>
        </w:rPr>
      </w:pPr>
      <w:r w:rsidRPr="00077250">
        <w:rPr>
          <w:rFonts w:asciiTheme="majorHAnsi" w:eastAsia="Times New Roman" w:hAnsiTheme="majorHAnsi" w:cstheme="majorHAnsi"/>
          <w:sz w:val="20"/>
          <w:szCs w:val="20"/>
          <w:lang w:eastAsia="ko-KR"/>
        </w:rPr>
        <w:t xml:space="preserve">In the same context, the strategic use of red evoked notions of passion, sacrifice, and religious </w:t>
      </w:r>
      <w:proofErr w:type="spellStart"/>
      <w:r w:rsidRPr="00077250">
        <w:rPr>
          <w:rFonts w:asciiTheme="majorHAnsi" w:eastAsia="Times New Roman" w:hAnsiTheme="majorHAnsi" w:cstheme="majorHAnsi"/>
          <w:sz w:val="20"/>
          <w:szCs w:val="20"/>
          <w:lang w:eastAsia="ko-KR"/>
        </w:rPr>
        <w:t>fervor</w:t>
      </w:r>
      <w:proofErr w:type="spellEnd"/>
      <w:r w:rsidRPr="00077250">
        <w:rPr>
          <w:rFonts w:asciiTheme="majorHAnsi" w:eastAsia="Times New Roman" w:hAnsiTheme="majorHAnsi" w:cstheme="majorHAnsi"/>
          <w:sz w:val="20"/>
          <w:szCs w:val="20"/>
          <w:lang w:eastAsia="ko-KR"/>
        </w:rPr>
        <w:t xml:space="preserve">, reaffirming the Ottomans' unwavering Islamic identity and their role as protectors of the Muslim faith </w:t>
      </w:r>
      <w:r w:rsidRPr="00077250">
        <w:rPr>
          <w:rFonts w:asciiTheme="majorHAnsi" w:eastAsia="Times New Roman" w:hAnsiTheme="majorHAnsi" w:cstheme="majorHAnsi"/>
          <w:sz w:val="20"/>
          <w:szCs w:val="20"/>
          <w:lang w:eastAsia="ko-KR"/>
        </w:rPr>
        <w:fldChar w:fldCharType="begin" w:fldLock="1"/>
      </w:r>
      <w:r w:rsidRPr="00077250">
        <w:rPr>
          <w:rFonts w:asciiTheme="majorHAnsi" w:eastAsia="Times New Roman" w:hAnsiTheme="majorHAnsi" w:cstheme="majorHAnsi"/>
          <w:sz w:val="20"/>
          <w:szCs w:val="20"/>
          <w:lang w:eastAsia="ko-KR"/>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077250">
        <w:rPr>
          <w:rFonts w:asciiTheme="majorHAnsi" w:eastAsia="Times New Roman" w:hAnsiTheme="majorHAnsi" w:cstheme="majorHAnsi"/>
          <w:sz w:val="20"/>
          <w:szCs w:val="20"/>
          <w:lang w:eastAsia="ko-KR"/>
        </w:rPr>
        <w:fldChar w:fldCharType="separate"/>
      </w:r>
      <w:r w:rsidRPr="00077250">
        <w:rPr>
          <w:rFonts w:asciiTheme="majorHAnsi" w:eastAsia="Times New Roman" w:hAnsiTheme="majorHAnsi" w:cstheme="majorHAnsi"/>
          <w:sz w:val="20"/>
          <w:szCs w:val="20"/>
          <w:lang w:eastAsia="ko-KR"/>
        </w:rPr>
        <w:t>[40]</w:t>
      </w:r>
      <w:r w:rsidRPr="00077250">
        <w:rPr>
          <w:rFonts w:asciiTheme="majorHAnsi" w:eastAsia="Times New Roman" w:hAnsiTheme="majorHAnsi" w:cstheme="majorHAnsi"/>
          <w:sz w:val="20"/>
          <w:szCs w:val="20"/>
          <w:lang w:eastAsia="ko-KR"/>
        </w:rPr>
        <w:fldChar w:fldCharType="end"/>
      </w:r>
      <w:r w:rsidRPr="00077250">
        <w:rPr>
          <w:rFonts w:asciiTheme="majorHAnsi" w:eastAsia="Times New Roman" w:hAnsiTheme="majorHAnsi" w:cstheme="majorHAnsi"/>
          <w:sz w:val="20"/>
          <w:szCs w:val="20"/>
          <w:lang w:eastAsia="ko-KR"/>
        </w:rPr>
        <w:t xml:space="preserve">, </w:t>
      </w:r>
      <w:r w:rsidRPr="00077250">
        <w:rPr>
          <w:rFonts w:asciiTheme="majorHAnsi" w:eastAsia="Times New Roman" w:hAnsiTheme="majorHAnsi" w:cstheme="majorHAnsi"/>
          <w:sz w:val="20"/>
          <w:szCs w:val="20"/>
          <w:lang w:eastAsia="ko-KR"/>
        </w:rPr>
        <w:fldChar w:fldCharType="begin" w:fldLock="1"/>
      </w:r>
      <w:r w:rsidRPr="00077250">
        <w:rPr>
          <w:rFonts w:asciiTheme="majorHAnsi" w:eastAsia="Times New Roman" w:hAnsiTheme="majorHAnsi" w:cstheme="majorHAnsi"/>
          <w:sz w:val="20"/>
          <w:szCs w:val="20"/>
          <w:lang w:eastAsia="ko-KR"/>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077250">
        <w:rPr>
          <w:rFonts w:asciiTheme="majorHAnsi" w:eastAsia="Times New Roman" w:hAnsiTheme="majorHAnsi" w:cstheme="majorHAnsi"/>
          <w:sz w:val="20"/>
          <w:szCs w:val="20"/>
          <w:lang w:eastAsia="ko-KR"/>
        </w:rPr>
        <w:fldChar w:fldCharType="separate"/>
      </w:r>
      <w:r w:rsidRPr="00077250">
        <w:rPr>
          <w:rFonts w:asciiTheme="majorHAnsi" w:eastAsia="Times New Roman" w:hAnsiTheme="majorHAnsi" w:cstheme="majorHAnsi"/>
          <w:sz w:val="20"/>
          <w:szCs w:val="20"/>
          <w:lang w:eastAsia="ko-KR"/>
        </w:rPr>
        <w:t>[41]</w:t>
      </w:r>
      <w:r w:rsidRPr="00077250">
        <w:rPr>
          <w:rFonts w:asciiTheme="majorHAnsi" w:eastAsia="Times New Roman" w:hAnsiTheme="majorHAnsi" w:cstheme="majorHAnsi"/>
          <w:sz w:val="20"/>
          <w:szCs w:val="20"/>
          <w:lang w:eastAsia="ko-KR"/>
        </w:rPr>
        <w:fldChar w:fldCharType="end"/>
      </w:r>
      <w:r w:rsidRPr="00077250">
        <w:rPr>
          <w:rFonts w:asciiTheme="majorHAnsi" w:eastAsia="Times New Roman" w:hAnsiTheme="majorHAnsi" w:cstheme="majorHAnsi"/>
          <w:sz w:val="20"/>
          <w:szCs w:val="20"/>
          <w:lang w:eastAsia="ko-KR"/>
        </w:rPr>
        <w:t xml:space="preserve">. Several indications support this belief, as documented in </w:t>
      </w:r>
      <w:proofErr w:type="spellStart"/>
      <w:r w:rsidRPr="00077250">
        <w:rPr>
          <w:rFonts w:asciiTheme="majorHAnsi" w:eastAsia="Times New Roman" w:hAnsiTheme="majorHAnsi" w:cstheme="majorHAnsi"/>
          <w:sz w:val="20"/>
          <w:szCs w:val="20"/>
          <w:lang w:eastAsia="ko-KR"/>
        </w:rPr>
        <w:t>Evliya</w:t>
      </w:r>
      <w:proofErr w:type="spellEnd"/>
      <w:r w:rsidRPr="00077250">
        <w:rPr>
          <w:rFonts w:asciiTheme="majorHAnsi" w:eastAsia="Times New Roman" w:hAnsiTheme="majorHAnsi" w:cstheme="majorHAnsi"/>
          <w:sz w:val="20"/>
          <w:szCs w:val="20"/>
          <w:lang w:eastAsia="ko-KR"/>
        </w:rPr>
        <w:t xml:space="preserve"> Çelebi’s book. For instance, the name of </w:t>
      </w:r>
      <w:proofErr w:type="spellStart"/>
      <w:r w:rsidRPr="00077250">
        <w:rPr>
          <w:rFonts w:asciiTheme="majorHAnsi" w:eastAsia="Times New Roman" w:hAnsiTheme="majorHAnsi" w:cstheme="majorHAnsi"/>
          <w:sz w:val="20"/>
          <w:szCs w:val="20"/>
          <w:lang w:eastAsia="ko-KR"/>
        </w:rPr>
        <w:t>Yâvedûd</w:t>
      </w:r>
      <w:proofErr w:type="spellEnd"/>
      <w:r w:rsidRPr="00077250">
        <w:rPr>
          <w:rFonts w:asciiTheme="majorHAnsi" w:eastAsia="Times New Roman" w:hAnsiTheme="majorHAnsi" w:cstheme="majorHAnsi"/>
          <w:sz w:val="20"/>
          <w:szCs w:val="20"/>
          <w:lang w:eastAsia="ko-KR"/>
        </w:rPr>
        <w:t xml:space="preserve"> </w:t>
      </w:r>
      <w:proofErr w:type="spellStart"/>
      <w:r w:rsidRPr="00077250">
        <w:rPr>
          <w:rFonts w:asciiTheme="majorHAnsi" w:eastAsia="Times New Roman" w:hAnsiTheme="majorHAnsi" w:cstheme="majorHAnsi"/>
          <w:sz w:val="20"/>
          <w:szCs w:val="20"/>
          <w:lang w:eastAsia="ko-KR"/>
        </w:rPr>
        <w:t>Sultân</w:t>
      </w:r>
      <w:proofErr w:type="spellEnd"/>
      <w:r w:rsidRPr="00077250">
        <w:rPr>
          <w:rFonts w:asciiTheme="majorHAnsi" w:eastAsia="Times New Roman" w:hAnsiTheme="majorHAnsi" w:cstheme="majorHAnsi"/>
          <w:sz w:val="20"/>
          <w:szCs w:val="20"/>
          <w:lang w:eastAsia="ko-KR"/>
        </w:rPr>
        <w:t xml:space="preserve"> (Sheikh Abdülvedûd Efendi, who took part in the siege and conquest of Istanbul) was inscribed on the mihrab of Hagia Sophia on red fabric, emitting a divine light </w:t>
      </w:r>
      <w:r w:rsidRPr="00077250">
        <w:rPr>
          <w:rFonts w:asciiTheme="majorHAnsi" w:eastAsia="Times New Roman" w:hAnsiTheme="majorHAnsi" w:cstheme="majorHAnsi"/>
          <w:sz w:val="20"/>
          <w:szCs w:val="20"/>
          <w:lang w:eastAsia="ko-KR"/>
        </w:rPr>
        <w:fldChar w:fldCharType="begin" w:fldLock="1"/>
      </w:r>
      <w:r w:rsidRPr="00077250">
        <w:rPr>
          <w:rFonts w:asciiTheme="majorHAnsi" w:eastAsia="Times New Roman" w:hAnsiTheme="majorHAnsi" w:cstheme="majorHAnsi"/>
          <w:sz w:val="20"/>
          <w:szCs w:val="20"/>
          <w:lang w:eastAsia="ko-KR"/>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077250">
        <w:rPr>
          <w:rFonts w:asciiTheme="majorHAnsi" w:eastAsia="Times New Roman" w:hAnsiTheme="majorHAnsi" w:cstheme="majorHAnsi"/>
          <w:sz w:val="20"/>
          <w:szCs w:val="20"/>
          <w:lang w:eastAsia="ko-KR"/>
        </w:rPr>
        <w:fldChar w:fldCharType="separate"/>
      </w:r>
      <w:r w:rsidRPr="00077250">
        <w:rPr>
          <w:rFonts w:asciiTheme="majorHAnsi" w:eastAsia="Times New Roman" w:hAnsiTheme="majorHAnsi" w:cstheme="majorHAnsi"/>
          <w:sz w:val="20"/>
          <w:szCs w:val="20"/>
          <w:lang w:eastAsia="ko-KR"/>
        </w:rPr>
        <w:fldChar w:fldCharType="end"/>
      </w:r>
      <w:r w:rsidRPr="00077250">
        <w:rPr>
          <w:rFonts w:asciiTheme="majorHAnsi" w:eastAsia="Times New Roman" w:hAnsiTheme="majorHAnsi" w:cstheme="majorHAnsi"/>
          <w:sz w:val="20"/>
          <w:szCs w:val="20"/>
          <w:lang w:eastAsia="ko-KR"/>
        </w:rPr>
        <w:fldChar w:fldCharType="begin" w:fldLock="1"/>
      </w:r>
      <w:r w:rsidRPr="00077250">
        <w:rPr>
          <w:rFonts w:asciiTheme="majorHAnsi" w:eastAsia="Times New Roman" w:hAnsiTheme="majorHAnsi" w:cstheme="majorHAnsi"/>
          <w:sz w:val="20"/>
          <w:szCs w:val="20"/>
          <w:lang w:eastAsia="ko-KR"/>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077250">
        <w:rPr>
          <w:rFonts w:asciiTheme="majorHAnsi" w:eastAsia="Times New Roman" w:hAnsiTheme="majorHAnsi" w:cstheme="majorHAnsi"/>
          <w:sz w:val="20"/>
          <w:szCs w:val="20"/>
          <w:lang w:eastAsia="ko-KR"/>
        </w:rPr>
        <w:fldChar w:fldCharType="separate"/>
      </w:r>
      <w:r w:rsidRPr="00077250">
        <w:rPr>
          <w:rFonts w:asciiTheme="majorHAnsi" w:eastAsia="Times New Roman" w:hAnsiTheme="majorHAnsi" w:cstheme="majorHAnsi"/>
          <w:sz w:val="20"/>
          <w:szCs w:val="20"/>
          <w:lang w:eastAsia="ko-KR"/>
        </w:rPr>
        <w:t>[47]</w:t>
      </w:r>
      <w:r w:rsidRPr="00077250">
        <w:rPr>
          <w:rFonts w:asciiTheme="majorHAnsi" w:eastAsia="Times New Roman" w:hAnsiTheme="majorHAnsi" w:cstheme="majorHAnsi"/>
          <w:sz w:val="20"/>
          <w:szCs w:val="20"/>
          <w:lang w:eastAsia="ko-KR"/>
        </w:rPr>
        <w:fldChar w:fldCharType="end"/>
      </w:r>
      <w:r w:rsidRPr="00077250">
        <w:rPr>
          <w:rFonts w:asciiTheme="majorHAnsi" w:eastAsia="Times New Roman" w:hAnsiTheme="majorHAnsi" w:cstheme="majorHAnsi"/>
          <w:sz w:val="20"/>
          <w:szCs w:val="20"/>
          <w:lang w:eastAsia="ko-KR"/>
        </w:rPr>
        <w:t xml:space="preserve">. Additionally, </w:t>
      </w:r>
      <w:proofErr w:type="spellStart"/>
      <w:r w:rsidRPr="00077250">
        <w:rPr>
          <w:rFonts w:asciiTheme="majorHAnsi" w:eastAsia="Times New Roman" w:hAnsiTheme="majorHAnsi" w:cstheme="majorHAnsi"/>
          <w:sz w:val="20"/>
          <w:szCs w:val="20"/>
          <w:lang w:eastAsia="ko-KR"/>
        </w:rPr>
        <w:t>Evliya</w:t>
      </w:r>
      <w:proofErr w:type="spellEnd"/>
      <w:r w:rsidRPr="00077250">
        <w:rPr>
          <w:rFonts w:asciiTheme="majorHAnsi" w:eastAsia="Times New Roman" w:hAnsiTheme="majorHAnsi" w:cstheme="majorHAnsi"/>
          <w:sz w:val="20"/>
          <w:szCs w:val="20"/>
          <w:lang w:eastAsia="ko-KR"/>
        </w:rPr>
        <w:t xml:space="preserve"> Çelebi mentioned that the sea turned red from the blood of numerous martyrs during the conquest of Istanbul and noted that the sea's </w:t>
      </w:r>
      <w:proofErr w:type="spellStart"/>
      <w:r w:rsidRPr="00077250">
        <w:rPr>
          <w:rFonts w:asciiTheme="majorHAnsi" w:eastAsia="Times New Roman" w:hAnsiTheme="majorHAnsi" w:cstheme="majorHAnsi"/>
          <w:sz w:val="20"/>
          <w:szCs w:val="20"/>
          <w:lang w:eastAsia="ko-KR"/>
        </w:rPr>
        <w:t>color</w:t>
      </w:r>
      <w:proofErr w:type="spellEnd"/>
      <w:r w:rsidRPr="00077250">
        <w:rPr>
          <w:rFonts w:asciiTheme="majorHAnsi" w:eastAsia="Times New Roman" w:hAnsiTheme="majorHAnsi" w:cstheme="majorHAnsi"/>
          <w:sz w:val="20"/>
          <w:szCs w:val="20"/>
          <w:lang w:eastAsia="ko-KR"/>
        </w:rPr>
        <w:t xml:space="preserve"> turned into a blood-red hue at the same time every year </w:t>
      </w:r>
      <w:r w:rsidRPr="00077250">
        <w:rPr>
          <w:rFonts w:asciiTheme="majorHAnsi" w:eastAsia="Times New Roman" w:hAnsiTheme="majorHAnsi" w:cstheme="majorHAnsi"/>
          <w:sz w:val="20"/>
          <w:szCs w:val="20"/>
          <w:lang w:eastAsia="ko-KR"/>
        </w:rPr>
        <w:fldChar w:fldCharType="begin" w:fldLock="1"/>
      </w:r>
      <w:r w:rsidRPr="00077250">
        <w:rPr>
          <w:rFonts w:asciiTheme="majorHAnsi" w:eastAsia="Times New Roman" w:hAnsiTheme="majorHAnsi" w:cstheme="majorHAnsi"/>
          <w:sz w:val="20"/>
          <w:szCs w:val="20"/>
          <w:lang w:eastAsia="ko-KR"/>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077250">
        <w:rPr>
          <w:rFonts w:asciiTheme="majorHAnsi" w:eastAsia="Times New Roman" w:hAnsiTheme="majorHAnsi" w:cstheme="majorHAnsi"/>
          <w:sz w:val="20"/>
          <w:szCs w:val="20"/>
          <w:lang w:eastAsia="ko-KR"/>
        </w:rPr>
        <w:fldChar w:fldCharType="separate"/>
      </w:r>
      <w:r w:rsidRPr="00077250">
        <w:rPr>
          <w:rFonts w:asciiTheme="majorHAnsi" w:eastAsia="Times New Roman" w:hAnsiTheme="majorHAnsi" w:cstheme="majorHAnsi"/>
          <w:sz w:val="20"/>
          <w:szCs w:val="20"/>
          <w:lang w:eastAsia="ko-KR"/>
        </w:rPr>
        <w:t>[47]</w:t>
      </w:r>
      <w:r w:rsidRPr="00077250">
        <w:rPr>
          <w:rFonts w:asciiTheme="majorHAnsi" w:eastAsia="Times New Roman" w:hAnsiTheme="majorHAnsi" w:cstheme="majorHAnsi"/>
          <w:sz w:val="20"/>
          <w:szCs w:val="20"/>
          <w:lang w:eastAsia="ko-KR"/>
        </w:rPr>
        <w:fldChar w:fldCharType="end"/>
      </w:r>
      <w:r w:rsidRPr="00077250">
        <w:rPr>
          <w:rFonts w:asciiTheme="majorHAnsi" w:eastAsia="Times New Roman" w:hAnsiTheme="majorHAnsi" w:cstheme="majorHAnsi"/>
          <w:sz w:val="20"/>
          <w:szCs w:val="20"/>
          <w:lang w:eastAsia="ko-KR"/>
        </w:rPr>
        <w:t xml:space="preserve">. Moreover, the incorporation of dark blue was laden with implications of authority, power, and the divine, symbolizing the Sultan's legitimacy and celestial connection </w:t>
      </w:r>
      <w:r w:rsidRPr="00077250">
        <w:rPr>
          <w:rFonts w:asciiTheme="majorHAnsi" w:eastAsia="Times New Roman" w:hAnsiTheme="majorHAnsi" w:cstheme="majorHAnsi"/>
          <w:sz w:val="20"/>
          <w:szCs w:val="20"/>
          <w:lang w:eastAsia="ko-KR"/>
        </w:rPr>
        <w:fldChar w:fldCharType="begin" w:fldLock="1"/>
      </w:r>
      <w:r w:rsidRPr="00077250">
        <w:rPr>
          <w:rFonts w:asciiTheme="majorHAnsi" w:eastAsia="Times New Roman" w:hAnsiTheme="majorHAnsi" w:cstheme="majorHAnsi"/>
          <w:sz w:val="20"/>
          <w:szCs w:val="20"/>
          <w:lang w:eastAsia="ko-KR"/>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077250">
        <w:rPr>
          <w:rFonts w:asciiTheme="majorHAnsi" w:eastAsia="Times New Roman" w:hAnsiTheme="majorHAnsi" w:cstheme="majorHAnsi"/>
          <w:sz w:val="20"/>
          <w:szCs w:val="20"/>
          <w:lang w:eastAsia="ko-KR"/>
        </w:rPr>
        <w:fldChar w:fldCharType="separate"/>
      </w:r>
      <w:r w:rsidRPr="00077250">
        <w:rPr>
          <w:rFonts w:asciiTheme="majorHAnsi" w:eastAsia="Times New Roman" w:hAnsiTheme="majorHAnsi" w:cstheme="majorHAnsi"/>
          <w:sz w:val="20"/>
          <w:szCs w:val="20"/>
          <w:lang w:eastAsia="ko-KR"/>
        </w:rPr>
        <w:t>[40]</w:t>
      </w:r>
      <w:r w:rsidRPr="00077250">
        <w:rPr>
          <w:rFonts w:asciiTheme="majorHAnsi" w:eastAsia="Times New Roman" w:hAnsiTheme="majorHAnsi" w:cstheme="majorHAnsi"/>
          <w:sz w:val="20"/>
          <w:szCs w:val="20"/>
          <w:lang w:eastAsia="ko-KR"/>
        </w:rPr>
        <w:fldChar w:fldCharType="end"/>
      </w:r>
      <w:r w:rsidRPr="00077250">
        <w:rPr>
          <w:rFonts w:asciiTheme="majorHAnsi" w:eastAsia="Times New Roman" w:hAnsiTheme="majorHAnsi" w:cstheme="majorHAnsi"/>
          <w:sz w:val="20"/>
          <w:szCs w:val="20"/>
          <w:lang w:eastAsia="ko-KR"/>
        </w:rPr>
        <w:t xml:space="preserve">. </w:t>
      </w:r>
    </w:p>
    <w:p w14:paraId="1D626E28" w14:textId="77777777" w:rsidR="00077250" w:rsidRPr="00077250" w:rsidRDefault="00077250" w:rsidP="00077250">
      <w:pPr>
        <w:ind w:left="284" w:firstLine="284"/>
        <w:jc w:val="both"/>
        <w:rPr>
          <w:rFonts w:asciiTheme="majorHAnsi" w:eastAsia="Times New Roman" w:hAnsiTheme="majorHAnsi" w:cstheme="majorHAnsi"/>
          <w:sz w:val="20"/>
          <w:szCs w:val="20"/>
          <w:lang w:eastAsia="ko-KR"/>
        </w:rPr>
      </w:pPr>
      <w:r w:rsidRPr="00077250">
        <w:rPr>
          <w:rFonts w:asciiTheme="majorHAnsi" w:eastAsia="Times New Roman" w:hAnsiTheme="majorHAnsi" w:cstheme="majorHAnsi"/>
          <w:sz w:val="20"/>
          <w:szCs w:val="20"/>
          <w:lang w:eastAsia="ko-KR"/>
        </w:rPr>
        <w:t xml:space="preserve">The interpretation of the symbolism of </w:t>
      </w:r>
      <w:proofErr w:type="spellStart"/>
      <w:r w:rsidRPr="00077250">
        <w:rPr>
          <w:rFonts w:asciiTheme="majorHAnsi" w:eastAsia="Times New Roman" w:hAnsiTheme="majorHAnsi" w:cstheme="majorHAnsi"/>
          <w:sz w:val="20"/>
          <w:szCs w:val="20"/>
          <w:lang w:eastAsia="ko-KR"/>
        </w:rPr>
        <w:t>colors</w:t>
      </w:r>
      <w:proofErr w:type="spellEnd"/>
      <w:r w:rsidRPr="00077250">
        <w:rPr>
          <w:rFonts w:asciiTheme="majorHAnsi" w:eastAsia="Times New Roman" w:hAnsiTheme="majorHAnsi" w:cstheme="majorHAnsi"/>
          <w:sz w:val="20"/>
          <w:szCs w:val="20"/>
          <w:lang w:eastAsia="ko-KR"/>
        </w:rPr>
        <w:t xml:space="preserve"> in Sufism varies, and there is no single consensus on the meaning of each </w:t>
      </w:r>
      <w:proofErr w:type="spellStart"/>
      <w:r w:rsidRPr="00077250">
        <w:rPr>
          <w:rFonts w:asciiTheme="majorHAnsi" w:eastAsia="Times New Roman" w:hAnsiTheme="majorHAnsi" w:cstheme="majorHAnsi"/>
          <w:sz w:val="20"/>
          <w:szCs w:val="20"/>
          <w:lang w:eastAsia="ko-KR"/>
        </w:rPr>
        <w:t>color</w:t>
      </w:r>
      <w:proofErr w:type="spellEnd"/>
      <w:r w:rsidRPr="00077250">
        <w:rPr>
          <w:rFonts w:asciiTheme="majorHAnsi" w:eastAsia="Times New Roman" w:hAnsiTheme="majorHAnsi" w:cstheme="majorHAnsi"/>
          <w:sz w:val="20"/>
          <w:szCs w:val="20"/>
          <w:lang w:eastAsia="ko-KR"/>
        </w:rPr>
        <w:t xml:space="preserve">. However, it is interesting to consider the Sufi perspective on the symbolism of </w:t>
      </w:r>
      <w:proofErr w:type="spellStart"/>
      <w:r w:rsidRPr="00077250">
        <w:rPr>
          <w:rFonts w:asciiTheme="majorHAnsi" w:eastAsia="Times New Roman" w:hAnsiTheme="majorHAnsi" w:cstheme="majorHAnsi"/>
          <w:sz w:val="20"/>
          <w:szCs w:val="20"/>
          <w:lang w:eastAsia="ko-KR"/>
        </w:rPr>
        <w:t>colors</w:t>
      </w:r>
      <w:proofErr w:type="spellEnd"/>
      <w:r w:rsidRPr="00077250">
        <w:rPr>
          <w:rFonts w:asciiTheme="majorHAnsi" w:eastAsia="Times New Roman" w:hAnsiTheme="majorHAnsi" w:cstheme="majorHAnsi"/>
          <w:sz w:val="20"/>
          <w:szCs w:val="20"/>
          <w:lang w:eastAsia="ko-KR"/>
        </w:rPr>
        <w:t xml:space="preserve">, particularly in light of the presence of Sufi verses in the same </w:t>
      </w:r>
      <w:proofErr w:type="spellStart"/>
      <w:r w:rsidRPr="00077250">
        <w:rPr>
          <w:rFonts w:asciiTheme="majorHAnsi" w:eastAsia="Times New Roman" w:hAnsiTheme="majorHAnsi" w:cstheme="majorHAnsi"/>
          <w:sz w:val="20"/>
          <w:szCs w:val="20"/>
          <w:lang w:eastAsia="ko-KR"/>
        </w:rPr>
        <w:t>colors</w:t>
      </w:r>
      <w:proofErr w:type="spellEnd"/>
      <w:r w:rsidRPr="00077250">
        <w:rPr>
          <w:rFonts w:asciiTheme="majorHAnsi" w:eastAsia="Times New Roman" w:hAnsiTheme="majorHAnsi" w:cstheme="majorHAnsi"/>
          <w:sz w:val="20"/>
          <w:szCs w:val="20"/>
          <w:lang w:eastAsia="ko-KR"/>
        </w:rPr>
        <w:t>, such as dark blue (or black), pale yellow (or white), and red, adorning the sides of the main portal. One of the most well-known interpretations comes from Al-</w:t>
      </w:r>
      <w:proofErr w:type="spellStart"/>
      <w:r w:rsidRPr="00077250">
        <w:rPr>
          <w:rFonts w:asciiTheme="majorHAnsi" w:eastAsia="Times New Roman" w:hAnsiTheme="majorHAnsi" w:cstheme="majorHAnsi"/>
          <w:sz w:val="20"/>
          <w:szCs w:val="20"/>
          <w:lang w:eastAsia="ko-KR"/>
        </w:rPr>
        <w:t>Suhrawardi</w:t>
      </w:r>
      <w:proofErr w:type="spellEnd"/>
      <w:r w:rsidRPr="00077250">
        <w:rPr>
          <w:rFonts w:asciiTheme="majorHAnsi" w:eastAsia="Times New Roman" w:hAnsiTheme="majorHAnsi" w:cstheme="majorHAnsi"/>
          <w:sz w:val="20"/>
          <w:szCs w:val="20"/>
          <w:lang w:eastAsia="ko-KR"/>
        </w:rPr>
        <w:t xml:space="preserve"> (d. 1191), who described the soul's progression through </w:t>
      </w:r>
      <w:proofErr w:type="spellStart"/>
      <w:r w:rsidRPr="00077250">
        <w:rPr>
          <w:rFonts w:asciiTheme="majorHAnsi" w:eastAsia="Times New Roman" w:hAnsiTheme="majorHAnsi" w:cstheme="majorHAnsi"/>
          <w:sz w:val="20"/>
          <w:szCs w:val="20"/>
          <w:lang w:eastAsia="ko-KR"/>
        </w:rPr>
        <w:t>colors</w:t>
      </w:r>
      <w:proofErr w:type="spellEnd"/>
      <w:r w:rsidRPr="00077250">
        <w:rPr>
          <w:rFonts w:asciiTheme="majorHAnsi" w:eastAsia="Times New Roman" w:hAnsiTheme="majorHAnsi" w:cstheme="majorHAnsi"/>
          <w:sz w:val="20"/>
          <w:szCs w:val="20"/>
          <w:lang w:eastAsia="ko-KR"/>
        </w:rPr>
        <w:t xml:space="preserve">, starting from black (representing the lowest state), then moving through red, and finally reaching white. Other Sufi scholars, such as Al-Ansari (11th century) and Najm al-Din Kubra (1145-1221), used a broader </w:t>
      </w:r>
      <w:proofErr w:type="spellStart"/>
      <w:r w:rsidRPr="00077250">
        <w:rPr>
          <w:rFonts w:asciiTheme="majorHAnsi" w:eastAsia="Times New Roman" w:hAnsiTheme="majorHAnsi" w:cstheme="majorHAnsi"/>
          <w:sz w:val="20"/>
          <w:szCs w:val="20"/>
          <w:lang w:eastAsia="ko-KR"/>
        </w:rPr>
        <w:t>color</w:t>
      </w:r>
      <w:proofErr w:type="spellEnd"/>
      <w:r w:rsidRPr="00077250">
        <w:rPr>
          <w:rFonts w:asciiTheme="majorHAnsi" w:eastAsia="Times New Roman" w:hAnsiTheme="majorHAnsi" w:cstheme="majorHAnsi"/>
          <w:sz w:val="20"/>
          <w:szCs w:val="20"/>
          <w:lang w:eastAsia="ko-KR"/>
        </w:rPr>
        <w:t xml:space="preserve"> palette to classify different aspects of the soul and levels of the universe </w:t>
      </w:r>
      <w:r w:rsidRPr="00077250">
        <w:rPr>
          <w:rFonts w:asciiTheme="majorHAnsi" w:eastAsia="Times New Roman" w:hAnsiTheme="majorHAnsi" w:cstheme="majorHAnsi"/>
          <w:sz w:val="20"/>
          <w:szCs w:val="20"/>
          <w:lang w:eastAsia="ko-KR"/>
        </w:rPr>
        <w:fldChar w:fldCharType="begin" w:fldLock="1"/>
      </w:r>
      <w:r w:rsidRPr="00077250">
        <w:rPr>
          <w:rFonts w:asciiTheme="majorHAnsi" w:eastAsia="Times New Roman" w:hAnsiTheme="majorHAnsi" w:cstheme="majorHAnsi"/>
          <w:sz w:val="20"/>
          <w:szCs w:val="20"/>
          <w:lang w:eastAsia="ko-KR"/>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077250">
        <w:rPr>
          <w:rFonts w:asciiTheme="majorHAnsi" w:eastAsia="Times New Roman" w:hAnsiTheme="majorHAnsi" w:cstheme="majorHAnsi"/>
          <w:sz w:val="20"/>
          <w:szCs w:val="20"/>
          <w:lang w:eastAsia="ko-KR"/>
        </w:rPr>
        <w:fldChar w:fldCharType="separate"/>
      </w:r>
      <w:r w:rsidRPr="00077250">
        <w:rPr>
          <w:rFonts w:asciiTheme="majorHAnsi" w:eastAsia="Times New Roman" w:hAnsiTheme="majorHAnsi" w:cstheme="majorHAnsi"/>
          <w:sz w:val="20"/>
          <w:szCs w:val="20"/>
          <w:lang w:eastAsia="ko-KR"/>
        </w:rPr>
        <w:t>[41]</w:t>
      </w:r>
      <w:r w:rsidRPr="00077250">
        <w:rPr>
          <w:rFonts w:asciiTheme="majorHAnsi" w:eastAsia="Times New Roman" w:hAnsiTheme="majorHAnsi" w:cstheme="majorHAnsi"/>
          <w:sz w:val="20"/>
          <w:szCs w:val="20"/>
          <w:lang w:eastAsia="ko-KR"/>
        </w:rPr>
        <w:fldChar w:fldCharType="end"/>
      </w:r>
      <w:r w:rsidRPr="00077250">
        <w:rPr>
          <w:rFonts w:asciiTheme="majorHAnsi" w:eastAsia="Times New Roman" w:hAnsiTheme="majorHAnsi" w:cstheme="majorHAnsi"/>
          <w:sz w:val="20"/>
          <w:szCs w:val="20"/>
          <w:lang w:eastAsia="ko-KR"/>
        </w:rPr>
        <w:t>.</w:t>
      </w:r>
    </w:p>
    <w:p w14:paraId="6428B45E" w14:textId="77777777" w:rsidR="00077250" w:rsidRPr="00077250" w:rsidRDefault="00077250" w:rsidP="00077250">
      <w:pPr>
        <w:ind w:left="284" w:firstLine="284"/>
        <w:jc w:val="both"/>
        <w:rPr>
          <w:rFonts w:asciiTheme="majorHAnsi" w:eastAsia="Times New Roman" w:hAnsiTheme="majorHAnsi" w:cstheme="majorHAnsi" w:hint="cs"/>
          <w:sz w:val="20"/>
          <w:szCs w:val="20"/>
          <w:rtl/>
          <w:lang w:eastAsia="ko-KR"/>
        </w:rPr>
      </w:pPr>
      <w:proofErr w:type="spellStart"/>
      <w:r w:rsidRPr="00077250">
        <w:rPr>
          <w:rFonts w:asciiTheme="majorHAnsi" w:eastAsia="Times New Roman" w:hAnsiTheme="majorHAnsi" w:cstheme="majorHAnsi"/>
          <w:sz w:val="20"/>
          <w:szCs w:val="20"/>
          <w:lang w:eastAsia="ko-KR"/>
        </w:rPr>
        <w:t>Color</w:t>
      </w:r>
      <w:proofErr w:type="spellEnd"/>
      <w:r w:rsidRPr="00077250">
        <w:rPr>
          <w:rFonts w:asciiTheme="majorHAnsi" w:eastAsia="Times New Roman" w:hAnsiTheme="majorHAnsi" w:cstheme="majorHAnsi"/>
          <w:sz w:val="20"/>
          <w:szCs w:val="20"/>
          <w:lang w:eastAsia="ko-KR"/>
        </w:rPr>
        <w:t xml:space="preserve"> served as a potent tool for visual communication, enabling the Ottomans to employ strategic contrasts and harmonies to direct the viewer's focus and establish visual hierarchies within the inscriptions. The juxtaposition of dark blue lettering against a pale-yellow backdrop, accentuated by dynamic red outlines, created a visually compelling composition that immediately captured the observer's attention. This adept manipulation of </w:t>
      </w:r>
      <w:proofErr w:type="spellStart"/>
      <w:r w:rsidRPr="00077250">
        <w:rPr>
          <w:rFonts w:asciiTheme="majorHAnsi" w:eastAsia="Times New Roman" w:hAnsiTheme="majorHAnsi" w:cstheme="majorHAnsi"/>
          <w:sz w:val="20"/>
          <w:szCs w:val="20"/>
          <w:lang w:eastAsia="ko-KR"/>
        </w:rPr>
        <w:t>color</w:t>
      </w:r>
      <w:proofErr w:type="spellEnd"/>
      <w:r w:rsidRPr="00077250">
        <w:rPr>
          <w:rFonts w:asciiTheme="majorHAnsi" w:eastAsia="Times New Roman" w:hAnsiTheme="majorHAnsi" w:cstheme="majorHAnsi"/>
          <w:sz w:val="20"/>
          <w:szCs w:val="20"/>
          <w:lang w:eastAsia="ko-KR"/>
        </w:rPr>
        <w:t xml:space="preserve"> allowed the Ottomans to prioritize specific textual elements, such as the names of the ruling Sultan or significant Quranic verses, thereby reinforcing their political and religious authority </w:t>
      </w:r>
      <w:r w:rsidRPr="00077250">
        <w:rPr>
          <w:rFonts w:asciiTheme="majorHAnsi" w:eastAsia="Times New Roman" w:hAnsiTheme="majorHAnsi" w:cstheme="majorHAnsi"/>
          <w:sz w:val="20"/>
          <w:szCs w:val="20"/>
          <w:lang w:eastAsia="ko-KR"/>
        </w:rPr>
        <w:fldChar w:fldCharType="begin" w:fldLock="1"/>
      </w:r>
      <w:r w:rsidRPr="00077250">
        <w:rPr>
          <w:rFonts w:asciiTheme="majorHAnsi" w:eastAsia="Times New Roman" w:hAnsiTheme="majorHAnsi" w:cstheme="majorHAnsi"/>
          <w:sz w:val="20"/>
          <w:szCs w:val="20"/>
          <w:lang w:eastAsia="ko-KR"/>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077250">
        <w:rPr>
          <w:rFonts w:asciiTheme="majorHAnsi" w:eastAsia="Times New Roman" w:hAnsiTheme="majorHAnsi" w:cstheme="majorHAnsi"/>
          <w:sz w:val="20"/>
          <w:szCs w:val="20"/>
          <w:lang w:eastAsia="ko-KR"/>
        </w:rPr>
        <w:fldChar w:fldCharType="separate"/>
      </w:r>
      <w:r w:rsidRPr="00077250">
        <w:rPr>
          <w:rFonts w:asciiTheme="majorHAnsi" w:eastAsia="Times New Roman" w:hAnsiTheme="majorHAnsi" w:cstheme="majorHAnsi"/>
          <w:sz w:val="20"/>
          <w:szCs w:val="20"/>
          <w:lang w:eastAsia="ko-KR"/>
        </w:rPr>
        <w:t>[43]</w:t>
      </w:r>
      <w:r w:rsidRPr="00077250">
        <w:rPr>
          <w:rFonts w:asciiTheme="majorHAnsi" w:eastAsia="Times New Roman" w:hAnsiTheme="majorHAnsi" w:cstheme="majorHAnsi"/>
          <w:sz w:val="20"/>
          <w:szCs w:val="20"/>
          <w:lang w:eastAsia="ko-KR"/>
        </w:rPr>
        <w:fldChar w:fldCharType="end"/>
      </w:r>
      <w:r w:rsidRPr="00077250">
        <w:rPr>
          <w:rFonts w:asciiTheme="majorHAnsi" w:eastAsia="Times New Roman" w:hAnsiTheme="majorHAnsi" w:cstheme="majorHAnsi"/>
          <w:sz w:val="20"/>
          <w:szCs w:val="20"/>
          <w:lang w:eastAsia="ko-KR"/>
        </w:rPr>
        <w:t>.</w:t>
      </w:r>
    </w:p>
    <w:p w14:paraId="089C7110" w14:textId="77777777" w:rsidR="00077250" w:rsidRPr="00077250" w:rsidRDefault="00077250" w:rsidP="00077250">
      <w:pPr>
        <w:ind w:left="284" w:firstLine="284"/>
        <w:jc w:val="both"/>
        <w:rPr>
          <w:rFonts w:asciiTheme="majorHAnsi" w:eastAsia="Times New Roman" w:hAnsiTheme="majorHAnsi" w:cstheme="majorHAnsi"/>
          <w:sz w:val="20"/>
          <w:szCs w:val="20"/>
          <w:lang w:eastAsia="ko-KR"/>
        </w:rPr>
      </w:pPr>
      <w:r w:rsidRPr="00077250">
        <w:rPr>
          <w:rFonts w:asciiTheme="majorHAnsi" w:eastAsia="Times New Roman" w:hAnsiTheme="majorHAnsi" w:cstheme="majorHAnsi"/>
          <w:sz w:val="20"/>
          <w:szCs w:val="20"/>
          <w:lang w:eastAsia="ko-KR"/>
        </w:rPr>
        <w:t xml:space="preserve">The juxtaposition of dark blue and lightened "white" or pale yellow, accompanied by dynamic red, is not only aesthetically pleasing but also visually delightful. This contrast is further exemplified in the mosque's architecture, as seen in the arches of the doors, portals, and windows, underscoring its significance. An intriguing instance of the mix of white and red hues can be observed in the execution of the Kufic inscription of the </w:t>
      </w:r>
      <w:r w:rsidRPr="00077250">
        <w:rPr>
          <w:rFonts w:asciiTheme="majorHAnsi" w:eastAsia="Times New Roman" w:hAnsiTheme="majorHAnsi" w:cstheme="majorHAnsi"/>
          <w:i/>
          <w:iCs/>
          <w:sz w:val="20"/>
          <w:szCs w:val="20"/>
          <w:lang w:eastAsia="ko-KR"/>
        </w:rPr>
        <w:t>Shahada</w:t>
      </w:r>
      <w:r w:rsidRPr="00077250">
        <w:rPr>
          <w:rFonts w:asciiTheme="majorHAnsi" w:eastAsia="Times New Roman" w:hAnsiTheme="majorHAnsi" w:cstheme="majorHAnsi"/>
          <w:sz w:val="20"/>
          <w:szCs w:val="20"/>
          <w:lang w:eastAsia="ko-KR"/>
        </w:rPr>
        <w:t xml:space="preserve">, particularly on the balcony of the minaret of the Kara Mehmet Agha Mosque in Istanbul </w:t>
      </w:r>
      <w:r w:rsidRPr="00077250">
        <w:rPr>
          <w:rFonts w:asciiTheme="majorHAnsi" w:eastAsia="Times New Roman" w:hAnsiTheme="majorHAnsi" w:cstheme="majorHAnsi"/>
          <w:sz w:val="20"/>
          <w:szCs w:val="20"/>
          <w:lang w:eastAsia="ko-KR"/>
        </w:rPr>
        <w:fldChar w:fldCharType="begin" w:fldLock="1"/>
      </w:r>
      <w:r w:rsidRPr="00077250">
        <w:rPr>
          <w:rFonts w:asciiTheme="majorHAnsi" w:eastAsia="Times New Roman" w:hAnsiTheme="majorHAnsi" w:cstheme="majorHAnsi"/>
          <w:sz w:val="20"/>
          <w:szCs w:val="20"/>
          <w:lang w:eastAsia="ko-KR"/>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077250">
        <w:rPr>
          <w:rFonts w:asciiTheme="majorHAnsi" w:eastAsia="Times New Roman" w:hAnsiTheme="majorHAnsi" w:cstheme="majorHAnsi"/>
          <w:sz w:val="20"/>
          <w:szCs w:val="20"/>
          <w:lang w:eastAsia="ko-KR"/>
        </w:rPr>
        <w:fldChar w:fldCharType="separate"/>
      </w:r>
      <w:r w:rsidRPr="00077250">
        <w:rPr>
          <w:rFonts w:asciiTheme="majorHAnsi" w:eastAsia="Times New Roman" w:hAnsiTheme="majorHAnsi" w:cstheme="majorHAnsi"/>
          <w:sz w:val="20"/>
          <w:szCs w:val="20"/>
          <w:lang w:eastAsia="ko-KR"/>
        </w:rPr>
        <w:t>[47]</w:t>
      </w:r>
      <w:r w:rsidRPr="00077250">
        <w:rPr>
          <w:rFonts w:asciiTheme="majorHAnsi" w:eastAsia="Times New Roman" w:hAnsiTheme="majorHAnsi" w:cstheme="majorHAnsi"/>
          <w:sz w:val="20"/>
          <w:szCs w:val="20"/>
          <w:lang w:eastAsia="ko-KR"/>
        </w:rPr>
        <w:fldChar w:fldCharType="end"/>
      </w:r>
      <w:r w:rsidRPr="00077250">
        <w:rPr>
          <w:rFonts w:asciiTheme="majorHAnsi" w:eastAsia="Times New Roman" w:hAnsiTheme="majorHAnsi" w:cstheme="majorHAnsi"/>
          <w:sz w:val="20"/>
          <w:szCs w:val="20"/>
          <w:lang w:eastAsia="ko-KR"/>
        </w:rPr>
        <w:t>.</w:t>
      </w:r>
    </w:p>
    <w:p w14:paraId="74AA3067" w14:textId="77777777" w:rsidR="00077250" w:rsidRPr="00077250" w:rsidRDefault="00077250" w:rsidP="00077250">
      <w:pPr>
        <w:ind w:left="284" w:firstLine="284"/>
        <w:jc w:val="both"/>
        <w:rPr>
          <w:rFonts w:asciiTheme="majorHAnsi" w:eastAsia="Times New Roman" w:hAnsiTheme="majorHAnsi" w:cstheme="majorHAnsi"/>
          <w:sz w:val="20"/>
          <w:szCs w:val="20"/>
          <w:lang w:eastAsia="ko-KR"/>
        </w:rPr>
      </w:pPr>
      <w:r w:rsidRPr="00077250">
        <w:rPr>
          <w:rFonts w:asciiTheme="majorHAnsi" w:eastAsia="Times New Roman" w:hAnsiTheme="majorHAnsi" w:cstheme="majorHAnsi"/>
          <w:sz w:val="20"/>
          <w:szCs w:val="20"/>
          <w:lang w:eastAsia="ko-KR"/>
        </w:rPr>
        <w:t xml:space="preserve">The refined use of </w:t>
      </w:r>
      <w:proofErr w:type="spellStart"/>
      <w:r w:rsidRPr="00077250">
        <w:rPr>
          <w:rFonts w:asciiTheme="majorHAnsi" w:eastAsia="Times New Roman" w:hAnsiTheme="majorHAnsi" w:cstheme="majorHAnsi"/>
          <w:sz w:val="20"/>
          <w:szCs w:val="20"/>
          <w:lang w:eastAsia="ko-KR"/>
        </w:rPr>
        <w:t>color</w:t>
      </w:r>
      <w:proofErr w:type="spellEnd"/>
      <w:r w:rsidRPr="00077250">
        <w:rPr>
          <w:rFonts w:asciiTheme="majorHAnsi" w:eastAsia="Times New Roman" w:hAnsiTheme="majorHAnsi" w:cstheme="majorHAnsi"/>
          <w:sz w:val="20"/>
          <w:szCs w:val="20"/>
          <w:lang w:eastAsia="ko-KR"/>
        </w:rPr>
        <w:t xml:space="preserve"> in Ottoman inscriptions is indicative of the empire's artistic sophistication and its ability to seamlessly integrate visual elements into a harmonious and aesthetically pleasing whole. Careful attention to </w:t>
      </w:r>
      <w:proofErr w:type="spellStart"/>
      <w:r w:rsidRPr="00077250">
        <w:rPr>
          <w:rFonts w:asciiTheme="majorHAnsi" w:eastAsia="Times New Roman" w:hAnsiTheme="majorHAnsi" w:cstheme="majorHAnsi"/>
          <w:sz w:val="20"/>
          <w:szCs w:val="20"/>
          <w:lang w:eastAsia="ko-KR"/>
        </w:rPr>
        <w:t>color</w:t>
      </w:r>
      <w:proofErr w:type="spellEnd"/>
      <w:r w:rsidRPr="00077250">
        <w:rPr>
          <w:rFonts w:asciiTheme="majorHAnsi" w:eastAsia="Times New Roman" w:hAnsiTheme="majorHAnsi" w:cstheme="majorHAnsi"/>
          <w:sz w:val="20"/>
          <w:szCs w:val="20"/>
          <w:lang w:eastAsia="ko-KR"/>
        </w:rPr>
        <w:t xml:space="preserve"> balance, gradation, and the interplay of form and background showcases a nuanced comprehension of </w:t>
      </w:r>
      <w:proofErr w:type="spellStart"/>
      <w:r w:rsidRPr="00077250">
        <w:rPr>
          <w:rFonts w:asciiTheme="majorHAnsi" w:eastAsia="Times New Roman" w:hAnsiTheme="majorHAnsi" w:cstheme="majorHAnsi"/>
          <w:sz w:val="20"/>
          <w:szCs w:val="20"/>
          <w:lang w:eastAsia="ko-KR"/>
        </w:rPr>
        <w:t>color</w:t>
      </w:r>
      <w:proofErr w:type="spellEnd"/>
      <w:r w:rsidRPr="00077250">
        <w:rPr>
          <w:rFonts w:asciiTheme="majorHAnsi" w:eastAsia="Times New Roman" w:hAnsiTheme="majorHAnsi" w:cstheme="majorHAnsi"/>
          <w:sz w:val="20"/>
          <w:szCs w:val="20"/>
          <w:lang w:eastAsia="ko-KR"/>
        </w:rPr>
        <w:t xml:space="preserve"> theory and its application in the visual arts. This aesthetically refined approach, </w:t>
      </w:r>
      <w:r w:rsidRPr="00077250">
        <w:rPr>
          <w:rFonts w:asciiTheme="majorHAnsi" w:eastAsia="Times New Roman" w:hAnsiTheme="majorHAnsi" w:cstheme="majorHAnsi"/>
          <w:sz w:val="20"/>
          <w:szCs w:val="20"/>
          <w:lang w:eastAsia="ko-KR"/>
        </w:rPr>
        <w:lastRenderedPageBreak/>
        <w:t xml:space="preserve">coupled with the consistent use of a distinct </w:t>
      </w:r>
      <w:proofErr w:type="spellStart"/>
      <w:r w:rsidRPr="00077250">
        <w:rPr>
          <w:rFonts w:asciiTheme="majorHAnsi" w:eastAsia="Times New Roman" w:hAnsiTheme="majorHAnsi" w:cstheme="majorHAnsi"/>
          <w:sz w:val="20"/>
          <w:szCs w:val="20"/>
          <w:lang w:eastAsia="ko-KR"/>
        </w:rPr>
        <w:t>color</w:t>
      </w:r>
      <w:proofErr w:type="spellEnd"/>
      <w:r w:rsidRPr="00077250">
        <w:rPr>
          <w:rFonts w:asciiTheme="majorHAnsi" w:eastAsia="Times New Roman" w:hAnsiTheme="majorHAnsi" w:cstheme="majorHAnsi"/>
          <w:sz w:val="20"/>
          <w:szCs w:val="20"/>
          <w:lang w:eastAsia="ko-KR"/>
        </w:rPr>
        <w:t xml:space="preserve"> palette, facilitated the establishment of a visual identity that was unmistakably Ottoman and Islamic, thereby reinforcing the empire's cultural hegemony in its domains </w:t>
      </w:r>
      <w:r w:rsidRPr="00077250">
        <w:rPr>
          <w:rFonts w:asciiTheme="majorHAnsi" w:eastAsia="Times New Roman" w:hAnsiTheme="majorHAnsi" w:cstheme="majorHAnsi"/>
          <w:sz w:val="20"/>
          <w:szCs w:val="20"/>
          <w:lang w:eastAsia="ko-KR"/>
        </w:rPr>
        <w:fldChar w:fldCharType="begin" w:fldLock="1"/>
      </w:r>
      <w:r w:rsidRPr="00077250">
        <w:rPr>
          <w:rFonts w:asciiTheme="majorHAnsi" w:eastAsia="Times New Roman" w:hAnsiTheme="majorHAnsi" w:cstheme="majorHAnsi"/>
          <w:sz w:val="20"/>
          <w:szCs w:val="20"/>
          <w:lang w:eastAsia="ko-KR"/>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077250">
        <w:rPr>
          <w:rFonts w:asciiTheme="majorHAnsi" w:eastAsia="Times New Roman" w:hAnsiTheme="majorHAnsi" w:cstheme="majorHAnsi"/>
          <w:sz w:val="20"/>
          <w:szCs w:val="20"/>
          <w:lang w:eastAsia="ko-KR"/>
        </w:rPr>
        <w:fldChar w:fldCharType="separate"/>
      </w:r>
      <w:r w:rsidRPr="00077250">
        <w:rPr>
          <w:rFonts w:asciiTheme="majorHAnsi" w:eastAsia="Times New Roman" w:hAnsiTheme="majorHAnsi" w:cstheme="majorHAnsi"/>
          <w:sz w:val="20"/>
          <w:szCs w:val="20"/>
          <w:lang w:eastAsia="ko-KR"/>
        </w:rPr>
        <w:t>[44]</w:t>
      </w:r>
      <w:r w:rsidRPr="00077250">
        <w:rPr>
          <w:rFonts w:asciiTheme="majorHAnsi" w:eastAsia="Times New Roman" w:hAnsiTheme="majorHAnsi" w:cstheme="majorHAnsi"/>
          <w:sz w:val="20"/>
          <w:szCs w:val="20"/>
          <w:lang w:eastAsia="ko-KR"/>
        </w:rPr>
        <w:fldChar w:fldCharType="end"/>
      </w:r>
      <w:r w:rsidRPr="00077250">
        <w:rPr>
          <w:rFonts w:asciiTheme="majorHAnsi" w:eastAsia="Times New Roman" w:hAnsiTheme="majorHAnsi" w:cstheme="majorHAnsi"/>
          <w:sz w:val="20"/>
          <w:szCs w:val="20"/>
          <w:lang w:eastAsia="ko-KR"/>
        </w:rPr>
        <w:t>.</w:t>
      </w:r>
    </w:p>
    <w:p w14:paraId="400FC519" w14:textId="77777777" w:rsidR="00077250" w:rsidRPr="00077250" w:rsidRDefault="00077250" w:rsidP="00077250">
      <w:pPr>
        <w:ind w:left="284" w:firstLine="284"/>
        <w:jc w:val="both"/>
        <w:rPr>
          <w:rFonts w:asciiTheme="majorHAnsi" w:eastAsia="Times New Roman" w:hAnsiTheme="majorHAnsi" w:cstheme="majorHAnsi"/>
          <w:sz w:val="20"/>
          <w:szCs w:val="20"/>
          <w:lang w:eastAsia="ko-KR"/>
        </w:rPr>
      </w:pPr>
      <w:r w:rsidRPr="00077250">
        <w:rPr>
          <w:rFonts w:asciiTheme="majorHAnsi" w:eastAsia="Times New Roman" w:hAnsiTheme="majorHAnsi" w:cstheme="majorHAnsi"/>
          <w:sz w:val="20"/>
          <w:szCs w:val="20"/>
          <w:lang w:eastAsia="ko-KR"/>
        </w:rPr>
        <w:t xml:space="preserve">The Ottomans' strategic employment of </w:t>
      </w:r>
      <w:proofErr w:type="spellStart"/>
      <w:r w:rsidRPr="00077250">
        <w:rPr>
          <w:rFonts w:asciiTheme="majorHAnsi" w:eastAsia="Times New Roman" w:hAnsiTheme="majorHAnsi" w:cstheme="majorHAnsi"/>
          <w:sz w:val="20"/>
          <w:szCs w:val="20"/>
          <w:lang w:eastAsia="ko-KR"/>
        </w:rPr>
        <w:t>color</w:t>
      </w:r>
      <w:proofErr w:type="spellEnd"/>
      <w:r w:rsidRPr="00077250">
        <w:rPr>
          <w:rFonts w:asciiTheme="majorHAnsi" w:eastAsia="Times New Roman" w:hAnsiTheme="majorHAnsi" w:cstheme="majorHAnsi"/>
          <w:sz w:val="20"/>
          <w:szCs w:val="20"/>
          <w:lang w:eastAsia="ko-KR"/>
        </w:rPr>
        <w:t xml:space="preserve"> in their inscriptions extended beyond symbolism and aesthetics, incorporating the emotional and psychological impact of </w:t>
      </w:r>
      <w:proofErr w:type="spellStart"/>
      <w:r w:rsidRPr="00077250">
        <w:rPr>
          <w:rFonts w:asciiTheme="majorHAnsi" w:eastAsia="Times New Roman" w:hAnsiTheme="majorHAnsi" w:cstheme="majorHAnsi"/>
          <w:sz w:val="20"/>
          <w:szCs w:val="20"/>
          <w:lang w:eastAsia="ko-KR"/>
        </w:rPr>
        <w:t>color</w:t>
      </w:r>
      <w:proofErr w:type="spellEnd"/>
      <w:r w:rsidRPr="00077250">
        <w:rPr>
          <w:rFonts w:asciiTheme="majorHAnsi" w:eastAsia="Times New Roman" w:hAnsiTheme="majorHAnsi" w:cstheme="majorHAnsi"/>
          <w:sz w:val="20"/>
          <w:szCs w:val="20"/>
          <w:lang w:eastAsia="ko-KR"/>
        </w:rPr>
        <w:t xml:space="preserve"> on the observer. By selecting hues that inspired awe, reverence, and a sense of the divine, the Ottomans were able to shape the viewer's experience and amplify the overall influence of the inscriptions. This sophisticated comprehension of </w:t>
      </w:r>
      <w:proofErr w:type="spellStart"/>
      <w:r w:rsidRPr="00077250">
        <w:rPr>
          <w:rFonts w:asciiTheme="majorHAnsi" w:eastAsia="Times New Roman" w:hAnsiTheme="majorHAnsi" w:cstheme="majorHAnsi"/>
          <w:sz w:val="20"/>
          <w:szCs w:val="20"/>
          <w:lang w:eastAsia="ko-KR"/>
        </w:rPr>
        <w:t>color's</w:t>
      </w:r>
      <w:proofErr w:type="spellEnd"/>
      <w:r w:rsidRPr="00077250">
        <w:rPr>
          <w:rFonts w:asciiTheme="majorHAnsi" w:eastAsia="Times New Roman" w:hAnsiTheme="majorHAnsi" w:cstheme="majorHAnsi"/>
          <w:sz w:val="20"/>
          <w:szCs w:val="20"/>
          <w:lang w:eastAsia="ko-KR"/>
        </w:rPr>
        <w:t xml:space="preserve"> capacity to evoke specific emotional responses underscores the Ottomans' profound understanding of visual communication and its ability to shape cultural perceptions and affiliations </w:t>
      </w:r>
      <w:r w:rsidRPr="00077250">
        <w:rPr>
          <w:rFonts w:asciiTheme="majorHAnsi" w:eastAsia="Times New Roman" w:hAnsiTheme="majorHAnsi" w:cstheme="majorHAnsi"/>
          <w:sz w:val="20"/>
          <w:szCs w:val="20"/>
          <w:lang w:eastAsia="ko-KR"/>
        </w:rPr>
        <w:fldChar w:fldCharType="begin" w:fldLock="1"/>
      </w:r>
      <w:r w:rsidRPr="00077250">
        <w:rPr>
          <w:rFonts w:asciiTheme="majorHAnsi" w:eastAsia="Times New Roman" w:hAnsiTheme="majorHAnsi" w:cstheme="majorHAnsi"/>
          <w:sz w:val="20"/>
          <w:szCs w:val="20"/>
          <w:lang w:eastAsia="ko-KR"/>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077250">
        <w:rPr>
          <w:rFonts w:asciiTheme="majorHAnsi" w:eastAsia="Times New Roman" w:hAnsiTheme="majorHAnsi" w:cstheme="majorHAnsi"/>
          <w:sz w:val="20"/>
          <w:szCs w:val="20"/>
          <w:lang w:eastAsia="ko-KR"/>
        </w:rPr>
        <w:fldChar w:fldCharType="separate"/>
      </w:r>
      <w:r w:rsidRPr="00077250">
        <w:rPr>
          <w:rFonts w:asciiTheme="majorHAnsi" w:eastAsia="Times New Roman" w:hAnsiTheme="majorHAnsi" w:cstheme="majorHAnsi"/>
          <w:sz w:val="20"/>
          <w:szCs w:val="20"/>
          <w:lang w:eastAsia="ko-KR"/>
        </w:rPr>
        <w:t>[45]</w:t>
      </w:r>
      <w:r w:rsidRPr="00077250">
        <w:rPr>
          <w:rFonts w:asciiTheme="majorHAnsi" w:eastAsia="Times New Roman" w:hAnsiTheme="majorHAnsi" w:cstheme="majorHAnsi"/>
          <w:sz w:val="20"/>
          <w:szCs w:val="20"/>
          <w:lang w:eastAsia="ko-KR"/>
        </w:rPr>
        <w:fldChar w:fldCharType="end"/>
      </w:r>
      <w:r w:rsidRPr="00077250">
        <w:rPr>
          <w:rFonts w:asciiTheme="majorHAnsi" w:eastAsia="Times New Roman" w:hAnsiTheme="majorHAnsi" w:cstheme="majorHAnsi"/>
          <w:sz w:val="20"/>
          <w:szCs w:val="20"/>
          <w:lang w:eastAsia="ko-KR"/>
        </w:rPr>
        <w:t>.</w:t>
      </w:r>
    </w:p>
    <w:p w14:paraId="5922EC35" w14:textId="21E94934" w:rsidR="00077250" w:rsidRDefault="00077250" w:rsidP="00077250">
      <w:pPr>
        <w:ind w:left="284" w:firstLine="284"/>
        <w:jc w:val="both"/>
        <w:rPr>
          <w:rFonts w:asciiTheme="majorHAnsi" w:eastAsia="Times New Roman" w:hAnsiTheme="majorHAnsi" w:cstheme="majorHAnsi"/>
          <w:sz w:val="20"/>
          <w:szCs w:val="20"/>
          <w:lang w:eastAsia="ko-KR"/>
        </w:rPr>
      </w:pPr>
      <w:r w:rsidRPr="00077250">
        <w:rPr>
          <w:rFonts w:asciiTheme="majorHAnsi" w:eastAsia="Times New Roman" w:hAnsiTheme="majorHAnsi" w:cstheme="majorHAnsi"/>
          <w:sz w:val="20"/>
          <w:szCs w:val="20"/>
          <w:lang w:eastAsia="ko-KR"/>
        </w:rPr>
        <w:t xml:space="preserve">The deliberate and meaningful use of </w:t>
      </w:r>
      <w:proofErr w:type="spellStart"/>
      <w:r w:rsidRPr="00077250">
        <w:rPr>
          <w:rFonts w:asciiTheme="majorHAnsi" w:eastAsia="Times New Roman" w:hAnsiTheme="majorHAnsi" w:cstheme="majorHAnsi"/>
          <w:sz w:val="20"/>
          <w:szCs w:val="20"/>
          <w:lang w:eastAsia="ko-KR"/>
        </w:rPr>
        <w:t>color</w:t>
      </w:r>
      <w:proofErr w:type="spellEnd"/>
      <w:r w:rsidRPr="00077250">
        <w:rPr>
          <w:rFonts w:asciiTheme="majorHAnsi" w:eastAsia="Times New Roman" w:hAnsiTheme="majorHAnsi" w:cstheme="majorHAnsi"/>
          <w:sz w:val="20"/>
          <w:szCs w:val="20"/>
          <w:lang w:eastAsia="ko-KR"/>
        </w:rPr>
        <w:t xml:space="preserve"> in Ottoman inscriptions stood as a testament to the empire's cultural and artistic legacy. Through the thoughtful selection and integration of hues, the Ottomans conveyed their distinct identity, projected their authority, and engaged observers on multiple levels – whether symbolic, aesthetic, or emotional. This sophisticated approach to </w:t>
      </w:r>
      <w:proofErr w:type="spellStart"/>
      <w:r w:rsidRPr="00077250">
        <w:rPr>
          <w:rFonts w:asciiTheme="majorHAnsi" w:eastAsia="Times New Roman" w:hAnsiTheme="majorHAnsi" w:cstheme="majorHAnsi"/>
          <w:sz w:val="20"/>
          <w:szCs w:val="20"/>
          <w:lang w:eastAsia="ko-KR"/>
        </w:rPr>
        <w:t>color</w:t>
      </w:r>
      <w:proofErr w:type="spellEnd"/>
      <w:r w:rsidRPr="00077250">
        <w:rPr>
          <w:rFonts w:asciiTheme="majorHAnsi" w:eastAsia="Times New Roman" w:hAnsiTheme="majorHAnsi" w:cstheme="majorHAnsi"/>
          <w:sz w:val="20"/>
          <w:szCs w:val="20"/>
          <w:lang w:eastAsia="ko-KR"/>
        </w:rPr>
        <w:t xml:space="preserve"> in architectural inscriptions reflects the Ottomans' profound understanding of the power of visual communication and their adeptness in utilizing it to further their cultural, religious, and political ambitions</w:t>
      </w:r>
      <w:r>
        <w:rPr>
          <w:rFonts w:asciiTheme="majorHAnsi" w:eastAsia="Times New Roman" w:hAnsiTheme="majorHAnsi" w:cstheme="majorHAnsi"/>
          <w:sz w:val="20"/>
          <w:szCs w:val="20"/>
          <w:lang w:eastAsia="ko-KR"/>
        </w:rPr>
        <w:t>.</w:t>
      </w:r>
    </w:p>
    <w:p w14:paraId="605ED5C7" w14:textId="77777777" w:rsidR="00077250" w:rsidRDefault="00077250" w:rsidP="00077250">
      <w:pPr>
        <w:ind w:left="284" w:firstLine="284"/>
        <w:jc w:val="both"/>
        <w:rPr>
          <w:rFonts w:asciiTheme="majorHAnsi" w:eastAsia="Times New Roman" w:hAnsiTheme="majorHAnsi" w:cstheme="majorHAnsi"/>
          <w:sz w:val="20"/>
          <w:szCs w:val="20"/>
          <w:lang w:eastAsia="ko-KR"/>
        </w:rPr>
      </w:pPr>
    </w:p>
    <w:p w14:paraId="08711322" w14:textId="59F4A073" w:rsidR="00077250" w:rsidRDefault="00077250" w:rsidP="00077250">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CONCLUSION</w:t>
      </w:r>
    </w:p>
    <w:p w14:paraId="05C35F6C" w14:textId="77777777" w:rsidR="00077250" w:rsidRPr="00077250" w:rsidRDefault="00077250" w:rsidP="00077250">
      <w:pPr>
        <w:ind w:firstLine="284"/>
        <w:jc w:val="both"/>
        <w:rPr>
          <w:rFonts w:asciiTheme="majorHAnsi" w:hAnsiTheme="majorHAnsi" w:cstheme="majorHAnsi"/>
          <w:sz w:val="20"/>
          <w:szCs w:val="20"/>
        </w:rPr>
      </w:pPr>
      <w:r w:rsidRPr="00077250">
        <w:rPr>
          <w:rFonts w:asciiTheme="majorHAnsi" w:hAnsiTheme="majorHAnsi" w:cstheme="majorHAnsi"/>
          <w:sz w:val="20"/>
          <w:szCs w:val="20"/>
        </w:rPr>
        <w:t xml:space="preserve">This study has illuminated the pivotal role of </w:t>
      </w:r>
      <w:proofErr w:type="spellStart"/>
      <w:r w:rsidRPr="00077250">
        <w:rPr>
          <w:rFonts w:asciiTheme="majorHAnsi" w:hAnsiTheme="majorHAnsi" w:cstheme="majorHAnsi"/>
          <w:sz w:val="20"/>
          <w:szCs w:val="20"/>
        </w:rPr>
        <w:t>color</w:t>
      </w:r>
      <w:proofErr w:type="spellEnd"/>
      <w:r w:rsidRPr="00077250">
        <w:rPr>
          <w:rFonts w:asciiTheme="majorHAnsi" w:hAnsiTheme="majorHAnsi" w:cstheme="majorHAnsi"/>
          <w:sz w:val="20"/>
          <w:szCs w:val="20"/>
        </w:rPr>
        <w:t xml:space="preserve"> as a crucial element in shaping the visual impact and symbolic resonance of Ottoman inscriptions, as exemplified by the exceptional calligraphic works adorning the Sultan Bayezid II Mosque in </w:t>
      </w:r>
      <w:proofErr w:type="spellStart"/>
      <w:r w:rsidRPr="00077250">
        <w:rPr>
          <w:rFonts w:asciiTheme="majorHAnsi" w:hAnsiTheme="majorHAnsi" w:cstheme="majorHAnsi"/>
          <w:sz w:val="20"/>
          <w:szCs w:val="20"/>
        </w:rPr>
        <w:t>Didymóteichon</w:t>
      </w:r>
      <w:proofErr w:type="spellEnd"/>
      <w:r w:rsidRPr="00077250">
        <w:rPr>
          <w:rFonts w:asciiTheme="majorHAnsi" w:hAnsiTheme="majorHAnsi" w:cstheme="majorHAnsi"/>
          <w:sz w:val="20"/>
          <w:szCs w:val="20"/>
        </w:rPr>
        <w:t xml:space="preserve">, Greece. The strategic deployment of a sophisticated </w:t>
      </w:r>
      <w:proofErr w:type="spellStart"/>
      <w:r w:rsidRPr="00077250">
        <w:rPr>
          <w:rFonts w:asciiTheme="majorHAnsi" w:hAnsiTheme="majorHAnsi" w:cstheme="majorHAnsi"/>
          <w:sz w:val="20"/>
          <w:szCs w:val="20"/>
        </w:rPr>
        <w:t>color</w:t>
      </w:r>
      <w:proofErr w:type="spellEnd"/>
      <w:r w:rsidRPr="00077250">
        <w:rPr>
          <w:rFonts w:asciiTheme="majorHAnsi" w:hAnsiTheme="majorHAnsi" w:cstheme="majorHAnsi"/>
          <w:sz w:val="20"/>
          <w:szCs w:val="20"/>
        </w:rPr>
        <w:t xml:space="preserve"> palette, predominantly featuring dark blue lettering, pale yellow backgrounds, and vibrant red accents, enhanced the visual communication strategies employed by the Ottomans in this significant architectural monument.</w:t>
      </w:r>
    </w:p>
    <w:p w14:paraId="33306A0F" w14:textId="77777777" w:rsidR="00077250" w:rsidRPr="00077250" w:rsidRDefault="00077250" w:rsidP="00077250">
      <w:pPr>
        <w:ind w:firstLine="284"/>
        <w:jc w:val="both"/>
        <w:rPr>
          <w:rFonts w:asciiTheme="majorHAnsi" w:hAnsiTheme="majorHAnsi" w:cstheme="majorHAnsi"/>
          <w:sz w:val="20"/>
          <w:szCs w:val="20"/>
        </w:rPr>
      </w:pPr>
      <w:r w:rsidRPr="00077250">
        <w:rPr>
          <w:rFonts w:asciiTheme="majorHAnsi" w:hAnsiTheme="majorHAnsi" w:cstheme="majorHAnsi"/>
          <w:sz w:val="20"/>
          <w:szCs w:val="20"/>
        </w:rPr>
        <w:t xml:space="preserve">The calligraphers' masterful handling of </w:t>
      </w:r>
      <w:proofErr w:type="spellStart"/>
      <w:r w:rsidRPr="00077250">
        <w:rPr>
          <w:rFonts w:asciiTheme="majorHAnsi" w:hAnsiTheme="majorHAnsi" w:cstheme="majorHAnsi"/>
          <w:sz w:val="20"/>
          <w:szCs w:val="20"/>
        </w:rPr>
        <w:t>color</w:t>
      </w:r>
      <w:proofErr w:type="spellEnd"/>
      <w:r w:rsidRPr="00077250">
        <w:rPr>
          <w:rFonts w:asciiTheme="majorHAnsi" w:hAnsiTheme="majorHAnsi" w:cstheme="majorHAnsi"/>
          <w:sz w:val="20"/>
          <w:szCs w:val="20"/>
        </w:rPr>
        <w:t xml:space="preserve"> achieved a harmonious balance, capturing the viewer's attention while ensuring the intricate thuluth script remained legible. This measured approach underscores the Ottomans' deep understanding of </w:t>
      </w:r>
      <w:proofErr w:type="spellStart"/>
      <w:r w:rsidRPr="00077250">
        <w:rPr>
          <w:rFonts w:asciiTheme="majorHAnsi" w:hAnsiTheme="majorHAnsi" w:cstheme="majorHAnsi"/>
          <w:sz w:val="20"/>
          <w:szCs w:val="20"/>
        </w:rPr>
        <w:t>color</w:t>
      </w:r>
      <w:proofErr w:type="spellEnd"/>
      <w:r w:rsidRPr="00077250">
        <w:rPr>
          <w:rFonts w:asciiTheme="majorHAnsi" w:hAnsiTheme="majorHAnsi" w:cstheme="majorHAnsi"/>
          <w:sz w:val="20"/>
          <w:szCs w:val="20"/>
        </w:rPr>
        <w:t xml:space="preserve"> theory and its application in the visual arts, reflecting their artistic finesse and cultural refinement.</w:t>
      </w:r>
    </w:p>
    <w:p w14:paraId="63618149" w14:textId="77777777" w:rsidR="00077250" w:rsidRPr="00077250" w:rsidRDefault="00077250" w:rsidP="00077250">
      <w:pPr>
        <w:ind w:firstLine="284"/>
        <w:jc w:val="both"/>
        <w:rPr>
          <w:rFonts w:asciiTheme="majorHAnsi" w:hAnsiTheme="majorHAnsi" w:cstheme="majorHAnsi"/>
          <w:sz w:val="20"/>
          <w:szCs w:val="20"/>
        </w:rPr>
      </w:pPr>
      <w:r w:rsidRPr="00077250">
        <w:rPr>
          <w:rFonts w:asciiTheme="majorHAnsi" w:hAnsiTheme="majorHAnsi" w:cstheme="majorHAnsi"/>
          <w:sz w:val="20"/>
          <w:szCs w:val="20"/>
        </w:rPr>
        <w:t xml:space="preserve">Beyond the aesthetic dimensions, the strategic use of </w:t>
      </w:r>
      <w:proofErr w:type="spellStart"/>
      <w:r w:rsidRPr="00077250">
        <w:rPr>
          <w:rFonts w:asciiTheme="majorHAnsi" w:hAnsiTheme="majorHAnsi" w:cstheme="majorHAnsi"/>
          <w:sz w:val="20"/>
          <w:szCs w:val="20"/>
        </w:rPr>
        <w:t>color</w:t>
      </w:r>
      <w:proofErr w:type="spellEnd"/>
      <w:r w:rsidRPr="00077250">
        <w:rPr>
          <w:rFonts w:asciiTheme="majorHAnsi" w:hAnsiTheme="majorHAnsi" w:cstheme="majorHAnsi"/>
          <w:sz w:val="20"/>
          <w:szCs w:val="20"/>
        </w:rPr>
        <w:t xml:space="preserve"> in these inscriptions was imbued with profound symbolic and spiritual significance. The dark blue hues conveyed a sense of authority, power, and divine connection, while the red accents evoked notions of passion, sacrifice, and religious </w:t>
      </w:r>
      <w:proofErr w:type="spellStart"/>
      <w:r w:rsidRPr="00077250">
        <w:rPr>
          <w:rFonts w:asciiTheme="majorHAnsi" w:hAnsiTheme="majorHAnsi" w:cstheme="majorHAnsi"/>
          <w:sz w:val="20"/>
          <w:szCs w:val="20"/>
        </w:rPr>
        <w:t>fervor</w:t>
      </w:r>
      <w:proofErr w:type="spellEnd"/>
      <w:r w:rsidRPr="00077250">
        <w:rPr>
          <w:rFonts w:asciiTheme="majorHAnsi" w:hAnsiTheme="majorHAnsi" w:cstheme="majorHAnsi"/>
          <w:sz w:val="20"/>
          <w:szCs w:val="20"/>
        </w:rPr>
        <w:t>. This judicious chromatic selection enabled the Ottomans to project their distinct identity, reinforce their political and religious legitimacy, and engage the observer on multifaceted levels.</w:t>
      </w:r>
    </w:p>
    <w:p w14:paraId="2EA9C46F" w14:textId="77777777" w:rsidR="00077250" w:rsidRPr="00077250" w:rsidRDefault="00077250" w:rsidP="00077250">
      <w:pPr>
        <w:ind w:firstLine="284"/>
        <w:jc w:val="both"/>
        <w:rPr>
          <w:rFonts w:asciiTheme="majorHAnsi" w:hAnsiTheme="majorHAnsi" w:cstheme="majorHAnsi"/>
          <w:sz w:val="20"/>
          <w:szCs w:val="20"/>
        </w:rPr>
      </w:pPr>
      <w:r w:rsidRPr="00077250">
        <w:rPr>
          <w:rFonts w:asciiTheme="majorHAnsi" w:hAnsiTheme="majorHAnsi" w:cstheme="majorHAnsi"/>
          <w:sz w:val="20"/>
          <w:szCs w:val="20"/>
        </w:rPr>
        <w:t xml:space="preserve">The findings of this study provide significant insights into the multifaceted role of </w:t>
      </w:r>
      <w:proofErr w:type="spellStart"/>
      <w:r w:rsidRPr="00077250">
        <w:rPr>
          <w:rFonts w:asciiTheme="majorHAnsi" w:hAnsiTheme="majorHAnsi" w:cstheme="majorHAnsi"/>
          <w:sz w:val="20"/>
          <w:szCs w:val="20"/>
        </w:rPr>
        <w:t>color</w:t>
      </w:r>
      <w:proofErr w:type="spellEnd"/>
      <w:r w:rsidRPr="00077250">
        <w:rPr>
          <w:rFonts w:asciiTheme="majorHAnsi" w:hAnsiTheme="majorHAnsi" w:cstheme="majorHAnsi"/>
          <w:sz w:val="20"/>
          <w:szCs w:val="20"/>
        </w:rPr>
        <w:t xml:space="preserve"> in Ottoman visual culture, demonstrating its ability to shape perceptions, convey hierarchical structures, and establish cultural affiliations. By revealing the intricate interplay between form, </w:t>
      </w:r>
      <w:proofErr w:type="spellStart"/>
      <w:r w:rsidRPr="00077250">
        <w:rPr>
          <w:rFonts w:asciiTheme="majorHAnsi" w:hAnsiTheme="majorHAnsi" w:cstheme="majorHAnsi"/>
          <w:sz w:val="20"/>
          <w:szCs w:val="20"/>
        </w:rPr>
        <w:t>color</w:t>
      </w:r>
      <w:proofErr w:type="spellEnd"/>
      <w:r w:rsidRPr="00077250">
        <w:rPr>
          <w:rFonts w:asciiTheme="majorHAnsi" w:hAnsiTheme="majorHAnsi" w:cstheme="majorHAnsi"/>
          <w:sz w:val="20"/>
          <w:szCs w:val="20"/>
        </w:rPr>
        <w:t>, and symbolic meaning in the calligraphic inscriptions of the Sultan Bayezid II Mosque, this research deepens our understanding of the Ottomans' sophisticated visual communication strategies and their enduring legacy in the Balkans.</w:t>
      </w:r>
    </w:p>
    <w:p w14:paraId="40D0F323" w14:textId="28AAABF8" w:rsidR="00077250" w:rsidRDefault="00077250" w:rsidP="00077250">
      <w:pPr>
        <w:ind w:firstLine="284"/>
        <w:jc w:val="both"/>
        <w:rPr>
          <w:rFonts w:asciiTheme="majorHAnsi" w:hAnsiTheme="majorHAnsi" w:cstheme="majorHAnsi"/>
          <w:sz w:val="20"/>
          <w:szCs w:val="20"/>
        </w:rPr>
      </w:pPr>
      <w:r w:rsidRPr="00077250">
        <w:rPr>
          <w:rFonts w:asciiTheme="majorHAnsi" w:hAnsiTheme="majorHAnsi" w:cstheme="majorHAnsi"/>
          <w:sz w:val="20"/>
          <w:szCs w:val="20"/>
        </w:rPr>
        <w:t xml:space="preserve">As a compelling case study, the inscriptions of the Sultan Bayezid II Mosque exemplify the Ottomans' mastery of </w:t>
      </w:r>
      <w:proofErr w:type="spellStart"/>
      <w:r w:rsidRPr="00077250">
        <w:rPr>
          <w:rFonts w:asciiTheme="majorHAnsi" w:hAnsiTheme="majorHAnsi" w:cstheme="majorHAnsi"/>
          <w:sz w:val="20"/>
          <w:szCs w:val="20"/>
        </w:rPr>
        <w:t>color</w:t>
      </w:r>
      <w:proofErr w:type="spellEnd"/>
      <w:r w:rsidRPr="00077250">
        <w:rPr>
          <w:rFonts w:asciiTheme="majorHAnsi" w:hAnsiTheme="majorHAnsi" w:cstheme="majorHAnsi"/>
          <w:sz w:val="20"/>
          <w:szCs w:val="20"/>
        </w:rPr>
        <w:t xml:space="preserve"> as a crucial element in their architectural and artistic expressions. This research highlights the need for further scholarly investigation into the visual aspects of Ottoman epigraphy, which has the potential to reveal new layers of meaning and deepen our understanding of the empire's cultural and artistic achievements</w:t>
      </w:r>
      <w:r>
        <w:rPr>
          <w:rFonts w:asciiTheme="majorHAnsi" w:hAnsiTheme="majorHAnsi" w:cstheme="majorHAnsi"/>
          <w:sz w:val="20"/>
          <w:szCs w:val="20"/>
        </w:rPr>
        <w:t>.</w:t>
      </w:r>
    </w:p>
    <w:p w14:paraId="13282E5E" w14:textId="77777777" w:rsidR="00077250" w:rsidRDefault="00077250" w:rsidP="00077250">
      <w:pPr>
        <w:ind w:left="284" w:firstLine="284"/>
        <w:jc w:val="both"/>
        <w:rPr>
          <w:rFonts w:asciiTheme="majorHAnsi" w:hAnsiTheme="majorHAnsi" w:cstheme="majorHAnsi"/>
          <w:sz w:val="20"/>
          <w:szCs w:val="20"/>
        </w:rPr>
      </w:pPr>
    </w:p>
    <w:p w14:paraId="0DA50621" w14:textId="532C74D0" w:rsidR="00554438" w:rsidRDefault="00554438" w:rsidP="00554438">
      <w:pPr>
        <w:jc w:val="both"/>
        <w:rPr>
          <w:rFonts w:asciiTheme="minorHAnsi" w:hAnsiTheme="minorHAnsi" w:cstheme="minorHAnsi"/>
          <w:b/>
          <w:bCs/>
        </w:rPr>
      </w:pPr>
      <w:r>
        <w:rPr>
          <w:rFonts w:asciiTheme="minorHAnsi" w:hAnsiTheme="minorHAnsi" w:cstheme="minorHAnsi"/>
          <w:b/>
          <w:bCs/>
        </w:rPr>
        <w:t>AUTHORS CONTRIBUTION</w:t>
      </w:r>
    </w:p>
    <w:p w14:paraId="6B8A3D8E" w14:textId="4A8D413B" w:rsidR="00554438" w:rsidRPr="00745A2A" w:rsidRDefault="00077250" w:rsidP="002D1CEA">
      <w:pPr>
        <w:ind w:firstLine="284"/>
        <w:jc w:val="both"/>
        <w:rPr>
          <w:rFonts w:asciiTheme="majorHAnsi" w:hAnsiTheme="majorHAnsi" w:cstheme="majorHAnsi"/>
          <w:sz w:val="20"/>
          <w:szCs w:val="20"/>
        </w:rPr>
      </w:pPr>
      <w:r w:rsidRPr="00077250">
        <w:rPr>
          <w:rFonts w:asciiTheme="majorHAnsi" w:hAnsiTheme="majorHAnsi" w:cstheme="majorHAnsi"/>
          <w:sz w:val="20"/>
          <w:szCs w:val="20"/>
        </w:rPr>
        <w:t>Author1 conceived the presented idea. The theory was developed, and the related data were collected, by Author1 and Author2 in collaboration. Author 2 verified the analytical methods employed and provided oversight for the findings of this work. Both authors engaged in discussions of the results and contributed to the preparation of the final manuscript</w:t>
      </w:r>
      <w:r w:rsidR="00745A2A" w:rsidRPr="00745A2A">
        <w:rPr>
          <w:rFonts w:asciiTheme="majorHAnsi" w:hAnsiTheme="majorHAnsi" w:cstheme="majorHAnsi"/>
          <w:sz w:val="20"/>
          <w:szCs w:val="20"/>
        </w:rPr>
        <w:t>.</w:t>
      </w:r>
    </w:p>
    <w:p w14:paraId="2536EE23" w14:textId="77777777" w:rsidR="00502594" w:rsidRDefault="00502594" w:rsidP="00554438">
      <w:pPr>
        <w:jc w:val="both"/>
        <w:rPr>
          <w:rFonts w:asciiTheme="minorHAnsi" w:hAnsiTheme="minorHAnsi" w:cstheme="minorHAnsi"/>
          <w:b/>
          <w:bCs/>
        </w:rPr>
      </w:pPr>
    </w:p>
    <w:p w14:paraId="4272776B" w14:textId="3EA174E0"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t>REFERENCES</w:t>
      </w:r>
    </w:p>
    <w:p w14:paraId="1266567E" w14:textId="1DA91CA5" w:rsidR="00883F54" w:rsidRDefault="00883F54" w:rsidP="00C26026">
      <w:pPr>
        <w:rPr>
          <w:rFonts w:asciiTheme="minorHAnsi" w:hAnsiTheme="minorHAnsi" w:cstheme="minorHAnsi"/>
          <w:b/>
          <w:bCs/>
          <w:sz w:val="20"/>
          <w:szCs w:val="20"/>
        </w:rPr>
      </w:pPr>
    </w:p>
    <w:p w14:paraId="720A97DA" w14:textId="0C992B17" w:rsidR="00077250" w:rsidRPr="00077250" w:rsidRDefault="00477FC8" w:rsidP="00077250">
      <w:pPr>
        <w:numPr>
          <w:ilvl w:val="0"/>
          <w:numId w:val="11"/>
        </w:numPr>
        <w:adjustRightInd w:val="0"/>
        <w:spacing w:before="20" w:after="20"/>
        <w:jc w:val="both"/>
        <w:rPr>
          <w:rFonts w:asciiTheme="majorHAnsi" w:hAnsiTheme="majorHAnsi" w:cstheme="majorHAnsi"/>
          <w:noProof/>
          <w:sz w:val="20"/>
          <w:szCs w:val="28"/>
          <w:u w:val="single"/>
        </w:rPr>
      </w:pPr>
      <w:r w:rsidRPr="00477FC8">
        <w:rPr>
          <w:rFonts w:asciiTheme="majorHAnsi" w:hAnsiTheme="majorHAnsi" w:cstheme="majorHAnsi"/>
          <w:sz w:val="20"/>
          <w:szCs w:val="20"/>
          <w:lang w:val="id-ID"/>
        </w:rPr>
        <w:fldChar w:fldCharType="begin" w:fldLock="1"/>
      </w:r>
      <w:r w:rsidRPr="00477FC8">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r w:rsidR="00077250" w:rsidRPr="00077250">
        <w:rPr>
          <w:rFonts w:asciiTheme="majorHAnsi" w:hAnsiTheme="majorHAnsi" w:cstheme="majorHAnsi"/>
          <w:noProof/>
          <w:sz w:val="20"/>
          <w:szCs w:val="28"/>
        </w:rPr>
        <w:t xml:space="preserve">A. Ameen, “The Mehmet Khalil Agha Mosque in the Greek city of Drama”, </w:t>
      </w:r>
      <w:r w:rsidR="00077250" w:rsidRPr="00077250">
        <w:rPr>
          <w:rFonts w:asciiTheme="majorHAnsi" w:hAnsiTheme="majorHAnsi" w:cstheme="majorHAnsi"/>
          <w:i/>
          <w:iCs/>
          <w:noProof/>
          <w:sz w:val="20"/>
          <w:szCs w:val="28"/>
        </w:rPr>
        <w:t>SHEDET</w:t>
      </w:r>
      <w:r w:rsidR="00077250" w:rsidRPr="00077250">
        <w:rPr>
          <w:rFonts w:asciiTheme="majorHAnsi" w:hAnsiTheme="majorHAnsi" w:cstheme="majorHAnsi"/>
          <w:noProof/>
          <w:sz w:val="20"/>
          <w:szCs w:val="28"/>
        </w:rPr>
        <w:t>, Vol. 1, No.1, pp. 19-34, 2014. DOI: </w:t>
      </w:r>
      <w:hyperlink r:id="rId18" w:tgtFrame="orcid.blank" w:history="1">
        <w:r w:rsidR="00077250" w:rsidRPr="00077250">
          <w:rPr>
            <w:rStyle w:val="Hyperlink"/>
            <w:rFonts w:asciiTheme="majorHAnsi" w:hAnsiTheme="majorHAnsi" w:cstheme="majorHAnsi"/>
            <w:noProof/>
            <w:sz w:val="20"/>
            <w:szCs w:val="28"/>
          </w:rPr>
          <w:t>10.36816/shedet.001.02</w:t>
        </w:r>
      </w:hyperlink>
    </w:p>
    <w:p w14:paraId="1B70886C" w14:textId="77777777" w:rsidR="00077250" w:rsidRPr="00077250" w:rsidRDefault="00077250" w:rsidP="00077250">
      <w:pPr>
        <w:widowControl w:val="0"/>
        <w:numPr>
          <w:ilvl w:val="0"/>
          <w:numId w:val="11"/>
        </w:numPr>
        <w:autoSpaceDE w:val="0"/>
        <w:autoSpaceDN w:val="0"/>
        <w:adjustRightInd w:val="0"/>
        <w:spacing w:before="20" w:after="20"/>
        <w:jc w:val="both"/>
        <w:rPr>
          <w:rFonts w:asciiTheme="majorHAnsi" w:hAnsiTheme="majorHAnsi" w:cstheme="majorHAnsi"/>
          <w:noProof/>
          <w:sz w:val="20"/>
          <w:szCs w:val="28"/>
        </w:rPr>
      </w:pPr>
      <w:r w:rsidRPr="00077250">
        <w:rPr>
          <w:rFonts w:asciiTheme="majorHAnsi" w:hAnsiTheme="majorHAnsi" w:cstheme="majorHAnsi"/>
          <w:noProof/>
          <w:sz w:val="20"/>
          <w:szCs w:val="28"/>
        </w:rPr>
        <w:t xml:space="preserve">A. Ameen, “Travelers' Works as an Important Source in Studying Archaeology in Light of the ‘Hadji ‘Ali Mosque’ of Athens,” </w:t>
      </w:r>
      <w:r w:rsidRPr="00077250">
        <w:rPr>
          <w:rFonts w:asciiTheme="majorHAnsi" w:hAnsiTheme="majorHAnsi" w:cstheme="majorHAnsi"/>
          <w:i/>
          <w:iCs/>
          <w:noProof/>
          <w:sz w:val="20"/>
          <w:szCs w:val="28"/>
        </w:rPr>
        <w:t xml:space="preserve">SHEDET, </w:t>
      </w:r>
      <w:r w:rsidRPr="00077250">
        <w:rPr>
          <w:rFonts w:asciiTheme="majorHAnsi" w:hAnsiTheme="majorHAnsi" w:cstheme="majorHAnsi"/>
          <w:noProof/>
          <w:sz w:val="20"/>
          <w:szCs w:val="28"/>
        </w:rPr>
        <w:t>Vol. 2</w:t>
      </w:r>
      <w:r w:rsidRPr="00077250">
        <w:rPr>
          <w:rFonts w:asciiTheme="majorHAnsi" w:hAnsiTheme="majorHAnsi" w:cstheme="majorHAnsi"/>
          <w:i/>
          <w:iCs/>
          <w:noProof/>
          <w:sz w:val="20"/>
          <w:szCs w:val="28"/>
        </w:rPr>
        <w:t>,</w:t>
      </w:r>
      <w:r w:rsidRPr="00077250">
        <w:rPr>
          <w:rFonts w:asciiTheme="majorHAnsi" w:hAnsiTheme="majorHAnsi" w:cstheme="majorHAnsi"/>
          <w:noProof/>
          <w:sz w:val="20"/>
          <w:szCs w:val="28"/>
        </w:rPr>
        <w:t xml:space="preserve"> No. 2, pp. 6-22, 2015. DOI: </w:t>
      </w:r>
      <w:hyperlink r:id="rId19" w:tgtFrame="orcid.blank" w:history="1">
        <w:r w:rsidRPr="00077250">
          <w:rPr>
            <w:rStyle w:val="Hyperlink"/>
            <w:rFonts w:asciiTheme="majorHAnsi" w:hAnsiTheme="majorHAnsi" w:cstheme="majorHAnsi"/>
            <w:noProof/>
            <w:sz w:val="20"/>
            <w:szCs w:val="28"/>
          </w:rPr>
          <w:t>10.36816/shedet.003.07</w:t>
        </w:r>
      </w:hyperlink>
    </w:p>
    <w:p w14:paraId="472E6562" w14:textId="77777777" w:rsidR="00077250" w:rsidRPr="00077250" w:rsidRDefault="00077250" w:rsidP="00077250">
      <w:pPr>
        <w:widowControl w:val="0"/>
        <w:numPr>
          <w:ilvl w:val="0"/>
          <w:numId w:val="11"/>
        </w:numPr>
        <w:autoSpaceDE w:val="0"/>
        <w:autoSpaceDN w:val="0"/>
        <w:adjustRightInd w:val="0"/>
        <w:spacing w:before="20" w:after="20"/>
        <w:jc w:val="both"/>
        <w:rPr>
          <w:rFonts w:asciiTheme="majorHAnsi" w:hAnsiTheme="majorHAnsi" w:cstheme="majorHAnsi"/>
          <w:noProof/>
          <w:sz w:val="20"/>
          <w:szCs w:val="28"/>
          <w:u w:val="single"/>
        </w:rPr>
      </w:pPr>
      <w:r w:rsidRPr="00077250">
        <w:rPr>
          <w:rFonts w:asciiTheme="majorHAnsi" w:hAnsiTheme="majorHAnsi" w:cstheme="majorHAnsi"/>
          <w:noProof/>
          <w:sz w:val="20"/>
          <w:szCs w:val="28"/>
        </w:rPr>
        <w:t xml:space="preserve">A. Ameen, “The Küçük Cami of Athens: Some considerations in the light of the Travelers' works,” </w:t>
      </w:r>
      <w:r w:rsidRPr="00077250">
        <w:rPr>
          <w:rFonts w:asciiTheme="majorHAnsi" w:hAnsiTheme="majorHAnsi" w:cstheme="majorHAnsi"/>
          <w:i/>
          <w:iCs/>
          <w:noProof/>
          <w:sz w:val="20"/>
          <w:szCs w:val="28"/>
        </w:rPr>
        <w:t xml:space="preserve">Turcica, </w:t>
      </w:r>
      <w:r w:rsidRPr="00077250">
        <w:rPr>
          <w:rFonts w:asciiTheme="majorHAnsi" w:hAnsiTheme="majorHAnsi" w:cstheme="majorHAnsi"/>
          <w:noProof/>
          <w:sz w:val="20"/>
          <w:szCs w:val="28"/>
        </w:rPr>
        <w:t>Vol.</w:t>
      </w:r>
      <w:r w:rsidRPr="00077250">
        <w:rPr>
          <w:rFonts w:asciiTheme="majorHAnsi" w:hAnsiTheme="majorHAnsi" w:cstheme="majorHAnsi"/>
          <w:i/>
          <w:iCs/>
          <w:noProof/>
          <w:sz w:val="20"/>
          <w:szCs w:val="28"/>
        </w:rPr>
        <w:t xml:space="preserve"> </w:t>
      </w:r>
      <w:r w:rsidRPr="00077250">
        <w:rPr>
          <w:rFonts w:asciiTheme="majorHAnsi" w:hAnsiTheme="majorHAnsi" w:cstheme="majorHAnsi"/>
          <w:noProof/>
          <w:sz w:val="20"/>
          <w:szCs w:val="28"/>
        </w:rPr>
        <w:t>47, pp. 73-97, 2016. DOI: </w:t>
      </w:r>
      <w:r w:rsidRPr="00077250">
        <w:rPr>
          <w:rFonts w:asciiTheme="majorHAnsi" w:hAnsiTheme="majorHAnsi" w:cstheme="majorHAnsi"/>
          <w:noProof/>
          <w:sz w:val="20"/>
          <w:szCs w:val="28"/>
          <w:u w:val="single"/>
        </w:rPr>
        <w:t>10.2143/TURC.47.0.3164942</w:t>
      </w:r>
    </w:p>
    <w:p w14:paraId="59F44BBF" w14:textId="77777777" w:rsidR="00077250" w:rsidRPr="00077250" w:rsidRDefault="00077250" w:rsidP="00077250">
      <w:pPr>
        <w:widowControl w:val="0"/>
        <w:numPr>
          <w:ilvl w:val="0"/>
          <w:numId w:val="11"/>
        </w:numPr>
        <w:autoSpaceDE w:val="0"/>
        <w:autoSpaceDN w:val="0"/>
        <w:adjustRightInd w:val="0"/>
        <w:spacing w:before="20" w:after="20"/>
        <w:jc w:val="both"/>
        <w:rPr>
          <w:rFonts w:asciiTheme="majorHAnsi" w:hAnsiTheme="majorHAnsi" w:cstheme="majorHAnsi"/>
          <w:noProof/>
          <w:sz w:val="20"/>
          <w:szCs w:val="28"/>
        </w:rPr>
      </w:pPr>
      <w:r w:rsidRPr="00077250">
        <w:rPr>
          <w:rFonts w:asciiTheme="majorHAnsi" w:hAnsiTheme="majorHAnsi" w:cstheme="majorHAnsi"/>
          <w:noProof/>
          <w:sz w:val="20"/>
          <w:szCs w:val="28"/>
        </w:rPr>
        <w:t>A. Ameen, </w:t>
      </w:r>
      <w:r w:rsidRPr="00077250">
        <w:rPr>
          <w:rFonts w:asciiTheme="majorHAnsi" w:hAnsiTheme="majorHAnsi" w:cstheme="majorHAnsi"/>
          <w:i/>
          <w:iCs/>
          <w:noProof/>
          <w:sz w:val="20"/>
          <w:szCs w:val="28"/>
        </w:rPr>
        <w:t>Islamic Architecture in Greece: Mosques</w:t>
      </w:r>
      <w:r w:rsidRPr="00077250">
        <w:rPr>
          <w:rFonts w:asciiTheme="majorHAnsi" w:hAnsiTheme="majorHAnsi" w:cstheme="majorHAnsi"/>
          <w:noProof/>
          <w:sz w:val="20"/>
          <w:szCs w:val="28"/>
        </w:rPr>
        <w:t>. Alexandria: Bibliotheca Alexandrina, 2017.</w:t>
      </w:r>
    </w:p>
    <w:p w14:paraId="0C0AD4DA" w14:textId="77777777" w:rsidR="00077250" w:rsidRPr="00077250" w:rsidRDefault="00077250" w:rsidP="00077250">
      <w:pPr>
        <w:widowControl w:val="0"/>
        <w:numPr>
          <w:ilvl w:val="0"/>
          <w:numId w:val="11"/>
        </w:numPr>
        <w:autoSpaceDE w:val="0"/>
        <w:autoSpaceDN w:val="0"/>
        <w:adjustRightInd w:val="0"/>
        <w:spacing w:before="20" w:after="20"/>
        <w:jc w:val="both"/>
        <w:rPr>
          <w:rFonts w:asciiTheme="majorHAnsi" w:hAnsiTheme="majorHAnsi" w:cstheme="majorHAnsi"/>
          <w:noProof/>
          <w:sz w:val="20"/>
          <w:szCs w:val="28"/>
          <w:u w:val="single"/>
        </w:rPr>
      </w:pPr>
      <w:r w:rsidRPr="00077250">
        <w:rPr>
          <w:rFonts w:asciiTheme="majorHAnsi" w:hAnsiTheme="majorHAnsi" w:cstheme="majorHAnsi"/>
          <w:noProof/>
          <w:sz w:val="20"/>
          <w:szCs w:val="28"/>
        </w:rPr>
        <w:lastRenderedPageBreak/>
        <w:t xml:space="preserve">A. Ameen, “Patrons of Ottoman Mosques in Greece reconsidered in light of the Ierapetra Mosque of Crete,” </w:t>
      </w:r>
      <w:r w:rsidRPr="00077250">
        <w:rPr>
          <w:rFonts w:asciiTheme="majorHAnsi" w:hAnsiTheme="majorHAnsi" w:cstheme="majorHAnsi"/>
          <w:i/>
          <w:iCs/>
          <w:noProof/>
          <w:sz w:val="20"/>
          <w:szCs w:val="28"/>
        </w:rPr>
        <w:t>Journal of Islamic Architecture</w:t>
      </w:r>
      <w:r w:rsidRPr="00077250">
        <w:rPr>
          <w:rFonts w:asciiTheme="majorHAnsi" w:hAnsiTheme="majorHAnsi" w:cstheme="majorHAnsi"/>
          <w:noProof/>
          <w:sz w:val="20"/>
          <w:szCs w:val="28"/>
        </w:rPr>
        <w:t>, Volume 5, Issue 3, pp. 137-144, June 2019. DOI: </w:t>
      </w:r>
      <w:hyperlink r:id="rId20" w:tgtFrame="orcid.blank" w:history="1">
        <w:r w:rsidRPr="00077250">
          <w:rPr>
            <w:rStyle w:val="Hyperlink"/>
            <w:rFonts w:asciiTheme="majorHAnsi" w:hAnsiTheme="majorHAnsi" w:cstheme="majorHAnsi"/>
            <w:noProof/>
            <w:sz w:val="20"/>
            <w:szCs w:val="28"/>
          </w:rPr>
          <w:t>10.18860/jia.v5i3.5365</w:t>
        </w:r>
      </w:hyperlink>
    </w:p>
    <w:p w14:paraId="16946958" w14:textId="77777777" w:rsidR="00077250" w:rsidRPr="00077250" w:rsidRDefault="00077250" w:rsidP="00077250">
      <w:pPr>
        <w:widowControl w:val="0"/>
        <w:numPr>
          <w:ilvl w:val="0"/>
          <w:numId w:val="11"/>
        </w:numPr>
        <w:autoSpaceDE w:val="0"/>
        <w:autoSpaceDN w:val="0"/>
        <w:adjustRightInd w:val="0"/>
        <w:spacing w:before="20" w:after="20"/>
        <w:jc w:val="both"/>
        <w:rPr>
          <w:rFonts w:asciiTheme="majorHAnsi" w:hAnsiTheme="majorHAnsi" w:cstheme="majorHAnsi"/>
          <w:noProof/>
          <w:sz w:val="20"/>
          <w:szCs w:val="28"/>
        </w:rPr>
      </w:pPr>
      <w:r w:rsidRPr="00077250">
        <w:rPr>
          <w:rFonts w:asciiTheme="majorHAnsi" w:hAnsiTheme="majorHAnsi" w:cstheme="majorHAnsi"/>
          <w:noProof/>
          <w:sz w:val="20"/>
          <w:szCs w:val="28"/>
        </w:rPr>
        <w:t xml:space="preserve">A. Ameen, “The Ottoman architecture in Greece then and now: Quantitative approach,” </w:t>
      </w:r>
      <w:r w:rsidRPr="00077250">
        <w:rPr>
          <w:rFonts w:asciiTheme="majorHAnsi" w:hAnsiTheme="majorHAnsi" w:cstheme="majorHAnsi"/>
          <w:i/>
          <w:iCs/>
          <w:noProof/>
          <w:sz w:val="20"/>
          <w:szCs w:val="28"/>
        </w:rPr>
        <w:t xml:space="preserve">SHEDET, </w:t>
      </w:r>
      <w:r w:rsidRPr="00077250">
        <w:rPr>
          <w:rFonts w:asciiTheme="majorHAnsi" w:hAnsiTheme="majorHAnsi" w:cstheme="majorHAnsi"/>
          <w:noProof/>
          <w:sz w:val="20"/>
          <w:szCs w:val="28"/>
        </w:rPr>
        <w:t xml:space="preserve">Vol. 6, No. 6, pp. 93-115 2019. </w:t>
      </w:r>
      <w:hyperlink r:id="rId21" w:history="1">
        <w:r w:rsidRPr="00077250">
          <w:rPr>
            <w:rStyle w:val="Hyperlink"/>
            <w:rFonts w:asciiTheme="majorHAnsi" w:hAnsiTheme="majorHAnsi" w:cstheme="majorHAnsi"/>
            <w:noProof/>
            <w:sz w:val="20"/>
            <w:szCs w:val="28"/>
          </w:rPr>
          <w:t>Doi.10.36816/shedet.006.06</w:t>
        </w:r>
      </w:hyperlink>
    </w:p>
    <w:p w14:paraId="569A06A5" w14:textId="77777777" w:rsidR="00077250" w:rsidRPr="00077250" w:rsidRDefault="00077250" w:rsidP="00077250">
      <w:pPr>
        <w:widowControl w:val="0"/>
        <w:numPr>
          <w:ilvl w:val="0"/>
          <w:numId w:val="11"/>
        </w:numPr>
        <w:autoSpaceDE w:val="0"/>
        <w:autoSpaceDN w:val="0"/>
        <w:adjustRightInd w:val="0"/>
        <w:spacing w:before="20" w:after="20"/>
        <w:jc w:val="both"/>
        <w:rPr>
          <w:rFonts w:asciiTheme="majorHAnsi" w:hAnsiTheme="majorHAnsi" w:cstheme="majorHAnsi"/>
          <w:noProof/>
          <w:sz w:val="20"/>
          <w:szCs w:val="28"/>
          <w:u w:val="single"/>
        </w:rPr>
      </w:pPr>
      <w:r w:rsidRPr="00077250">
        <w:rPr>
          <w:rFonts w:asciiTheme="majorHAnsi" w:hAnsiTheme="majorHAnsi" w:cstheme="majorHAnsi"/>
          <w:noProof/>
          <w:sz w:val="20"/>
          <w:szCs w:val="28"/>
        </w:rPr>
        <w:t xml:space="preserve">A. Ameen, “The Ottoman bedestens in Greece,” </w:t>
      </w:r>
      <w:r w:rsidRPr="00077250">
        <w:rPr>
          <w:rFonts w:asciiTheme="majorHAnsi" w:hAnsiTheme="majorHAnsi" w:cstheme="majorHAnsi"/>
          <w:i/>
          <w:iCs/>
          <w:noProof/>
          <w:sz w:val="20"/>
          <w:szCs w:val="28"/>
        </w:rPr>
        <w:t>SHEDET</w:t>
      </w:r>
      <w:r w:rsidRPr="00077250">
        <w:rPr>
          <w:rFonts w:asciiTheme="majorHAnsi" w:hAnsiTheme="majorHAnsi" w:cstheme="majorHAnsi"/>
          <w:noProof/>
          <w:sz w:val="20"/>
          <w:szCs w:val="28"/>
        </w:rPr>
        <w:t>, Vol.</w:t>
      </w:r>
      <w:r w:rsidRPr="00077250">
        <w:rPr>
          <w:rFonts w:asciiTheme="majorHAnsi" w:hAnsiTheme="majorHAnsi" w:cstheme="majorHAnsi"/>
          <w:i/>
          <w:iCs/>
          <w:noProof/>
          <w:sz w:val="20"/>
          <w:szCs w:val="28"/>
        </w:rPr>
        <w:t xml:space="preserve"> </w:t>
      </w:r>
      <w:r w:rsidRPr="00077250">
        <w:rPr>
          <w:rFonts w:asciiTheme="majorHAnsi" w:hAnsiTheme="majorHAnsi" w:cstheme="majorHAnsi"/>
          <w:noProof/>
          <w:sz w:val="20"/>
          <w:szCs w:val="28"/>
        </w:rPr>
        <w:t>7, No. 7, pp. 115-144, 2020. DOI: </w:t>
      </w:r>
      <w:hyperlink r:id="rId22" w:history="1">
        <w:r w:rsidRPr="00077250">
          <w:rPr>
            <w:rStyle w:val="Hyperlink"/>
            <w:rFonts w:asciiTheme="majorHAnsi" w:hAnsiTheme="majorHAnsi" w:cstheme="majorHAnsi"/>
            <w:noProof/>
            <w:sz w:val="20"/>
            <w:szCs w:val="28"/>
          </w:rPr>
          <w:t>10.36816/SHEDET.2020.32863.1021</w:t>
        </w:r>
      </w:hyperlink>
    </w:p>
    <w:p w14:paraId="6DFDD230" w14:textId="77777777" w:rsidR="00077250" w:rsidRPr="00077250" w:rsidRDefault="00077250" w:rsidP="00077250">
      <w:pPr>
        <w:widowControl w:val="0"/>
        <w:numPr>
          <w:ilvl w:val="0"/>
          <w:numId w:val="11"/>
        </w:numPr>
        <w:autoSpaceDE w:val="0"/>
        <w:autoSpaceDN w:val="0"/>
        <w:adjustRightInd w:val="0"/>
        <w:spacing w:before="20" w:after="20"/>
        <w:jc w:val="both"/>
        <w:rPr>
          <w:rFonts w:asciiTheme="majorHAnsi" w:hAnsiTheme="majorHAnsi" w:cstheme="majorHAnsi"/>
          <w:noProof/>
          <w:sz w:val="20"/>
          <w:szCs w:val="28"/>
        </w:rPr>
      </w:pPr>
      <w:r w:rsidRPr="00077250">
        <w:rPr>
          <w:rFonts w:asciiTheme="majorHAnsi" w:hAnsiTheme="majorHAnsi" w:cstheme="majorHAnsi"/>
          <w:noProof/>
          <w:sz w:val="20"/>
          <w:szCs w:val="28"/>
        </w:rPr>
        <w:t xml:space="preserve">A. Ameen, “Ottoman Waqf–Medreses in Greece “Archival &amp; architectural study,” </w:t>
      </w:r>
      <w:r w:rsidRPr="00077250">
        <w:rPr>
          <w:rFonts w:asciiTheme="majorHAnsi" w:hAnsiTheme="majorHAnsi" w:cstheme="majorHAnsi"/>
          <w:i/>
          <w:iCs/>
          <w:noProof/>
          <w:sz w:val="20"/>
          <w:szCs w:val="28"/>
        </w:rPr>
        <w:t>Journal of Architecture, Arts and Humanistic Science</w:t>
      </w:r>
      <w:r w:rsidRPr="00077250">
        <w:rPr>
          <w:rFonts w:asciiTheme="majorHAnsi" w:hAnsiTheme="majorHAnsi" w:cstheme="majorHAnsi"/>
          <w:noProof/>
          <w:sz w:val="20"/>
          <w:szCs w:val="28"/>
        </w:rPr>
        <w:t>, Volume 6, No. 25, pp. 566-597, 2021. DOI: </w:t>
      </w:r>
      <w:hyperlink r:id="rId23" w:history="1">
        <w:r w:rsidRPr="00077250">
          <w:rPr>
            <w:rStyle w:val="Hyperlink"/>
            <w:rFonts w:asciiTheme="majorHAnsi" w:hAnsiTheme="majorHAnsi" w:cstheme="majorHAnsi"/>
            <w:noProof/>
            <w:sz w:val="20"/>
            <w:szCs w:val="28"/>
          </w:rPr>
          <w:t>10.21608/MJAF.2020.25255.1534</w:t>
        </w:r>
      </w:hyperlink>
    </w:p>
    <w:p w14:paraId="3D756B02" w14:textId="77777777" w:rsidR="00077250" w:rsidRPr="00077250" w:rsidRDefault="00077250" w:rsidP="00077250">
      <w:pPr>
        <w:widowControl w:val="0"/>
        <w:numPr>
          <w:ilvl w:val="0"/>
          <w:numId w:val="11"/>
        </w:numPr>
        <w:autoSpaceDE w:val="0"/>
        <w:autoSpaceDN w:val="0"/>
        <w:adjustRightInd w:val="0"/>
        <w:spacing w:before="20" w:after="20"/>
        <w:jc w:val="both"/>
        <w:rPr>
          <w:rFonts w:asciiTheme="majorHAnsi" w:hAnsiTheme="majorHAnsi" w:cstheme="majorHAnsi"/>
          <w:noProof/>
          <w:sz w:val="20"/>
          <w:szCs w:val="28"/>
        </w:rPr>
      </w:pPr>
      <w:r w:rsidRPr="00077250">
        <w:rPr>
          <w:rFonts w:asciiTheme="majorHAnsi" w:hAnsiTheme="majorHAnsi" w:cstheme="majorHAnsi"/>
          <w:noProof/>
          <w:sz w:val="20"/>
          <w:szCs w:val="28"/>
        </w:rPr>
        <w:t xml:space="preserve">A. Ameen, “The meaning of the Arabic dedicatory inscriptions of the Ottoman monuments of Greece, </w:t>
      </w:r>
      <w:r w:rsidRPr="00077250">
        <w:rPr>
          <w:rFonts w:asciiTheme="majorHAnsi" w:hAnsiTheme="majorHAnsi" w:cstheme="majorHAnsi"/>
          <w:i/>
          <w:iCs/>
          <w:noProof/>
          <w:sz w:val="20"/>
          <w:szCs w:val="28"/>
        </w:rPr>
        <w:t>Journal of the Faculty of Archaeology-Cairo University</w:t>
      </w:r>
      <w:r w:rsidRPr="00077250">
        <w:rPr>
          <w:rFonts w:asciiTheme="majorHAnsi" w:hAnsiTheme="majorHAnsi" w:cstheme="majorHAnsi"/>
          <w:noProof/>
          <w:sz w:val="20"/>
          <w:szCs w:val="28"/>
        </w:rPr>
        <w:t>, 2012, 1-16</w:t>
      </w:r>
      <w:r w:rsidRPr="00077250">
        <w:rPr>
          <w:rFonts w:asciiTheme="majorHAnsi" w:hAnsiTheme="majorHAnsi" w:cstheme="majorHAnsi" w:hint="cs"/>
          <w:noProof/>
          <w:sz w:val="20"/>
          <w:szCs w:val="28"/>
          <w:rtl/>
        </w:rPr>
        <w:t>.</w:t>
      </w:r>
    </w:p>
    <w:p w14:paraId="5C96F109" w14:textId="77777777" w:rsidR="00077250" w:rsidRPr="00077250" w:rsidRDefault="00077250" w:rsidP="00077250">
      <w:pPr>
        <w:widowControl w:val="0"/>
        <w:numPr>
          <w:ilvl w:val="0"/>
          <w:numId w:val="11"/>
        </w:numPr>
        <w:autoSpaceDE w:val="0"/>
        <w:autoSpaceDN w:val="0"/>
        <w:adjustRightInd w:val="0"/>
        <w:spacing w:before="20" w:after="20"/>
        <w:jc w:val="both"/>
        <w:rPr>
          <w:rFonts w:asciiTheme="majorHAnsi" w:hAnsiTheme="majorHAnsi" w:cstheme="majorHAnsi"/>
          <w:noProof/>
          <w:sz w:val="20"/>
          <w:szCs w:val="28"/>
        </w:rPr>
      </w:pPr>
      <w:r w:rsidRPr="00077250">
        <w:rPr>
          <w:rFonts w:asciiTheme="majorHAnsi" w:hAnsiTheme="majorHAnsi" w:cstheme="majorHAnsi"/>
          <w:noProof/>
          <w:sz w:val="20"/>
          <w:szCs w:val="28"/>
        </w:rPr>
        <w:t xml:space="preserve">A. Ameen, “Ed. Halit Eren; Prepared by Halit Eren, Mustafa OğUz, and Zekai Mete. Balkanlar’da Osmanli Vakiflari, Vakfiyeler Yunanistan.” </w:t>
      </w:r>
      <w:r w:rsidRPr="00077250">
        <w:rPr>
          <w:rFonts w:asciiTheme="majorHAnsi" w:hAnsiTheme="majorHAnsi" w:cstheme="majorHAnsi"/>
          <w:i/>
          <w:iCs/>
          <w:noProof/>
          <w:sz w:val="20"/>
          <w:szCs w:val="28"/>
        </w:rPr>
        <w:t xml:space="preserve">SHEDET, </w:t>
      </w:r>
      <w:r w:rsidRPr="00077250">
        <w:rPr>
          <w:rFonts w:asciiTheme="majorHAnsi" w:hAnsiTheme="majorHAnsi" w:cstheme="majorHAnsi"/>
          <w:noProof/>
          <w:sz w:val="20"/>
          <w:szCs w:val="28"/>
        </w:rPr>
        <w:t>Vol. 5, No. 5, pp. 224-229,  2018. </w:t>
      </w:r>
      <w:hyperlink r:id="rId24" w:history="1">
        <w:r w:rsidRPr="00077250">
          <w:rPr>
            <w:rStyle w:val="Hyperlink"/>
            <w:rFonts w:asciiTheme="majorHAnsi" w:hAnsiTheme="majorHAnsi" w:cstheme="majorHAnsi"/>
            <w:noProof/>
            <w:sz w:val="20"/>
            <w:szCs w:val="28"/>
          </w:rPr>
          <w:t>Doi.10.36816/shedet.005.15</w:t>
        </w:r>
      </w:hyperlink>
    </w:p>
    <w:p w14:paraId="25A9C0C9" w14:textId="77777777" w:rsidR="00077250" w:rsidRPr="00077250" w:rsidRDefault="00077250" w:rsidP="00077250">
      <w:pPr>
        <w:widowControl w:val="0"/>
        <w:numPr>
          <w:ilvl w:val="0"/>
          <w:numId w:val="11"/>
        </w:numPr>
        <w:autoSpaceDE w:val="0"/>
        <w:autoSpaceDN w:val="0"/>
        <w:adjustRightInd w:val="0"/>
        <w:spacing w:before="20" w:after="20"/>
        <w:jc w:val="both"/>
        <w:rPr>
          <w:rFonts w:asciiTheme="majorHAnsi" w:hAnsiTheme="majorHAnsi" w:cstheme="majorHAnsi"/>
          <w:noProof/>
          <w:sz w:val="20"/>
          <w:szCs w:val="28"/>
        </w:rPr>
      </w:pPr>
      <w:r w:rsidRPr="00077250">
        <w:rPr>
          <w:rFonts w:asciiTheme="majorHAnsi" w:hAnsiTheme="majorHAnsi" w:cstheme="majorHAnsi"/>
          <w:noProof/>
          <w:sz w:val="20"/>
          <w:szCs w:val="28"/>
        </w:rPr>
        <w:t>A. Ameen, “Bilingual and trilingual inscriptions of the Ottoman buildings in Greece: a search for the history of late Ottoman period.” </w:t>
      </w:r>
      <w:r w:rsidRPr="00077250">
        <w:rPr>
          <w:rFonts w:asciiTheme="majorHAnsi" w:hAnsiTheme="majorHAnsi" w:cstheme="majorHAnsi"/>
          <w:i/>
          <w:iCs/>
          <w:noProof/>
          <w:sz w:val="20"/>
          <w:szCs w:val="28"/>
          <w:lang w:val="en-US"/>
        </w:rPr>
        <w:t>Abgadiyat</w:t>
      </w:r>
      <w:r w:rsidRPr="00077250">
        <w:rPr>
          <w:rFonts w:asciiTheme="majorHAnsi" w:hAnsiTheme="majorHAnsi" w:cstheme="majorHAnsi"/>
          <w:noProof/>
          <w:sz w:val="20"/>
          <w:szCs w:val="28"/>
          <w:lang w:val="en-US"/>
        </w:rPr>
        <w:t xml:space="preserve">, Vol. 14, pp. </w:t>
      </w:r>
      <w:r w:rsidRPr="00077250">
        <w:rPr>
          <w:rFonts w:asciiTheme="majorHAnsi" w:hAnsiTheme="majorHAnsi" w:cstheme="majorHAnsi"/>
          <w:noProof/>
          <w:sz w:val="20"/>
          <w:szCs w:val="28"/>
        </w:rPr>
        <w:t xml:space="preserve">208-243, 2019. </w:t>
      </w:r>
      <w:hyperlink r:id="rId25" w:history="1">
        <w:r w:rsidRPr="00077250">
          <w:rPr>
            <w:rStyle w:val="Hyperlink"/>
            <w:rFonts w:asciiTheme="majorHAnsi" w:hAnsiTheme="majorHAnsi" w:cstheme="majorHAnsi"/>
            <w:noProof/>
            <w:sz w:val="20"/>
            <w:szCs w:val="28"/>
          </w:rPr>
          <w:t>https://doi.org/10.21608/abgad.2019.140483</w:t>
        </w:r>
      </w:hyperlink>
    </w:p>
    <w:p w14:paraId="7C55A2AD" w14:textId="77777777" w:rsidR="00077250" w:rsidRPr="00077250" w:rsidRDefault="00077250" w:rsidP="00077250">
      <w:pPr>
        <w:widowControl w:val="0"/>
        <w:numPr>
          <w:ilvl w:val="0"/>
          <w:numId w:val="11"/>
        </w:numPr>
        <w:autoSpaceDE w:val="0"/>
        <w:autoSpaceDN w:val="0"/>
        <w:adjustRightInd w:val="0"/>
        <w:spacing w:before="20" w:after="20"/>
        <w:jc w:val="both"/>
        <w:rPr>
          <w:rFonts w:asciiTheme="majorHAnsi" w:hAnsiTheme="majorHAnsi" w:cstheme="majorHAnsi"/>
          <w:noProof/>
          <w:sz w:val="20"/>
          <w:szCs w:val="28"/>
        </w:rPr>
      </w:pPr>
      <w:r w:rsidRPr="00077250">
        <w:rPr>
          <w:rFonts w:asciiTheme="majorHAnsi" w:hAnsiTheme="majorHAnsi" w:cstheme="majorHAnsi"/>
          <w:noProof/>
          <w:sz w:val="20"/>
          <w:szCs w:val="28"/>
        </w:rPr>
        <w:t>A. Ameen, “</w:t>
      </w:r>
      <w:r w:rsidRPr="00077250">
        <w:rPr>
          <w:rFonts w:asciiTheme="majorHAnsi" w:hAnsiTheme="majorHAnsi" w:cstheme="majorHAnsi"/>
          <w:noProof/>
          <w:sz w:val="20"/>
          <w:szCs w:val="28"/>
          <w:lang w:val="en-US"/>
        </w:rPr>
        <w:t xml:space="preserve">The significance of the Qur’anic quotation ‘Mā shā' Allāh’ on both Ottoman and Greek heritages in the Balkans, with a special reference to the extant inscriptions on Ottoman buildings in Greece,” </w:t>
      </w:r>
      <w:r w:rsidRPr="00077250">
        <w:rPr>
          <w:rFonts w:asciiTheme="majorHAnsi" w:hAnsiTheme="majorHAnsi" w:cstheme="majorHAnsi"/>
          <w:i/>
          <w:iCs/>
          <w:noProof/>
          <w:sz w:val="20"/>
          <w:szCs w:val="28"/>
          <w:lang w:val="en-US"/>
        </w:rPr>
        <w:t>EJARS,</w:t>
      </w:r>
      <w:r w:rsidRPr="00077250">
        <w:rPr>
          <w:rFonts w:asciiTheme="majorHAnsi" w:hAnsiTheme="majorHAnsi" w:cstheme="majorHAnsi"/>
          <w:noProof/>
          <w:sz w:val="20"/>
          <w:szCs w:val="28"/>
          <w:lang w:val="en-US"/>
        </w:rPr>
        <w:t xml:space="preserve"> Vol. 10, No. 1, pp. 73-85, June–2020. </w:t>
      </w:r>
      <w:r w:rsidRPr="00077250">
        <w:rPr>
          <w:rFonts w:asciiTheme="majorHAnsi" w:hAnsiTheme="majorHAnsi" w:cstheme="majorHAnsi"/>
          <w:noProof/>
          <w:sz w:val="20"/>
          <w:szCs w:val="28"/>
          <w:u w:val="single"/>
        </w:rPr>
        <w:t>DOI: </w:t>
      </w:r>
      <w:hyperlink r:id="rId26" w:history="1">
        <w:r w:rsidRPr="00077250">
          <w:rPr>
            <w:rStyle w:val="Hyperlink"/>
            <w:rFonts w:asciiTheme="majorHAnsi" w:hAnsiTheme="majorHAnsi" w:cstheme="majorHAnsi"/>
            <w:noProof/>
            <w:sz w:val="20"/>
            <w:szCs w:val="28"/>
          </w:rPr>
          <w:t>10.21608/ejars.2020.98963</w:t>
        </w:r>
      </w:hyperlink>
    </w:p>
    <w:p w14:paraId="7C4EC7DF" w14:textId="77777777" w:rsidR="00077250" w:rsidRPr="00077250" w:rsidRDefault="00077250" w:rsidP="00077250">
      <w:pPr>
        <w:widowControl w:val="0"/>
        <w:numPr>
          <w:ilvl w:val="0"/>
          <w:numId w:val="11"/>
        </w:numPr>
        <w:autoSpaceDE w:val="0"/>
        <w:autoSpaceDN w:val="0"/>
        <w:adjustRightInd w:val="0"/>
        <w:spacing w:before="20" w:after="20"/>
        <w:jc w:val="both"/>
        <w:rPr>
          <w:rFonts w:asciiTheme="majorHAnsi" w:hAnsiTheme="majorHAnsi" w:cstheme="majorHAnsi"/>
          <w:noProof/>
          <w:sz w:val="20"/>
          <w:szCs w:val="28"/>
        </w:rPr>
      </w:pPr>
      <w:r w:rsidRPr="00077250">
        <w:rPr>
          <w:rFonts w:asciiTheme="majorHAnsi" w:hAnsiTheme="majorHAnsi" w:cstheme="majorHAnsi"/>
          <w:noProof/>
          <w:sz w:val="20"/>
          <w:szCs w:val="28"/>
        </w:rPr>
        <w:t xml:space="preserve">A. Ameen, “Towards a corpus of the inscriptions of Ottoman buildings in Greece,” </w:t>
      </w:r>
      <w:r w:rsidRPr="00077250">
        <w:rPr>
          <w:rFonts w:asciiTheme="majorHAnsi" w:hAnsiTheme="majorHAnsi" w:cstheme="majorHAnsi"/>
          <w:i/>
          <w:iCs/>
          <w:noProof/>
          <w:sz w:val="20"/>
          <w:szCs w:val="28"/>
        </w:rPr>
        <w:t>Journal of Anthropological and Archaeological Sciences (JAAS)</w:t>
      </w:r>
      <w:r w:rsidRPr="00077250">
        <w:rPr>
          <w:rFonts w:asciiTheme="majorHAnsi" w:hAnsiTheme="majorHAnsi" w:cstheme="majorHAnsi"/>
          <w:noProof/>
          <w:sz w:val="20"/>
          <w:szCs w:val="28"/>
        </w:rPr>
        <w:t xml:space="preserve">, Vol. 1, No. 2, pp. 36-46, 2019. </w:t>
      </w:r>
    </w:p>
    <w:p w14:paraId="7556AE1E" w14:textId="77777777" w:rsidR="00077250" w:rsidRPr="00077250" w:rsidRDefault="00077250" w:rsidP="00077250">
      <w:pPr>
        <w:widowControl w:val="0"/>
        <w:numPr>
          <w:ilvl w:val="0"/>
          <w:numId w:val="11"/>
        </w:numPr>
        <w:autoSpaceDE w:val="0"/>
        <w:autoSpaceDN w:val="0"/>
        <w:adjustRightInd w:val="0"/>
        <w:spacing w:before="20" w:after="20"/>
        <w:jc w:val="both"/>
        <w:rPr>
          <w:rFonts w:asciiTheme="majorHAnsi" w:hAnsiTheme="majorHAnsi" w:cstheme="majorHAnsi"/>
          <w:noProof/>
          <w:sz w:val="20"/>
          <w:szCs w:val="28"/>
        </w:rPr>
      </w:pPr>
      <w:r w:rsidRPr="00077250">
        <w:rPr>
          <w:rFonts w:asciiTheme="majorHAnsi" w:hAnsiTheme="majorHAnsi" w:cstheme="majorHAnsi"/>
          <w:noProof/>
          <w:sz w:val="20"/>
          <w:szCs w:val="28"/>
        </w:rPr>
        <w:t xml:space="preserve">A. Ameen, “Mamluk Ranks: Motives of usage and their visual impact,” Abydos </w:t>
      </w:r>
      <w:r w:rsidRPr="00077250">
        <w:rPr>
          <w:rFonts w:asciiTheme="majorHAnsi" w:hAnsiTheme="majorHAnsi" w:cstheme="majorHAnsi"/>
          <w:i/>
          <w:iCs/>
          <w:noProof/>
          <w:sz w:val="20"/>
          <w:szCs w:val="28"/>
        </w:rPr>
        <w:t>annual peer-reviewed journal issued by the faculty of archaeology, Sohag University</w:t>
      </w:r>
      <w:r w:rsidRPr="00077250">
        <w:rPr>
          <w:rFonts w:asciiTheme="majorHAnsi" w:hAnsiTheme="majorHAnsi" w:cstheme="majorHAnsi"/>
          <w:noProof/>
          <w:sz w:val="20"/>
          <w:szCs w:val="28"/>
        </w:rPr>
        <w:t xml:space="preserve">, Vol. 1, pp. 5-19, 2019, DOI: </w:t>
      </w:r>
      <w:hyperlink r:id="rId27" w:history="1">
        <w:r w:rsidRPr="00077250">
          <w:rPr>
            <w:rStyle w:val="Hyperlink"/>
            <w:rFonts w:asciiTheme="majorHAnsi" w:hAnsiTheme="majorHAnsi" w:cstheme="majorHAnsi"/>
            <w:noProof/>
            <w:sz w:val="20"/>
            <w:szCs w:val="28"/>
          </w:rPr>
          <w:t>https://doi.org/10.21608/abidus.2019.223391</w:t>
        </w:r>
      </w:hyperlink>
    </w:p>
    <w:p w14:paraId="1962BBB2" w14:textId="77777777" w:rsidR="00077250" w:rsidRPr="00077250" w:rsidRDefault="00077250" w:rsidP="00077250">
      <w:pPr>
        <w:widowControl w:val="0"/>
        <w:numPr>
          <w:ilvl w:val="0"/>
          <w:numId w:val="11"/>
        </w:numPr>
        <w:autoSpaceDE w:val="0"/>
        <w:autoSpaceDN w:val="0"/>
        <w:adjustRightInd w:val="0"/>
        <w:spacing w:before="20" w:after="20"/>
        <w:jc w:val="both"/>
        <w:rPr>
          <w:rFonts w:asciiTheme="majorHAnsi" w:hAnsiTheme="majorHAnsi" w:cstheme="majorHAnsi"/>
          <w:noProof/>
          <w:sz w:val="20"/>
          <w:szCs w:val="28"/>
        </w:rPr>
      </w:pPr>
      <w:r w:rsidRPr="00077250">
        <w:rPr>
          <w:rFonts w:asciiTheme="majorHAnsi" w:hAnsiTheme="majorHAnsi" w:cstheme="majorHAnsi"/>
          <w:noProof/>
          <w:sz w:val="20"/>
          <w:szCs w:val="28"/>
        </w:rPr>
        <w:t xml:space="preserve">D. J. Roxburgh “"The Eye Is Favored for Seeing the Writing's Form": On the Sensual and the Sensuous in Islamic Calligraphy,” </w:t>
      </w:r>
      <w:r w:rsidRPr="00077250">
        <w:rPr>
          <w:rFonts w:asciiTheme="majorHAnsi" w:hAnsiTheme="majorHAnsi" w:cstheme="majorHAnsi"/>
          <w:i/>
          <w:iCs/>
          <w:noProof/>
          <w:sz w:val="20"/>
          <w:szCs w:val="28"/>
        </w:rPr>
        <w:t>Muqarnas</w:t>
      </w:r>
      <w:r w:rsidRPr="00077250">
        <w:rPr>
          <w:rFonts w:asciiTheme="majorHAnsi" w:hAnsiTheme="majorHAnsi" w:cstheme="majorHAnsi"/>
          <w:noProof/>
          <w:sz w:val="20"/>
          <w:szCs w:val="28"/>
        </w:rPr>
        <w:t>, Vol. 25, pp. 275-298, 2008.</w:t>
      </w:r>
    </w:p>
    <w:p w14:paraId="7BC76CCF" w14:textId="77777777" w:rsidR="00077250" w:rsidRPr="00077250" w:rsidRDefault="00077250" w:rsidP="00077250">
      <w:pPr>
        <w:widowControl w:val="0"/>
        <w:numPr>
          <w:ilvl w:val="0"/>
          <w:numId w:val="11"/>
        </w:numPr>
        <w:autoSpaceDE w:val="0"/>
        <w:autoSpaceDN w:val="0"/>
        <w:adjustRightInd w:val="0"/>
        <w:spacing w:before="20" w:after="20"/>
        <w:jc w:val="both"/>
        <w:rPr>
          <w:rFonts w:asciiTheme="majorHAnsi" w:hAnsiTheme="majorHAnsi" w:cstheme="majorHAnsi"/>
          <w:noProof/>
          <w:sz w:val="20"/>
          <w:szCs w:val="28"/>
        </w:rPr>
      </w:pPr>
      <w:r w:rsidRPr="00077250">
        <w:rPr>
          <w:rFonts w:asciiTheme="majorHAnsi" w:hAnsiTheme="majorHAnsi" w:cstheme="majorHAnsi"/>
          <w:noProof/>
          <w:sz w:val="20"/>
          <w:szCs w:val="28"/>
        </w:rPr>
        <w:t>H. M. alQaḥṭ</w:t>
      </w:r>
      <w:bookmarkStart w:id="1" w:name="_Hlk155533651"/>
      <w:r w:rsidRPr="00077250">
        <w:rPr>
          <w:rFonts w:asciiTheme="majorHAnsi" w:hAnsiTheme="majorHAnsi" w:cstheme="majorHAnsi"/>
          <w:noProof/>
          <w:sz w:val="20"/>
          <w:szCs w:val="28"/>
        </w:rPr>
        <w:t>ā</w:t>
      </w:r>
      <w:bookmarkEnd w:id="1"/>
      <w:r w:rsidRPr="00077250">
        <w:rPr>
          <w:rFonts w:asciiTheme="majorHAnsi" w:hAnsiTheme="majorHAnsi" w:cstheme="majorHAnsi"/>
          <w:noProof/>
          <w:sz w:val="20"/>
          <w:szCs w:val="28"/>
        </w:rPr>
        <w:t xml:space="preserve">nī, “Calligraphy and Architecture: A Visual and Historical Analysis of the Most Important Manifestations of Arabic Calligraphy in Islamic Architecture.” </w:t>
      </w:r>
      <w:r w:rsidRPr="00077250">
        <w:rPr>
          <w:rFonts w:asciiTheme="majorHAnsi" w:hAnsiTheme="majorHAnsi" w:cstheme="majorHAnsi"/>
          <w:i/>
          <w:iCs/>
          <w:noProof/>
          <w:sz w:val="20"/>
          <w:szCs w:val="28"/>
        </w:rPr>
        <w:t>Journal of Quranic Research and Studies</w:t>
      </w:r>
      <w:r w:rsidRPr="00077250">
        <w:rPr>
          <w:rFonts w:asciiTheme="majorHAnsi" w:hAnsiTheme="majorHAnsi" w:cstheme="majorHAnsi"/>
          <w:noProof/>
          <w:sz w:val="20"/>
          <w:szCs w:val="28"/>
        </w:rPr>
        <w:t>, Vol. 4, No. 8, pp. 279-357, 2009.</w:t>
      </w:r>
    </w:p>
    <w:p w14:paraId="2CA6368A" w14:textId="77777777" w:rsidR="00077250" w:rsidRPr="00077250" w:rsidRDefault="00077250" w:rsidP="00077250">
      <w:pPr>
        <w:widowControl w:val="0"/>
        <w:numPr>
          <w:ilvl w:val="0"/>
          <w:numId w:val="11"/>
        </w:numPr>
        <w:autoSpaceDE w:val="0"/>
        <w:autoSpaceDN w:val="0"/>
        <w:adjustRightInd w:val="0"/>
        <w:spacing w:before="20" w:after="20"/>
        <w:jc w:val="both"/>
        <w:rPr>
          <w:rFonts w:asciiTheme="majorHAnsi" w:hAnsiTheme="majorHAnsi" w:cstheme="majorHAnsi"/>
          <w:noProof/>
          <w:sz w:val="20"/>
          <w:szCs w:val="28"/>
        </w:rPr>
      </w:pPr>
      <w:r w:rsidRPr="00077250">
        <w:rPr>
          <w:rFonts w:asciiTheme="majorHAnsi" w:hAnsiTheme="majorHAnsi" w:cstheme="majorHAnsi"/>
          <w:noProof/>
          <w:sz w:val="20"/>
          <w:szCs w:val="28"/>
        </w:rPr>
        <w:t>A. M. A. Ahmed, “Calligraphic Inscriptions on Cariene Architectural Heritage during the Mamluk Sultanate of Qalaw</w:t>
      </w:r>
      <w:bookmarkStart w:id="2" w:name="_Hlk155530882"/>
      <w:r w:rsidRPr="00077250">
        <w:rPr>
          <w:rFonts w:asciiTheme="majorHAnsi" w:hAnsiTheme="majorHAnsi" w:cstheme="majorHAnsi"/>
          <w:noProof/>
          <w:sz w:val="20"/>
          <w:szCs w:val="28"/>
        </w:rPr>
        <w:t>ū</w:t>
      </w:r>
      <w:bookmarkEnd w:id="2"/>
      <w:r w:rsidRPr="00077250">
        <w:rPr>
          <w:rFonts w:asciiTheme="majorHAnsi" w:hAnsiTheme="majorHAnsi" w:cstheme="majorHAnsi"/>
          <w:noProof/>
          <w:sz w:val="20"/>
          <w:szCs w:val="28"/>
        </w:rPr>
        <w:t>n (678-784 AH / 1279-1382 CE): A Visual and Artistic Study”, MA Thesis, 2019, Department of Islamic Archaeology, Faculty of Archaeology, Sohag University.</w:t>
      </w:r>
    </w:p>
    <w:p w14:paraId="7F8710FD" w14:textId="77777777" w:rsidR="00077250" w:rsidRPr="00077250" w:rsidRDefault="00077250" w:rsidP="00077250">
      <w:pPr>
        <w:widowControl w:val="0"/>
        <w:numPr>
          <w:ilvl w:val="0"/>
          <w:numId w:val="11"/>
        </w:numPr>
        <w:autoSpaceDE w:val="0"/>
        <w:autoSpaceDN w:val="0"/>
        <w:adjustRightInd w:val="0"/>
        <w:spacing w:before="20" w:after="20"/>
        <w:jc w:val="both"/>
        <w:rPr>
          <w:rFonts w:asciiTheme="majorHAnsi" w:hAnsiTheme="majorHAnsi" w:cstheme="majorHAnsi"/>
          <w:noProof/>
          <w:sz w:val="20"/>
          <w:szCs w:val="28"/>
          <w:lang w:val="tr-TR"/>
        </w:rPr>
      </w:pPr>
      <w:r w:rsidRPr="00077250">
        <w:rPr>
          <w:rFonts w:asciiTheme="majorHAnsi" w:hAnsiTheme="majorHAnsi" w:cstheme="majorHAnsi"/>
          <w:noProof/>
          <w:sz w:val="20"/>
          <w:szCs w:val="28"/>
        </w:rPr>
        <w:t>E.H. Ayverdi, “</w:t>
      </w:r>
      <w:r w:rsidRPr="00077250">
        <w:rPr>
          <w:rFonts w:asciiTheme="majorHAnsi" w:hAnsiTheme="majorHAnsi" w:cstheme="majorHAnsi"/>
          <w:noProof/>
          <w:sz w:val="20"/>
          <w:szCs w:val="28"/>
          <w:lang w:val="tr-TR"/>
        </w:rPr>
        <w:t>Dimetoka'da Çelebi Sultan Mehmed Camii</w:t>
      </w:r>
      <w:r w:rsidRPr="00077250">
        <w:rPr>
          <w:rFonts w:asciiTheme="majorHAnsi" w:hAnsiTheme="majorHAnsi" w:cstheme="majorHAnsi"/>
          <w:noProof/>
          <w:sz w:val="20"/>
          <w:szCs w:val="28"/>
        </w:rPr>
        <w:t>”</w:t>
      </w:r>
      <w:r w:rsidRPr="00077250">
        <w:rPr>
          <w:rFonts w:asciiTheme="majorHAnsi" w:hAnsiTheme="majorHAnsi" w:cstheme="majorHAnsi"/>
          <w:noProof/>
          <w:sz w:val="20"/>
          <w:szCs w:val="28"/>
          <w:lang w:val="tr-TR"/>
        </w:rPr>
        <w:t xml:space="preserve">. </w:t>
      </w:r>
      <w:r w:rsidRPr="00077250">
        <w:rPr>
          <w:rFonts w:asciiTheme="majorHAnsi" w:hAnsiTheme="majorHAnsi" w:cstheme="majorHAnsi"/>
          <w:i/>
          <w:iCs/>
          <w:noProof/>
          <w:sz w:val="20"/>
          <w:szCs w:val="28"/>
          <w:lang w:val="tr-TR"/>
        </w:rPr>
        <w:t>Vakıflar Dergisi</w:t>
      </w:r>
      <w:r w:rsidRPr="00077250">
        <w:rPr>
          <w:rFonts w:asciiTheme="majorHAnsi" w:hAnsiTheme="majorHAnsi" w:cstheme="majorHAnsi"/>
          <w:noProof/>
          <w:sz w:val="20"/>
          <w:szCs w:val="28"/>
          <w:lang w:val="tr-TR"/>
        </w:rPr>
        <w:t xml:space="preserve"> 3, pp. 13–16, 1956</w:t>
      </w:r>
    </w:p>
    <w:p w14:paraId="7BA3B756" w14:textId="77777777" w:rsidR="00077250" w:rsidRPr="00077250" w:rsidRDefault="00077250" w:rsidP="00077250">
      <w:pPr>
        <w:widowControl w:val="0"/>
        <w:numPr>
          <w:ilvl w:val="0"/>
          <w:numId w:val="11"/>
        </w:numPr>
        <w:autoSpaceDE w:val="0"/>
        <w:autoSpaceDN w:val="0"/>
        <w:adjustRightInd w:val="0"/>
        <w:spacing w:before="20" w:after="20"/>
        <w:jc w:val="both"/>
        <w:rPr>
          <w:rFonts w:asciiTheme="majorHAnsi" w:hAnsiTheme="majorHAnsi" w:cstheme="majorHAnsi"/>
          <w:noProof/>
          <w:sz w:val="20"/>
          <w:szCs w:val="28"/>
          <w:lang w:val="fr-FR"/>
        </w:rPr>
      </w:pPr>
      <w:r w:rsidRPr="00077250">
        <w:rPr>
          <w:rFonts w:asciiTheme="majorHAnsi" w:hAnsiTheme="majorHAnsi" w:cstheme="majorHAnsi"/>
          <w:noProof/>
          <w:sz w:val="20"/>
          <w:szCs w:val="28"/>
          <w:lang w:val="tr-TR"/>
        </w:rPr>
        <w:t xml:space="preserve">E.H. Ayverdi, </w:t>
      </w:r>
      <w:r w:rsidRPr="00077250">
        <w:rPr>
          <w:rFonts w:asciiTheme="majorHAnsi" w:hAnsiTheme="majorHAnsi" w:cstheme="majorHAnsi"/>
          <w:i/>
          <w:iCs/>
          <w:noProof/>
          <w:sz w:val="20"/>
          <w:szCs w:val="28"/>
          <w:lang w:val="tr-TR"/>
        </w:rPr>
        <w:t xml:space="preserve">Osmanlı mimarisinde Çelebi ve II. </w:t>
      </w:r>
      <w:r w:rsidRPr="00077250">
        <w:rPr>
          <w:rFonts w:asciiTheme="majorHAnsi" w:hAnsiTheme="majorHAnsi" w:cstheme="majorHAnsi"/>
          <w:i/>
          <w:iCs/>
          <w:noProof/>
          <w:sz w:val="20"/>
          <w:szCs w:val="28"/>
          <w:lang w:val="fr-FR"/>
        </w:rPr>
        <w:t>Sultan Murad Devri, 806-855 (1403-1451). II</w:t>
      </w:r>
      <w:r w:rsidRPr="00077250">
        <w:rPr>
          <w:rFonts w:asciiTheme="majorHAnsi" w:hAnsiTheme="majorHAnsi" w:cstheme="majorHAnsi"/>
          <w:noProof/>
          <w:sz w:val="20"/>
          <w:szCs w:val="28"/>
          <w:lang w:val="fr-FR"/>
        </w:rPr>
        <w:t xml:space="preserve">. Istanbul: Baha Matbaası, </w:t>
      </w:r>
      <w:r w:rsidRPr="00077250">
        <w:rPr>
          <w:rFonts w:asciiTheme="majorHAnsi" w:hAnsiTheme="majorHAnsi" w:cstheme="majorHAnsi"/>
          <w:noProof/>
          <w:sz w:val="20"/>
          <w:szCs w:val="28"/>
          <w:lang w:val="tr-TR"/>
        </w:rPr>
        <w:t>1972</w:t>
      </w:r>
      <w:r w:rsidRPr="00077250">
        <w:rPr>
          <w:rFonts w:asciiTheme="majorHAnsi" w:hAnsiTheme="majorHAnsi" w:cstheme="majorHAnsi"/>
          <w:noProof/>
          <w:sz w:val="20"/>
          <w:szCs w:val="28"/>
          <w:lang w:val="fr-FR"/>
        </w:rPr>
        <w:t>.</w:t>
      </w:r>
    </w:p>
    <w:p w14:paraId="52BD6124" w14:textId="77777777" w:rsidR="00077250" w:rsidRPr="00077250" w:rsidRDefault="00077250" w:rsidP="00077250">
      <w:pPr>
        <w:widowControl w:val="0"/>
        <w:numPr>
          <w:ilvl w:val="0"/>
          <w:numId w:val="11"/>
        </w:numPr>
        <w:autoSpaceDE w:val="0"/>
        <w:autoSpaceDN w:val="0"/>
        <w:adjustRightInd w:val="0"/>
        <w:spacing w:before="20" w:after="20"/>
        <w:jc w:val="both"/>
        <w:rPr>
          <w:rFonts w:asciiTheme="majorHAnsi" w:hAnsiTheme="majorHAnsi" w:cstheme="majorHAnsi"/>
          <w:noProof/>
          <w:sz w:val="20"/>
          <w:szCs w:val="28"/>
          <w:lang w:val="en-US"/>
        </w:rPr>
      </w:pPr>
      <w:r w:rsidRPr="00077250">
        <w:rPr>
          <w:rFonts w:asciiTheme="majorHAnsi" w:hAnsiTheme="majorHAnsi" w:cstheme="majorHAnsi"/>
          <w:noProof/>
          <w:sz w:val="20"/>
          <w:szCs w:val="28"/>
          <w:lang w:val="fr-FR"/>
        </w:rPr>
        <w:t xml:space="preserve">E. H. Ayverdi, </w:t>
      </w:r>
      <w:r w:rsidRPr="00077250">
        <w:rPr>
          <w:rFonts w:asciiTheme="majorHAnsi" w:hAnsiTheme="majorHAnsi" w:cstheme="majorHAnsi"/>
          <w:i/>
          <w:iCs/>
          <w:noProof/>
          <w:sz w:val="20"/>
          <w:szCs w:val="28"/>
          <w:lang w:val="fr-FR"/>
        </w:rPr>
        <w:t>Avrupa'da Osmanli Mimari Eserleri IV: Bulgaristan, Yunanistan, Arnavutluk</w:t>
      </w:r>
      <w:r w:rsidRPr="00077250">
        <w:rPr>
          <w:rFonts w:asciiTheme="majorHAnsi" w:hAnsiTheme="majorHAnsi" w:cstheme="majorHAnsi"/>
          <w:noProof/>
          <w:sz w:val="20"/>
          <w:szCs w:val="28"/>
          <w:lang w:val="fr-FR"/>
        </w:rPr>
        <w:t xml:space="preserve">. </w:t>
      </w:r>
      <w:r w:rsidRPr="00077250">
        <w:rPr>
          <w:rFonts w:asciiTheme="majorHAnsi" w:hAnsiTheme="majorHAnsi" w:cstheme="majorHAnsi"/>
          <w:noProof/>
          <w:sz w:val="20"/>
          <w:szCs w:val="28"/>
          <w:lang w:val="en-US"/>
        </w:rPr>
        <w:t xml:space="preserve">Istanbul: Istanbul Fetih Cemiyeti, </w:t>
      </w:r>
      <w:r w:rsidRPr="00077250">
        <w:rPr>
          <w:rFonts w:asciiTheme="majorHAnsi" w:hAnsiTheme="majorHAnsi" w:cstheme="majorHAnsi"/>
          <w:noProof/>
          <w:sz w:val="20"/>
          <w:szCs w:val="28"/>
          <w:lang w:val="fr-FR"/>
        </w:rPr>
        <w:t>1982</w:t>
      </w:r>
      <w:r w:rsidRPr="00077250">
        <w:rPr>
          <w:rFonts w:asciiTheme="majorHAnsi" w:hAnsiTheme="majorHAnsi" w:cstheme="majorHAnsi"/>
          <w:noProof/>
          <w:sz w:val="20"/>
          <w:szCs w:val="28"/>
          <w:lang w:val="en-US"/>
        </w:rPr>
        <w:t>.</w:t>
      </w:r>
    </w:p>
    <w:p w14:paraId="46448881" w14:textId="77777777" w:rsidR="00077250" w:rsidRPr="00077250" w:rsidRDefault="00077250" w:rsidP="00077250">
      <w:pPr>
        <w:widowControl w:val="0"/>
        <w:numPr>
          <w:ilvl w:val="0"/>
          <w:numId w:val="11"/>
        </w:numPr>
        <w:autoSpaceDE w:val="0"/>
        <w:autoSpaceDN w:val="0"/>
        <w:adjustRightInd w:val="0"/>
        <w:spacing w:before="20" w:after="20"/>
        <w:jc w:val="both"/>
        <w:rPr>
          <w:rFonts w:asciiTheme="majorHAnsi" w:hAnsiTheme="majorHAnsi" w:cstheme="majorHAnsi"/>
          <w:noProof/>
          <w:sz w:val="20"/>
          <w:szCs w:val="28"/>
          <w:lang w:val="tr-TR"/>
        </w:rPr>
      </w:pPr>
      <w:r w:rsidRPr="00077250">
        <w:rPr>
          <w:rFonts w:asciiTheme="majorHAnsi" w:hAnsiTheme="majorHAnsi" w:cstheme="majorHAnsi"/>
          <w:noProof/>
          <w:sz w:val="20"/>
          <w:szCs w:val="28"/>
          <w:lang w:val="tr-TR"/>
        </w:rPr>
        <w:t xml:space="preserve">S. Eyice, “Çelebi Sultan Mehmed Camii. Yunanistan’da Dimetoka’da XV. yüzyıl başlarına ait cami.” </w:t>
      </w:r>
      <w:r w:rsidRPr="00077250">
        <w:rPr>
          <w:rFonts w:asciiTheme="majorHAnsi" w:hAnsiTheme="majorHAnsi" w:cstheme="majorHAnsi"/>
          <w:i/>
          <w:iCs/>
          <w:noProof/>
          <w:sz w:val="20"/>
          <w:szCs w:val="28"/>
          <w:lang w:val="tr-TR"/>
        </w:rPr>
        <w:t xml:space="preserve">TDV İslâm Ansiklopedisi’nin, </w:t>
      </w:r>
      <w:r w:rsidRPr="00077250">
        <w:rPr>
          <w:rFonts w:asciiTheme="majorHAnsi" w:hAnsiTheme="majorHAnsi" w:cstheme="majorHAnsi"/>
          <w:noProof/>
          <w:sz w:val="20"/>
          <w:szCs w:val="28"/>
          <w:lang w:val="tr-TR"/>
        </w:rPr>
        <w:t>Vol.</w:t>
      </w:r>
      <w:r w:rsidRPr="00077250">
        <w:rPr>
          <w:rFonts w:asciiTheme="majorHAnsi" w:hAnsiTheme="majorHAnsi" w:cstheme="majorHAnsi"/>
          <w:i/>
          <w:iCs/>
          <w:noProof/>
          <w:sz w:val="20"/>
          <w:szCs w:val="28"/>
          <w:lang w:val="tr-TR"/>
        </w:rPr>
        <w:t xml:space="preserve"> </w:t>
      </w:r>
      <w:r w:rsidRPr="00077250">
        <w:rPr>
          <w:rFonts w:asciiTheme="majorHAnsi" w:hAnsiTheme="majorHAnsi" w:cstheme="majorHAnsi"/>
          <w:noProof/>
          <w:sz w:val="20"/>
          <w:szCs w:val="28"/>
          <w:lang w:val="tr-TR"/>
        </w:rPr>
        <w:t>8, pp. 262-263, 1993.</w:t>
      </w:r>
    </w:p>
    <w:p w14:paraId="4E35A251" w14:textId="77777777" w:rsidR="00077250" w:rsidRPr="00077250" w:rsidRDefault="00077250" w:rsidP="00077250">
      <w:pPr>
        <w:widowControl w:val="0"/>
        <w:numPr>
          <w:ilvl w:val="0"/>
          <w:numId w:val="11"/>
        </w:numPr>
        <w:autoSpaceDE w:val="0"/>
        <w:autoSpaceDN w:val="0"/>
        <w:adjustRightInd w:val="0"/>
        <w:spacing w:before="20" w:after="20"/>
        <w:jc w:val="both"/>
        <w:rPr>
          <w:rFonts w:asciiTheme="majorHAnsi" w:hAnsiTheme="majorHAnsi" w:cstheme="majorHAnsi"/>
          <w:noProof/>
          <w:sz w:val="20"/>
          <w:szCs w:val="28"/>
          <w:lang w:val="tr-TR"/>
        </w:rPr>
      </w:pPr>
      <w:r w:rsidRPr="00077250">
        <w:rPr>
          <w:rFonts w:asciiTheme="majorHAnsi" w:hAnsiTheme="majorHAnsi" w:cstheme="majorHAnsi"/>
          <w:noProof/>
          <w:sz w:val="20"/>
          <w:szCs w:val="28"/>
          <w:lang w:val="tr-TR"/>
        </w:rPr>
        <w:t xml:space="preserve">M. Kiel, “Dimetoka. Yunanistan’da Trakya kesiminde eski bir Osmanlı kasabası”. </w:t>
      </w:r>
      <w:r w:rsidRPr="00077250">
        <w:rPr>
          <w:rFonts w:asciiTheme="majorHAnsi" w:hAnsiTheme="majorHAnsi" w:cstheme="majorHAnsi"/>
          <w:i/>
          <w:iCs/>
          <w:noProof/>
          <w:sz w:val="20"/>
          <w:szCs w:val="28"/>
          <w:lang w:val="tr-TR"/>
        </w:rPr>
        <w:t>TDV İslâm Ansiklopedisi’nin 9</w:t>
      </w:r>
      <w:r w:rsidRPr="00077250">
        <w:rPr>
          <w:rFonts w:asciiTheme="majorHAnsi" w:hAnsiTheme="majorHAnsi" w:cstheme="majorHAnsi"/>
          <w:noProof/>
          <w:sz w:val="20"/>
          <w:szCs w:val="28"/>
          <w:lang w:val="tr-TR"/>
        </w:rPr>
        <w:t>, 1994, 305-308.</w:t>
      </w:r>
    </w:p>
    <w:p w14:paraId="7AA0D504" w14:textId="77777777" w:rsidR="00077250" w:rsidRPr="00077250" w:rsidRDefault="00077250" w:rsidP="00077250">
      <w:pPr>
        <w:widowControl w:val="0"/>
        <w:numPr>
          <w:ilvl w:val="0"/>
          <w:numId w:val="11"/>
        </w:numPr>
        <w:autoSpaceDE w:val="0"/>
        <w:autoSpaceDN w:val="0"/>
        <w:adjustRightInd w:val="0"/>
        <w:spacing w:before="20" w:after="20"/>
        <w:jc w:val="both"/>
        <w:rPr>
          <w:rFonts w:asciiTheme="majorHAnsi" w:hAnsiTheme="majorHAnsi" w:cstheme="majorHAnsi"/>
          <w:noProof/>
          <w:sz w:val="20"/>
          <w:szCs w:val="28"/>
          <w:lang w:val="tr-TR"/>
        </w:rPr>
      </w:pPr>
      <w:r w:rsidRPr="00077250">
        <w:rPr>
          <w:rFonts w:asciiTheme="majorHAnsi" w:hAnsiTheme="majorHAnsi" w:cstheme="majorHAnsi"/>
          <w:i/>
          <w:iCs/>
          <w:noProof/>
          <w:sz w:val="20"/>
          <w:szCs w:val="28"/>
          <w:lang w:val="tr-TR"/>
        </w:rPr>
        <w:t>M. Türkoğlu,  “Meriç (Evros) vilayetindeki tarihi Türk eserleri,”</w:t>
      </w:r>
      <w:r w:rsidRPr="00077250">
        <w:rPr>
          <w:rFonts w:asciiTheme="majorHAnsi" w:hAnsiTheme="majorHAnsi" w:cstheme="majorHAnsi"/>
          <w:noProof/>
          <w:sz w:val="20"/>
          <w:szCs w:val="28"/>
          <w:lang w:val="tr-TR"/>
        </w:rPr>
        <w:t xml:space="preserve"> </w:t>
      </w:r>
      <w:r w:rsidRPr="00077250">
        <w:rPr>
          <w:rFonts w:asciiTheme="majorHAnsi" w:hAnsiTheme="majorHAnsi" w:cstheme="majorHAnsi"/>
          <w:i/>
          <w:iCs/>
          <w:noProof/>
          <w:sz w:val="20"/>
          <w:szCs w:val="28"/>
          <w:lang w:val="tr-TR"/>
        </w:rPr>
        <w:t>Batı Trakya'nın Sesi,</w:t>
      </w:r>
      <w:r w:rsidRPr="00077250">
        <w:rPr>
          <w:rFonts w:asciiTheme="majorHAnsi" w:hAnsiTheme="majorHAnsi" w:cstheme="majorHAnsi"/>
          <w:noProof/>
          <w:sz w:val="20"/>
          <w:szCs w:val="28"/>
          <w:lang w:val="tr-TR"/>
        </w:rPr>
        <w:t xml:space="preserve"> Vol. 7, No. 2, pp. 29-38, 1989</w:t>
      </w:r>
    </w:p>
    <w:p w14:paraId="0718E142" w14:textId="77777777" w:rsidR="00077250" w:rsidRPr="00077250" w:rsidRDefault="00077250" w:rsidP="00077250">
      <w:pPr>
        <w:widowControl w:val="0"/>
        <w:numPr>
          <w:ilvl w:val="0"/>
          <w:numId w:val="11"/>
        </w:numPr>
        <w:autoSpaceDE w:val="0"/>
        <w:autoSpaceDN w:val="0"/>
        <w:adjustRightInd w:val="0"/>
        <w:spacing w:before="20" w:after="20"/>
        <w:jc w:val="both"/>
        <w:rPr>
          <w:rFonts w:asciiTheme="majorHAnsi" w:hAnsiTheme="majorHAnsi" w:cstheme="majorHAnsi"/>
          <w:noProof/>
          <w:sz w:val="20"/>
          <w:szCs w:val="28"/>
        </w:rPr>
      </w:pPr>
      <w:r w:rsidRPr="00077250">
        <w:rPr>
          <w:rFonts w:asciiTheme="majorHAnsi" w:hAnsiTheme="majorHAnsi" w:cstheme="majorHAnsi"/>
          <w:noProof/>
          <w:sz w:val="20"/>
          <w:szCs w:val="28"/>
        </w:rPr>
        <w:t>A</w:t>
      </w:r>
      <w:r w:rsidRPr="00077250">
        <w:rPr>
          <w:rFonts w:asciiTheme="majorHAnsi" w:hAnsiTheme="majorHAnsi" w:cstheme="majorHAnsi"/>
          <w:noProof/>
          <w:sz w:val="20"/>
          <w:szCs w:val="28"/>
          <w:lang w:val="en-US"/>
        </w:rPr>
        <w:t xml:space="preserve">. </w:t>
      </w:r>
      <w:r w:rsidRPr="00077250">
        <w:rPr>
          <w:rFonts w:asciiTheme="majorHAnsi" w:hAnsiTheme="majorHAnsi" w:cstheme="majorHAnsi"/>
          <w:noProof/>
          <w:sz w:val="20"/>
          <w:szCs w:val="28"/>
        </w:rPr>
        <w:t>Gouridis</w:t>
      </w:r>
      <w:r w:rsidRPr="00077250">
        <w:rPr>
          <w:rFonts w:asciiTheme="majorHAnsi" w:hAnsiTheme="majorHAnsi" w:cstheme="majorHAnsi"/>
          <w:noProof/>
          <w:sz w:val="20"/>
          <w:szCs w:val="28"/>
          <w:lang w:val="en-US"/>
        </w:rPr>
        <w:t xml:space="preserve">, </w:t>
      </w:r>
      <w:r w:rsidRPr="00077250">
        <w:rPr>
          <w:rFonts w:asciiTheme="majorHAnsi" w:hAnsiTheme="majorHAnsi" w:cstheme="majorHAnsi"/>
          <w:i/>
          <w:iCs/>
          <w:noProof/>
          <w:sz w:val="20"/>
          <w:szCs w:val="28"/>
        </w:rPr>
        <w:t>To</w:t>
      </w:r>
      <w:r w:rsidRPr="00077250">
        <w:rPr>
          <w:rFonts w:asciiTheme="majorHAnsi" w:hAnsiTheme="majorHAnsi" w:cstheme="majorHAnsi"/>
          <w:i/>
          <w:iCs/>
          <w:noProof/>
          <w:sz w:val="20"/>
          <w:szCs w:val="28"/>
          <w:lang w:val="en-US"/>
        </w:rPr>
        <w:t xml:space="preserve"> </w:t>
      </w:r>
      <w:r w:rsidRPr="00077250">
        <w:rPr>
          <w:rFonts w:asciiTheme="majorHAnsi" w:hAnsiTheme="majorHAnsi" w:cstheme="majorHAnsi"/>
          <w:i/>
          <w:iCs/>
          <w:noProof/>
          <w:sz w:val="20"/>
          <w:szCs w:val="28"/>
        </w:rPr>
        <w:t>Istoriko</w:t>
      </w:r>
      <w:r w:rsidRPr="00077250">
        <w:rPr>
          <w:rFonts w:asciiTheme="majorHAnsi" w:hAnsiTheme="majorHAnsi" w:cstheme="majorHAnsi"/>
          <w:i/>
          <w:iCs/>
          <w:noProof/>
          <w:sz w:val="20"/>
          <w:szCs w:val="28"/>
          <w:lang w:val="en-US"/>
        </w:rPr>
        <w:t xml:space="preserve"> </w:t>
      </w:r>
      <w:r w:rsidRPr="00077250">
        <w:rPr>
          <w:rFonts w:asciiTheme="majorHAnsi" w:hAnsiTheme="majorHAnsi" w:cstheme="majorHAnsi"/>
          <w:i/>
          <w:iCs/>
          <w:noProof/>
          <w:sz w:val="20"/>
          <w:szCs w:val="28"/>
        </w:rPr>
        <w:t>Didym</w:t>
      </w:r>
      <w:r w:rsidRPr="00077250">
        <w:rPr>
          <w:rFonts w:asciiTheme="majorHAnsi" w:hAnsiTheme="majorHAnsi" w:cstheme="majorHAnsi"/>
          <w:i/>
          <w:iCs/>
          <w:noProof/>
          <w:sz w:val="20"/>
          <w:szCs w:val="28"/>
          <w:lang w:val="en-US"/>
        </w:rPr>
        <w:t>ó</w:t>
      </w:r>
      <w:r w:rsidRPr="00077250">
        <w:rPr>
          <w:rFonts w:asciiTheme="majorHAnsi" w:hAnsiTheme="majorHAnsi" w:cstheme="majorHAnsi"/>
          <w:i/>
          <w:iCs/>
          <w:noProof/>
          <w:sz w:val="20"/>
          <w:szCs w:val="28"/>
        </w:rPr>
        <w:t>teicho</w:t>
      </w:r>
      <w:r w:rsidRPr="00077250">
        <w:rPr>
          <w:rFonts w:asciiTheme="majorHAnsi" w:hAnsiTheme="majorHAnsi" w:cstheme="majorHAnsi"/>
          <w:i/>
          <w:iCs/>
          <w:noProof/>
          <w:sz w:val="20"/>
          <w:szCs w:val="28"/>
          <w:lang w:val="en-US"/>
        </w:rPr>
        <w:t xml:space="preserve">: </w:t>
      </w:r>
      <w:r w:rsidRPr="00077250">
        <w:rPr>
          <w:rFonts w:asciiTheme="majorHAnsi" w:hAnsiTheme="majorHAnsi" w:cstheme="majorHAnsi"/>
          <w:i/>
          <w:iCs/>
          <w:noProof/>
          <w:sz w:val="20"/>
          <w:szCs w:val="28"/>
        </w:rPr>
        <w:t>Symvol</w:t>
      </w:r>
      <w:r w:rsidRPr="00077250">
        <w:rPr>
          <w:rFonts w:asciiTheme="majorHAnsi" w:hAnsiTheme="majorHAnsi" w:cstheme="majorHAnsi"/>
          <w:i/>
          <w:iCs/>
          <w:noProof/>
          <w:sz w:val="20"/>
          <w:szCs w:val="28"/>
          <w:lang w:val="en-US"/>
        </w:rPr>
        <w:t xml:space="preserve">i </w:t>
      </w:r>
      <w:r w:rsidRPr="00077250">
        <w:rPr>
          <w:rFonts w:asciiTheme="majorHAnsi" w:hAnsiTheme="majorHAnsi" w:cstheme="majorHAnsi"/>
          <w:i/>
          <w:iCs/>
          <w:noProof/>
          <w:sz w:val="20"/>
          <w:szCs w:val="28"/>
        </w:rPr>
        <w:t>st</w:t>
      </w:r>
      <w:r w:rsidRPr="00077250">
        <w:rPr>
          <w:rFonts w:asciiTheme="majorHAnsi" w:hAnsiTheme="majorHAnsi" w:cstheme="majorHAnsi"/>
          <w:i/>
          <w:iCs/>
          <w:noProof/>
          <w:sz w:val="20"/>
          <w:szCs w:val="28"/>
          <w:lang w:val="en-US"/>
        </w:rPr>
        <w:t>i</w:t>
      </w:r>
      <w:r w:rsidRPr="00077250">
        <w:rPr>
          <w:rFonts w:asciiTheme="majorHAnsi" w:hAnsiTheme="majorHAnsi" w:cstheme="majorHAnsi"/>
          <w:i/>
          <w:iCs/>
          <w:noProof/>
          <w:sz w:val="20"/>
          <w:szCs w:val="28"/>
        </w:rPr>
        <w:t>n</w:t>
      </w:r>
      <w:r w:rsidRPr="00077250">
        <w:rPr>
          <w:rFonts w:asciiTheme="majorHAnsi" w:hAnsiTheme="majorHAnsi" w:cstheme="majorHAnsi"/>
          <w:i/>
          <w:iCs/>
          <w:noProof/>
          <w:sz w:val="20"/>
          <w:szCs w:val="28"/>
          <w:lang w:val="en-US"/>
        </w:rPr>
        <w:t xml:space="preserve"> </w:t>
      </w:r>
      <w:r w:rsidRPr="00077250">
        <w:rPr>
          <w:rFonts w:asciiTheme="majorHAnsi" w:hAnsiTheme="majorHAnsi" w:cstheme="majorHAnsi"/>
          <w:i/>
          <w:iCs/>
          <w:noProof/>
          <w:sz w:val="20"/>
          <w:szCs w:val="28"/>
        </w:rPr>
        <w:t>istoria</w:t>
      </w:r>
      <w:r w:rsidRPr="00077250">
        <w:rPr>
          <w:rFonts w:asciiTheme="majorHAnsi" w:hAnsiTheme="majorHAnsi" w:cstheme="majorHAnsi"/>
          <w:i/>
          <w:iCs/>
          <w:noProof/>
          <w:sz w:val="20"/>
          <w:szCs w:val="28"/>
          <w:lang w:val="en-US"/>
        </w:rPr>
        <w:t xml:space="preserve"> </w:t>
      </w:r>
      <w:r w:rsidRPr="00077250">
        <w:rPr>
          <w:rFonts w:asciiTheme="majorHAnsi" w:hAnsiTheme="majorHAnsi" w:cstheme="majorHAnsi"/>
          <w:i/>
          <w:iCs/>
          <w:noProof/>
          <w:sz w:val="20"/>
          <w:szCs w:val="28"/>
        </w:rPr>
        <w:t>kai</w:t>
      </w:r>
      <w:r w:rsidRPr="00077250">
        <w:rPr>
          <w:rFonts w:asciiTheme="majorHAnsi" w:hAnsiTheme="majorHAnsi" w:cstheme="majorHAnsi"/>
          <w:i/>
          <w:iCs/>
          <w:noProof/>
          <w:sz w:val="20"/>
          <w:szCs w:val="28"/>
          <w:lang w:val="en-US"/>
        </w:rPr>
        <w:t xml:space="preserve"> </w:t>
      </w:r>
      <w:r w:rsidRPr="00077250">
        <w:rPr>
          <w:rFonts w:asciiTheme="majorHAnsi" w:hAnsiTheme="majorHAnsi" w:cstheme="majorHAnsi"/>
          <w:i/>
          <w:iCs/>
          <w:noProof/>
          <w:sz w:val="20"/>
          <w:szCs w:val="28"/>
        </w:rPr>
        <w:t>t</w:t>
      </w:r>
      <w:r w:rsidRPr="00077250">
        <w:rPr>
          <w:rFonts w:asciiTheme="majorHAnsi" w:hAnsiTheme="majorHAnsi" w:cstheme="majorHAnsi"/>
          <w:i/>
          <w:iCs/>
          <w:noProof/>
          <w:sz w:val="20"/>
          <w:szCs w:val="28"/>
          <w:lang w:val="en-US"/>
        </w:rPr>
        <w:t>i</w:t>
      </w:r>
      <w:r w:rsidRPr="00077250">
        <w:rPr>
          <w:rFonts w:asciiTheme="majorHAnsi" w:hAnsiTheme="majorHAnsi" w:cstheme="majorHAnsi"/>
          <w:i/>
          <w:iCs/>
          <w:noProof/>
          <w:sz w:val="20"/>
          <w:szCs w:val="28"/>
        </w:rPr>
        <w:t>n</w:t>
      </w:r>
      <w:r w:rsidRPr="00077250">
        <w:rPr>
          <w:rFonts w:asciiTheme="majorHAnsi" w:hAnsiTheme="majorHAnsi" w:cstheme="majorHAnsi"/>
          <w:i/>
          <w:iCs/>
          <w:noProof/>
          <w:sz w:val="20"/>
          <w:szCs w:val="28"/>
          <w:lang w:val="en-US"/>
        </w:rPr>
        <w:t xml:space="preserve"> </w:t>
      </w:r>
      <w:r w:rsidRPr="00077250">
        <w:rPr>
          <w:rFonts w:asciiTheme="majorHAnsi" w:hAnsiTheme="majorHAnsi" w:cstheme="majorHAnsi"/>
          <w:i/>
          <w:iCs/>
          <w:noProof/>
          <w:sz w:val="20"/>
          <w:szCs w:val="28"/>
        </w:rPr>
        <w:t>topographia</w:t>
      </w:r>
      <w:r w:rsidRPr="00077250">
        <w:rPr>
          <w:rFonts w:asciiTheme="majorHAnsi" w:hAnsiTheme="majorHAnsi" w:cstheme="majorHAnsi"/>
          <w:i/>
          <w:iCs/>
          <w:noProof/>
          <w:sz w:val="20"/>
          <w:szCs w:val="28"/>
          <w:lang w:val="en-US"/>
        </w:rPr>
        <w:t xml:space="preserve"> </w:t>
      </w:r>
      <w:r w:rsidRPr="00077250">
        <w:rPr>
          <w:rFonts w:asciiTheme="majorHAnsi" w:hAnsiTheme="majorHAnsi" w:cstheme="majorHAnsi"/>
          <w:i/>
          <w:iCs/>
          <w:noProof/>
          <w:sz w:val="20"/>
          <w:szCs w:val="28"/>
        </w:rPr>
        <w:t>t</w:t>
      </w:r>
      <w:r w:rsidRPr="00077250">
        <w:rPr>
          <w:rFonts w:asciiTheme="majorHAnsi" w:hAnsiTheme="majorHAnsi" w:cstheme="majorHAnsi"/>
          <w:i/>
          <w:iCs/>
          <w:noProof/>
          <w:sz w:val="20"/>
          <w:szCs w:val="28"/>
          <w:lang w:val="en-US"/>
        </w:rPr>
        <w:t>i</w:t>
      </w:r>
      <w:r w:rsidRPr="00077250">
        <w:rPr>
          <w:rFonts w:asciiTheme="majorHAnsi" w:hAnsiTheme="majorHAnsi" w:cstheme="majorHAnsi"/>
          <w:i/>
          <w:iCs/>
          <w:noProof/>
          <w:sz w:val="20"/>
          <w:szCs w:val="28"/>
        </w:rPr>
        <w:t>s</w:t>
      </w:r>
      <w:r w:rsidRPr="00077250">
        <w:rPr>
          <w:rFonts w:asciiTheme="majorHAnsi" w:hAnsiTheme="majorHAnsi" w:cstheme="majorHAnsi"/>
          <w:i/>
          <w:iCs/>
          <w:noProof/>
          <w:sz w:val="20"/>
          <w:szCs w:val="28"/>
          <w:lang w:val="en-US"/>
        </w:rPr>
        <w:t xml:space="preserve"> </w:t>
      </w:r>
      <w:r w:rsidRPr="00077250">
        <w:rPr>
          <w:rFonts w:asciiTheme="majorHAnsi" w:hAnsiTheme="majorHAnsi" w:cstheme="majorHAnsi"/>
          <w:i/>
          <w:iCs/>
          <w:noProof/>
          <w:sz w:val="20"/>
          <w:szCs w:val="28"/>
        </w:rPr>
        <w:t>pole</w:t>
      </w:r>
      <w:r w:rsidRPr="00077250">
        <w:rPr>
          <w:rFonts w:asciiTheme="majorHAnsi" w:hAnsiTheme="majorHAnsi" w:cstheme="majorHAnsi"/>
          <w:i/>
          <w:iCs/>
          <w:noProof/>
          <w:sz w:val="20"/>
          <w:szCs w:val="28"/>
          <w:lang w:val="en-US"/>
        </w:rPr>
        <w:t>ō</w:t>
      </w:r>
      <w:r w:rsidRPr="00077250">
        <w:rPr>
          <w:rFonts w:asciiTheme="majorHAnsi" w:hAnsiTheme="majorHAnsi" w:cstheme="majorHAnsi"/>
          <w:i/>
          <w:iCs/>
          <w:noProof/>
          <w:sz w:val="20"/>
          <w:szCs w:val="28"/>
        </w:rPr>
        <w:t>s</w:t>
      </w:r>
      <w:r w:rsidRPr="00077250">
        <w:rPr>
          <w:rFonts w:asciiTheme="majorHAnsi" w:hAnsiTheme="majorHAnsi" w:cstheme="majorHAnsi"/>
          <w:i/>
          <w:iCs/>
          <w:noProof/>
          <w:sz w:val="20"/>
          <w:szCs w:val="28"/>
          <w:lang w:val="en-US"/>
        </w:rPr>
        <w:t xml:space="preserve"> </w:t>
      </w:r>
      <w:r w:rsidRPr="00077250">
        <w:rPr>
          <w:rFonts w:asciiTheme="majorHAnsi" w:hAnsiTheme="majorHAnsi" w:cstheme="majorHAnsi"/>
          <w:i/>
          <w:iCs/>
          <w:noProof/>
          <w:sz w:val="20"/>
          <w:szCs w:val="28"/>
        </w:rPr>
        <w:t>tou</w:t>
      </w:r>
      <w:r w:rsidRPr="00077250">
        <w:rPr>
          <w:rFonts w:asciiTheme="majorHAnsi" w:hAnsiTheme="majorHAnsi" w:cstheme="majorHAnsi"/>
          <w:i/>
          <w:iCs/>
          <w:noProof/>
          <w:sz w:val="20"/>
          <w:szCs w:val="28"/>
          <w:lang w:val="en-US"/>
        </w:rPr>
        <w:t xml:space="preserve"> </w:t>
      </w:r>
      <w:r w:rsidRPr="00077250">
        <w:rPr>
          <w:rFonts w:asciiTheme="majorHAnsi" w:hAnsiTheme="majorHAnsi" w:cstheme="majorHAnsi"/>
          <w:i/>
          <w:iCs/>
          <w:noProof/>
          <w:sz w:val="20"/>
          <w:szCs w:val="28"/>
        </w:rPr>
        <w:t>Didymoteichou</w:t>
      </w:r>
      <w:r w:rsidRPr="00077250">
        <w:rPr>
          <w:rFonts w:asciiTheme="majorHAnsi" w:hAnsiTheme="majorHAnsi" w:cstheme="majorHAnsi"/>
          <w:noProof/>
          <w:sz w:val="20"/>
          <w:szCs w:val="28"/>
          <w:lang w:val="en-US"/>
        </w:rPr>
        <w:t xml:space="preserve">. </w:t>
      </w:r>
      <w:r w:rsidRPr="00077250">
        <w:rPr>
          <w:rFonts w:asciiTheme="majorHAnsi" w:hAnsiTheme="majorHAnsi" w:cstheme="majorHAnsi"/>
          <w:noProof/>
          <w:sz w:val="20"/>
          <w:szCs w:val="28"/>
        </w:rPr>
        <w:t>Didymoteicho, 1999.</w:t>
      </w:r>
    </w:p>
    <w:p w14:paraId="60865C8B" w14:textId="77777777" w:rsidR="00077250" w:rsidRPr="00077250" w:rsidRDefault="00077250" w:rsidP="00077250">
      <w:pPr>
        <w:widowControl w:val="0"/>
        <w:numPr>
          <w:ilvl w:val="0"/>
          <w:numId w:val="11"/>
        </w:numPr>
        <w:autoSpaceDE w:val="0"/>
        <w:autoSpaceDN w:val="0"/>
        <w:adjustRightInd w:val="0"/>
        <w:spacing w:before="20" w:after="20"/>
        <w:jc w:val="both"/>
        <w:rPr>
          <w:rFonts w:asciiTheme="majorHAnsi" w:hAnsiTheme="majorHAnsi" w:cstheme="majorHAnsi"/>
          <w:noProof/>
          <w:sz w:val="20"/>
          <w:szCs w:val="28"/>
          <w:lang w:val="fr-FR"/>
        </w:rPr>
      </w:pPr>
      <w:r w:rsidRPr="00077250">
        <w:rPr>
          <w:rFonts w:asciiTheme="majorHAnsi" w:hAnsiTheme="majorHAnsi" w:cstheme="majorHAnsi"/>
          <w:noProof/>
          <w:sz w:val="20"/>
          <w:szCs w:val="28"/>
          <w:lang w:val="fr-FR"/>
        </w:rPr>
        <w:t xml:space="preserve">İ. Bıçakçı, </w:t>
      </w:r>
      <w:r w:rsidRPr="00077250">
        <w:rPr>
          <w:rFonts w:asciiTheme="majorHAnsi" w:hAnsiTheme="majorHAnsi" w:cstheme="majorHAnsi"/>
          <w:i/>
          <w:iCs/>
          <w:noProof/>
          <w:sz w:val="20"/>
          <w:szCs w:val="28"/>
          <w:lang w:val="fr-FR"/>
        </w:rPr>
        <w:t>Yunanistan'da Türk mimari eserleri</w:t>
      </w:r>
      <w:r w:rsidRPr="00077250">
        <w:rPr>
          <w:rFonts w:asciiTheme="majorHAnsi" w:hAnsiTheme="majorHAnsi" w:cstheme="majorHAnsi"/>
          <w:noProof/>
          <w:sz w:val="20"/>
          <w:szCs w:val="28"/>
          <w:lang w:val="fr-FR"/>
        </w:rPr>
        <w:t>. İstanbul: Ircica, 2003.</w:t>
      </w:r>
    </w:p>
    <w:p w14:paraId="1D9929D9" w14:textId="77777777" w:rsidR="00077250" w:rsidRPr="00077250" w:rsidRDefault="00077250" w:rsidP="00077250">
      <w:pPr>
        <w:widowControl w:val="0"/>
        <w:numPr>
          <w:ilvl w:val="0"/>
          <w:numId w:val="11"/>
        </w:numPr>
        <w:autoSpaceDE w:val="0"/>
        <w:autoSpaceDN w:val="0"/>
        <w:adjustRightInd w:val="0"/>
        <w:spacing w:before="20" w:after="20"/>
        <w:jc w:val="both"/>
        <w:rPr>
          <w:rFonts w:asciiTheme="majorHAnsi" w:hAnsiTheme="majorHAnsi" w:cstheme="majorHAnsi"/>
          <w:noProof/>
          <w:sz w:val="20"/>
          <w:szCs w:val="28"/>
        </w:rPr>
      </w:pPr>
      <w:r w:rsidRPr="00077250">
        <w:rPr>
          <w:rFonts w:asciiTheme="majorHAnsi" w:hAnsiTheme="majorHAnsi" w:cstheme="majorHAnsi"/>
          <w:noProof/>
          <w:sz w:val="20"/>
          <w:szCs w:val="28"/>
          <w:lang w:val="fr-FR"/>
        </w:rPr>
        <w:t xml:space="preserve">B. Yapar, </w:t>
      </w:r>
      <w:r w:rsidRPr="00077250">
        <w:rPr>
          <w:rFonts w:asciiTheme="majorHAnsi" w:hAnsiTheme="majorHAnsi" w:cstheme="majorHAnsi"/>
          <w:i/>
          <w:iCs/>
          <w:noProof/>
          <w:sz w:val="20"/>
          <w:szCs w:val="28"/>
          <w:lang w:val="fr-FR"/>
        </w:rPr>
        <w:t>Yunanistan’daki Türk Eserlerinde Kitabeler (Dedeağaç, Dimetoka, İskeçe, Gümülcine, Selanik, Kavala, Yenice-Karasu)</w:t>
      </w:r>
      <w:r w:rsidRPr="00077250">
        <w:rPr>
          <w:rFonts w:asciiTheme="majorHAnsi" w:hAnsiTheme="majorHAnsi" w:cstheme="majorHAnsi"/>
          <w:noProof/>
          <w:sz w:val="20"/>
          <w:szCs w:val="28"/>
          <w:lang w:val="fr-FR"/>
        </w:rPr>
        <w:t>, Mimar Sinan Üniversitesi Sosyal Bilimler Enstitüsü,Yüksek lisans tezi, İstanbul, 2007.</w:t>
      </w:r>
    </w:p>
    <w:p w14:paraId="17E72C25" w14:textId="77777777" w:rsidR="00077250" w:rsidRPr="00077250" w:rsidRDefault="00077250" w:rsidP="00077250">
      <w:pPr>
        <w:widowControl w:val="0"/>
        <w:numPr>
          <w:ilvl w:val="0"/>
          <w:numId w:val="11"/>
        </w:numPr>
        <w:autoSpaceDE w:val="0"/>
        <w:autoSpaceDN w:val="0"/>
        <w:adjustRightInd w:val="0"/>
        <w:spacing w:before="20" w:after="20"/>
        <w:jc w:val="both"/>
        <w:rPr>
          <w:rFonts w:asciiTheme="majorHAnsi" w:hAnsiTheme="majorHAnsi" w:cstheme="majorHAnsi"/>
          <w:noProof/>
          <w:sz w:val="20"/>
          <w:szCs w:val="28"/>
          <w:lang w:val="fr-FR"/>
        </w:rPr>
      </w:pPr>
      <w:r w:rsidRPr="00077250">
        <w:rPr>
          <w:rFonts w:asciiTheme="majorHAnsi" w:hAnsiTheme="majorHAnsi" w:cstheme="majorHAnsi"/>
          <w:noProof/>
          <w:sz w:val="20"/>
          <w:szCs w:val="28"/>
          <w:lang w:val="fr-FR"/>
        </w:rPr>
        <w:t xml:space="preserve">D. E. Koutroulas, </w:t>
      </w:r>
      <w:r w:rsidRPr="00077250">
        <w:rPr>
          <w:rFonts w:asciiTheme="majorHAnsi" w:hAnsiTheme="majorHAnsi" w:cstheme="majorHAnsi"/>
          <w:i/>
          <w:iCs/>
          <w:noProof/>
          <w:sz w:val="20"/>
          <w:szCs w:val="28"/>
          <w:lang w:val="fr-FR"/>
        </w:rPr>
        <w:t>Mousoulmanika temeni kai tekkedhes sti Thraki: Istoriki kai vivliographiki proséngisi</w:t>
      </w:r>
      <w:r w:rsidRPr="00077250">
        <w:rPr>
          <w:rFonts w:asciiTheme="majorHAnsi" w:hAnsiTheme="majorHAnsi" w:cstheme="majorHAnsi"/>
          <w:noProof/>
          <w:sz w:val="20"/>
          <w:szCs w:val="28"/>
          <w:lang w:val="fr-FR"/>
        </w:rPr>
        <w:t>, Postgraduate Thesis, Aristotle University of Thessaloniki, Thessaloniki, 2009.</w:t>
      </w:r>
    </w:p>
    <w:p w14:paraId="1A9557C4" w14:textId="77777777" w:rsidR="00077250" w:rsidRPr="00077250" w:rsidRDefault="00077250" w:rsidP="00077250">
      <w:pPr>
        <w:widowControl w:val="0"/>
        <w:numPr>
          <w:ilvl w:val="0"/>
          <w:numId w:val="11"/>
        </w:numPr>
        <w:autoSpaceDE w:val="0"/>
        <w:autoSpaceDN w:val="0"/>
        <w:adjustRightInd w:val="0"/>
        <w:spacing w:before="20" w:after="20"/>
        <w:jc w:val="both"/>
        <w:rPr>
          <w:rFonts w:asciiTheme="majorHAnsi" w:hAnsiTheme="majorHAnsi" w:cstheme="majorHAnsi"/>
          <w:noProof/>
          <w:sz w:val="20"/>
          <w:szCs w:val="28"/>
        </w:rPr>
      </w:pPr>
      <w:r w:rsidRPr="00077250">
        <w:rPr>
          <w:rFonts w:asciiTheme="majorHAnsi" w:hAnsiTheme="majorHAnsi" w:cstheme="majorHAnsi"/>
          <w:noProof/>
          <w:sz w:val="20"/>
          <w:szCs w:val="28"/>
        </w:rPr>
        <w:t xml:space="preserve">E. Brouskari [ed.], </w:t>
      </w:r>
      <w:r w:rsidRPr="00077250">
        <w:rPr>
          <w:rFonts w:asciiTheme="majorHAnsi" w:hAnsiTheme="majorHAnsi" w:cstheme="majorHAnsi"/>
          <w:i/>
          <w:iCs/>
          <w:noProof/>
          <w:sz w:val="20"/>
          <w:szCs w:val="28"/>
        </w:rPr>
        <w:t>Ottoman Architecture in Greece</w:t>
      </w:r>
      <w:r w:rsidRPr="00077250">
        <w:rPr>
          <w:rFonts w:asciiTheme="majorHAnsi" w:hAnsiTheme="majorHAnsi" w:cstheme="majorHAnsi"/>
          <w:noProof/>
          <w:sz w:val="20"/>
          <w:szCs w:val="28"/>
        </w:rPr>
        <w:t>. Athens: Hellenic Ministry of Culture, Directorate of Byzantine; Post-Byzantine Antiquities, 2008.</w:t>
      </w:r>
    </w:p>
    <w:p w14:paraId="6E54C940" w14:textId="77777777" w:rsidR="00077250" w:rsidRPr="00077250" w:rsidRDefault="00077250" w:rsidP="00077250">
      <w:pPr>
        <w:widowControl w:val="0"/>
        <w:numPr>
          <w:ilvl w:val="0"/>
          <w:numId w:val="11"/>
        </w:numPr>
        <w:autoSpaceDE w:val="0"/>
        <w:autoSpaceDN w:val="0"/>
        <w:adjustRightInd w:val="0"/>
        <w:spacing w:before="20" w:after="20"/>
        <w:jc w:val="both"/>
        <w:rPr>
          <w:rFonts w:asciiTheme="majorHAnsi" w:hAnsiTheme="majorHAnsi" w:cstheme="majorHAnsi"/>
          <w:noProof/>
          <w:sz w:val="20"/>
          <w:szCs w:val="28"/>
        </w:rPr>
      </w:pPr>
      <w:r w:rsidRPr="00077250">
        <w:rPr>
          <w:rFonts w:asciiTheme="majorHAnsi" w:hAnsiTheme="majorHAnsi" w:cstheme="majorHAnsi"/>
          <w:noProof/>
          <w:sz w:val="20"/>
          <w:szCs w:val="28"/>
        </w:rPr>
        <w:lastRenderedPageBreak/>
        <w:t xml:space="preserve">A. Riyāḍ, </w:t>
      </w:r>
      <w:r w:rsidRPr="00077250">
        <w:rPr>
          <w:rFonts w:asciiTheme="majorHAnsi" w:hAnsiTheme="majorHAnsi" w:cstheme="majorHAnsi"/>
          <w:i/>
          <w:iCs/>
          <w:noProof/>
          <w:sz w:val="20"/>
          <w:szCs w:val="28"/>
        </w:rPr>
        <w:t>Formation in Visual Arts: A Study on the Psychology of Vision and Its Role in Eliciting Aesthetic Sensations</w:t>
      </w:r>
      <w:r w:rsidRPr="00077250">
        <w:rPr>
          <w:rFonts w:asciiTheme="majorHAnsi" w:hAnsiTheme="majorHAnsi" w:cstheme="majorHAnsi"/>
          <w:noProof/>
          <w:sz w:val="20"/>
          <w:szCs w:val="28"/>
        </w:rPr>
        <w:t>, 3</w:t>
      </w:r>
      <w:r w:rsidRPr="00077250">
        <w:rPr>
          <w:rFonts w:asciiTheme="majorHAnsi" w:hAnsiTheme="majorHAnsi" w:cstheme="majorHAnsi"/>
          <w:noProof/>
          <w:sz w:val="20"/>
          <w:szCs w:val="28"/>
          <w:vertAlign w:val="superscript"/>
        </w:rPr>
        <w:t>rd</w:t>
      </w:r>
      <w:r w:rsidRPr="00077250">
        <w:rPr>
          <w:rFonts w:asciiTheme="majorHAnsi" w:hAnsiTheme="majorHAnsi" w:cstheme="majorHAnsi"/>
          <w:noProof/>
          <w:sz w:val="20"/>
          <w:szCs w:val="28"/>
        </w:rPr>
        <w:t>Ed. Cairo: Dār alNahḍa alʿarabiya</w:t>
      </w:r>
      <w:r w:rsidRPr="00077250">
        <w:rPr>
          <w:rFonts w:asciiTheme="majorHAnsi" w:hAnsiTheme="majorHAnsi" w:cstheme="majorHAnsi"/>
          <w:noProof/>
          <w:sz w:val="20"/>
          <w:szCs w:val="28"/>
          <w:lang w:val="en-US"/>
        </w:rPr>
        <w:t xml:space="preserve">, </w:t>
      </w:r>
      <w:r w:rsidRPr="00077250">
        <w:rPr>
          <w:rFonts w:asciiTheme="majorHAnsi" w:hAnsiTheme="majorHAnsi" w:cstheme="majorHAnsi"/>
          <w:noProof/>
          <w:sz w:val="20"/>
          <w:szCs w:val="28"/>
        </w:rPr>
        <w:t>1995.</w:t>
      </w:r>
    </w:p>
    <w:p w14:paraId="45B98E4A" w14:textId="77777777" w:rsidR="00077250" w:rsidRPr="00077250" w:rsidRDefault="00077250" w:rsidP="00077250">
      <w:pPr>
        <w:widowControl w:val="0"/>
        <w:numPr>
          <w:ilvl w:val="0"/>
          <w:numId w:val="11"/>
        </w:numPr>
        <w:autoSpaceDE w:val="0"/>
        <w:autoSpaceDN w:val="0"/>
        <w:adjustRightInd w:val="0"/>
        <w:spacing w:before="20" w:after="20"/>
        <w:jc w:val="both"/>
        <w:rPr>
          <w:rFonts w:asciiTheme="majorHAnsi" w:hAnsiTheme="majorHAnsi" w:cstheme="majorHAnsi"/>
          <w:noProof/>
          <w:sz w:val="20"/>
          <w:szCs w:val="28"/>
        </w:rPr>
      </w:pPr>
      <w:r w:rsidRPr="00077250">
        <w:rPr>
          <w:rFonts w:asciiTheme="majorHAnsi" w:hAnsiTheme="majorHAnsi" w:cstheme="majorHAnsi"/>
          <w:noProof/>
          <w:sz w:val="20"/>
          <w:szCs w:val="28"/>
        </w:rPr>
        <w:t xml:space="preserve">M. M. Quṭb, et al. “Designing Advertisements: Between Visual Rhetoric and Visual Knowledge,” </w:t>
      </w:r>
      <w:r w:rsidRPr="00077250">
        <w:rPr>
          <w:rFonts w:asciiTheme="majorHAnsi" w:hAnsiTheme="majorHAnsi" w:cstheme="majorHAnsi"/>
          <w:i/>
          <w:iCs/>
          <w:noProof/>
          <w:sz w:val="20"/>
          <w:szCs w:val="28"/>
        </w:rPr>
        <w:t>Journal of Architecture, Arts, and Humanities</w:t>
      </w:r>
      <w:r w:rsidRPr="00077250">
        <w:rPr>
          <w:rFonts w:asciiTheme="majorHAnsi" w:hAnsiTheme="majorHAnsi" w:cstheme="majorHAnsi"/>
          <w:noProof/>
          <w:sz w:val="20"/>
          <w:szCs w:val="28"/>
        </w:rPr>
        <w:t>, Vol.11, No. 2, pp. 420-422, 2018.</w:t>
      </w:r>
    </w:p>
    <w:p w14:paraId="7A949867" w14:textId="77777777" w:rsidR="00077250" w:rsidRPr="00077250" w:rsidRDefault="00077250" w:rsidP="00077250">
      <w:pPr>
        <w:widowControl w:val="0"/>
        <w:numPr>
          <w:ilvl w:val="0"/>
          <w:numId w:val="11"/>
        </w:numPr>
        <w:autoSpaceDE w:val="0"/>
        <w:autoSpaceDN w:val="0"/>
        <w:adjustRightInd w:val="0"/>
        <w:spacing w:before="20" w:after="20"/>
        <w:jc w:val="both"/>
        <w:rPr>
          <w:rFonts w:asciiTheme="majorHAnsi" w:hAnsiTheme="majorHAnsi" w:cstheme="majorHAnsi"/>
          <w:noProof/>
          <w:sz w:val="20"/>
          <w:szCs w:val="28"/>
        </w:rPr>
      </w:pPr>
      <w:r w:rsidRPr="00077250">
        <w:rPr>
          <w:rFonts w:asciiTheme="majorHAnsi" w:hAnsiTheme="majorHAnsi" w:cstheme="majorHAnsi"/>
          <w:noProof/>
          <w:sz w:val="20"/>
          <w:szCs w:val="28"/>
        </w:rPr>
        <w:t>M. A. M. Sa’id, “Fundamentals of Aesthetics in the Design of Calligraphic Bands in Islamic Architecture,”</w:t>
      </w:r>
      <w:r w:rsidRPr="00077250">
        <w:rPr>
          <w:rFonts w:asciiTheme="majorHAnsi" w:hAnsiTheme="majorHAnsi" w:cstheme="majorHAnsi"/>
          <w:i/>
          <w:iCs/>
          <w:noProof/>
          <w:sz w:val="20"/>
          <w:szCs w:val="28"/>
        </w:rPr>
        <w:t>Afaq Al-Thaqafah wa Al-Turath,</w:t>
      </w:r>
      <w:r w:rsidRPr="00077250">
        <w:rPr>
          <w:rFonts w:asciiTheme="majorHAnsi" w:hAnsiTheme="majorHAnsi" w:cstheme="majorHAnsi"/>
          <w:noProof/>
          <w:sz w:val="20"/>
          <w:szCs w:val="28"/>
        </w:rPr>
        <w:t xml:space="preserve"> Vol. 5, No. 20-21, April 1998.</w:t>
      </w:r>
    </w:p>
    <w:p w14:paraId="31A79A5C" w14:textId="77777777" w:rsidR="00077250" w:rsidRPr="00077250" w:rsidRDefault="00077250" w:rsidP="00077250">
      <w:pPr>
        <w:widowControl w:val="0"/>
        <w:numPr>
          <w:ilvl w:val="0"/>
          <w:numId w:val="11"/>
        </w:numPr>
        <w:autoSpaceDE w:val="0"/>
        <w:autoSpaceDN w:val="0"/>
        <w:adjustRightInd w:val="0"/>
        <w:spacing w:before="20" w:after="20"/>
        <w:jc w:val="both"/>
        <w:rPr>
          <w:rFonts w:asciiTheme="majorHAnsi" w:hAnsiTheme="majorHAnsi" w:cstheme="majorHAnsi"/>
          <w:noProof/>
          <w:sz w:val="20"/>
          <w:szCs w:val="28"/>
        </w:rPr>
      </w:pPr>
      <w:r w:rsidRPr="00077250">
        <w:rPr>
          <w:rFonts w:asciiTheme="majorHAnsi" w:hAnsiTheme="majorHAnsi" w:cstheme="majorHAnsi"/>
          <w:noProof/>
          <w:sz w:val="20"/>
          <w:szCs w:val="28"/>
        </w:rPr>
        <w:t xml:space="preserve">J. alḤanbalī, “Colors in the Noble Quran,” </w:t>
      </w:r>
      <w:r w:rsidRPr="00077250">
        <w:rPr>
          <w:rFonts w:asciiTheme="majorHAnsi" w:hAnsiTheme="majorHAnsi" w:cstheme="majorHAnsi"/>
          <w:i/>
          <w:iCs/>
          <w:noProof/>
          <w:sz w:val="20"/>
          <w:szCs w:val="28"/>
        </w:rPr>
        <w:t xml:space="preserve">Al-Bayan, </w:t>
      </w:r>
      <w:r w:rsidRPr="00077250">
        <w:rPr>
          <w:rFonts w:asciiTheme="majorHAnsi" w:hAnsiTheme="majorHAnsi" w:cstheme="majorHAnsi"/>
          <w:noProof/>
          <w:sz w:val="20"/>
          <w:szCs w:val="28"/>
        </w:rPr>
        <w:t>No. 42, October 2006.</w:t>
      </w:r>
    </w:p>
    <w:p w14:paraId="05D9877A" w14:textId="77777777" w:rsidR="00077250" w:rsidRPr="00077250" w:rsidRDefault="00077250" w:rsidP="00077250">
      <w:pPr>
        <w:widowControl w:val="0"/>
        <w:numPr>
          <w:ilvl w:val="0"/>
          <w:numId w:val="11"/>
        </w:numPr>
        <w:autoSpaceDE w:val="0"/>
        <w:autoSpaceDN w:val="0"/>
        <w:adjustRightInd w:val="0"/>
        <w:spacing w:before="20" w:after="20"/>
        <w:jc w:val="both"/>
        <w:rPr>
          <w:rFonts w:asciiTheme="majorHAnsi" w:hAnsiTheme="majorHAnsi" w:cstheme="majorHAnsi"/>
          <w:noProof/>
          <w:sz w:val="20"/>
          <w:szCs w:val="28"/>
        </w:rPr>
      </w:pPr>
      <w:r w:rsidRPr="00077250">
        <w:rPr>
          <w:rFonts w:asciiTheme="majorHAnsi" w:hAnsiTheme="majorHAnsi" w:cstheme="majorHAnsi"/>
          <w:noProof/>
          <w:sz w:val="20"/>
          <w:szCs w:val="28"/>
        </w:rPr>
        <w:t>H. A. Motawea, “Colors and their significance in the Islamic civilization with application to the models of Arabic manuscripts,”</w:t>
      </w:r>
      <w:r w:rsidRPr="00077250">
        <w:rPr>
          <w:rFonts w:asciiTheme="majorHAnsi" w:hAnsiTheme="majorHAnsi" w:cstheme="majorHAnsi"/>
          <w:i/>
          <w:iCs/>
          <w:noProof/>
          <w:sz w:val="20"/>
          <w:szCs w:val="28"/>
        </w:rPr>
        <w:t>Journal of the General Union of Arab Archaeologists</w:t>
      </w:r>
      <w:r w:rsidRPr="00077250">
        <w:rPr>
          <w:rFonts w:asciiTheme="majorHAnsi" w:hAnsiTheme="majorHAnsi" w:cstheme="majorHAnsi"/>
          <w:noProof/>
          <w:sz w:val="20"/>
          <w:szCs w:val="28"/>
        </w:rPr>
        <w:t>, Vol. 18, pp. 418-450, 2017</w:t>
      </w:r>
    </w:p>
    <w:p w14:paraId="052F14D0" w14:textId="77777777" w:rsidR="00077250" w:rsidRPr="00077250" w:rsidRDefault="00077250" w:rsidP="00077250">
      <w:pPr>
        <w:widowControl w:val="0"/>
        <w:numPr>
          <w:ilvl w:val="0"/>
          <w:numId w:val="11"/>
        </w:numPr>
        <w:autoSpaceDE w:val="0"/>
        <w:autoSpaceDN w:val="0"/>
        <w:adjustRightInd w:val="0"/>
        <w:spacing w:before="20" w:after="20"/>
        <w:jc w:val="both"/>
        <w:rPr>
          <w:rFonts w:asciiTheme="majorHAnsi" w:hAnsiTheme="majorHAnsi" w:cstheme="majorHAnsi"/>
          <w:noProof/>
          <w:sz w:val="20"/>
          <w:szCs w:val="28"/>
        </w:rPr>
      </w:pPr>
      <w:r w:rsidRPr="00077250">
        <w:rPr>
          <w:rFonts w:asciiTheme="majorHAnsi" w:hAnsiTheme="majorHAnsi" w:cstheme="majorHAnsi"/>
          <w:noProof/>
          <w:sz w:val="20"/>
          <w:szCs w:val="28"/>
        </w:rPr>
        <w:t xml:space="preserve">A. S. Faḍel, </w:t>
      </w:r>
      <w:r w:rsidRPr="00077250">
        <w:rPr>
          <w:rFonts w:asciiTheme="majorHAnsi" w:hAnsiTheme="majorHAnsi" w:cstheme="majorHAnsi"/>
          <w:i/>
          <w:iCs/>
          <w:noProof/>
          <w:sz w:val="20"/>
          <w:szCs w:val="28"/>
        </w:rPr>
        <w:t>Colors, Qualities, and Characteristics</w:t>
      </w:r>
      <w:r w:rsidRPr="00077250">
        <w:rPr>
          <w:rFonts w:asciiTheme="majorHAnsi" w:hAnsiTheme="majorHAnsi" w:cstheme="majorHAnsi"/>
          <w:noProof/>
          <w:sz w:val="20"/>
          <w:szCs w:val="28"/>
        </w:rPr>
        <w:t>, Faculty of Fine Arts, University of Babylon, 2015.</w:t>
      </w:r>
    </w:p>
    <w:p w14:paraId="7A3E1998" w14:textId="77777777" w:rsidR="00077250" w:rsidRPr="00077250" w:rsidRDefault="00077250" w:rsidP="00077250">
      <w:pPr>
        <w:widowControl w:val="0"/>
        <w:numPr>
          <w:ilvl w:val="0"/>
          <w:numId w:val="11"/>
        </w:numPr>
        <w:autoSpaceDE w:val="0"/>
        <w:autoSpaceDN w:val="0"/>
        <w:adjustRightInd w:val="0"/>
        <w:spacing w:before="20" w:after="20"/>
        <w:jc w:val="both"/>
        <w:rPr>
          <w:rFonts w:asciiTheme="majorHAnsi" w:hAnsiTheme="majorHAnsi" w:cstheme="majorHAnsi"/>
          <w:noProof/>
          <w:sz w:val="20"/>
          <w:szCs w:val="28"/>
        </w:rPr>
      </w:pPr>
      <w:r w:rsidRPr="00077250">
        <w:rPr>
          <w:rFonts w:asciiTheme="majorHAnsi" w:hAnsiTheme="majorHAnsi" w:cstheme="majorHAnsi"/>
          <w:noProof/>
          <w:sz w:val="20"/>
          <w:szCs w:val="28"/>
        </w:rPr>
        <w:t xml:space="preserve">H. Ṣ. Ḥāmid, “Color in Islamic architecture and its impact on interior design,” </w:t>
      </w:r>
      <w:r w:rsidRPr="00077250">
        <w:rPr>
          <w:rFonts w:asciiTheme="majorHAnsi" w:hAnsiTheme="majorHAnsi" w:cstheme="majorHAnsi"/>
          <w:b/>
          <w:bCs/>
          <w:i/>
          <w:iCs/>
          <w:noProof/>
          <w:sz w:val="20"/>
          <w:szCs w:val="28"/>
        </w:rPr>
        <w:t>Journal of Architecture, Arts and Humanistic Science,</w:t>
      </w:r>
      <w:r w:rsidRPr="00077250">
        <w:rPr>
          <w:rFonts w:asciiTheme="majorHAnsi" w:hAnsiTheme="majorHAnsi" w:cstheme="majorHAnsi"/>
          <w:noProof/>
          <w:sz w:val="20"/>
          <w:szCs w:val="28"/>
        </w:rPr>
        <w:t xml:space="preserve"> Vol. 4, No. 4, pp. 582-598, 2019.</w:t>
      </w:r>
    </w:p>
    <w:p w14:paraId="3B68D89A" w14:textId="77777777" w:rsidR="00077250" w:rsidRPr="00077250" w:rsidRDefault="00077250" w:rsidP="00077250">
      <w:pPr>
        <w:widowControl w:val="0"/>
        <w:numPr>
          <w:ilvl w:val="0"/>
          <w:numId w:val="11"/>
        </w:numPr>
        <w:autoSpaceDE w:val="0"/>
        <w:autoSpaceDN w:val="0"/>
        <w:adjustRightInd w:val="0"/>
        <w:spacing w:before="20" w:after="20"/>
        <w:jc w:val="both"/>
        <w:rPr>
          <w:rFonts w:asciiTheme="majorHAnsi" w:hAnsiTheme="majorHAnsi" w:cstheme="majorHAnsi"/>
          <w:noProof/>
          <w:sz w:val="20"/>
          <w:szCs w:val="28"/>
        </w:rPr>
      </w:pPr>
      <w:r w:rsidRPr="00077250">
        <w:rPr>
          <w:rFonts w:asciiTheme="majorHAnsi" w:hAnsiTheme="majorHAnsi" w:cstheme="majorHAnsi"/>
          <w:noProof/>
          <w:sz w:val="20"/>
          <w:szCs w:val="28"/>
        </w:rPr>
        <w:t>H. Ṣ. A. AlMaʿddāwī, “The aesthetic and expressive values of the color element in Islamic mosaics (13</w:t>
      </w:r>
      <w:r w:rsidRPr="00077250">
        <w:rPr>
          <w:rFonts w:asciiTheme="majorHAnsi" w:hAnsiTheme="majorHAnsi" w:cstheme="majorHAnsi"/>
          <w:noProof/>
          <w:sz w:val="20"/>
          <w:szCs w:val="28"/>
          <w:vertAlign w:val="superscript"/>
        </w:rPr>
        <w:t>th</w:t>
      </w:r>
      <w:r w:rsidRPr="00077250">
        <w:rPr>
          <w:rFonts w:asciiTheme="majorHAnsi" w:hAnsiTheme="majorHAnsi" w:cstheme="majorHAnsi"/>
          <w:noProof/>
          <w:sz w:val="20"/>
          <w:szCs w:val="28"/>
        </w:rPr>
        <w:t xml:space="preserve"> – 17</w:t>
      </w:r>
      <w:r w:rsidRPr="00077250">
        <w:rPr>
          <w:rFonts w:asciiTheme="majorHAnsi" w:hAnsiTheme="majorHAnsi" w:cstheme="majorHAnsi"/>
          <w:noProof/>
          <w:sz w:val="20"/>
          <w:szCs w:val="28"/>
          <w:vertAlign w:val="superscript"/>
        </w:rPr>
        <w:t>th</w:t>
      </w:r>
      <w:r w:rsidRPr="00077250">
        <w:rPr>
          <w:rFonts w:asciiTheme="majorHAnsi" w:hAnsiTheme="majorHAnsi" w:cstheme="majorHAnsi"/>
          <w:noProof/>
          <w:sz w:val="20"/>
          <w:szCs w:val="28"/>
        </w:rPr>
        <w:t>c.) and its impact on contemporary Arab Art”, MAThesis, Photography Department, Faculty of Fine Arts, Helwan University, 2009.</w:t>
      </w:r>
      <w:r w:rsidRPr="00077250">
        <w:rPr>
          <w:rFonts w:asciiTheme="majorHAnsi" w:hAnsiTheme="majorHAnsi" w:cstheme="majorHAnsi"/>
          <w:noProof/>
          <w:sz w:val="20"/>
          <w:szCs w:val="28"/>
          <w:lang w:val="id-ID"/>
        </w:rPr>
        <w:fldChar w:fldCharType="begin" w:fldLock="1"/>
      </w:r>
      <w:r w:rsidRPr="00077250">
        <w:rPr>
          <w:rFonts w:asciiTheme="majorHAnsi" w:hAnsiTheme="majorHAnsi" w:cstheme="majorHAnsi"/>
          <w:noProof/>
          <w:sz w:val="20"/>
          <w:szCs w:val="28"/>
          <w:lang w:val="id-ID"/>
        </w:rPr>
        <w:instrText xml:space="preserve">ADDIN Mendeley Bibliography CSL_BIBLIOGRAPHY </w:instrText>
      </w:r>
      <w:r w:rsidRPr="00077250">
        <w:rPr>
          <w:rFonts w:asciiTheme="majorHAnsi" w:hAnsiTheme="majorHAnsi" w:cstheme="majorHAnsi"/>
          <w:noProof/>
          <w:sz w:val="20"/>
          <w:szCs w:val="28"/>
          <w:lang w:val="id-ID"/>
        </w:rPr>
        <w:fldChar w:fldCharType="separate"/>
      </w:r>
    </w:p>
    <w:p w14:paraId="404A5381" w14:textId="77777777" w:rsidR="00077250" w:rsidRPr="00077250" w:rsidRDefault="00077250" w:rsidP="00077250">
      <w:pPr>
        <w:widowControl w:val="0"/>
        <w:numPr>
          <w:ilvl w:val="0"/>
          <w:numId w:val="11"/>
        </w:numPr>
        <w:autoSpaceDE w:val="0"/>
        <w:autoSpaceDN w:val="0"/>
        <w:adjustRightInd w:val="0"/>
        <w:spacing w:before="20" w:after="20"/>
        <w:jc w:val="both"/>
        <w:rPr>
          <w:rFonts w:asciiTheme="majorHAnsi" w:hAnsiTheme="majorHAnsi" w:cstheme="majorHAnsi"/>
          <w:noProof/>
          <w:sz w:val="20"/>
          <w:szCs w:val="28"/>
        </w:rPr>
      </w:pPr>
      <w:r w:rsidRPr="00077250">
        <w:rPr>
          <w:rFonts w:asciiTheme="majorHAnsi" w:hAnsiTheme="majorHAnsi" w:cstheme="majorHAnsi"/>
          <w:noProof/>
          <w:sz w:val="20"/>
          <w:szCs w:val="28"/>
        </w:rPr>
        <w:t>M. R. A. Abdul Raḥmān, "The color and its use in modern photography", MA Thesis, 1983, Faculty of Fine Arts, Helwan University.</w:t>
      </w:r>
    </w:p>
    <w:p w14:paraId="7E72413E" w14:textId="77777777" w:rsidR="00077250" w:rsidRPr="00077250" w:rsidRDefault="00077250" w:rsidP="00077250">
      <w:pPr>
        <w:widowControl w:val="0"/>
        <w:numPr>
          <w:ilvl w:val="0"/>
          <w:numId w:val="11"/>
        </w:numPr>
        <w:autoSpaceDE w:val="0"/>
        <w:autoSpaceDN w:val="0"/>
        <w:adjustRightInd w:val="0"/>
        <w:spacing w:before="20" w:after="20"/>
        <w:jc w:val="both"/>
        <w:rPr>
          <w:rFonts w:asciiTheme="majorHAnsi" w:hAnsiTheme="majorHAnsi" w:cstheme="majorHAnsi"/>
          <w:noProof/>
          <w:sz w:val="20"/>
          <w:szCs w:val="28"/>
        </w:rPr>
      </w:pPr>
      <w:r w:rsidRPr="00077250">
        <w:rPr>
          <w:rFonts w:asciiTheme="majorHAnsi" w:hAnsiTheme="majorHAnsi" w:cstheme="majorHAnsi"/>
          <w:noProof/>
          <w:sz w:val="20"/>
          <w:szCs w:val="28"/>
        </w:rPr>
        <w:t xml:space="preserve">D. N. Wilber, “The Role of Color in Architecture.” </w:t>
      </w:r>
      <w:r w:rsidRPr="00077250">
        <w:rPr>
          <w:rFonts w:asciiTheme="majorHAnsi" w:hAnsiTheme="majorHAnsi" w:cstheme="majorHAnsi"/>
          <w:i/>
          <w:iCs/>
          <w:noProof/>
          <w:sz w:val="20"/>
          <w:szCs w:val="28"/>
        </w:rPr>
        <w:t>Journal of the American Society of Architectural Historians</w:t>
      </w:r>
      <w:r w:rsidRPr="00077250">
        <w:rPr>
          <w:rFonts w:asciiTheme="majorHAnsi" w:hAnsiTheme="majorHAnsi" w:cstheme="majorHAnsi"/>
          <w:noProof/>
          <w:sz w:val="20"/>
          <w:szCs w:val="28"/>
        </w:rPr>
        <w:t>, vol. 2, no. 1, pp. 17–22, 1942.</w:t>
      </w:r>
    </w:p>
    <w:p w14:paraId="003DEF5F" w14:textId="77777777" w:rsidR="00077250" w:rsidRPr="00077250" w:rsidRDefault="00077250" w:rsidP="00077250">
      <w:pPr>
        <w:widowControl w:val="0"/>
        <w:numPr>
          <w:ilvl w:val="0"/>
          <w:numId w:val="11"/>
        </w:numPr>
        <w:autoSpaceDE w:val="0"/>
        <w:autoSpaceDN w:val="0"/>
        <w:adjustRightInd w:val="0"/>
        <w:spacing w:before="20" w:after="20"/>
        <w:jc w:val="both"/>
        <w:rPr>
          <w:rFonts w:asciiTheme="majorHAnsi" w:hAnsiTheme="majorHAnsi" w:cstheme="majorHAnsi"/>
          <w:noProof/>
          <w:sz w:val="20"/>
          <w:szCs w:val="28"/>
          <w:lang w:val="en-US"/>
        </w:rPr>
      </w:pPr>
      <w:r w:rsidRPr="00077250">
        <w:rPr>
          <w:rFonts w:asciiTheme="majorHAnsi" w:hAnsiTheme="majorHAnsi" w:cstheme="majorHAnsi"/>
          <w:noProof/>
          <w:sz w:val="20"/>
          <w:szCs w:val="28"/>
          <w:lang w:val="en-US"/>
        </w:rPr>
        <w:t xml:space="preserve">L. S. S. AlJuhani, </w:t>
      </w:r>
      <w:r w:rsidRPr="00077250">
        <w:rPr>
          <w:rFonts w:asciiTheme="majorHAnsi" w:hAnsiTheme="majorHAnsi" w:cstheme="majorHAnsi"/>
          <w:i/>
          <w:iCs/>
          <w:noProof/>
          <w:sz w:val="20"/>
          <w:szCs w:val="28"/>
          <w:lang w:val="en-US"/>
        </w:rPr>
        <w:t>Design of Visual Materials: Techniques and Applications</w:t>
      </w:r>
      <w:r w:rsidRPr="00077250">
        <w:rPr>
          <w:rFonts w:asciiTheme="majorHAnsi" w:hAnsiTheme="majorHAnsi" w:cstheme="majorHAnsi"/>
          <w:noProof/>
          <w:sz w:val="20"/>
          <w:szCs w:val="28"/>
          <w:lang w:val="en-US"/>
        </w:rPr>
        <w:t xml:space="preserve">, Riyadh: Al-Obekan Publishing, 2018. </w:t>
      </w:r>
    </w:p>
    <w:p w14:paraId="6314CF20" w14:textId="77777777" w:rsidR="00077250" w:rsidRPr="00077250" w:rsidRDefault="00077250" w:rsidP="00077250">
      <w:pPr>
        <w:widowControl w:val="0"/>
        <w:numPr>
          <w:ilvl w:val="0"/>
          <w:numId w:val="11"/>
        </w:numPr>
        <w:autoSpaceDE w:val="0"/>
        <w:autoSpaceDN w:val="0"/>
        <w:adjustRightInd w:val="0"/>
        <w:spacing w:before="20" w:after="20"/>
        <w:jc w:val="both"/>
        <w:rPr>
          <w:rFonts w:asciiTheme="majorHAnsi" w:hAnsiTheme="majorHAnsi" w:cstheme="majorHAnsi"/>
          <w:noProof/>
          <w:sz w:val="20"/>
          <w:szCs w:val="28"/>
          <w:lang w:val="en-US"/>
        </w:rPr>
      </w:pPr>
      <w:r w:rsidRPr="00077250">
        <w:rPr>
          <w:rFonts w:asciiTheme="majorHAnsi" w:hAnsiTheme="majorHAnsi" w:cstheme="majorHAnsi"/>
          <w:noProof/>
          <w:sz w:val="20"/>
          <w:szCs w:val="28"/>
          <w:lang w:val="en-US"/>
        </w:rPr>
        <w:t>F. B. Flood, T</w:t>
      </w:r>
      <w:r w:rsidRPr="00077250">
        <w:rPr>
          <w:rFonts w:asciiTheme="majorHAnsi" w:hAnsiTheme="majorHAnsi" w:cstheme="majorHAnsi"/>
          <w:i/>
          <w:iCs/>
          <w:noProof/>
          <w:sz w:val="20"/>
          <w:szCs w:val="28"/>
          <w:lang w:val="en-US"/>
        </w:rPr>
        <w:t>he Great Mosque of Damascus: Studies on the Makings of an Umayyad Visual Culture,</w:t>
      </w:r>
      <w:r w:rsidRPr="00077250">
        <w:rPr>
          <w:rFonts w:asciiTheme="majorHAnsi" w:hAnsiTheme="majorHAnsi" w:cstheme="majorHAnsi"/>
          <w:noProof/>
          <w:sz w:val="20"/>
          <w:szCs w:val="28"/>
          <w:lang w:val="en-US"/>
        </w:rPr>
        <w:t xml:space="preserve"> Brill, 2019.</w:t>
      </w:r>
    </w:p>
    <w:p w14:paraId="305AE0A2" w14:textId="77777777" w:rsidR="00077250" w:rsidRPr="00077250" w:rsidRDefault="00077250" w:rsidP="00077250">
      <w:pPr>
        <w:widowControl w:val="0"/>
        <w:numPr>
          <w:ilvl w:val="0"/>
          <w:numId w:val="11"/>
        </w:numPr>
        <w:autoSpaceDE w:val="0"/>
        <w:autoSpaceDN w:val="0"/>
        <w:adjustRightInd w:val="0"/>
        <w:spacing w:before="20" w:after="20"/>
        <w:jc w:val="both"/>
        <w:rPr>
          <w:rFonts w:asciiTheme="majorHAnsi" w:hAnsiTheme="majorHAnsi" w:cstheme="majorHAnsi"/>
          <w:noProof/>
          <w:sz w:val="20"/>
          <w:szCs w:val="28"/>
          <w:lang w:val="en-US"/>
        </w:rPr>
      </w:pPr>
      <w:r w:rsidRPr="00077250">
        <w:rPr>
          <w:rFonts w:asciiTheme="majorHAnsi" w:hAnsiTheme="majorHAnsi" w:cstheme="majorHAnsi"/>
          <w:noProof/>
          <w:sz w:val="20"/>
          <w:szCs w:val="28"/>
          <w:lang w:val="en-US"/>
        </w:rPr>
        <w:t xml:space="preserve">R. Irwin, </w:t>
      </w:r>
      <w:r w:rsidRPr="00077250">
        <w:rPr>
          <w:rFonts w:asciiTheme="majorHAnsi" w:hAnsiTheme="majorHAnsi" w:cstheme="majorHAnsi"/>
          <w:i/>
          <w:iCs/>
          <w:noProof/>
          <w:sz w:val="20"/>
          <w:szCs w:val="28"/>
          <w:lang w:val="en-US"/>
        </w:rPr>
        <w:t>Islamic Art in Context</w:t>
      </w:r>
      <w:r w:rsidRPr="00077250">
        <w:rPr>
          <w:rFonts w:asciiTheme="majorHAnsi" w:hAnsiTheme="majorHAnsi" w:cstheme="majorHAnsi"/>
          <w:noProof/>
          <w:sz w:val="20"/>
          <w:szCs w:val="28"/>
          <w:lang w:val="en-US"/>
        </w:rPr>
        <w:t>. Laurence King Publishing, 2021.</w:t>
      </w:r>
    </w:p>
    <w:p w14:paraId="29687F32" w14:textId="77777777" w:rsidR="00077250" w:rsidRPr="00077250" w:rsidRDefault="00077250" w:rsidP="00077250">
      <w:pPr>
        <w:widowControl w:val="0"/>
        <w:numPr>
          <w:ilvl w:val="0"/>
          <w:numId w:val="11"/>
        </w:numPr>
        <w:autoSpaceDE w:val="0"/>
        <w:autoSpaceDN w:val="0"/>
        <w:adjustRightInd w:val="0"/>
        <w:spacing w:before="20" w:after="20"/>
        <w:jc w:val="both"/>
        <w:rPr>
          <w:rFonts w:asciiTheme="majorHAnsi" w:hAnsiTheme="majorHAnsi" w:cstheme="majorHAnsi"/>
          <w:noProof/>
          <w:sz w:val="20"/>
          <w:szCs w:val="28"/>
          <w:lang w:val="tr-TR"/>
        </w:rPr>
      </w:pPr>
      <w:r w:rsidRPr="00077250">
        <w:rPr>
          <w:rFonts w:asciiTheme="majorHAnsi" w:hAnsiTheme="majorHAnsi" w:cstheme="majorHAnsi"/>
          <w:noProof/>
          <w:sz w:val="20"/>
          <w:szCs w:val="28"/>
        </w:rPr>
        <w:t xml:space="preserve">A. N. Vafeidis, “To en Didymoteichō Temenos Bayezid I tou Keravnou kai ai epigraphi autou,” </w:t>
      </w:r>
      <w:r w:rsidRPr="00077250">
        <w:rPr>
          <w:rFonts w:asciiTheme="majorHAnsi" w:hAnsiTheme="majorHAnsi" w:cstheme="majorHAnsi"/>
          <w:i/>
          <w:iCs/>
          <w:noProof/>
          <w:sz w:val="20"/>
          <w:szCs w:val="28"/>
        </w:rPr>
        <w:t>Thrakiká Chroniká</w:t>
      </w:r>
      <w:r w:rsidRPr="00077250">
        <w:rPr>
          <w:rFonts w:asciiTheme="majorHAnsi" w:hAnsiTheme="majorHAnsi" w:cstheme="majorHAnsi"/>
          <w:noProof/>
          <w:sz w:val="20"/>
          <w:szCs w:val="28"/>
        </w:rPr>
        <w:t xml:space="preserve"> 10 (1937): 35–51.</w:t>
      </w:r>
    </w:p>
    <w:p w14:paraId="28E45A90" w14:textId="77777777" w:rsidR="00077250" w:rsidRPr="00077250" w:rsidRDefault="00077250" w:rsidP="00077250">
      <w:pPr>
        <w:widowControl w:val="0"/>
        <w:numPr>
          <w:ilvl w:val="0"/>
          <w:numId w:val="11"/>
        </w:numPr>
        <w:autoSpaceDE w:val="0"/>
        <w:autoSpaceDN w:val="0"/>
        <w:adjustRightInd w:val="0"/>
        <w:spacing w:before="20" w:after="20"/>
        <w:jc w:val="both"/>
        <w:rPr>
          <w:rFonts w:asciiTheme="majorHAnsi" w:hAnsiTheme="majorHAnsi" w:cstheme="majorHAnsi"/>
          <w:noProof/>
          <w:sz w:val="20"/>
          <w:szCs w:val="28"/>
          <w:lang w:val="en-US"/>
        </w:rPr>
      </w:pPr>
      <w:r w:rsidRPr="00077250">
        <w:rPr>
          <w:rFonts w:asciiTheme="majorHAnsi" w:hAnsiTheme="majorHAnsi" w:cstheme="majorHAnsi"/>
          <w:noProof/>
          <w:sz w:val="20"/>
          <w:szCs w:val="28"/>
          <w:lang w:val="en-US"/>
        </w:rPr>
        <w:t xml:space="preserve">G. Necipoglu, </w:t>
      </w:r>
      <w:r w:rsidRPr="00077250">
        <w:rPr>
          <w:rFonts w:asciiTheme="majorHAnsi" w:hAnsiTheme="majorHAnsi" w:cstheme="majorHAnsi"/>
          <w:i/>
          <w:iCs/>
          <w:noProof/>
          <w:sz w:val="20"/>
          <w:szCs w:val="28"/>
          <w:lang w:val="en-US"/>
        </w:rPr>
        <w:t>The Age of Sinan: Architectural Culture in the Ottoman Empire</w:t>
      </w:r>
      <w:r w:rsidRPr="00077250">
        <w:rPr>
          <w:rFonts w:asciiTheme="majorHAnsi" w:hAnsiTheme="majorHAnsi" w:cstheme="majorHAnsi"/>
          <w:noProof/>
          <w:sz w:val="20"/>
          <w:szCs w:val="28"/>
          <w:lang w:val="en-US"/>
        </w:rPr>
        <w:t>. Princeton University Press, 1995.</w:t>
      </w:r>
    </w:p>
    <w:p w14:paraId="5B72FF08" w14:textId="77777777" w:rsidR="00077250" w:rsidRPr="00077250" w:rsidRDefault="00077250" w:rsidP="00077250">
      <w:pPr>
        <w:widowControl w:val="0"/>
        <w:numPr>
          <w:ilvl w:val="0"/>
          <w:numId w:val="11"/>
        </w:numPr>
        <w:autoSpaceDE w:val="0"/>
        <w:autoSpaceDN w:val="0"/>
        <w:adjustRightInd w:val="0"/>
        <w:spacing w:before="20" w:after="20"/>
        <w:jc w:val="both"/>
        <w:rPr>
          <w:rFonts w:asciiTheme="majorHAnsi" w:hAnsiTheme="majorHAnsi" w:cstheme="majorHAnsi"/>
          <w:noProof/>
          <w:sz w:val="20"/>
          <w:szCs w:val="28"/>
          <w:lang w:val="en-US"/>
        </w:rPr>
      </w:pPr>
      <w:r w:rsidRPr="00077250">
        <w:rPr>
          <w:rFonts w:asciiTheme="majorHAnsi" w:hAnsiTheme="majorHAnsi" w:cstheme="majorHAnsi"/>
          <w:noProof/>
          <w:sz w:val="20"/>
          <w:szCs w:val="28"/>
          <w:lang w:val="en-US"/>
        </w:rPr>
        <w:t xml:space="preserve">D. J. Roxburgh, </w:t>
      </w:r>
      <w:r w:rsidRPr="00077250">
        <w:rPr>
          <w:rFonts w:asciiTheme="majorHAnsi" w:hAnsiTheme="majorHAnsi" w:cstheme="majorHAnsi"/>
          <w:i/>
          <w:iCs/>
          <w:noProof/>
          <w:sz w:val="20"/>
          <w:szCs w:val="28"/>
          <w:lang w:val="en-US"/>
        </w:rPr>
        <w:t>Turks: A Journey of a Thousand Years, 600-1600</w:t>
      </w:r>
      <w:r w:rsidRPr="00077250">
        <w:rPr>
          <w:rFonts w:asciiTheme="majorHAnsi" w:hAnsiTheme="majorHAnsi" w:cstheme="majorHAnsi"/>
          <w:noProof/>
          <w:sz w:val="20"/>
          <w:szCs w:val="28"/>
          <w:lang w:val="en-US"/>
        </w:rPr>
        <w:t>. Royal Academy of Arts, 2005.</w:t>
      </w:r>
    </w:p>
    <w:p w14:paraId="65AEC300" w14:textId="77777777" w:rsidR="00077250" w:rsidRPr="00077250" w:rsidRDefault="00077250" w:rsidP="00077250">
      <w:pPr>
        <w:widowControl w:val="0"/>
        <w:numPr>
          <w:ilvl w:val="0"/>
          <w:numId w:val="11"/>
        </w:numPr>
        <w:autoSpaceDE w:val="0"/>
        <w:autoSpaceDN w:val="0"/>
        <w:adjustRightInd w:val="0"/>
        <w:spacing w:before="20" w:after="20"/>
        <w:jc w:val="both"/>
        <w:rPr>
          <w:rFonts w:asciiTheme="majorHAnsi" w:hAnsiTheme="majorHAnsi" w:cstheme="majorHAnsi"/>
          <w:noProof/>
          <w:sz w:val="20"/>
          <w:szCs w:val="28"/>
          <w:lang w:val="en-US"/>
        </w:rPr>
      </w:pPr>
      <w:r w:rsidRPr="00077250">
        <w:rPr>
          <w:rFonts w:asciiTheme="majorHAnsi" w:hAnsiTheme="majorHAnsi" w:cstheme="majorHAnsi"/>
          <w:noProof/>
          <w:sz w:val="20"/>
          <w:szCs w:val="28"/>
          <w:lang w:val="en-US"/>
        </w:rPr>
        <w:t xml:space="preserve">Y. Tabbaa, </w:t>
      </w:r>
      <w:r w:rsidRPr="00077250">
        <w:rPr>
          <w:rFonts w:asciiTheme="majorHAnsi" w:hAnsiTheme="majorHAnsi" w:cstheme="majorHAnsi"/>
          <w:i/>
          <w:iCs/>
          <w:noProof/>
          <w:sz w:val="20"/>
          <w:szCs w:val="28"/>
          <w:lang w:val="en-US"/>
        </w:rPr>
        <w:t>The Transformation of Islamic Art During the Sunni Revival.</w:t>
      </w:r>
      <w:r w:rsidRPr="00077250">
        <w:rPr>
          <w:rFonts w:asciiTheme="majorHAnsi" w:hAnsiTheme="majorHAnsi" w:cstheme="majorHAnsi"/>
          <w:noProof/>
          <w:sz w:val="20"/>
          <w:szCs w:val="28"/>
          <w:lang w:val="en-US"/>
        </w:rPr>
        <w:t xml:space="preserve"> University of Washington Press, 1988.</w:t>
      </w:r>
    </w:p>
    <w:p w14:paraId="7C7BC2D2" w14:textId="77777777" w:rsidR="00077250" w:rsidRPr="00077250" w:rsidRDefault="00077250" w:rsidP="00077250">
      <w:pPr>
        <w:widowControl w:val="0"/>
        <w:numPr>
          <w:ilvl w:val="0"/>
          <w:numId w:val="11"/>
        </w:numPr>
        <w:autoSpaceDE w:val="0"/>
        <w:autoSpaceDN w:val="0"/>
        <w:adjustRightInd w:val="0"/>
        <w:spacing w:before="20" w:after="20"/>
        <w:jc w:val="both"/>
        <w:rPr>
          <w:rFonts w:asciiTheme="majorHAnsi" w:hAnsiTheme="majorHAnsi" w:cstheme="majorHAnsi"/>
          <w:noProof/>
          <w:sz w:val="20"/>
          <w:szCs w:val="28"/>
          <w:lang w:val="en-US"/>
        </w:rPr>
      </w:pPr>
      <w:r w:rsidRPr="00077250">
        <w:rPr>
          <w:rFonts w:asciiTheme="majorHAnsi" w:hAnsiTheme="majorHAnsi" w:cstheme="majorHAnsi"/>
          <w:noProof/>
          <w:sz w:val="20"/>
          <w:szCs w:val="28"/>
          <w:lang w:val="en-US"/>
        </w:rPr>
        <w:t xml:space="preserve">E. Çelebi, </w:t>
      </w:r>
      <w:r w:rsidRPr="00077250">
        <w:rPr>
          <w:rFonts w:asciiTheme="majorHAnsi" w:hAnsiTheme="majorHAnsi" w:cstheme="majorHAnsi"/>
          <w:i/>
          <w:iCs/>
          <w:noProof/>
          <w:sz w:val="20"/>
          <w:szCs w:val="28"/>
          <w:lang w:val="en-US"/>
        </w:rPr>
        <w:t>Seyahatnâme</w:t>
      </w:r>
      <w:r w:rsidRPr="00077250">
        <w:rPr>
          <w:rFonts w:asciiTheme="majorHAnsi" w:hAnsiTheme="majorHAnsi" w:cstheme="majorHAnsi"/>
          <w:noProof/>
          <w:sz w:val="20"/>
          <w:szCs w:val="28"/>
          <w:lang w:val="en-US"/>
        </w:rPr>
        <w:t>. Vol. 8. Istanbul: Bagdat Köşkü, 1680</w:t>
      </w:r>
    </w:p>
    <w:p w14:paraId="32EDDABE" w14:textId="77777777" w:rsidR="00077250" w:rsidRPr="00077250" w:rsidRDefault="00077250" w:rsidP="00077250">
      <w:pPr>
        <w:widowControl w:val="0"/>
        <w:numPr>
          <w:ilvl w:val="0"/>
          <w:numId w:val="11"/>
        </w:numPr>
        <w:autoSpaceDE w:val="0"/>
        <w:autoSpaceDN w:val="0"/>
        <w:adjustRightInd w:val="0"/>
        <w:spacing w:before="20" w:after="20"/>
        <w:jc w:val="both"/>
        <w:rPr>
          <w:rFonts w:asciiTheme="majorHAnsi" w:hAnsiTheme="majorHAnsi" w:cstheme="majorHAnsi"/>
          <w:noProof/>
          <w:sz w:val="20"/>
          <w:szCs w:val="28"/>
          <w:lang w:val="id-ID"/>
        </w:rPr>
      </w:pPr>
      <w:r w:rsidRPr="00077250">
        <w:rPr>
          <w:rFonts w:asciiTheme="majorHAnsi" w:hAnsiTheme="majorHAnsi" w:cstheme="majorHAnsi"/>
          <w:noProof/>
          <w:sz w:val="20"/>
          <w:szCs w:val="28"/>
          <w:lang w:val="en-US"/>
        </w:rPr>
        <w:t xml:space="preserve">E. Çelebi, </w:t>
      </w:r>
      <w:r w:rsidRPr="00077250">
        <w:rPr>
          <w:rFonts w:asciiTheme="majorHAnsi" w:hAnsiTheme="majorHAnsi" w:cstheme="majorHAnsi"/>
          <w:i/>
          <w:iCs/>
          <w:noProof/>
          <w:sz w:val="20"/>
          <w:szCs w:val="28"/>
          <w:lang w:val="en-US"/>
        </w:rPr>
        <w:t>Evliyâ Çelebi Seyahatnâmesi</w:t>
      </w:r>
      <w:r w:rsidRPr="00077250">
        <w:rPr>
          <w:rFonts w:asciiTheme="majorHAnsi" w:hAnsiTheme="majorHAnsi" w:cstheme="majorHAnsi"/>
          <w:noProof/>
          <w:sz w:val="20"/>
          <w:szCs w:val="28"/>
          <w:lang w:val="en-US"/>
        </w:rPr>
        <w:t>. Edited by S. A. Kahraman, Y. Dağlı, and R. Dankoff. vol. 1. İstanbul: Yapı Kredi Yayınları.</w:t>
      </w:r>
      <w:r w:rsidRPr="00077250">
        <w:rPr>
          <w:rFonts w:asciiTheme="majorHAnsi" w:hAnsiTheme="majorHAnsi" w:cstheme="majorHAnsi"/>
          <w:noProof/>
          <w:sz w:val="20"/>
          <w:szCs w:val="28"/>
        </w:rPr>
        <w:fldChar w:fldCharType="end"/>
      </w:r>
      <w:r w:rsidRPr="00077250">
        <w:rPr>
          <w:rFonts w:asciiTheme="majorHAnsi" w:hAnsiTheme="majorHAnsi" w:cstheme="majorHAnsi"/>
          <w:noProof/>
          <w:sz w:val="20"/>
          <w:szCs w:val="28"/>
          <w:lang w:val="id-ID"/>
        </w:rPr>
        <w:t xml:space="preserve"> 2003.</w:t>
      </w:r>
    </w:p>
    <w:p w14:paraId="7809BE05" w14:textId="69ED6697" w:rsidR="00077250" w:rsidRDefault="00077250" w:rsidP="00477FC8">
      <w:pPr>
        <w:widowControl w:val="0"/>
        <w:autoSpaceDE w:val="0"/>
        <w:autoSpaceDN w:val="0"/>
        <w:adjustRightInd w:val="0"/>
        <w:spacing w:before="20" w:after="20"/>
        <w:ind w:left="567" w:hanging="283"/>
        <w:jc w:val="both"/>
        <w:rPr>
          <w:rFonts w:asciiTheme="majorHAnsi" w:hAnsiTheme="majorHAnsi" w:cstheme="majorHAnsi"/>
          <w:noProof/>
          <w:sz w:val="20"/>
          <w:szCs w:val="28"/>
        </w:rPr>
      </w:pPr>
    </w:p>
    <w:p w14:paraId="2C0B447B" w14:textId="77777777" w:rsidR="00077250" w:rsidRDefault="00077250" w:rsidP="00477FC8">
      <w:pPr>
        <w:widowControl w:val="0"/>
        <w:autoSpaceDE w:val="0"/>
        <w:autoSpaceDN w:val="0"/>
        <w:adjustRightInd w:val="0"/>
        <w:spacing w:before="20" w:after="20"/>
        <w:ind w:left="567" w:hanging="283"/>
        <w:jc w:val="both"/>
        <w:rPr>
          <w:rFonts w:asciiTheme="majorHAnsi" w:hAnsiTheme="majorHAnsi" w:cstheme="majorHAnsi"/>
          <w:noProof/>
          <w:sz w:val="20"/>
          <w:szCs w:val="28"/>
        </w:rPr>
      </w:pPr>
    </w:p>
    <w:p w14:paraId="1D1C323E" w14:textId="77777777" w:rsidR="00477FC8" w:rsidRPr="00477FC8" w:rsidRDefault="00477FC8" w:rsidP="00D57761">
      <w:pPr>
        <w:widowControl w:val="0"/>
        <w:autoSpaceDE w:val="0"/>
        <w:autoSpaceDN w:val="0"/>
        <w:adjustRightInd w:val="0"/>
        <w:spacing w:before="20" w:after="20"/>
        <w:jc w:val="both"/>
        <w:rPr>
          <w:rFonts w:asciiTheme="majorHAnsi" w:hAnsiTheme="majorHAnsi" w:cstheme="majorHAnsi"/>
          <w:noProof/>
          <w:sz w:val="20"/>
          <w:szCs w:val="24"/>
          <w:lang w:val="id-ID"/>
        </w:rPr>
      </w:pPr>
    </w:p>
    <w:p w14:paraId="34D0241F" w14:textId="5423D80D" w:rsidR="00605B4D" w:rsidRPr="00477FC8" w:rsidRDefault="00477FC8" w:rsidP="00477FC8">
      <w:pPr>
        <w:jc w:val="both"/>
        <w:rPr>
          <w:rFonts w:asciiTheme="majorHAnsi" w:hAnsiTheme="majorHAnsi" w:cstheme="majorHAnsi"/>
          <w:noProof/>
          <w:sz w:val="20"/>
          <w:szCs w:val="20"/>
          <w:lang w:val="id-ID"/>
        </w:rPr>
      </w:pPr>
      <w:r w:rsidRPr="00477FC8">
        <w:rPr>
          <w:rFonts w:asciiTheme="majorHAnsi" w:hAnsiTheme="majorHAnsi" w:cstheme="majorHAnsi"/>
          <w:sz w:val="20"/>
          <w:szCs w:val="20"/>
          <w:lang w:val="id-ID"/>
        </w:rPr>
        <w:fldChar w:fldCharType="end"/>
      </w:r>
    </w:p>
    <w:sectPr w:rsidR="00605B4D" w:rsidRPr="00477FC8" w:rsidSect="00F72919">
      <w:headerReference w:type="even" r:id="rId28"/>
      <w:headerReference w:type="default" r:id="rId29"/>
      <w:footerReference w:type="even" r:id="rId30"/>
      <w:footerReference w:type="default" r:id="rId31"/>
      <w:footerReference w:type="first" r:id="rId32"/>
      <w:pgSz w:w="11906" w:h="16838" w:code="9"/>
      <w:pgMar w:top="1418" w:right="1418" w:bottom="1418" w:left="1418" w:header="709" w:footer="709" w:gutter="0"/>
      <w:pgNumType w:start="101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D3D74" w14:textId="77777777" w:rsidR="00D01B96" w:rsidRDefault="00D01B96" w:rsidP="001101DA">
      <w:r>
        <w:separator/>
      </w:r>
    </w:p>
  </w:endnote>
  <w:endnote w:type="continuationSeparator" w:id="0">
    <w:p w14:paraId="6C48C5F5" w14:textId="77777777" w:rsidR="00D01B96" w:rsidRDefault="00D01B96"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7796254"/>
      <w:docPartObj>
        <w:docPartGallery w:val="Page Numbers (Bottom of Page)"/>
        <w:docPartUnique/>
      </w:docPartObj>
    </w:sdtPr>
    <w:sdtEndPr>
      <w:rPr>
        <w:noProof/>
      </w:rPr>
    </w:sdtEndPr>
    <w:sdtContent>
      <w:p w14:paraId="6A6BD44E" w14:textId="13C96BAF"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940C3C">
          <w:rPr>
            <w:sz w:val="16"/>
            <w:szCs w:val="16"/>
          </w:rPr>
          <w:t>8</w:t>
        </w:r>
        <w:r w:rsidRPr="00920627">
          <w:rPr>
            <w:sz w:val="16"/>
            <w:szCs w:val="16"/>
          </w:rPr>
          <w:t>(</w:t>
        </w:r>
        <w:r w:rsidR="00940C3C">
          <w:rPr>
            <w:sz w:val="16"/>
            <w:szCs w:val="16"/>
          </w:rPr>
          <w:t>4</w:t>
        </w:r>
        <w:r w:rsidRPr="00920627">
          <w:rPr>
            <w:sz w:val="16"/>
            <w:szCs w:val="16"/>
          </w:rPr>
          <w:t>), December 202</w:t>
        </w:r>
        <w:r w:rsidR="00940C3C">
          <w:rPr>
            <w:sz w:val="16"/>
            <w:szCs w:val="16"/>
          </w:rPr>
          <w:t>5</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81653230"/>
      <w:docPartObj>
        <w:docPartGallery w:val="Page Numbers (Bottom of Page)"/>
        <w:docPartUnique/>
      </w:docPartObj>
    </w:sdtPr>
    <w:sdtContent>
      <w:p w14:paraId="09C918E7" w14:textId="4EBDB229" w:rsidR="001101DA" w:rsidRPr="00920627" w:rsidRDefault="00920627" w:rsidP="00920627">
        <w:pPr>
          <w:pStyle w:val="Footer"/>
          <w:jc w:val="right"/>
          <w:rPr>
            <w:sz w:val="16"/>
            <w:szCs w:val="16"/>
          </w:rPr>
        </w:pPr>
        <w:r w:rsidRPr="00920627">
          <w:rPr>
            <w:sz w:val="16"/>
            <w:szCs w:val="16"/>
          </w:rPr>
          <w:t xml:space="preserve">Journal of Islamic Architecture </w:t>
        </w:r>
        <w:r w:rsidR="00940C3C">
          <w:rPr>
            <w:sz w:val="16"/>
            <w:szCs w:val="16"/>
          </w:rPr>
          <w:t>8</w:t>
        </w:r>
        <w:r w:rsidRPr="00920627">
          <w:rPr>
            <w:sz w:val="16"/>
            <w:szCs w:val="16"/>
          </w:rPr>
          <w:t>(4), December 202</w:t>
        </w:r>
        <w:r w:rsidR="00940C3C">
          <w:rPr>
            <w:sz w:val="16"/>
            <w:szCs w:val="16"/>
          </w:rPr>
          <w:t>5</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172887"/>
      <w:docPartObj>
        <w:docPartGallery w:val="Page Numbers (Bottom of Page)"/>
        <w:docPartUnique/>
      </w:docPartObj>
    </w:sdtPr>
    <w:sdtContent>
      <w:p w14:paraId="7E163426" w14:textId="3B59EACC"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2023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1C183" w14:textId="77777777" w:rsidR="00D01B96" w:rsidRDefault="00D01B96" w:rsidP="001101DA">
      <w:r>
        <w:separator/>
      </w:r>
    </w:p>
  </w:footnote>
  <w:footnote w:type="continuationSeparator" w:id="0">
    <w:p w14:paraId="5DBD4974" w14:textId="77777777" w:rsidR="00D01B96" w:rsidRDefault="00D01B96"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3593" w14:textId="3BB7D2F4" w:rsidR="001101DA" w:rsidRPr="001101DA" w:rsidRDefault="00940C3C" w:rsidP="001101DA">
    <w:pPr>
      <w:pStyle w:val="Header"/>
      <w:rPr>
        <w:sz w:val="16"/>
        <w:szCs w:val="16"/>
      </w:rPr>
    </w:pPr>
    <w:r w:rsidRPr="00940C3C">
      <w:rPr>
        <w:sz w:val="16"/>
        <w:szCs w:val="16"/>
      </w:rPr>
      <w:t xml:space="preserve">The Visual Impact of </w:t>
    </w:r>
    <w:proofErr w:type="spellStart"/>
    <w:r w:rsidRPr="00940C3C">
      <w:rPr>
        <w:sz w:val="16"/>
        <w:szCs w:val="16"/>
      </w:rPr>
      <w:t>Colors</w:t>
    </w:r>
    <w:proofErr w:type="spellEnd"/>
    <w:r w:rsidRPr="00940C3C">
      <w:rPr>
        <w:sz w:val="16"/>
        <w:szCs w:val="16"/>
      </w:rPr>
      <w:t xml:space="preserve"> in Ottoman Inscriptions: A Case Study of the Sultan Bayezid II Mosque in </w:t>
    </w:r>
    <w:proofErr w:type="spellStart"/>
    <w:r w:rsidRPr="00940C3C">
      <w:rPr>
        <w:sz w:val="16"/>
        <w:szCs w:val="16"/>
      </w:rPr>
      <w:t>Didymóteichon</w:t>
    </w:r>
    <w:proofErr w:type="spellEnd"/>
    <w:r w:rsidRPr="00940C3C">
      <w:rPr>
        <w:sz w:val="16"/>
        <w:szCs w:val="16"/>
      </w:rPr>
      <w:t xml:space="preserve">, Greece </w:t>
    </w:r>
    <w:r>
      <w:rPr>
        <w:sz w:val="16"/>
        <w:szCs w:val="16"/>
      </w:rPr>
      <w:t xml:space="preserve"> </w:t>
    </w:r>
    <w:r w:rsidR="001101DA" w:rsidRPr="001101DA">
      <w:rPr>
        <w:sz w:val="16"/>
        <w:szCs w:val="16"/>
      </w:rPr>
      <w:t xml:space="preserve"> </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E1E" w14:textId="314DCF44" w:rsidR="001101DA" w:rsidRPr="001101DA" w:rsidRDefault="003823AC" w:rsidP="001101DA">
    <w:pPr>
      <w:pStyle w:val="Header"/>
      <w:jc w:val="right"/>
      <w:rPr>
        <w:sz w:val="16"/>
        <w:szCs w:val="16"/>
      </w:rPr>
    </w:pPr>
    <w:r w:rsidRPr="003823AC">
      <w:rPr>
        <w:sz w:val="16"/>
        <w:szCs w:val="16"/>
      </w:rPr>
      <w:t>Ahmed Ameen, Yassmin Youssef Kasem</w:t>
    </w:r>
    <w:r w:rsidR="001101DA" w:rsidRPr="001101DA">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12CB0"/>
    <w:multiLevelType w:val="hybridMultilevel"/>
    <w:tmpl w:val="0A40B87C"/>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CFF33E9"/>
    <w:multiLevelType w:val="hybridMultilevel"/>
    <w:tmpl w:val="D8B2B5C4"/>
    <w:lvl w:ilvl="0" w:tplc="FFFFFFFF">
      <w:start w:val="3"/>
      <w:numFmt w:val="upp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0D16243"/>
    <w:multiLevelType w:val="hybridMultilevel"/>
    <w:tmpl w:val="D8B2B5C4"/>
    <w:lvl w:ilvl="0" w:tplc="FFFFFFFF">
      <w:start w:val="3"/>
      <w:numFmt w:val="upp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B2630E1"/>
    <w:multiLevelType w:val="hybridMultilevel"/>
    <w:tmpl w:val="D8B2B5C4"/>
    <w:lvl w:ilvl="0" w:tplc="756653FE">
      <w:start w:val="3"/>
      <w:numFmt w:val="upp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1C9B290B"/>
    <w:multiLevelType w:val="hybridMultilevel"/>
    <w:tmpl w:val="EA126F20"/>
    <w:lvl w:ilvl="0" w:tplc="0F244DF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2FFB6DD8"/>
    <w:multiLevelType w:val="hybridMultilevel"/>
    <w:tmpl w:val="3EFA897E"/>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7" w15:restartNumberingAfterBreak="0">
    <w:nsid w:val="368A0771"/>
    <w:multiLevelType w:val="hybridMultilevel"/>
    <w:tmpl w:val="4642D31A"/>
    <w:lvl w:ilvl="0" w:tplc="FFFFFFFF">
      <w:start w:val="3"/>
      <w:numFmt w:val="upp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3C94A6A"/>
    <w:multiLevelType w:val="hybridMultilevel"/>
    <w:tmpl w:val="F6968B8A"/>
    <w:lvl w:ilvl="0" w:tplc="EE88732C">
      <w:start w:val="3"/>
      <w:numFmt w:val="upp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50F7612F"/>
    <w:multiLevelType w:val="hybridMultilevel"/>
    <w:tmpl w:val="739A4310"/>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74FA74DF"/>
    <w:multiLevelType w:val="hybridMultilevel"/>
    <w:tmpl w:val="D7B01DF8"/>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192117442">
    <w:abstractNumId w:val="5"/>
  </w:num>
  <w:num w:numId="2" w16cid:durableId="870342434">
    <w:abstractNumId w:val="0"/>
  </w:num>
  <w:num w:numId="3" w16cid:durableId="1932470292">
    <w:abstractNumId w:val="6"/>
  </w:num>
  <w:num w:numId="4" w16cid:durableId="419067607">
    <w:abstractNumId w:val="9"/>
  </w:num>
  <w:num w:numId="5" w16cid:durableId="1786071931">
    <w:abstractNumId w:val="10"/>
  </w:num>
  <w:num w:numId="6" w16cid:durableId="1340036388">
    <w:abstractNumId w:val="3"/>
  </w:num>
  <w:num w:numId="7" w16cid:durableId="819422157">
    <w:abstractNumId w:val="1"/>
  </w:num>
  <w:num w:numId="8" w16cid:durableId="926688371">
    <w:abstractNumId w:val="7"/>
  </w:num>
  <w:num w:numId="9" w16cid:durableId="1624925155">
    <w:abstractNumId w:val="8"/>
  </w:num>
  <w:num w:numId="10" w16cid:durableId="44716569">
    <w:abstractNumId w:val="2"/>
  </w:num>
  <w:num w:numId="11" w16cid:durableId="12297293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6444D"/>
    <w:rsid w:val="00077250"/>
    <w:rsid w:val="000C509F"/>
    <w:rsid w:val="000F5D17"/>
    <w:rsid w:val="001036A8"/>
    <w:rsid w:val="001101DA"/>
    <w:rsid w:val="001179F0"/>
    <w:rsid w:val="001D1905"/>
    <w:rsid w:val="001D517C"/>
    <w:rsid w:val="001E33E6"/>
    <w:rsid w:val="00221499"/>
    <w:rsid w:val="002676BA"/>
    <w:rsid w:val="00283372"/>
    <w:rsid w:val="002D1CEA"/>
    <w:rsid w:val="00330A7A"/>
    <w:rsid w:val="003823AC"/>
    <w:rsid w:val="003C0164"/>
    <w:rsid w:val="00417EF0"/>
    <w:rsid w:val="00464461"/>
    <w:rsid w:val="00477FC8"/>
    <w:rsid w:val="004C7CB9"/>
    <w:rsid w:val="00502594"/>
    <w:rsid w:val="00536D0C"/>
    <w:rsid w:val="00554438"/>
    <w:rsid w:val="005E66A5"/>
    <w:rsid w:val="00605B4D"/>
    <w:rsid w:val="006C55A1"/>
    <w:rsid w:val="00727ABB"/>
    <w:rsid w:val="00745A2A"/>
    <w:rsid w:val="007771EC"/>
    <w:rsid w:val="0079305C"/>
    <w:rsid w:val="007B2C0D"/>
    <w:rsid w:val="007C62F4"/>
    <w:rsid w:val="008535AE"/>
    <w:rsid w:val="00883F54"/>
    <w:rsid w:val="008D73E0"/>
    <w:rsid w:val="00920392"/>
    <w:rsid w:val="00920627"/>
    <w:rsid w:val="00926CF7"/>
    <w:rsid w:val="00940C3C"/>
    <w:rsid w:val="00944AD0"/>
    <w:rsid w:val="009E6DE8"/>
    <w:rsid w:val="00A055B3"/>
    <w:rsid w:val="00AC1C31"/>
    <w:rsid w:val="00AC4F01"/>
    <w:rsid w:val="00B45E75"/>
    <w:rsid w:val="00BE2239"/>
    <w:rsid w:val="00C26026"/>
    <w:rsid w:val="00CB6F5A"/>
    <w:rsid w:val="00CD2BCD"/>
    <w:rsid w:val="00CE135F"/>
    <w:rsid w:val="00D01B96"/>
    <w:rsid w:val="00D132AE"/>
    <w:rsid w:val="00D57761"/>
    <w:rsid w:val="00D869DB"/>
    <w:rsid w:val="00E4204D"/>
    <w:rsid w:val="00E837BE"/>
    <w:rsid w:val="00F7291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s://doi.org/10.36816/shedet.001.02" TargetMode="External"/><Relationship Id="rId26" Type="http://schemas.openxmlformats.org/officeDocument/2006/relationships/hyperlink" Target="https://dx.doi.org/10.21608/ejars.2020.98963" TargetMode="External"/><Relationship Id="rId3" Type="http://schemas.openxmlformats.org/officeDocument/2006/relationships/settings" Target="settings.xml"/><Relationship Id="rId21" Type="http://schemas.openxmlformats.org/officeDocument/2006/relationships/hyperlink" Target="https://doi.org/10.36816/shedet.006.06" TargetMode="Externa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hyperlink" Target="https://doi.org/10.21608/abgad.2019.140483"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hyperlink" Target="https://doi.org/10.18860/jia.v5i3.5365" TargetMode="External"/><Relationship Id="rId29"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hdphoto" Target="media/hdphoto1.wdp"/><Relationship Id="rId24" Type="http://schemas.openxmlformats.org/officeDocument/2006/relationships/hyperlink" Target="https://doi.org/10.36816/shedet.005.15" TargetMode="External"/><Relationship Id="rId32"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hyperlink" Target="https://dx.doi.org/10.21608/mjaf.2020.25255.1534" TargetMode="External"/><Relationship Id="rId28"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hyperlink" Target="https://doi.org/10.36816/shedet.003.07" TargetMode="External"/><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hyperlink" Target="https://shedet.journals.ekb.eg/article_137683.html" TargetMode="External"/><Relationship Id="rId27" Type="http://schemas.openxmlformats.org/officeDocument/2006/relationships/hyperlink" Target="https://doi.org/10.21608/abidus.2019.223391" TargetMode="External"/><Relationship Id="rId30" Type="http://schemas.openxmlformats.org/officeDocument/2006/relationships/footer" Target="footer1.xml"/><Relationship Id="rId8" Type="http://schemas.openxmlformats.org/officeDocument/2006/relationships/hyperlink" Target="mailto:ahmed.ameen@sharjah.ac.ae"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10</Pages>
  <Words>19392</Words>
  <Characters>110541</Characters>
  <Application>Microsoft Office Word</Application>
  <DocSecurity>0</DocSecurity>
  <Lines>921</Lines>
  <Paragraphs>259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4</cp:revision>
  <dcterms:created xsi:type="dcterms:W3CDTF">2025-11-29T07:52:00Z</dcterms:created>
  <dcterms:modified xsi:type="dcterms:W3CDTF">2025-11-29T08:49:00Z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