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25B146C0" w:rsidR="00A82AC8" w:rsidRDefault="00F84C40">
            <w:pPr>
              <w:jc w:val="both"/>
              <w:rPr>
                <w:b/>
                <w:bCs/>
                <w:sz w:val="26"/>
                <w:szCs w:val="26"/>
              </w:rPr>
            </w:pPr>
            <w:r w:rsidRPr="00F84C40">
              <w:rPr>
                <w:b/>
                <w:bCs/>
                <w:sz w:val="28"/>
                <w:szCs w:val="28"/>
              </w:rPr>
              <w:t>ARCHITECTURAL AND CULTURAL PRESERVATION: A COMPARATIVE STUDY OF MOSQUES IN AUSTRALIA AND TURKEY</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5F553006" w:rsidR="00A82AC8" w:rsidRDefault="00F84C40">
            <w:pPr>
              <w:rPr>
                <w:color w:val="FF0000"/>
              </w:rPr>
            </w:pPr>
            <w:proofErr w:type="spellStart"/>
            <w:r w:rsidRPr="00F84C40">
              <w:t>Khilda</w:t>
            </w:r>
            <w:proofErr w:type="spellEnd"/>
            <w:r w:rsidRPr="00F84C40">
              <w:t xml:space="preserve"> Wildana Nur</w:t>
            </w:r>
            <w:r w:rsidRPr="00F84C40">
              <w:rPr>
                <w:vertAlign w:val="superscript"/>
              </w:rPr>
              <w:t>12</w:t>
            </w:r>
            <w:r w:rsidR="00062647">
              <w:rPr>
                <w:vertAlign w:val="superscript"/>
              </w:rPr>
              <w:t>*</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215589C1" w14:textId="065A290D"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1</w:t>
            </w:r>
            <w:r w:rsidR="00F84C40" w:rsidRPr="00F84C40">
              <w:rPr>
                <w:rFonts w:ascii="Calibri Light" w:hAnsi="Calibri Light" w:cs="Calibri Light"/>
                <w:sz w:val="18"/>
                <w:szCs w:val="18"/>
              </w:rPr>
              <w:t>U</w:t>
            </w:r>
            <w:r w:rsidR="00F84C40" w:rsidRPr="00F84C40">
              <w:rPr>
                <w:rFonts w:ascii="Calibri Light" w:hAnsi="Calibri Light" w:cs="Calibri Light"/>
                <w:sz w:val="18"/>
                <w:szCs w:val="18"/>
              </w:rPr>
              <w:t>niversitas Muhammadiyah Makassar, Indonesia</w:t>
            </w:r>
          </w:p>
          <w:p w14:paraId="69927C7D" w14:textId="533BA34A"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2</w:t>
            </w:r>
            <w:r w:rsidR="00F84C40" w:rsidRPr="00F84C40">
              <w:rPr>
                <w:rFonts w:ascii="Calibri Light" w:hAnsi="Calibri Light" w:cs="Calibri Light"/>
                <w:sz w:val="18"/>
                <w:szCs w:val="18"/>
              </w:rPr>
              <w:t>RMIT University, Australia</w:t>
            </w:r>
          </w:p>
          <w:p w14:paraId="376FF58E" w14:textId="00CAC1BD" w:rsidR="00A82AC8" w:rsidRPr="00F84C40" w:rsidRDefault="000D18D6">
            <w:pPr>
              <w:rPr>
                <w:rFonts w:ascii="Calibri Light" w:hAnsi="Calibri Light" w:cs="Calibri Light"/>
                <w:sz w:val="18"/>
                <w:szCs w:val="18"/>
              </w:rPr>
            </w:pPr>
            <w:r w:rsidRPr="005C4D88">
              <w:rPr>
                <w:rFonts w:ascii="Calibri Light" w:hAnsi="Calibri Light" w:cs="Calibri Light"/>
                <w:sz w:val="18"/>
                <w:szCs w:val="18"/>
              </w:rPr>
              <w:t xml:space="preserve">*Corresponding Author: </w:t>
            </w:r>
            <w:hyperlink r:id="rId8" w:history="1">
              <w:r w:rsidR="00F84C40" w:rsidRPr="00F84C40">
                <w:rPr>
                  <w:rStyle w:val="Hyperlink"/>
                  <w:rFonts w:ascii="Calibri Light" w:hAnsi="Calibri Light" w:cs="Calibri Light"/>
                  <w:color w:val="000000" w:themeColor="text1"/>
                  <w:sz w:val="18"/>
                  <w:szCs w:val="18"/>
                  <w:u w:val="none"/>
                </w:rPr>
                <w:t>khildawildananur@unismuh.ac.id</w:t>
              </w:r>
            </w:hyperlink>
            <w:r w:rsidR="00F84C40" w:rsidRPr="00F84C40">
              <w:rPr>
                <w:rFonts w:ascii="Calibri Light" w:hAnsi="Calibri Light" w:cs="Calibri Light"/>
                <w:color w:val="000000" w:themeColor="text1"/>
                <w:sz w:val="18"/>
                <w:szCs w:val="18"/>
              </w:rPr>
              <w:t xml:space="preserve"> </w:t>
            </w:r>
          </w:p>
        </w:tc>
      </w:tr>
      <w:tr w:rsidR="00A82AC8" w14:paraId="6227FC43" w14:textId="77777777">
        <w:tc>
          <w:tcPr>
            <w:tcW w:w="9068" w:type="dxa"/>
            <w:gridSpan w:val="4"/>
          </w:tcPr>
          <w:p w14:paraId="08D157F5" w14:textId="308F3400"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5FE1D7FF" w:rsidR="00A82AC8" w:rsidRDefault="000D18D6">
            <w:pPr>
              <w:rPr>
                <w:sz w:val="18"/>
                <w:szCs w:val="18"/>
              </w:rPr>
            </w:pPr>
            <w:r>
              <w:rPr>
                <w:sz w:val="18"/>
                <w:szCs w:val="18"/>
              </w:rPr>
              <w:t>Volume:</w:t>
            </w:r>
            <w:r w:rsidR="00F84C40">
              <w:rPr>
                <w:sz w:val="18"/>
                <w:szCs w:val="18"/>
              </w:rPr>
              <w:t xml:space="preserve"> 9</w:t>
            </w:r>
          </w:p>
          <w:p w14:paraId="1391BAB8" w14:textId="0104175F" w:rsidR="00A82AC8" w:rsidRDefault="000D18D6">
            <w:pPr>
              <w:rPr>
                <w:sz w:val="18"/>
                <w:szCs w:val="18"/>
              </w:rPr>
            </w:pPr>
            <w:r>
              <w:rPr>
                <w:sz w:val="18"/>
                <w:szCs w:val="18"/>
              </w:rPr>
              <w:t>Issue:</w:t>
            </w:r>
            <w:r w:rsidR="00F84C40">
              <w:rPr>
                <w:sz w:val="18"/>
                <w:szCs w:val="18"/>
              </w:rPr>
              <w:t xml:space="preserve"> 1</w:t>
            </w:r>
          </w:p>
          <w:p w14:paraId="58B4DD90" w14:textId="3A4C4544" w:rsidR="00A82AC8" w:rsidRDefault="000D18D6">
            <w:pPr>
              <w:rPr>
                <w:sz w:val="18"/>
                <w:szCs w:val="18"/>
              </w:rPr>
            </w:pPr>
            <w:r>
              <w:rPr>
                <w:sz w:val="18"/>
                <w:szCs w:val="18"/>
              </w:rPr>
              <w:t>Page:</w:t>
            </w:r>
            <w:r w:rsidR="00F84C40">
              <w:rPr>
                <w:sz w:val="18"/>
                <w:szCs w:val="18"/>
              </w:rPr>
              <w:t xml:space="preserve"> 318-</w:t>
            </w:r>
            <w:r w:rsidR="008B7C9B">
              <w:rPr>
                <w:sz w:val="18"/>
                <w:szCs w:val="18"/>
              </w:rPr>
              <w:t>322</w:t>
            </w:r>
          </w:p>
          <w:p w14:paraId="2DA4CA69" w14:textId="43DD3C85" w:rsidR="00A82AC8" w:rsidRDefault="000D18D6">
            <w:pPr>
              <w:rPr>
                <w:sz w:val="18"/>
                <w:szCs w:val="18"/>
              </w:rPr>
            </w:pPr>
            <w:r>
              <w:rPr>
                <w:sz w:val="18"/>
                <w:szCs w:val="18"/>
              </w:rPr>
              <w:t>Received: Ju</w:t>
            </w:r>
            <w:r w:rsidR="00F84C40">
              <w:rPr>
                <w:sz w:val="18"/>
                <w:szCs w:val="18"/>
              </w:rPr>
              <w:t>ly</w:t>
            </w:r>
            <w:r>
              <w:rPr>
                <w:sz w:val="18"/>
                <w:szCs w:val="18"/>
              </w:rPr>
              <w:t xml:space="preserve"> </w:t>
            </w:r>
            <w:r w:rsidR="00F84C40">
              <w:rPr>
                <w:sz w:val="18"/>
                <w:szCs w:val="18"/>
              </w:rPr>
              <w:t>3</w:t>
            </w:r>
            <w:r w:rsidR="00F84C40" w:rsidRPr="00F84C40">
              <w:rPr>
                <w:sz w:val="18"/>
                <w:szCs w:val="18"/>
                <w:vertAlign w:val="superscript"/>
              </w:rPr>
              <w:t>rd</w:t>
            </w:r>
            <w:r>
              <w:rPr>
                <w:sz w:val="18"/>
                <w:szCs w:val="18"/>
              </w:rPr>
              <w:t>, 202</w:t>
            </w:r>
            <w:r w:rsidR="00F84C40">
              <w:rPr>
                <w:sz w:val="18"/>
                <w:szCs w:val="18"/>
              </w:rPr>
              <w:t>4</w:t>
            </w:r>
          </w:p>
          <w:p w14:paraId="25F5E39B" w14:textId="5FB6DE51" w:rsidR="00A82AC8" w:rsidRDefault="000D18D6">
            <w:pPr>
              <w:rPr>
                <w:sz w:val="18"/>
                <w:szCs w:val="18"/>
              </w:rPr>
            </w:pPr>
            <w:r>
              <w:rPr>
                <w:sz w:val="18"/>
                <w:szCs w:val="18"/>
              </w:rPr>
              <w:t xml:space="preserve">Accepted: </w:t>
            </w:r>
            <w:r w:rsidR="00F84C40">
              <w:rPr>
                <w:sz w:val="18"/>
                <w:szCs w:val="18"/>
              </w:rPr>
              <w:t>January</w:t>
            </w:r>
            <w:r>
              <w:rPr>
                <w:sz w:val="18"/>
                <w:szCs w:val="18"/>
              </w:rPr>
              <w:t xml:space="preserve"> </w:t>
            </w:r>
            <w:r w:rsidR="00F84C40">
              <w:rPr>
                <w:sz w:val="18"/>
                <w:szCs w:val="18"/>
              </w:rPr>
              <w:t>8</w:t>
            </w:r>
            <w:r>
              <w:rPr>
                <w:sz w:val="18"/>
                <w:szCs w:val="18"/>
                <w:vertAlign w:val="superscript"/>
              </w:rPr>
              <w:t>th</w:t>
            </w:r>
            <w:r>
              <w:rPr>
                <w:sz w:val="18"/>
                <w:szCs w:val="18"/>
              </w:rPr>
              <w:t>, 202</w:t>
            </w:r>
            <w:r w:rsidR="00F84C40">
              <w:rPr>
                <w:sz w:val="18"/>
                <w:szCs w:val="18"/>
              </w:rPr>
              <w:t>5</w:t>
            </w:r>
          </w:p>
          <w:p w14:paraId="65297365" w14:textId="250D9908" w:rsidR="00A82AC8" w:rsidRDefault="000D18D6">
            <w:pPr>
              <w:rPr>
                <w:sz w:val="18"/>
                <w:szCs w:val="18"/>
              </w:rPr>
            </w:pPr>
            <w:r>
              <w:rPr>
                <w:sz w:val="18"/>
                <w:szCs w:val="18"/>
              </w:rPr>
              <w:t xml:space="preserve">Available Online: </w:t>
            </w:r>
            <w:r w:rsidR="00F84C40">
              <w:rPr>
                <w:sz w:val="18"/>
                <w:szCs w:val="18"/>
              </w:rPr>
              <w:t>June</w:t>
            </w:r>
            <w:r>
              <w:rPr>
                <w:sz w:val="18"/>
                <w:szCs w:val="18"/>
              </w:rPr>
              <w:t xml:space="preserve"> 30</w:t>
            </w:r>
            <w:r>
              <w:rPr>
                <w:sz w:val="18"/>
                <w:szCs w:val="18"/>
                <w:vertAlign w:val="superscript"/>
              </w:rPr>
              <w:t>th</w:t>
            </w:r>
            <w:r>
              <w:rPr>
                <w:sz w:val="18"/>
                <w:szCs w:val="18"/>
              </w:rPr>
              <w:t>, 202</w:t>
            </w:r>
            <w:r w:rsidR="00F84C40">
              <w:rPr>
                <w:sz w:val="18"/>
                <w:szCs w:val="18"/>
              </w:rPr>
              <w:t>6</w:t>
            </w:r>
          </w:p>
          <w:p w14:paraId="023CCB7A" w14:textId="0D35A5C2" w:rsidR="00A82AC8" w:rsidRDefault="000D18D6">
            <w:pPr>
              <w:rPr>
                <w:sz w:val="18"/>
                <w:szCs w:val="18"/>
              </w:rPr>
            </w:pPr>
            <w:r>
              <w:rPr>
                <w:sz w:val="18"/>
                <w:szCs w:val="18"/>
              </w:rPr>
              <w:t>DOI: https://doi.org/10.18860/jia.</w:t>
            </w:r>
            <w:r w:rsidR="00F84C40" w:rsidRPr="00F84C40">
              <w:rPr>
                <w:sz w:val="18"/>
                <w:szCs w:val="18"/>
              </w:rPr>
              <w:t>v</w:t>
            </w:r>
            <w:r w:rsidR="00F84C40" w:rsidRPr="00F84C40">
              <w:rPr>
                <w:sz w:val="18"/>
                <w:szCs w:val="18"/>
                <w:lang w:val="en-US"/>
              </w:rPr>
              <w:t>9</w:t>
            </w:r>
            <w:proofErr w:type="spellStart"/>
            <w:r w:rsidR="00F84C40" w:rsidRPr="00F84C40">
              <w:rPr>
                <w:sz w:val="18"/>
                <w:szCs w:val="18"/>
              </w:rPr>
              <w:t>i</w:t>
            </w:r>
            <w:proofErr w:type="spellEnd"/>
            <w:r w:rsidR="00F84C40" w:rsidRPr="00F84C40">
              <w:rPr>
                <w:sz w:val="18"/>
                <w:szCs w:val="18"/>
                <w:lang w:val="en-US"/>
              </w:rPr>
              <w:t>1</w:t>
            </w:r>
            <w:r w:rsidR="00F84C40" w:rsidRPr="00F84C40">
              <w:rPr>
                <w:sz w:val="18"/>
                <w:szCs w:val="18"/>
              </w:rPr>
              <w:t>.</w:t>
            </w:r>
            <w:r w:rsidR="00F84C40" w:rsidRPr="00F84C40">
              <w:rPr>
                <w:sz w:val="18"/>
                <w:szCs w:val="18"/>
                <w:lang w:val="en-US"/>
              </w:rPr>
              <w:t>28292</w:t>
            </w:r>
          </w:p>
        </w:tc>
        <w:tc>
          <w:tcPr>
            <w:tcW w:w="5524" w:type="dxa"/>
          </w:tcPr>
          <w:p w14:paraId="7156BC5E" w14:textId="7417BC41" w:rsidR="00A82AC8" w:rsidRPr="005C4D88" w:rsidRDefault="00F84C40">
            <w:pPr>
              <w:jc w:val="both"/>
              <w:rPr>
                <w:rFonts w:ascii="Calibri Light" w:hAnsi="Calibri Light" w:cs="Calibri Light"/>
                <w:sz w:val="18"/>
                <w:szCs w:val="18"/>
              </w:rPr>
            </w:pPr>
            <w:r w:rsidRPr="00F84C40">
              <w:rPr>
                <w:rFonts w:ascii="Calibri Light" w:hAnsi="Calibri Light" w:cs="Calibri Light"/>
                <w:sz w:val="18"/>
                <w:szCs w:val="18"/>
              </w:rPr>
              <w:t>The architectural landscape of mosques dynamically reflects cultural identities and societal needs. This study compares Turkish mosque architecture, focusing on the Sunshine Mosque in Melbourne, Australia, and mosques in Istanbul and Antalya. Using mixed methods, including observations and spiritual experiences, and an interpretive approach, the research examines how Ottoman-influenced designs diverge from traditional mosque designs. The study aims to reveal the architectural, spatial, and spiritual differences between Turkish mosques in Australia and those in Türkiye. The findings highlight the Sunshine Mosque's adaptation to the Australian Muslim community, including the incorporation of outdoor amenities and its redefinition as a spiritual and social hub. The use of climate-adapted materials and increased inclusivity for elderly worshippers is emphasized. Turkish mosques in Melbourne tend to be minimalist, less bulky, and spacious, lacking inner courtyards due to land constraints and a lack of regional planning standards within a multicultural, secular system. The Sunshine Mosque and iconic Turkish mosques are critical landmarks in urban planning and public transportation, sharing architectural elements inspired by Ottoman design. Both are vital community hubs for religious, social, and cultural activities and incorporate significant Islamic symbols. In secular countries, places of worship face minimal spatial-planning regulations, with the community focus often shifting toward engineering concerns.</w:t>
            </w:r>
            <w:r>
              <w:rPr>
                <w:rFonts w:ascii="Calibri Light" w:hAnsi="Calibri Light" w:cs="Calibri Light"/>
                <w:sz w:val="18"/>
                <w:szCs w:val="18"/>
              </w:rPr>
              <w:t xml:space="preserve"> </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37ACB459" w:rsidR="00A82AC8" w:rsidRPr="005C4D88" w:rsidRDefault="00F84C40">
            <w:pPr>
              <w:jc w:val="both"/>
              <w:rPr>
                <w:rFonts w:ascii="Calibri Light" w:hAnsi="Calibri Light" w:cs="Calibri Light"/>
                <w:sz w:val="18"/>
                <w:szCs w:val="18"/>
              </w:rPr>
            </w:pPr>
            <w:r w:rsidRPr="00F84C40">
              <w:rPr>
                <w:rFonts w:ascii="Calibri Light" w:hAnsi="Calibri Light" w:cs="Calibri Light"/>
                <w:sz w:val="18"/>
                <w:szCs w:val="18"/>
                <w:lang w:val="en-US"/>
              </w:rPr>
              <w:t>Turkish architecture; multicultural community; Melbourne Mosque; Islamic values; design adaptation</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574E8F05" w:rsidR="00A82AC8" w:rsidRDefault="000D18D6" w:rsidP="00B9001F">
      <w:pPr>
        <w:pStyle w:val="Heading1"/>
        <w:numPr>
          <w:ilvl w:val="0"/>
          <w:numId w:val="3"/>
        </w:numPr>
        <w:spacing w:before="0"/>
        <w:ind w:left="284" w:hanging="284"/>
      </w:pPr>
      <w:r>
        <w:t xml:space="preserve">INTRODUCTION </w:t>
      </w:r>
    </w:p>
    <w:p w14:paraId="6E872F54"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In Australia, perceptions of Australian Muslims have been influenced by global events and policies over time. Muslims migrated to Australia mainly for economic purposes, and they generally felt comfortable and free without experiencing direct racism in the community, with some episodic exceptions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{"citationID":"tzTg7y5P","properties":{"formattedCitation":"[1], [2]","plainCitation":"[1], [2]","noteIndex":0},"citationItems":[{"id":6665,"uris":["http://zotero.org/users/11111567/items/ARECX8EH"],"itemData":{"id":6665,"type":"article-journal","abstract":"Australia is the home of 340,393 Muslims and they constitute about 1.7% of the total national population of 19,855,287 million people.1 Muslims have migrated to Australia from several Muslim countries on their own will for a better life. The Australian government also welcomed the immigrants because it needed labor for a sustainable economy. However, in times of crisis, for example, after the 9/11 incident the media and some politicians positioned the Muslims as the “Other”. In December 2005 there was a riot at Sydney’s Cronulla beach between some Lebanese-Australians and the mainstream Australians but the politicians and the media sided with the wider society. In September 2006, when the Egyptian-born Mufti al-Hilali presented a controversial sermon in Arabic in which he depicted scantily-dressed women as uncovered meat and blamed them for inciting men to rape, the rhetoric of “us” and “them” was final. The racial profiling of Muslims through the Australian Anti-Terrorism Act 2005 has also caused unease in the society. Against this backdrop I interviewed 14 Muslim youths of diverse backgrounds, 15–17 years in Melbourne and tried to gain an understanding of their identity. Overall, the participants appeared to be peaceful, and their bicultural skills strengthened their Australian citizenship.","container-title":"Journal of Muslim Minority Affairs","DOI":"10.1080/13602004.2011.583518","ISSN":"1360-2004, 1469-9591","issue":"2","journalAbbreviation":"Journal of Muslim Minority Affairs","language":"en","page":"243-258","source":"DOI.org (Crossref)","title":"A Study of Australian Muslim Youth Identity: The Melbourne Case","title-short":"A Study of Australian Muslim Youth Identity","volume":"31","author":[{"family":"Kabir","given":"Nahid Afrose"}],"issued":{"date-parts":[["2011",6]]}}},{"id":6702,"uris":["http://zotero.org/users/11111567/items/WR5PTHVZ"],"itemData":{"id":6702,"type":"article-journal","container-title":"Journal of Ethnic and Migration Studies","DOI":"10.1080/13691830701614072","ISSN":"1369-183X, 1469-9451","issue":"8","journalAbbreviation":"Journal of Ethnic and Migration Studies","language":"en","page":"1277-1297","source":"DOI.org (Crossref)","title":"Muslims in Australia: The Double Edge of Terrorism","title-short":"Muslims in Australia","volume":"33","author":[{"family":"Kabir","given":"Nahid"}],"issued":{"date-parts":[["2007",11]]}}}],"schema":"https://github.com/citation-style-language/schema/raw/master/csl-citation.json"}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 [2]</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Australia’s secular, multicultural society, minority Muslims enjoy religious freedom, with inter-religious tolerance generally prevailing over conflicts and tensions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{"citationID":"q3tYjcea","properties":{"formattedCitation":"[3]","plainCitation":"[3]","noteIndex":0},"citationItems":[{"id":6668,"uris":["http://zotero.org/users/11111567/items/XHBRUJGK"],"itemData":{"id":6668,"type":"article-journal","abstract":"This article aims at diagnosing the development of Ummah while Muslims are living as minority in Australia. Through a sociological approach, qualitatively, some issues considered in understanding the development are practices of secularism, multiculturalism and protection of human rights. This academic framework in comprehending the development might be claimed as a new trajectory of sociological exploration. Accordingly, this study is proposed to become a preliminary research on Muslims’ freedom of religion living in secular country. This article finds that Australia is a state that consistently has protected its citizens’ freedom of religion and the Australian government, in dealing with social and religious issues, and law enforcement, has worked professionally. However, Muslims have faced challenging realities of cases of discrimination coming from fundamentalist Christians. The cases, indeed, can be mitigated through inter-religious dialogue and cooperation. This article argues that, so far, the development of Ummah in the country has been running well. Under the protection of a secular state, minority Muslims in Australian multicultural societies can enjoy their freedom of religion. Practices of inter-religious tolerance are stronger than the tensions and conflicts have happened.","container-title":"Indonesian Journal of Islam and Muslim Societies","DOI":"10.18326/ijims.v9i2.295-326","ISSN":"2406-825X, 2089-1490","issue":"2","journalAbbreviation":"Indonesian J. Islam Muslim Soc.","language":"en","page":"295-326","source":"DOI.org (Crossref)","title":"Minority Muslims and freedom of religion: Learning from Australian Muslims’ Experiences","title-short":"Minority Muslims and freedom of religion","volume":"9","author":[{"family":"Arifin","given":"Syamsul"},{"family":"Bachtiar","given":"Hasnan"},{"family":"Fuad","given":"Ahmad Nur"},{"family":"Tongat","given":"Tongat"},{"family":"Wahyudi","given":"Wahyudi"}],"issued":{"date-parts":[["2019",12,25]]}}}],"schema":"https://github.com/citation-style-language/schema/raw/master/csl-citation.json"}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[3]</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Living and interacting with diverse </w:t>
      </w:r>
      <w:proofErr w:type="spellStart"/>
      <w:r w:rsidRPr="00F84C40">
        <w:rPr>
          <w:rFonts w:ascii="Calibri Light" w:hAnsi="Calibri Light" w:cs="Calibri Light"/>
          <w:sz w:val="20"/>
          <w:szCs w:val="20"/>
        </w:rPr>
        <w:t>neighbors</w:t>
      </w:r>
      <w:proofErr w:type="spellEnd"/>
      <w:r w:rsidRPr="00F84C40">
        <w:rPr>
          <w:rFonts w:ascii="Calibri Light" w:hAnsi="Calibri Light" w:cs="Calibri Light"/>
          <w:sz w:val="20"/>
          <w:szCs w:val="20"/>
        </w:rPr>
        <w:t xml:space="preserve">, especially between Muslims and non-Muslims, has assisted in normalizing ethnic and religious differences and reducing prejudice towards often marginalized groups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{"citationID":"k9TXOMD8","properties":{"formattedCitation":"[4]","plainCitation":"[4]","noteIndex":0},"citationItems":[{"id":6669,"uris":["http://zotero.org/users/11111567/items/ARF4RADA"],"itemData":{"id":6669,"type":"article-journal","abstract":"In recent decades, and especially after the 9/11/2001 terrorist attack on US, an antipathy towards and fear of Muslim minorities in Western countries have increased, forming part of the current widespread anti-immigration sentiment. In this context, the ‘religiously visible’ Muslims are the most obvious target of negative perceptions, discrimination and other manifestations of ‘Islamophobia’. This paper uses quantitative and qualitative data on religious visibility collected through a survey and in-depth interviews in two suburbs with residential concentrations of Muslims in Melbourne, Australia. The two localities, ‘Broadburb’ and ‘Greenburb’, have similar proportions of Muslim residents (about 1/3) but the levels of religious visibility diﬀer. The paper discusses perceptions and experiences of being religiously visible in a secular society, and particularly being a ‘visible Muslim’. We also discuss perceptions of Muslim visibility by others – non-visible Muslims and non-Muslims – who share neighbourhoods with the visible Muslim minority.","container-title":"Ethnic and Racial Studies","DOI":"10.1080/01419870.2018.1557729","ISSN":"0141-9870, 1466-4356","issue":"15","journalAbbreviation":"Ethnic and Racial Studies","language":"en","page":"2743-2762","source":"DOI.org (Crossref)","title":"Religious visibility: perceptions and experiences of residents in two Muslim concentration suburbs in Melbourne, Australia","title-short":"Religious visibility","volume":"42","author":[{"family":"Colic-Peisker","given":"Val"},{"family":"Mikola","given":"Masha"},{"family":"Dekker","given":"Karien"}],"issued":{"date-parts":[["2019",11,18]]}}}],"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[4]</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The introduction of a </w:t>
      </w:r>
      <w:r w:rsidRPr="00F84C40">
        <w:rPr>
          <w:rFonts w:ascii="Calibri Light" w:hAnsi="Calibri Light" w:cs="Calibri Light"/>
          <w:i/>
          <w:sz w:val="20"/>
          <w:szCs w:val="20"/>
        </w:rPr>
        <w:t>multicultural</w:t>
      </w:r>
      <w:r w:rsidRPr="00F84C40">
        <w:rPr>
          <w:rFonts w:ascii="Calibri Light" w:hAnsi="Calibri Light" w:cs="Calibri Light"/>
          <w:sz w:val="20"/>
          <w:szCs w:val="20"/>
        </w:rPr>
        <w:t xml:space="preserve"> policy in 1973 in Australia aimed to promote equality regardless of ethnicity or religion, </w:t>
      </w:r>
      <w:proofErr w:type="spellStart"/>
      <w:r w:rsidRPr="00F84C40">
        <w:rPr>
          <w:rFonts w:ascii="Calibri Light" w:hAnsi="Calibri Light" w:cs="Calibri Light"/>
          <w:sz w:val="20"/>
          <w:szCs w:val="20"/>
        </w:rPr>
        <w:t>signaling</w:t>
      </w:r>
      <w:proofErr w:type="spellEnd"/>
      <w:r w:rsidRPr="00F84C40">
        <w:rPr>
          <w:rFonts w:ascii="Calibri Light" w:hAnsi="Calibri Light" w:cs="Calibri Light"/>
          <w:sz w:val="20"/>
          <w:szCs w:val="20"/>
        </w:rPr>
        <w:t xml:space="preserve"> a shift toward inclusivity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{"citationID":"Jlofonkp","properties":{"formattedCitation":"[1], [2]","plainCitation":"[1], [2]","noteIndex":0},"citationItems":[{"id":6665,"uris":["http://zotero.org/users/11111567/items/ARECX8EH"],"itemData":{"id":6665,"type":"article-journal","abstract":"Australia is the home of 340,393 Muslims and they constitute about 1.7% of the total national population of 19,855,287 million people.1 Muslims have migrated to Australia from several Muslim countries on their own will for a better life. The Australian government also welcomed the immigrants because it needed labor for a sustainable economy. However, in times of crisis, for example, after the 9/11 incident the media and some politicians positioned the Muslims as the “Other”. In December 2005 there was a riot at Sydney’s Cronulla beach between some Lebanese-Australians and the mainstream Australians but the politicians and the media sided with the wider society. In September 2006, when the Egyptian-born Mufti al-Hilali presented a controversial sermon in Arabic in which he depicted scantily-dressed women as uncovered meat and blamed them for inciting men to rape, the rhetoric of “us” and “them” was final. The racial profiling of Muslims through the Australian Anti-Terrorism Act 2005 has also caused unease in the society. Against this backdrop I interviewed 14 Muslim youths of diverse backgrounds, 15–17 years in Melbourne and tried to gain an understanding of their identity. Overall, the participants appeared to be peaceful, and their bicultural skills strengthened their Australian citizenship.","container-title":"Journal of Muslim Minority Affairs","DOI":"10.1080/13602004.2011.583518","ISSN":"1360-2004, 1469-9591","issue":"2","journalAbbreviation":"Journal of Muslim Minority Affairs","language":"en","page":"243-258","source":"DOI.org (Crossref)","title":"A Study of Australian Muslim Youth Identity: The Melbourne Case","title-short":"A Study of Australian Muslim Youth Identity","volume":"31","author":[{"family":"Kabir","given":"Nahid Afrose"}],"issued":{"date-parts":[["2011",6]]}}},{"id":6702,"uris":["http://zotero.org/users/11111567/items/WR5PTHVZ"],"itemData":{"id":6702,"type":"article-journal","container-title":"Journal of Ethnic and Migration Studies","DOI":"10.1080/13691830701614072","ISSN":"1369-183X, 1469-9451","issue":"8","journalAbbreviation":"Journal of Ethnic and Migration Studies","language":"en","page":"1277-1297","source":"DOI.org (Crossref)","title":"Muslims in Australia: The Double Edge of Terrorism","title-short":"Muslims in Australia","volume":"33","author":[{"family":"Kabir","given":"Nahid"}],"issued":{"date-parts":[["2007",11]]}}}],"schema":"https://github.com/citation-style-language/schema/raw/master/csl-citation.json"}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 [2]</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Efforts to counter negative perceptions of Muslims and the existence of mosques have emphasized portraying them as moderate, tolerant, peaceful, and integral parts of local communities in Australia. However, these efforts often face challenges due to entrenched stereotypes in national media that influence local opposition to mosques. This interplay between regional and national discourses creates a symbolic web where local opposition to mosques reflects broader national narratives about Islam. This underscores the socio-spatial impacts of identity constructions, illustrating </w:t>
      </w:r>
      <w:r w:rsidRPr="00F84C40">
        <w:rPr>
          <w:rFonts w:ascii="Calibri Light" w:hAnsi="Calibri Light" w:cs="Calibri Light"/>
          <w:sz w:val="20"/>
          <w:szCs w:val="20"/>
        </w:rPr>
        <w:lastRenderedPageBreak/>
        <w:t xml:space="preserve">how perceptions of minority groups and dominant communities are shaped by spatial contexts and media representations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{"citationID":"vDypJfLy","properties":{"formattedCitation":"[5]","plainCitation":"[5]","noteIndex":0},"citationItems":[{"id":6704,"uris":["http://zotero.org/users/11111567/items/7Q9PXPRE"],"itemData":{"id":6704,"type":"article-journal","abstract":"The negative constructions of Islam which circulate at (inter)national levels include Muslims as fanatical, intolerant, militant, fundamentalist, misogynist and alien. The various constructions of Islam had varying utility for mosque opponents in Sydney, Australia, during the 1980s and 1990s. Fanaticism and intolerance are constructions of Islam which have now had centuries of articulation in the West. These constructions have attained great potency as a result of their reiterative deployment. In Sydney, they were used to influence planning determinations and political decisions within local authorities. The charges of militancy and misogyny did not easily convert into a planning ground for opposing a mosque, but they were used to heighten public unease and widen opposition. Local authorities also refused development consent for mosques on the grounds that the proposals were ‘out of character’ with surrounding development, drawing on the construction of Muslims as alien and ultimately out of place. The discourses of opposition to mosques did not simply rely on the stereotypes of Islam, but also drew heavily on cultural constructions of what constituted a local citizen and the local community. Mosque supporters attempted to deploy counter-constructions, of Muslims as moderate, tolerant, peaceful, clean living, family-orientated, ordinary local citizens. A social construction approach is used to examine the politics surrounding mosque development in Sydney. This reveals both the socio-spatial impacts of identity constructions (of a minority group and the imagined dominant community) as well as the important role of space and locale.","container-title":"Tijdschrift voor Economische en Sociale Geografie","DOI":"10.1111/1467-9663.00158","ISSN":"0040-747X, 1467-9663","issue":"3","journalAbbreviation":"Tijd voor Econ &amp; Soc Geog","language":"en","license":"http://onlinelibrary.wiley.com/termsAndConditions#vor","page":"291-308","source":"DOI.org (Crossref)","title":"Representations of Islam in the politics of mosque development in Sydney","volume":"92","author":[{"family":"Dunn","given":"Kevin M."}],"issued":{"date-parts":[["2001",8]]}}}],"schema":"https://github.com/citation-style-language/schema/raw/master/csl-citation.json"}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[5]</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Australia's oldest extant mosque, in Adelaide, was established by Muslim camel drivers recruited during the nineteenth century to support exploration and development across the vast Australian wilderness. The initial Muslim population consisted of a diverse group from Afghanistan and various parts of British India, collectively known as "cameleers" or "Afghans”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JrbJitAB","properties":{"formattedCitation":"[6]","plainCitation":"[6]","noteIndex":0},"citationItems":[{"id":6825,"uris":["http://zotero.org/users/11111567/items/T63YTDGC"],"itemData":{"id":6825,"type":"article-journal","language":"en","source":"Zotero","title":"Architecture of the Adelaide Mosque: Hybridity, Resilience and Assimilation","issued":{"date-parts":[["2024"]]}}}],"schema":"https://github.com/citation-style-language/schema/raw/master/csl-citation.json"}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[6]</w:t>
      </w:r>
      <w:r w:rsidRPr="00F84C40">
        <w:rPr>
          <w:rFonts w:ascii="Calibri Light" w:hAnsi="Calibri Light" w:cs="Calibri Light"/>
          <w:sz w:val="20"/>
          <w:szCs w:val="20"/>
        </w:rPr>
        <w:fldChar w:fldCharType="end"/>
      </w:r>
      <w:r w:rsidRPr="00F84C40">
        <w:rPr>
          <w:rFonts w:ascii="Calibri Light" w:hAnsi="Calibri Light" w:cs="Calibri Light"/>
          <w:sz w:val="20"/>
          <w:szCs w:val="20"/>
        </w:rPr>
        <w:t>.</w:t>
      </w:r>
    </w:p>
    <w:p w14:paraId="532F9483"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The migration of Turks began in the nineteenth and early twentieth centuries. However, few people migrated to Victoria due to the ‘White Australia’ policy and legal restrictions after World War I, which directly privileged northern and western European migration. Initially, during World War I, Ottoman Turks and sympathizers were viewed with suspicion due to geopolitical tensions. This historical trend continued, with Australian Muslims facing negative perceptions post-9/11, as they were associated with international security threats. The first significant wave of Türkiye-born migrants occurred in the 1960s and 1970s, when Australia began accepting more migrants from Türkiye amid a decline in European arrivals. Türkiye was one of the first nations to sign an assisted passage agreement with Australia, leading many Turkish migrants to stay permanently. The Turkish community in Victoria grew through family reunification in the 1970s and 1980s. Turkish Cypriots were the first large Muslim community to immigrate to Australia, followed by people from Türkiye and Lebanon. In 2021, 67.6% of the 38,586 Turkish Australians identified as Muslim</w:t>
      </w:r>
      <w:r w:rsidRPr="00F84C40">
        <w:rPr>
          <w:rFonts w:ascii="Calibri Light" w:hAnsi="Calibri Light" w:cs="Calibri Light"/>
          <w:sz w:val="20"/>
          <w:szCs w:val="20"/>
          <w:vertAlign w:val="superscript"/>
        </w:rPr>
        <w:footnoteReference w:id="1"/>
      </w:r>
      <w:r w:rsidRPr="00F84C40">
        <w:rPr>
          <w:rFonts w:ascii="Calibri Light" w:hAnsi="Calibri Light" w:cs="Calibri Light"/>
          <w:sz w:val="20"/>
          <w:szCs w:val="20"/>
        </w:rPr>
        <w:t>. Turkish Australian Muslims are known for practicing a "moderate Islam" and are largely secular. Turkish Cypriots are typically less religious and hold strong secular Kemalist principles.</w:t>
      </w:r>
    </w:p>
    <w:p w14:paraId="63614E1D"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The Turkish community is the third largest among Turkish-born migrants. Mosques constructed by immigrant communities abroad often serve as visible symbols of Muslim presence in Western societies, distinct from mosques built primarily for local community use. In new urban or rural settings, mainly when Muslim communities reside in non-Muslim countries or among other religious groups, mosques play a crucial role in affirming cultural and spiritual identity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{"citationID":"HOcVOr8a","properties":{"formattedCitation":"[7]","plainCitation":"[7]","noteIndex":0},"citationItems":[{"id":6705,"uris":["http://zotero.org/users/11111567/items/JSY3BJQY"],"itemData":{"id":6705,"type":"article-journal","container-title":"The Mosque","language":"en","source":"Zotero","title":"The Architecture of the Mosque, an Overview and Design Directions","author":[{"family":"Khan","given":"Hasan-Uddin"}]}}],"schema":"https://github.com/citation-style-language/schema/raw/master/csl-citation.json"}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[7]</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Over half of Victoria's mosques feature contemporary designs, including classic Islamic, contemporary Islamic, and modern Australian-Islamic styles, such as at the Australian Islamic Community (AIC) in Newport. Traditional designs adapt Islamic, Ottoman, and Australian Christian elements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{"citationID":"1Td827K6","properties":{"formattedCitation":"[8], [9]","plainCitation":"[8], [9]","noteIndex":0},"citationItems":[{"id":3438,"uris":["http://zotero.org/users/11111567/items/CK5XVVH3"],"itemData":{"id":3438,"type":"article-journal","abstract":"Although Muslim migration to Australia’s new world settler society has a long pedigree, their population and civic presence have grown in recent decades. New generations of Muslim migrants require the nation to engage with their histories and post-secular religious pluralism. Part of their history can be traced through their places of worship. This includes temporary structures along the inland telegraph route (the 1850s), the ﬁrst permanent mosques in South Australia (Adelaide, 1888) and Victoria (Shepparton, 1956–60), and a variety of contemporary mosques as the population grows – indicating more settled lives. The aim was/is to provide sites of communal, spiritual, cultural, social, and educational guidance. Mosques often comprise(d) hybrid designs using a combination of local materials to ﬁt with the existing built environment and to integrate unobtrusively. Recent examples of mosque development indicate a qualitative shift based on interacting social imaginaries of both Muslims and non-Muslims, which serves two key symbolic and social functions: as architectures of self-inclusion, and as architectures of assurance to the dominant, nonMuslim public in a society that resolutely “others” the Islamic faith and Muslim people. This paper explores the complex implications of this two-fold self-inclusion/assurance discourse by way of two case studies: the Hobson’s Bay mosque in Melbourne and the proposed Bendigo mosque.","container-title":"Fabrications","DOI":"10.1080/10331867.2020.1749220","ISSN":"1033-1867, 2164-4756","issue":"2","journalAbbreviation":"Fabrications","language":"en","page":"153-175","source":"DOI.org (Crossref)","title":"Islamic Architectures of Self-Inclusion and Assurance in a Multicultural Society","volume":"30","author":[{"family":"Rudner","given":"Julie"},{"family":"Shahani","given":"Fatemeh"},{"family":"Hogan","given":"Trevor"}],"issued":{"date-parts":[["2020",5,3]]}}},{"id":6634,"uris":["http://zotero.org/users/11111567/items/P3YCYJKZ"],"itemData":{"id":6634,"type":"article-journal","abstract":"This research explores the symbolic production of space by applying Lefebvre’s concept of “representational space” to park users’ urban imaginary about the site. The aim is to identify the extent to which people support cultural and religious expression when designing urban spaces that are more inclusive for religious minorities. This article focuses on responses from urban planners, Muslims, and non-Muslims to one question from face-to-face interviews that asked: “What do you think about applying Islamic design principles to the green open space next to the mosque?” The design principles were introduced to the participants through discussion and presentation of images. Interviews were conducted in a public park located next to a mosque in Melbourne, Australia. The results suggest that participants make distinctions between culture and religion when discussing their views of appropriate representations of diversity in public space. For non-Anglo-European representations in public space e.g., buildings or design elements, participants tended to prefer the presence of multiple cultures, rather than one culture. The representation of one culture in public space, was viewed as “dominating” the landscape.","container-title":"Spaces and Flows: An International Journal of Urban and ExtraUrban Studies","DOI":"10.18848/2154-8676/CGP/v09i01/1-14","ISSN":"2154-8676, 2154-8684","issue":"1","journalAbbreviation":"Spaces and Flows: An International Journal of Urban and ExtraUrban Studies","language":"en","page":"1-14","source":"DOI.org (Crossref)","title":"An Imagined Islamic Space in Multicultural Melbourne: A Focus on Lefebvre’s Representational Space","title-short":"An Imagined Islamic Space in Multicultural Melbourne","volume":"9","author":[{"family":"Shahani","given":"Fatemeh"},{"family":"De Cotta","given":"Tracy"},{"family":"Rudner","given":"Julie"}],"issued":{"date-parts":[["2018"]]}}}],"schema":"https://github.com/citation-style-language/schema/raw/master/csl-citation.json"}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[8], [9]</w:t>
      </w:r>
      <w:r w:rsidRPr="00F84C40">
        <w:rPr>
          <w:rFonts w:ascii="Calibri Light" w:hAnsi="Calibri Light" w:cs="Calibri Light"/>
          <w:sz w:val="20"/>
          <w:szCs w:val="20"/>
        </w:rPr>
        <w:fldChar w:fldCharType="end"/>
      </w:r>
      <w:r w:rsidRPr="00F84C40">
        <w:rPr>
          <w:rFonts w:ascii="Calibri Light" w:hAnsi="Calibri Light" w:cs="Calibri Light"/>
          <w:sz w:val="20"/>
          <w:szCs w:val="20"/>
        </w:rPr>
        <w:t>.</w:t>
      </w:r>
    </w:p>
    <w:p w14:paraId="26FE9749"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The Turkish community is evident in several mosques in Melbourne, Australia’s second-largest city, with the Sunshine Mosque among the most iconic and popular. The Sunshine Mosque is a testament to the accomplishments and contributions of the earlier generation of Muslims. For the Turkish-Cypriot community, this mosque is a place of worship and a cultural heritage site that needs to be preserved and maintained. Previous research often discusses the multicultural interactions within the Muslim community in Melbourne, focusing on principles of Islamic practice and issues of Islamophobia. These studies typically examine mosques from an architectural perspective.</w:t>
      </w:r>
    </w:p>
    <w:p w14:paraId="0FFEA2D0"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Furthermore, no academic article compares the Sunshine Mosque to its original counterpart in Türkiye. First, comparing the Sunshine Mosque in Melbourne with its counterpart in Türkiye provides insight into how immigrant communities preserve or adopt cultural and architectural elements. This research highlights architectural differences and similarities, offering insights into the evolution of Islamic architecture in a diasporic context. Additionally, examining the mosque's role within the Turkish community addresses social issues such as Islamophobia and community cohesion, aiding policymakers and leaders in fostering a more inclusive society. </w:t>
      </w:r>
    </w:p>
    <w:p w14:paraId="4DF3B62C" w14:textId="77777777" w:rsidR="00F84C40" w:rsidRDefault="00F84C40">
      <w:pPr>
        <w:ind w:firstLine="284"/>
        <w:jc w:val="both"/>
        <w:rPr>
          <w:rFonts w:ascii="Calibri Light" w:hAnsi="Calibri Light" w:cs="Calibri Light"/>
          <w:sz w:val="20"/>
          <w:szCs w:val="20"/>
        </w:rPr>
      </w:pPr>
    </w:p>
    <w:p w14:paraId="7A61B84C" w14:textId="76F0296D" w:rsidR="00F84C40" w:rsidRDefault="00F84C40" w:rsidP="00F84C40">
      <w:pPr>
        <w:pStyle w:val="Heading1"/>
        <w:numPr>
          <w:ilvl w:val="0"/>
          <w:numId w:val="3"/>
        </w:numPr>
        <w:spacing w:before="0"/>
        <w:ind w:left="284" w:hanging="284"/>
      </w:pPr>
      <w:r>
        <w:t>METHODS</w:t>
      </w:r>
    </w:p>
    <w:p w14:paraId="51299096"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This research employed a methodological framework </w:t>
      </w:r>
      <w:proofErr w:type="spellStart"/>
      <w:r w:rsidRPr="00F84C40">
        <w:rPr>
          <w:rFonts w:ascii="Calibri Light" w:hAnsi="Calibri Light" w:cs="Calibri Light"/>
          <w:sz w:val="20"/>
          <w:szCs w:val="20"/>
        </w:rPr>
        <w:t>centered</w:t>
      </w:r>
      <w:proofErr w:type="spellEnd"/>
      <w:r w:rsidRPr="00F84C40">
        <w:rPr>
          <w:rFonts w:ascii="Calibri Light" w:hAnsi="Calibri Light" w:cs="Calibri Light"/>
          <w:sz w:val="20"/>
          <w:szCs w:val="20"/>
        </w:rPr>
        <w:t xml:space="preserve"> on direct observations and visits to mosques, integrating photography and archiving to meticulously document architectural elements inside and outside the mosques. Material exploration involved tactile inspections to assess texture, quality, and construction techniques. A primary objective was to explore the intricate relationship between spatial configuration, human interaction, and the use of referenced cosmology and spirituality. Immersive experiences within mosques, including repeated participation in prayer, were pivotal to understanding how architectural design shapes spiritual experience.</w:t>
      </w:r>
    </w:p>
    <w:p w14:paraId="429CBC3C"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The data collection methodology encompassed several techniques:</w:t>
      </w:r>
    </w:p>
    <w:p w14:paraId="11EE194D" w14:textId="77777777" w:rsidR="00F84C40" w:rsidRPr="00F84C40" w:rsidRDefault="00F84C40" w:rsidP="008B7C9B">
      <w:pPr>
        <w:numPr>
          <w:ilvl w:val="0"/>
          <w:numId w:val="5"/>
        </w:numPr>
        <w:ind w:left="284" w:hanging="284"/>
        <w:jc w:val="both"/>
        <w:rPr>
          <w:rFonts w:ascii="Calibri Light" w:hAnsi="Calibri Light" w:cs="Calibri Light"/>
          <w:sz w:val="20"/>
          <w:szCs w:val="20"/>
        </w:rPr>
      </w:pPr>
      <w:r w:rsidRPr="00F84C40">
        <w:rPr>
          <w:rFonts w:ascii="Calibri Light" w:hAnsi="Calibri Light" w:cs="Calibri Light"/>
          <w:sz w:val="20"/>
          <w:szCs w:val="20"/>
        </w:rPr>
        <w:t>Photography and Archiving: Comprehensive visual documentation of mosque architecture.</w:t>
      </w:r>
    </w:p>
    <w:p w14:paraId="764D47BB" w14:textId="77777777" w:rsidR="00F84C40" w:rsidRPr="00F84C40" w:rsidRDefault="00F84C40" w:rsidP="008B7C9B">
      <w:pPr>
        <w:numPr>
          <w:ilvl w:val="0"/>
          <w:numId w:val="5"/>
        </w:numPr>
        <w:ind w:left="284" w:hanging="284"/>
        <w:jc w:val="both"/>
        <w:rPr>
          <w:rFonts w:ascii="Calibri Light" w:hAnsi="Calibri Light" w:cs="Calibri Light"/>
          <w:sz w:val="20"/>
          <w:szCs w:val="20"/>
        </w:rPr>
      </w:pPr>
      <w:r w:rsidRPr="00F84C40">
        <w:rPr>
          <w:rFonts w:ascii="Calibri Light" w:hAnsi="Calibri Light" w:cs="Calibri Light"/>
          <w:sz w:val="20"/>
          <w:szCs w:val="20"/>
        </w:rPr>
        <w:t>Direct Observation and Material Interaction: Hands-on examination of structural materials and techniques.</w:t>
      </w:r>
    </w:p>
    <w:p w14:paraId="0DC5C9F2" w14:textId="77777777" w:rsidR="00F84C40" w:rsidRPr="00F84C40" w:rsidRDefault="00F84C40" w:rsidP="008B7C9B">
      <w:pPr>
        <w:numPr>
          <w:ilvl w:val="0"/>
          <w:numId w:val="5"/>
        </w:numPr>
        <w:ind w:left="284" w:hanging="284"/>
        <w:jc w:val="both"/>
        <w:rPr>
          <w:rFonts w:ascii="Calibri Light" w:hAnsi="Calibri Light" w:cs="Calibri Light"/>
          <w:sz w:val="20"/>
          <w:szCs w:val="20"/>
        </w:rPr>
      </w:pPr>
      <w:r w:rsidRPr="00F84C40">
        <w:rPr>
          <w:rFonts w:ascii="Calibri Light" w:hAnsi="Calibri Light" w:cs="Calibri Light"/>
          <w:sz w:val="20"/>
          <w:szCs w:val="20"/>
        </w:rPr>
        <w:t>Spiritual Experience and Intangible Observation: Immersive engagement in mosque activities to discern their spiritual significance.</w:t>
      </w:r>
    </w:p>
    <w:p w14:paraId="77E109E0" w14:textId="77777777" w:rsidR="00F84C40" w:rsidRPr="00F84C40" w:rsidRDefault="00F84C40" w:rsidP="008B7C9B">
      <w:pPr>
        <w:numPr>
          <w:ilvl w:val="0"/>
          <w:numId w:val="5"/>
        </w:numPr>
        <w:ind w:left="284" w:hanging="284"/>
        <w:jc w:val="both"/>
        <w:rPr>
          <w:rFonts w:ascii="Calibri Light" w:hAnsi="Calibri Light" w:cs="Calibri Light"/>
          <w:sz w:val="20"/>
          <w:szCs w:val="20"/>
        </w:rPr>
      </w:pPr>
      <w:r w:rsidRPr="00F84C40">
        <w:rPr>
          <w:rFonts w:ascii="Calibri Light" w:hAnsi="Calibri Light" w:cs="Calibri Light"/>
          <w:sz w:val="20"/>
          <w:szCs w:val="20"/>
        </w:rPr>
        <w:t>Recording and Sketching: Detailed documentation and architectural sketches.</w:t>
      </w:r>
    </w:p>
    <w:p w14:paraId="0F44C2BA" w14:textId="77777777" w:rsidR="00F84C40" w:rsidRPr="00F84C40" w:rsidRDefault="00F84C40" w:rsidP="008B7C9B">
      <w:pPr>
        <w:numPr>
          <w:ilvl w:val="0"/>
          <w:numId w:val="5"/>
        </w:numPr>
        <w:ind w:left="284" w:hanging="284"/>
        <w:jc w:val="both"/>
        <w:rPr>
          <w:rFonts w:ascii="Calibri Light" w:hAnsi="Calibri Light" w:cs="Calibri Light"/>
          <w:sz w:val="20"/>
          <w:szCs w:val="20"/>
        </w:rPr>
      </w:pPr>
      <w:r w:rsidRPr="00F84C40">
        <w:rPr>
          <w:rFonts w:ascii="Calibri Light" w:hAnsi="Calibri Light" w:cs="Calibri Light"/>
          <w:sz w:val="20"/>
          <w:szCs w:val="20"/>
        </w:rPr>
        <w:lastRenderedPageBreak/>
        <w:t>Interpretative Reasoning: Analytical synthesis of data to elucidate relationships between observed elements. This integrative approach facilitated a nuanced exploration of mosques as multifaceted spaces for worship and communal interaction.</w:t>
      </w:r>
    </w:p>
    <w:p w14:paraId="29F30001" w14:textId="77777777" w:rsid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The study focused on mosques in metropolitan Melbourne, notably the Sunshine Mosque in suburban Sunshine, located approximately 12 km from central Melbourne. In Turkey, observations were conducted at </w:t>
      </w:r>
      <w:proofErr w:type="spellStart"/>
      <w:r w:rsidRPr="00F84C40">
        <w:rPr>
          <w:rFonts w:ascii="Calibri Light" w:hAnsi="Calibri Light" w:cs="Calibri Light"/>
          <w:sz w:val="20"/>
          <w:szCs w:val="20"/>
        </w:rPr>
        <w:t>Kuyulunoru</w:t>
      </w:r>
      <w:proofErr w:type="spellEnd"/>
      <w:r w:rsidRPr="00F84C40">
        <w:rPr>
          <w:rFonts w:ascii="Calibri Light" w:hAnsi="Calibri Light" w:cs="Calibri Light"/>
          <w:sz w:val="20"/>
          <w:szCs w:val="20"/>
        </w:rPr>
        <w:t xml:space="preserve"> Mosque in Alanya, Antalya, alongside Sultan Ahmed Mosque (Blue Mosque) and Al-Fatih Mosque in Istanbul's Fatih district.</w:t>
      </w:r>
    </w:p>
    <w:p w14:paraId="61B74CAC" w14:textId="77777777" w:rsidR="00F84C40" w:rsidRDefault="00F84C40" w:rsidP="00F84C40">
      <w:pPr>
        <w:ind w:firstLine="284"/>
        <w:jc w:val="both"/>
        <w:rPr>
          <w:rFonts w:ascii="Calibri Light" w:hAnsi="Calibri Light" w:cs="Calibri Light"/>
          <w:sz w:val="20"/>
          <w:szCs w:val="20"/>
        </w:rPr>
      </w:pPr>
    </w:p>
    <w:p w14:paraId="62B4BF2F" w14:textId="24E20856" w:rsidR="00F84C40" w:rsidRDefault="00F84C40" w:rsidP="00F84C40">
      <w:pPr>
        <w:pStyle w:val="Heading1"/>
        <w:numPr>
          <w:ilvl w:val="0"/>
          <w:numId w:val="3"/>
        </w:numPr>
        <w:spacing w:before="0"/>
        <w:ind w:left="284" w:hanging="284"/>
      </w:pPr>
      <w:r>
        <w:t>RESULT AND</w:t>
      </w:r>
      <w:r>
        <w:rPr>
          <w:color w:val="FF0000"/>
        </w:rPr>
        <w:t xml:space="preserve"> </w:t>
      </w:r>
      <w:r>
        <w:t>DISCUSSION</w:t>
      </w:r>
    </w:p>
    <w:p w14:paraId="1BE79E0F" w14:textId="45807347" w:rsidR="00F84C40" w:rsidRDefault="00F84C40" w:rsidP="00F84C40">
      <w:pPr>
        <w:pStyle w:val="Heading2"/>
        <w:numPr>
          <w:ilvl w:val="0"/>
          <w:numId w:val="4"/>
        </w:numPr>
        <w:ind w:left="284" w:hanging="284"/>
      </w:pPr>
      <w:r w:rsidRPr="00F84C40">
        <w:t>TURKISH MOSQUE ARCHITECTURE</w:t>
      </w:r>
    </w:p>
    <w:p w14:paraId="571AD6A6"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In the 13</w:t>
      </w:r>
      <w:r w:rsidRPr="00F84C40">
        <w:rPr>
          <w:rFonts w:ascii="Calibri Light" w:hAnsi="Calibri Light" w:cs="Calibri Light"/>
          <w:sz w:val="20"/>
          <w:szCs w:val="20"/>
          <w:vertAlign w:val="superscript"/>
        </w:rPr>
        <w:t>th</w:t>
      </w:r>
      <w:r w:rsidRPr="00F84C40">
        <w:rPr>
          <w:rFonts w:ascii="Calibri Light" w:hAnsi="Calibri Light" w:cs="Calibri Light"/>
          <w:sz w:val="20"/>
          <w:szCs w:val="20"/>
        </w:rPr>
        <w:t xml:space="preserve"> to 15</w:t>
      </w:r>
      <w:r w:rsidRPr="00F84C40">
        <w:rPr>
          <w:rFonts w:ascii="Calibri Light" w:hAnsi="Calibri Light" w:cs="Calibri Light"/>
          <w:sz w:val="20"/>
          <w:szCs w:val="20"/>
          <w:vertAlign w:val="superscript"/>
        </w:rPr>
        <w:t>th</w:t>
      </w:r>
      <w:r w:rsidRPr="00F84C40">
        <w:rPr>
          <w:rFonts w:ascii="Calibri Light" w:hAnsi="Calibri Light" w:cs="Calibri Light"/>
          <w:sz w:val="20"/>
          <w:szCs w:val="20"/>
        </w:rPr>
        <w:t xml:space="preserve"> centuries, Turkmen Principalities in Anatolia enriched Seljuk architecture, laying the foundations for classical Ottoman architecture. They pioneered features like pierced walls, cloistered courts, and galleries, influencing later Ottoman masterpieces in Istanbul. This period emphasized harmony between open and blank spaces, integrating exterior and interior designs seamlessly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{"citationID":"bvlo21DY","properties":{"formattedCitation":"[10]","plainCitation":"[10]","noteIndex":0},"citationItems":[{"id":6711,"uris":["http://zotero.org/users/11111567/items/W42ZRNTC"],"itemData":{"id":6711,"type":"article-journal","container-title":"Studia Islamica","DOI":"10.2307/1595151","ISSN":"05855292","issue":"11","journalAbbreviation":"Studia Islamica","language":"en","page":"73","source":"DOI.org (Crossref)","title":"The Evolution of Architectural Form in Turkish Mosques (1300-1700)","author":[{"family":"Yetkin","given":"Suut Kemal"}],"issued":{"date-parts":[["1959"]]}}}],"schema":"https://github.com/citation-style-language/schema/raw/master/csl-citation.json"}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[10]</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Throughout the twentieth century, mosque architecture has been a political </w:t>
      </w:r>
      <w:proofErr w:type="spellStart"/>
      <w:r w:rsidRPr="00F84C40">
        <w:rPr>
          <w:rFonts w:ascii="Calibri Light" w:hAnsi="Calibri Light" w:cs="Calibri Light"/>
          <w:sz w:val="20"/>
          <w:szCs w:val="20"/>
        </w:rPr>
        <w:t>endeavor</w:t>
      </w:r>
      <w:proofErr w:type="spellEnd"/>
      <w:r w:rsidRPr="00F84C40">
        <w:rPr>
          <w:rFonts w:ascii="Calibri Light" w:hAnsi="Calibri Light" w:cs="Calibri Light"/>
          <w:sz w:val="20"/>
          <w:szCs w:val="20"/>
        </w:rPr>
        <w:t xml:space="preserve">, particularly for nation-states in the Islamic world. Nation-building involved varying tensions between modernist aspirations and Islamic identities. In Turkey, mosques were initially rejected as national symbols during the early republican era. It was only after World War II that mosques were used to represent national identity, influenced by complex power dynamics between a secular state, a government seeking reconciliation with Islam, and a rising nationalist conservative worldview within Cold War geopolitics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{"citationID":"zYYCHZHv","properties":{"formattedCitation":"[11]","plainCitation":"[11]","noteIndex":0},"citationItems":[{"id":6693,"uris":["http://zotero.org/users/11111567/items/XHUKBTTG"],"itemData":{"id":6693,"type":"article-journal","container-title":"The Journal of Architecture","DOI":"10.1080/13602365.2016.1179660","ISSN":"1360-2365, 1466-4410","issue":"3","journalAbbreviation":"The Journal of Architecture","language":"en","page":"321-347","source":"DOI.org (Crossref)","title":"Architectural mimicry and the politics of mosque building: negotiating Islam and Nation in Turkey","title-short":"Architectural mimicry and the politics of mosque building","volume":"21","author":[{"family":"Batuman","given":"Bülent"}],"issued":{"date-parts":[["2016",4,2]]}}}],"schema":"https://github.com/citation-style-language/schema/raw/master/csl-citation.json"}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[11]</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The architectural confusion reflected Türkiye’s situation from the fall of the Ottoman Empire through to the establishment of the Republic in 1923 by Mustafa Kemal and continues today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{"citationID":"lVnfb3DH","properties":{"formattedCitation":"[12], [13]","plainCitation":"[12], [13]","noteIndex":0},"citationItems":[{"id":6695,"uris":["http://zotero.org/users/11111567/items/JR3L33ZH"],"itemData":{"id":6695,"type":"article-journal","language":"en","source":"Zotero","title":"Contemporary mosque architecture in Turkey","author":[{"family":"Moustafa","given":"Samaa"}]}},{"id":6694,"uris":["http://zotero.org/users/11111567/items/MLERK4RN"],"itemData":{"id":6694,"type":"article-journal","container-title":"Middle Eastern Studies","DOI":"10.1080/00263206.2011.621758","ISSN":"0026-3206, 1743-7881","issue":"6","journalAbbreviation":"Middle Eastern Studies","language":"en","page":"911-922","source":"DOI.org (Crossref)","title":"Architecture and Image: The Example of Turkey","title-short":"Architecture and Image","volume":"47","author":[{"family":"Ozaslan","given":"Nuray"},{"family":"Akalin","given":"Aysu"}],"issued":{"date-parts":[["2011",11]]}}}],"schema":"https://github.com/citation-style-language/schema/raw/master/csl-citation.json"}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[12], [13]</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Turkish architecture has drawn from Western influences and its rich heritage of Ottoman, Byzantine, Seljuk, Classical Hellenistic, and Roman styles. This mix of sources has led to a unique hybrid Turkish architecture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{"citationID":"GRQDAZa8","properties":{"formattedCitation":"[13]","plainCitation":"[13]","noteIndex":0},"citationItems":[{"id":6694,"uris":["http://zotero.org/users/11111567/items/MLERK4RN"],"itemData":{"id":6694,"type":"article-journal","container-title":"Middle Eastern Studies","DOI":"10.1080/00263206.2011.621758","ISSN":"0026-3206, 1743-7881","issue":"6","journalAbbreviation":"Middle Eastern Studies","language":"en","page":"911-922","source":"DOI.org (Crossref)","title":"Architecture and Image: The Example of Turkey","title-short":"Architecture and Image","volume":"47","author":[{"family":"Ozaslan","given":"Nuray"},{"family":"Akalin","given":"Aysu"}],"issued":{"date-parts":[["2011",11]]}}}],"schema":"https://github.com/citation-style-language/schema/raw/master/csl-citation.json"}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[13]</w:t>
      </w:r>
      <w:r w:rsidRPr="00F84C40">
        <w:rPr>
          <w:rFonts w:ascii="Calibri Light" w:hAnsi="Calibri Light" w:cs="Calibri Light"/>
          <w:sz w:val="20"/>
          <w:szCs w:val="20"/>
        </w:rPr>
        <w:fldChar w:fldCharType="end"/>
      </w:r>
      <w:r w:rsidRPr="00F84C40">
        <w:rPr>
          <w:rFonts w:ascii="Calibri Light" w:hAnsi="Calibri Light" w:cs="Calibri Light"/>
          <w:sz w:val="20"/>
          <w:szCs w:val="20"/>
        </w:rPr>
        <w:t>.</w:t>
      </w:r>
    </w:p>
    <w:p w14:paraId="3BA97572"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Ottoman architecture initially focused on social and religious buildings within the Islamic tradition, embodying rich cultural and public significance. However, the influence of Westernization movements from the 18th century onwards sparked a shift towards combining traditional Ottoman elements with modern architectural approaches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{"citationID":"q0HaUU3b","properties":{"formattedCitation":"[14], [15]","plainCitation":"[14], [15]","noteIndex":0},"citationItems":[{"id":6813,"uris":["http://zotero.org/users/11111567/items/LCMNLFKB"],"itemData":{"id":6813,"type":"article-journal","abstract":"Islamic heritage contains rich cultural diversity with residential and public buildings which belong to the era of the Ottoman Empire and reflect the character of the Islamic tradition. Today, the influence of Islamic heritage begins to be represented by the predominance of consumerist culture and technology. In particular, Ottoman architecture and its traditional elements became objects of consumption, which set the visual aspect at the forefront of contemporary design practices. The study criticizes the transformation of the authenticity of Ottoman-Islamic architecture into a thematic \"authentic appearance\". Instead, it refers to the fact that Ottoman-Islamic heritage has become a consumer object. In this context, this study looks at various examples found in Turkey, such as hotels, shopping centers, and residential buildings. Examples are organized through a theoretical and comparative methodology between traditional and contemporary approaches. As a result, the article emphasizes the importance of cultural heritage for societies and their architecture which must not be transformed into objects of consumption linked to interests. The conclusion is that the flexible stance of the Ottoman-Islamic structural heritage is open to adaptation. It allows the tradition to be interpreted in the current structural and technological developments rather than copied.","container-title":"Journal of Islamic Architecture","DOI":"10.18860/jia.v6i4.11811","ISSN":"2356-4644, 2086-2636","issue":"4","journalAbbreviation":"JIA","language":"en","license":"http://creativecommons.org/licenses/by-sa/4.0","page":"338-348","source":"DOI.org (Crossref)","title":"A RESEARCH ON THE USE OF OTTOMAN-ISLAMIC HERITAGE AS A CONSUMPTION OBJECT IN CONTEMPORARY ARCHITECTURAL PRACTICE","volume":"6","author":[{"family":"Artkan","given":"Merve"}],"issued":{"date-parts":[["2021",12,26]]}}},{"id":6820,"uris":["http://zotero.org/users/11111567/items/9VBHK2PI"],"itemData":{"id":6820,"type":"article-journal","abstract":"The conceptualization of Western architecture became a prominent force in Ottoman architecture with the advent of the period of westernization that started at the beginning of the eighteenth century during the Tulip Era (1718-1730). The most important cultural dynamic that changed the course of Ottoman architecture was the imported architectural styles that originated in Europe. Welcoming the western influence became a state policy that persevered throughout the nineteenth century. In this century, the western-based architectural perspective of the Armenian-Ottoman Balyan Family came to the forefront. The Balyan Family of architects created an original architectural language by blending the elements of western and traditional architecture, justifiably imprinting their stamp on the Ottoman architecture of the nineteenth century. While predominantly producing civil and official buildings, the Balyan Family's mosques also stood out in this period with their new design features. This article seeks to present and analyze the arrangements and elements of the facades of eight mosques built by the Balyan Family in the 19th century, namely the Büyük Mecidiye Mosque, Küçük Mecidiye Mosque, Dolmabahçe Mosque, Nusretiye Mosque, Yıldız Hamidiye Mosque, Pertevniyal Valide Sultan Mosque, Teşvikiye Mosque, and Sadabad Mosque.","container-title":"Journal of Islamic Architecture","DOI":"10.18860/jia.v7i3.20630","ISSN":"2356-4644, 2086-2636","issue":"3","journalAbbreviation":"JIA","language":"en","license":"https://creativecommons.org/licenses/by-sa/4.0","page":"518-528","source":"DOI.org (Crossref)","title":"Reflections of the Ottoman Period of Westernization in Religious Architecture: Facade Arrangement of the Balyan Mosques","title-short":"Reflections of the Ottoman Period of Westernization in Religious Architecture","volume":"7","author":[{"family":"Erarslan","given":"Alev"}],"issued":{"date-parts":[["2023",6,28]]}}}],"schema":"https://github.com/citation-style-language/schema/raw/master/csl-citation.json"}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[14], [15]</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This evolution led to a contemporary interpretation of architecture that often prioritizes visual aesthetics over authentic traditional references, neglecting the holistic and contextual nature of Islamic architectural forms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{"citationID":"n1f7wF8g","properties":{"formattedCitation":"[14]","plainCitation":"[14]","noteIndex":0},"citationItems":[{"id":6813,"uris":["http://zotero.org/users/11111567/items/LCMNLFKB"],"itemData":{"id":6813,"type":"article-journal","abstract":"Islamic heritage contains rich cultural diversity with residential and public buildings which belong to the era of the Ottoman Empire and reflect the character of the Islamic tradition. Today, the influence of Islamic heritage begins to be represented by the predominance of consumerist culture and technology. In particular, Ottoman architecture and its traditional elements became objects of consumption, which set the visual aspect at the forefront of contemporary design practices. The study criticizes the transformation of the authenticity of Ottoman-Islamic architecture into a thematic \"authentic appearance\". Instead, it refers to the fact that Ottoman-Islamic heritage has become a consumer object. In this context, this study looks at various examples found in Turkey, such as hotels, shopping centers, and residential buildings. Examples are organized through a theoretical and comparative methodology between traditional and contemporary approaches. As a result, the article emphasizes the importance of cultural heritage for societies and their architecture which must not be transformed into objects of consumption linked to interests. The conclusion is that the flexible stance of the Ottoman-Islamic structural heritage is open to adaptation. It allows the tradition to be interpreted in the current structural and technological developments rather than copied.","container-title":"Journal of Islamic Architecture","DOI":"10.18860/jia.v6i4.11811","ISSN":"2356-4644, 2086-2636","issue":"4","journalAbbreviation":"JIA","language":"en","license":"http://creativecommons.org/licenses/by-sa/4.0","page":"338-348","source":"DOI.org (Crossref)","title":"A RESEARCH ON THE USE OF OTTOMAN-ISLAMIC HERITAGE AS A CONSUMPTION OBJECT IN CONTEMPORARY ARCHITECTURAL PRACTICE","volume":"6","author":[{"family":"Artkan","given":"Merve"}],"issued":{"date-parts":[["2021",12,26]]}}}],"schema":"https://github.com/citation-style-language/schema/raw/master/csl-citation.json"}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[14]</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Despite this, Ottoman architecture continues to be revered for its perceived authenticity and ethnic identity, albeit sometimes at the expense of adapting to contemporary social and environmental needs. The Islamist movements in Türkiye seek legitimacy, power, and prestige that have historically been monopolized by the republican elite. They challenge secular and global symbols to restore Islamic authenticity, primarily through the conquest of Istanbul by Mehmet II in 1453. They view Westernization during the late Ottoman and early republican eras as diluting Türkiye’s Turco-Islamic identity. This struggle between Islam and secularism traces back to Turkey's nation-building phase after the Ottoman collapse, when it sought to unify diverse religious and cultural identities under a Western-style unitary state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{"citationID":"aNAeag55","properties":{"formattedCitation":"[16]","plainCitation":"[16]","noteIndex":0},"citationItems":[{"id":6708,"uris":["http://zotero.org/users/11111567/items/4DNMZLB3"],"itemData":{"id":6708,"type":"article-journal","abstract":"This study explores the impact of two controversial mosque projects. The first project was intended for Göztepe Park and the second for Taksim Square in Istanbul. These projects are considered in the broader context of a general Islamist bid over the last few decades to re-conquer the Turkish political landscape and public opinion. These attempts on the part of Islamist movements reflect their desire for legitimacy, power, prestige, and elite status that were monopolized by the republican elite throughout modern Turkish history. However, these projects elicit a very negative response among secularist circles, both at the state and civil society levels. Both sides see themselves as in a continuous tug-of-war for control over the public sphere. It seems that in the long run, this struggle may moderate both political Islam and puritan secularism in Turkey, creating more spaces for their coexistence as well as dialogue and mutual respect—if not consensus—between them. However, the potential for further polarization between the two sides is also not completely out of the realm of possibility.","container-title":"Turkish Studies","DOI":"10.1080/14683840600891166","ISSN":"1468-3849, 1743-9663","issue":"3","journalAbbreviation":"Turkish Studies","language":"en","page":"489-508","source":"DOI.org (Crossref)","title":"The Mosque as a Divisive Symbol in the Turkish Political Landscape","volume":"7","author":[{"family":"Şimşek","given":"Sefa"},{"family":"Polvan","given":"Zerrin"},{"family":"Yeşilşerit","given":"Tayfun"}],"issued":{"date-parts":[["2006",9]]}}}],"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[16]</w:t>
      </w:r>
      <w:r w:rsidRPr="00F84C40">
        <w:rPr>
          <w:rFonts w:ascii="Calibri Light" w:hAnsi="Calibri Light" w:cs="Calibri Light"/>
          <w:sz w:val="20"/>
          <w:szCs w:val="20"/>
        </w:rPr>
        <w:fldChar w:fldCharType="end"/>
      </w:r>
      <w:r w:rsidRPr="00F84C40">
        <w:rPr>
          <w:rFonts w:ascii="Calibri Light" w:hAnsi="Calibri Light" w:cs="Calibri Light"/>
          <w:sz w:val="20"/>
          <w:szCs w:val="20"/>
        </w:rPr>
        <w:t>.</w:t>
      </w:r>
    </w:p>
    <w:p w14:paraId="56954731" w14:textId="6D8CF14C" w:rsid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The modernization of mosques in Türkiye highlights a tension between reviving the mosque's historical role as a social complex and the secularization efforts of the Republican period. The secure position of mosques as the </w:t>
      </w:r>
      <w:proofErr w:type="spellStart"/>
      <w:r w:rsidRPr="00F84C40">
        <w:rPr>
          <w:rFonts w:ascii="Calibri Light" w:hAnsi="Calibri Light" w:cs="Calibri Light"/>
          <w:sz w:val="20"/>
          <w:szCs w:val="20"/>
        </w:rPr>
        <w:t>center</w:t>
      </w:r>
      <w:proofErr w:type="spellEnd"/>
      <w:r w:rsidRPr="00F84C40">
        <w:rPr>
          <w:rFonts w:ascii="Calibri Light" w:hAnsi="Calibri Light" w:cs="Calibri Light"/>
          <w:sz w:val="20"/>
          <w:szCs w:val="20"/>
        </w:rPr>
        <w:t xml:space="preserve"> of daily life has shifted due to social and political changes. The Republican reforms of the 1920s, which replaced the Ottoman religious monarchy with a secular state, significantly altered the role of the mosque. These changes initiated after 1923 led to the abolition of the Caliphate and Islamic law, and to the reassignment of many social functions previously </w:t>
      </w:r>
      <w:proofErr w:type="spellStart"/>
      <w:r w:rsidRPr="00F84C40">
        <w:rPr>
          <w:rFonts w:ascii="Calibri Light" w:hAnsi="Calibri Light" w:cs="Calibri Light"/>
          <w:sz w:val="20"/>
          <w:szCs w:val="20"/>
        </w:rPr>
        <w:t>centered</w:t>
      </w:r>
      <w:proofErr w:type="spellEnd"/>
      <w:r w:rsidRPr="00F84C40">
        <w:rPr>
          <w:rFonts w:ascii="Calibri Light" w:hAnsi="Calibri Light" w:cs="Calibri Light"/>
          <w:sz w:val="20"/>
          <w:szCs w:val="20"/>
        </w:rPr>
        <w:t xml:space="preserve"> around mosques to modern institutions. With these transformations, the idea of restoring the mosque's social significance persists, reflecting ongoing cultural and political dynamics in Türkiye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{"citationID":"233eNo6Z","properties":{"formattedCitation":"[17]","plainCitation":"[17]","noteIndex":0},"citationItems":[{"id":6696,"uris":["http://zotero.org/users/11111567/items/RMTPQR9J"],"itemData":{"id":6696,"type":"article-journal","container-title":"Journal of Architectural and Planning Research","language":"en","source":"Zotero","title":"DESIGNING MOSQUES FOR SECULAR CONGREGATIONS: TRANSFORMATIONS OF THE MOSQUE AS A SOCIAL SPACE IN TURKEY","issued":{"date-parts":[["2024"]]}}}],"schema":"https://github.com/citation-style-language/schema/raw/master/csl-citation.json"}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[17]</w:t>
      </w:r>
      <w:r w:rsidRPr="00F84C40">
        <w:rPr>
          <w:rFonts w:ascii="Calibri Light" w:hAnsi="Calibri Light" w:cs="Calibri Light"/>
          <w:sz w:val="20"/>
          <w:szCs w:val="20"/>
        </w:rPr>
        <w:fldChar w:fldCharType="end"/>
      </w:r>
      <w:r w:rsidRPr="00F84C40">
        <w:rPr>
          <w:rFonts w:ascii="Calibri Light" w:hAnsi="Calibri Light" w:cs="Calibri Light"/>
          <w:sz w:val="20"/>
          <w:szCs w:val="20"/>
        </w:rPr>
        <w:t>.</w:t>
      </w:r>
    </w:p>
    <w:p w14:paraId="1ABFB6D5" w14:textId="191AA1E8" w:rsidR="00F84C40" w:rsidRDefault="00F84C40" w:rsidP="00F84C40">
      <w:pPr>
        <w:pStyle w:val="Heading2"/>
        <w:numPr>
          <w:ilvl w:val="0"/>
          <w:numId w:val="4"/>
        </w:numPr>
        <w:ind w:left="284" w:hanging="284"/>
      </w:pPr>
      <w:r w:rsidRPr="00F84C40">
        <w:t>COMPARISON OF SUNSHINE MOSQUE TO THE TURKISH MOSQUES IN TURKEY</w:t>
      </w:r>
      <w:r>
        <w:t xml:space="preserve"> </w:t>
      </w:r>
    </w:p>
    <w:p w14:paraId="6AFA4127"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The Sunshine Mosque, located in a Melbourne suburb, was founded by a community of Muslim immigrants from Cyprus. These immigrants came to Australia from the Mediterranean island nation, but their roots trace back to Turkey. Therefore, their group is named The Turkish Cypriot Islamic Community of Victoria. Mosques constructed by immigrant communities abroad often serve as symbolic representations of Muslim presence in Western contexts, such as in Melbourne, amid issues surrounding decolonization; this sets them apart from mosques built primarily for daily worship and community activities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{"citationID":"cj5arfyP","properties":{"formattedCitation":"[7]","plainCitation":"[7]","noteIndex":0},"citationItems":[{"id":6705,"uris":["http://zotero.org/users/11111567/items/JSY3BJQY"],"itemData":{"id":6705,"type":"article-journal","container-title":"The Mosque","language":"en","source":"Zotero","title":"The Architecture of the Mosque, an Overview and Design Directions","author":[{"family":"Khan","given":"Hasan-Uddin"}]}}],"schema":"https://github.com/citation-style-language/schema/raw/master/csl-citation.json"}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[7]</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As with the Turkish Cypriot community in Melbourne, before a building officially becomes a mosque, worship places share space with other public buildings or operate in rented retail spaces due to challenges in locating places of worship. Generally, these mosques are </w:t>
      </w:r>
      <w:r w:rsidRPr="00F84C40">
        <w:rPr>
          <w:rFonts w:ascii="Calibri Light" w:hAnsi="Calibri Light" w:cs="Calibri Light"/>
          <w:sz w:val="20"/>
          <w:szCs w:val="20"/>
        </w:rPr>
        <w:lastRenderedPageBreak/>
        <w:t xml:space="preserve">strategically located within the urban planning context, usually near residential areas of their respective communities. These communities predominantly consist of immigrants from the Middle East, Eastern Europe, and Southeast Asia. Initially, the Turkish Cypriot community established a modest prayer room in the inner suburbs of Richmond, Clifton Hill. Over time, this place of worship became insufficient to accommodate the growing number of worshippers. </w:t>
      </w:r>
    </w:p>
    <w:p w14:paraId="1DA260FE"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After deliberation, local Muslim leaders relocated the building to Ballarat Road in Sunshine in 1985. Building a place as small as the previous prayer room was no longer feasible. Therefore, the Muslim community raised funds to support the construction of a large mosque. This amount served as the initial capital for the Turkish Cypriot Muslim community. After that, they began constructing a new mosque on this site. The construction process had its ups and downs, including periods of stagnation. </w:t>
      </w:r>
    </w:p>
    <w:p w14:paraId="796FB26F" w14:textId="77777777" w:rsidR="00F84C40" w:rsidRPr="00F84C40" w:rsidRDefault="00F84C40" w:rsidP="00F84C40">
      <w:pPr>
        <w:ind w:firstLine="284"/>
        <w:jc w:val="both"/>
        <w:rPr>
          <w:rFonts w:ascii="Calibri Light" w:hAnsi="Calibri Light" w:cs="Calibri Light"/>
          <w:sz w:val="20"/>
          <w:szCs w:val="20"/>
        </w:rPr>
      </w:pPr>
    </w:p>
    <w:p w14:paraId="4D1D3513" w14:textId="2C7B2ADB" w:rsidR="00F84C40" w:rsidRPr="00F84C40" w:rsidRDefault="00DA5FC8" w:rsidP="00DA5FC8">
      <w:pPr>
        <w:numPr>
          <w:ilvl w:val="2"/>
          <w:numId w:val="6"/>
        </w:numPr>
        <w:ind w:left="567" w:hanging="567"/>
        <w:jc w:val="both"/>
        <w:rPr>
          <w:rFonts w:asciiTheme="majorHAnsi" w:hAnsiTheme="majorHAnsi" w:cstheme="majorHAnsi"/>
          <w:b/>
          <w:bCs/>
          <w:sz w:val="18"/>
          <w:szCs w:val="18"/>
        </w:rPr>
      </w:pPr>
      <w:r w:rsidRPr="00F84C40">
        <w:rPr>
          <w:rFonts w:asciiTheme="majorHAnsi" w:hAnsiTheme="majorHAnsi" w:cstheme="majorHAnsi"/>
          <w:b/>
          <w:bCs/>
          <w:sz w:val="18"/>
          <w:szCs w:val="18"/>
        </w:rPr>
        <w:t>Spatial Connections</w:t>
      </w:r>
    </w:p>
    <w:p w14:paraId="7489F157"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Mosques in Türkiye are primarily designated as places of worship and often feature expansive exterior spaces, making their proportional scale visible from afar. Mosques serve as focal points in their surrounding landscapes. The Sultan Ahmed Mosque, known as the Blue Mosque, exemplifies this with its grand scale and has become a significant tourist attraction. It is a prominent landmark and a central stop for trams and buses. Similarly, the </w:t>
      </w:r>
      <w:proofErr w:type="spellStart"/>
      <w:r w:rsidRPr="00F84C40">
        <w:rPr>
          <w:rFonts w:ascii="Calibri Light" w:hAnsi="Calibri Light" w:cs="Calibri Light"/>
          <w:sz w:val="20"/>
          <w:szCs w:val="20"/>
        </w:rPr>
        <w:t>Kuyularonu</w:t>
      </w:r>
      <w:proofErr w:type="spellEnd"/>
      <w:r w:rsidRPr="00F84C40">
        <w:rPr>
          <w:rFonts w:ascii="Calibri Light" w:hAnsi="Calibri Light" w:cs="Calibri Light"/>
          <w:sz w:val="20"/>
          <w:szCs w:val="20"/>
        </w:rPr>
        <w:t xml:space="preserve"> Mosque in Alanya is integrated into the urban landscape, with its name used as a stop on public transportation in the city </w:t>
      </w:r>
      <w:proofErr w:type="spellStart"/>
      <w:r w:rsidRPr="00F84C40">
        <w:rPr>
          <w:rFonts w:ascii="Calibri Light" w:hAnsi="Calibri Light" w:cs="Calibri Light"/>
          <w:sz w:val="20"/>
          <w:szCs w:val="20"/>
        </w:rPr>
        <w:t>center</w:t>
      </w:r>
      <w:proofErr w:type="spellEnd"/>
      <w:r w:rsidRPr="00F84C40">
        <w:rPr>
          <w:rFonts w:ascii="Calibri Light" w:hAnsi="Calibri Light" w:cs="Calibri Light"/>
          <w:sz w:val="20"/>
          <w:szCs w:val="20"/>
        </w:rPr>
        <w:t xml:space="preserve">. Aside from being places of worship, the status as tourist destinations is closely associated with the Fatih Mosque and the Sultan Ahmed Mosque in metropolitan cities. However, this status does not apply to the </w:t>
      </w:r>
      <w:proofErr w:type="spellStart"/>
      <w:r w:rsidRPr="00F84C40">
        <w:rPr>
          <w:rFonts w:ascii="Calibri Light" w:hAnsi="Calibri Light" w:cs="Calibri Light"/>
          <w:sz w:val="20"/>
          <w:szCs w:val="20"/>
        </w:rPr>
        <w:t>Kuyularonu</w:t>
      </w:r>
      <w:proofErr w:type="spellEnd"/>
      <w:r w:rsidRPr="00F84C40">
        <w:rPr>
          <w:rFonts w:ascii="Calibri Light" w:hAnsi="Calibri Light" w:cs="Calibri Light"/>
          <w:sz w:val="20"/>
          <w:szCs w:val="20"/>
        </w:rPr>
        <w:t xml:space="preserve"> Mosque in Alanya, Antalya. Despite this, located in the heart of Alanya, the central business district, the mosque serves as a landmark and a bus stop, acting as a bus shelter. During major events at Cleopatra Beach and Alanya Port, the </w:t>
      </w:r>
      <w:proofErr w:type="spellStart"/>
      <w:r w:rsidRPr="00F84C40">
        <w:rPr>
          <w:rFonts w:ascii="Calibri Light" w:hAnsi="Calibri Light" w:cs="Calibri Light"/>
          <w:sz w:val="20"/>
          <w:szCs w:val="20"/>
        </w:rPr>
        <w:t>Kuyularonu</w:t>
      </w:r>
      <w:proofErr w:type="spellEnd"/>
      <w:r w:rsidRPr="00F84C40">
        <w:rPr>
          <w:rFonts w:ascii="Calibri Light" w:hAnsi="Calibri Light" w:cs="Calibri Light"/>
          <w:sz w:val="20"/>
          <w:szCs w:val="20"/>
        </w:rPr>
        <w:t xml:space="preserve"> Mosque serves as a spatial boundary, restricting access to the beach area. Popular tourist mosques in Turkey are often complemented by shopping stalls and tourism </w:t>
      </w:r>
      <w:proofErr w:type="spellStart"/>
      <w:r w:rsidRPr="00F84C40">
        <w:rPr>
          <w:rFonts w:ascii="Calibri Light" w:hAnsi="Calibri Light" w:cs="Calibri Light"/>
          <w:sz w:val="20"/>
          <w:szCs w:val="20"/>
        </w:rPr>
        <w:t>centers</w:t>
      </w:r>
      <w:proofErr w:type="spellEnd"/>
      <w:r w:rsidRPr="00F84C40">
        <w:rPr>
          <w:rFonts w:ascii="Calibri Light" w:hAnsi="Calibri Light" w:cs="Calibri Light"/>
          <w:sz w:val="20"/>
          <w:szCs w:val="20"/>
        </w:rPr>
        <w:t>, either within the mosque grounds or along the corridors and access roads leading to the mosque. These stalls typically include food vendors, merchandise sellers, and coffee or tea shops where visitors can relax, complete with seating areas. This highlights the mosque's importance within the community and its central role in the city.</w:t>
      </w:r>
    </w:p>
    <w:p w14:paraId="6AFC95D5" w14:textId="77777777" w:rsidR="00F84C40" w:rsidRPr="00F84C40" w:rsidRDefault="00F84C40" w:rsidP="00F84C40">
      <w:pPr>
        <w:ind w:firstLine="284"/>
        <w:jc w:val="both"/>
        <w:rPr>
          <w:rFonts w:ascii="Calibri Light" w:hAnsi="Calibri Light" w:cs="Calibri Light"/>
          <w:sz w:val="20"/>
          <w:szCs w:val="20"/>
        </w:rPr>
      </w:pPr>
    </w:p>
    <w:p w14:paraId="770CF6B3" w14:textId="2E580B68"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drawing>
          <wp:inline distT="0" distB="0" distL="0" distR="0" wp14:anchorId="5799A0A4" wp14:editId="73833D10">
            <wp:extent cx="2476500" cy="1809750"/>
            <wp:effectExtent l="0" t="9525" r="9525" b="9525"/>
            <wp:docPr id="432046893" name="Picture 36" descr="A building with people sitt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building with people sitting outsid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l="13818" r="14081"/>
                    <a:stretch>
                      <a:fillRect/>
                    </a:stretch>
                  </pic:blipFill>
                  <pic:spPr bwMode="auto">
                    <a:xfrm rot="5400000">
                      <a:off x="0" y="0"/>
                      <a:ext cx="2476500" cy="1809750"/>
                    </a:xfrm>
                    <a:prstGeom prst="rect">
                      <a:avLst/>
                    </a:prstGeom>
                    <a:noFill/>
                    <a:ln>
                      <a:noFill/>
                    </a:ln>
                  </pic:spPr>
                </pic:pic>
              </a:graphicData>
            </a:graphic>
          </wp:inline>
        </w:drawing>
      </w:r>
      <w:r w:rsidRPr="00F84C40">
        <w:rPr>
          <w:rFonts w:ascii="Calibri Light" w:hAnsi="Calibri Light" w:cs="Calibri Light"/>
          <w:sz w:val="20"/>
          <w:szCs w:val="20"/>
        </w:rPr>
        <w:t xml:space="preserve">  </w:t>
      </w:r>
      <w:r w:rsidRPr="00F84C40">
        <w:rPr>
          <w:rFonts w:ascii="Calibri Light" w:hAnsi="Calibri Light" w:cs="Calibri Light"/>
          <w:sz w:val="20"/>
          <w:szCs w:val="20"/>
        </w:rPr>
        <w:drawing>
          <wp:inline distT="0" distB="0" distL="0" distR="0" wp14:anchorId="3BB4A58B" wp14:editId="1262CDF0">
            <wp:extent cx="2476500" cy="1876425"/>
            <wp:effectExtent l="0" t="4763" r="0" b="0"/>
            <wp:docPr id="150561551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 cstate="print">
                      <a:extLst>
                        <a:ext uri="{28A0092B-C50C-407E-A947-70E740481C1C}">
                          <a14:useLocalDpi xmlns:a14="http://schemas.microsoft.com/office/drawing/2010/main" val="0"/>
                        </a:ext>
                      </a:extLst>
                    </a:blip>
                    <a:srcRect l="30312" r="1732"/>
                    <a:stretch>
                      <a:fillRect/>
                    </a:stretch>
                  </pic:blipFill>
                  <pic:spPr bwMode="auto">
                    <a:xfrm rot="5400000">
                      <a:off x="0" y="0"/>
                      <a:ext cx="2476500" cy="1876425"/>
                    </a:xfrm>
                    <a:prstGeom prst="rect">
                      <a:avLst/>
                    </a:prstGeom>
                    <a:noFill/>
                    <a:ln>
                      <a:noFill/>
                    </a:ln>
                  </pic:spPr>
                </pic:pic>
              </a:graphicData>
            </a:graphic>
          </wp:inline>
        </w:drawing>
      </w:r>
      <w:r w:rsidRPr="00F84C40">
        <w:rPr>
          <w:rFonts w:ascii="Calibri Light" w:hAnsi="Calibri Light" w:cs="Calibri Light"/>
          <w:sz w:val="20"/>
          <w:szCs w:val="20"/>
        </w:rPr>
        <w:t xml:space="preserve">  </w:t>
      </w:r>
      <w:r w:rsidRPr="00F84C40">
        <w:rPr>
          <w:rFonts w:ascii="Calibri Light" w:hAnsi="Calibri Light" w:cs="Calibri Light"/>
          <w:sz w:val="20"/>
          <w:szCs w:val="20"/>
        </w:rPr>
        <w:drawing>
          <wp:inline distT="0" distB="0" distL="0" distR="0" wp14:anchorId="1C3FA9E7" wp14:editId="4378F52E">
            <wp:extent cx="2466975" cy="1790700"/>
            <wp:effectExtent l="0" t="4762" r="4762" b="4763"/>
            <wp:docPr id="475630726" name="Picture 34" descr="A street with building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A street with buildings and tree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l="7356" r="15189"/>
                    <a:stretch>
                      <a:fillRect/>
                    </a:stretch>
                  </pic:blipFill>
                  <pic:spPr bwMode="auto">
                    <a:xfrm rot="5400000">
                      <a:off x="0" y="0"/>
                      <a:ext cx="2466975" cy="1790700"/>
                    </a:xfrm>
                    <a:prstGeom prst="rect">
                      <a:avLst/>
                    </a:prstGeom>
                    <a:noFill/>
                    <a:ln>
                      <a:noFill/>
                    </a:ln>
                  </pic:spPr>
                </pic:pic>
              </a:graphicData>
            </a:graphic>
          </wp:inline>
        </w:drawing>
      </w:r>
    </w:p>
    <w:p w14:paraId="476127A4" w14:textId="77777777" w:rsidR="00F84C40" w:rsidRPr="00F84C40" w:rsidRDefault="00F84C40" w:rsidP="00F84C40">
      <w:pPr>
        <w:ind w:firstLine="284"/>
        <w:jc w:val="both"/>
        <w:rPr>
          <w:rFonts w:ascii="Calibri Light" w:hAnsi="Calibri Light" w:cs="Calibri Light"/>
          <w:sz w:val="20"/>
          <w:szCs w:val="20"/>
        </w:rPr>
      </w:pPr>
    </w:p>
    <w:p w14:paraId="753A86BB" w14:textId="77777777" w:rsidR="00F84C40" w:rsidRPr="00F84C40" w:rsidRDefault="00F84C40" w:rsidP="00DA5FC8">
      <w:pPr>
        <w:ind w:firstLine="284"/>
        <w:jc w:val="center"/>
        <w:rPr>
          <w:rFonts w:asciiTheme="majorHAnsi" w:hAnsiTheme="majorHAnsi" w:cstheme="majorHAnsi"/>
          <w:sz w:val="16"/>
          <w:szCs w:val="16"/>
        </w:rPr>
      </w:pPr>
      <w:r w:rsidRPr="00F84C40">
        <w:rPr>
          <w:rFonts w:asciiTheme="majorHAnsi" w:hAnsiTheme="majorHAnsi" w:cstheme="majorHAnsi"/>
          <w:sz w:val="16"/>
          <w:szCs w:val="16"/>
        </w:rPr>
        <w:t xml:space="preserve">Figure 1. Spatial Linkage Around Fatih Mosque, Sultan Ahmed Mosque, and </w:t>
      </w:r>
      <w:proofErr w:type="spellStart"/>
      <w:r w:rsidRPr="00F84C40">
        <w:rPr>
          <w:rFonts w:asciiTheme="majorHAnsi" w:hAnsiTheme="majorHAnsi" w:cstheme="majorHAnsi"/>
          <w:sz w:val="16"/>
          <w:szCs w:val="16"/>
        </w:rPr>
        <w:t>Kuyularonu</w:t>
      </w:r>
      <w:proofErr w:type="spellEnd"/>
      <w:r w:rsidRPr="00F84C40">
        <w:rPr>
          <w:rFonts w:asciiTheme="majorHAnsi" w:hAnsiTheme="majorHAnsi" w:cstheme="majorHAnsi"/>
          <w:sz w:val="16"/>
          <w:szCs w:val="16"/>
        </w:rPr>
        <w:t xml:space="preserve"> Mosque</w:t>
      </w:r>
    </w:p>
    <w:p w14:paraId="614FB110" w14:textId="77777777" w:rsidR="00F84C40" w:rsidRPr="00F84C40" w:rsidRDefault="00F84C40" w:rsidP="00F84C40">
      <w:pPr>
        <w:ind w:firstLine="284"/>
        <w:jc w:val="both"/>
        <w:rPr>
          <w:rFonts w:ascii="Calibri Light" w:hAnsi="Calibri Light" w:cs="Calibri Light"/>
          <w:sz w:val="20"/>
          <w:szCs w:val="20"/>
        </w:rPr>
      </w:pPr>
    </w:p>
    <w:p w14:paraId="494899D7"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In contrast, the Sunshine Mosque in Melbourne stands alone, with no activities besides religious practices. The surroundings of the mosque consist of buildings spaced far apart, with no signs of bustling crowds. In front of the mosque is Ballarat Road, a main road with heavy vehicle traffic. Although there are residential areas near the mosque, these </w:t>
      </w:r>
      <w:proofErr w:type="spellStart"/>
      <w:r w:rsidRPr="00F84C40">
        <w:rPr>
          <w:rFonts w:ascii="Calibri Light" w:hAnsi="Calibri Light" w:cs="Calibri Light"/>
          <w:sz w:val="20"/>
          <w:szCs w:val="20"/>
        </w:rPr>
        <w:t>neighborhoods</w:t>
      </w:r>
      <w:proofErr w:type="spellEnd"/>
      <w:r w:rsidRPr="00F84C40">
        <w:rPr>
          <w:rFonts w:ascii="Calibri Light" w:hAnsi="Calibri Light" w:cs="Calibri Light"/>
          <w:sz w:val="20"/>
          <w:szCs w:val="20"/>
        </w:rPr>
        <w:t xml:space="preserve"> are multicultural settlements with mixed land use that are not directly connected to the broader Islamic or Turkish Cypriot communities.</w:t>
      </w:r>
    </w:p>
    <w:p w14:paraId="01429D95"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Planning's demand for cultural or religious neutrality often implicitly reinforces dominant norms for public and private spaces. Such conflicts are complex and cannot be easily categorized into legitimate or illegitimate concerns. They reflect broader multicultural tensions and manifest in nuanced spatial practices and representations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{"citationID":"ZBmFl8oj","properties":{"formattedCitation":"[18]","plainCitation":"[18]","noteIndex":0},"citationItems":[{"id":6847,"uris":["http://zotero.org/users/11111567/items/KLXG5VZG"],"itemData":{"id":6847,"type":"article-journal","abstract":"Despite a legacy of seemingly enlightened non-sectarian provision of sites and space for religious worship, current planning systems appear to create conditions in which many religious development proposals are problematic, conflict-ridden and politicised. Indeed, the planning system is a primary site for community conflicts that are often expressions of broader social anxieties and discord - some of which have violent expression. Planners need to strategically engage with the theory and practice of faith-responsive planning. Historically, communities engaged with religion locally; now, many congregations travel further to attend places of worship that serve larger regions and disparate sectarian communities. These include facilities of different faiths, specific sects within a faith and particular ethno-cultural expressions of a faith amongst other variegations of community, education and religious service. Thus, religious difference, population dynamics and urban growth has created mosques in industrial sites, monasteries in paddocks, and synagogues in old libraries, which have substantial effects on urban form and mobility at the metropolitan scale and planning disputes on the neighbourhood scale. The planning system in Australia is challenged by competing objectives of providing community facilities in established and new areas, while also addressing the consequences of the increasingly complex activities associated with places of worship. Through a thematic analysis, this paper examines 20 years of Victorian planning appeals cases across multiple faiths to explore the ways in which an ostensibly secular, disinterested regulatory framework obscures deep disquiet at the role and place of religion in the urban fabric of multicultural communities.","language":"en","source":"Zotero","title":"Adjudicating Faith: 20 Years of Secular Decision-Making for Religious Spaces","author":[{"family":"Rudner","given":"Julie"},{"family":"Butt","given":"Andrew"},{"family":"Lobo","given":"Michele"}]}}],"schema":"https://github.com/citation-style-language/schema/raw/master/csl-citation.json"}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[18]</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Victoria, Australia, has 67 mosques, with the first purpose-built mosque erected by Albanian immigrants in Shepperton, an agricultural region, in 1969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{"citationID":"QrCrSgaY","properties":{"formattedCitation":"[6], [8]","plainCitation":"[6], [8]","noteIndex":0},"citationItems":[{"id":6825,"uris":["http://zotero.org/users/11111567/items/T63YTDGC"],"itemData":{"id":6825,"type":"article-journal","language":"en","source":"Zotero","title":"Architecture of the Adelaide Mosque: Hybridity, Resilience and Assimilation","issued":{"date-parts":[["2024"]]}}},{"id":3438,"uris":["http://zotero.org/users/11111567/items/CK5XVVH3"],"itemData":{"id":3438,"type":"article-journal","abstract":"Although Muslim migration to Australia’s new world settler society has a long pedigree, their population and civic presence have grown in recent decades. New generations of Muslim migrants require the nation to engage with their histories and post-secular religious pluralism. Part of their history can be traced through their places of worship. This includes temporary structures along the inland telegraph route (the 1850s), the ﬁrst permanent mosques in South Australia (Adelaide, 1888) and Victoria (Shepparton, 1956–60), and a variety of contemporary mosques as the population grows – indicating more settled lives. The aim was/is to provide sites of communal, spiritual, cultural, social, and educational guidance. Mosques often comprise(d) hybrid designs using a combination of local materials to ﬁt with the existing built environment and to integrate unobtrusively. Recent examples of mosque development indicate a qualitative shift based on interacting social imaginaries of both Muslims and non-Muslims, which serves two key symbolic and social functions: as architectures of self-inclusion, and as architectures of assurance to the dominant, nonMuslim public in a society that resolutely “others” the Islamic faith and Muslim people. This paper explores the complex implications of this two-fold self-inclusion/assurance discourse by way of two case studies: the Hobson’s Bay mosque in Melbourne and the proposed Bendigo mosque.","container-title":"Fabrications","DOI":"10.1080/10331867.2020.1749220","ISSN":"1033-1867, 2164-4756","issue":"2","journalAbbreviation":"Fabrications","language":"en","page":"153-175","source":"DOI.org (Crossref)","title":"Islamic Architectures of Self-Inclusion and Assurance in a Multicultural Society","volume":"30","author":[{"family":"Rudner","given":"Julie"},{"family":"Shahani","given":"Fatemeh"},{"family":"Hogan","given":"Trevor"}],"issued":{"date-parts":[["2020",5,3]]}}}],"schema":"https://github.com/citation-style-language/schema/raw/master/csl-citation.json"}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[6], [8]</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Establishing places of worship in Melbourne, such as mosques, is sporadic because their development is not based on general spatial planning regulations and is not explicitly </w:t>
      </w:r>
      <w:r w:rsidRPr="00F84C40">
        <w:rPr>
          <w:rFonts w:ascii="Calibri Light" w:hAnsi="Calibri Light" w:cs="Calibri Light"/>
          <w:sz w:val="20"/>
          <w:szCs w:val="20"/>
        </w:rPr>
        <w:lastRenderedPageBreak/>
        <w:t>included in Victoria’s Precinct Structure Planning (PSP) rules. In countries with Islamic governance, urban planning for mosques typically considers factors such as the number of users, travel distance from residential areas, and connections to other supporting facilities. However, as a secular country, Australia does not strictly regulate the location of places of worship. Ordinary buildings can easily be converted into places of worship. This is because Australian societies prioritize noise, traffic circulation, and parking when establishing a place of worship, which affects their residential environment. The concern is more about these practical aspects than religious issues, as religion is viewed as a personal matter of individual faith. The Sunshine Mosque, for instance, was established through donations from the community, initially starting from the rental of a multi-purpose building.</w:t>
      </w:r>
    </w:p>
    <w:p w14:paraId="7896968C"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In Melbourne's urban and transportation landscape, the Sunshine Mosque serves as a bus stop, making it a key reference point and landmark for the surrounding area. This has positive implications for spatial planning, especially with the increasing number of Australians converting to Islam. The establishment of mosques has become a concern in accommodating multicultural and diversification issues. The similarity between the Sunshine Mosque and iconic mosques in Turkey is that both function as spatial benchmarks for urban planning and public transportation.</w:t>
      </w:r>
    </w:p>
    <w:p w14:paraId="441A7085" w14:textId="77777777" w:rsidR="00F84C40" w:rsidRPr="00F84C40" w:rsidRDefault="00F84C40" w:rsidP="00F84C40">
      <w:pPr>
        <w:ind w:firstLine="284"/>
        <w:jc w:val="both"/>
        <w:rPr>
          <w:rFonts w:ascii="Calibri Light" w:hAnsi="Calibri Light" w:cs="Calibri Light"/>
          <w:sz w:val="20"/>
          <w:szCs w:val="20"/>
        </w:rPr>
      </w:pPr>
    </w:p>
    <w:p w14:paraId="455B7B4D" w14:textId="1ABB064B" w:rsidR="00F84C40" w:rsidRPr="00F84C40" w:rsidRDefault="00F84C40" w:rsidP="00DA5FC8">
      <w:pPr>
        <w:ind w:firstLine="284"/>
        <w:jc w:val="center"/>
        <w:rPr>
          <w:rFonts w:ascii="Calibri Light" w:hAnsi="Calibri Light" w:cs="Calibri Light"/>
          <w:sz w:val="20"/>
          <w:szCs w:val="20"/>
        </w:rPr>
      </w:pPr>
      <w:r w:rsidRPr="00F84C40">
        <w:rPr>
          <w:rFonts w:ascii="Calibri Light" w:hAnsi="Calibri Light" w:cs="Calibri Light"/>
          <w:sz w:val="20"/>
          <w:szCs w:val="20"/>
        </w:rPr>
        <w:drawing>
          <wp:inline distT="0" distB="0" distL="0" distR="0" wp14:anchorId="5165C5AE" wp14:editId="74AD9D50">
            <wp:extent cx="2219325" cy="1647825"/>
            <wp:effectExtent l="0" t="0" r="9525" b="9525"/>
            <wp:docPr id="359347883" name="Picture 33" descr="A sign on a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A sign on a po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219325" cy="1647825"/>
                    </a:xfrm>
                    <a:prstGeom prst="rect">
                      <a:avLst/>
                    </a:prstGeom>
                    <a:noFill/>
                    <a:ln>
                      <a:noFill/>
                    </a:ln>
                  </pic:spPr>
                </pic:pic>
              </a:graphicData>
            </a:graphic>
          </wp:inline>
        </w:drawing>
      </w:r>
      <w:r w:rsidRPr="00F84C40">
        <w:rPr>
          <w:rFonts w:ascii="Calibri Light" w:hAnsi="Calibri Light" w:cs="Calibri Light"/>
          <w:sz w:val="20"/>
          <w:szCs w:val="20"/>
        </w:rPr>
        <w:drawing>
          <wp:inline distT="0" distB="0" distL="0" distR="0" wp14:anchorId="485D77FB" wp14:editId="135666AC">
            <wp:extent cx="2905125" cy="2219325"/>
            <wp:effectExtent l="0" t="0" r="9525" b="9525"/>
            <wp:docPr id="53810284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05125" cy="2219325"/>
                    </a:xfrm>
                    <a:prstGeom prst="rect">
                      <a:avLst/>
                    </a:prstGeom>
                    <a:noFill/>
                    <a:ln>
                      <a:noFill/>
                    </a:ln>
                  </pic:spPr>
                </pic:pic>
              </a:graphicData>
            </a:graphic>
          </wp:inline>
        </w:drawing>
      </w:r>
    </w:p>
    <w:p w14:paraId="7330003D" w14:textId="77777777" w:rsidR="00DA5FC8" w:rsidRDefault="00DA5FC8" w:rsidP="00DA5FC8">
      <w:pPr>
        <w:ind w:firstLine="284"/>
        <w:jc w:val="center"/>
        <w:rPr>
          <w:rFonts w:asciiTheme="majorHAnsi" w:hAnsiTheme="majorHAnsi" w:cstheme="majorHAnsi"/>
          <w:sz w:val="16"/>
          <w:szCs w:val="16"/>
        </w:rPr>
      </w:pPr>
    </w:p>
    <w:p w14:paraId="619622C5" w14:textId="180AD8E8" w:rsidR="00F84C40" w:rsidRPr="00F84C40" w:rsidRDefault="00F84C40" w:rsidP="00DA5FC8">
      <w:pPr>
        <w:ind w:firstLine="284"/>
        <w:jc w:val="center"/>
        <w:rPr>
          <w:rFonts w:asciiTheme="majorHAnsi" w:hAnsiTheme="majorHAnsi" w:cstheme="majorHAnsi"/>
          <w:sz w:val="16"/>
          <w:szCs w:val="16"/>
        </w:rPr>
      </w:pPr>
      <w:r w:rsidRPr="00F84C40">
        <w:rPr>
          <w:rFonts w:asciiTheme="majorHAnsi" w:hAnsiTheme="majorHAnsi" w:cstheme="majorHAnsi"/>
          <w:sz w:val="16"/>
          <w:szCs w:val="16"/>
        </w:rPr>
        <w:t>Figure 2. Spatial Linkage around Sunshine Mosque</w:t>
      </w:r>
    </w:p>
    <w:p w14:paraId="1A52FCE6" w14:textId="77777777" w:rsidR="00F84C40" w:rsidRPr="00F84C40" w:rsidRDefault="00F84C40" w:rsidP="00F84C40">
      <w:pPr>
        <w:ind w:firstLine="284"/>
        <w:jc w:val="both"/>
        <w:rPr>
          <w:rFonts w:ascii="Calibri Light" w:hAnsi="Calibri Light" w:cs="Calibri Light"/>
          <w:sz w:val="20"/>
          <w:szCs w:val="20"/>
        </w:rPr>
      </w:pPr>
    </w:p>
    <w:p w14:paraId="7CBCD4D9" w14:textId="6706C4E4" w:rsidR="00F84C40" w:rsidRPr="00F84C40" w:rsidRDefault="00DA5FC8" w:rsidP="00DA5FC8">
      <w:pPr>
        <w:ind w:left="567" w:hanging="567"/>
        <w:jc w:val="both"/>
        <w:rPr>
          <w:rFonts w:asciiTheme="majorHAnsi" w:hAnsiTheme="majorHAnsi" w:cstheme="majorHAnsi"/>
          <w:b/>
          <w:bCs/>
          <w:color w:val="000000" w:themeColor="text1"/>
          <w:sz w:val="18"/>
          <w:szCs w:val="18"/>
        </w:rPr>
      </w:pPr>
      <w:r w:rsidRPr="00DA5FC8">
        <w:rPr>
          <w:rFonts w:asciiTheme="majorHAnsi" w:hAnsiTheme="majorHAnsi" w:cstheme="majorHAnsi"/>
          <w:b/>
          <w:bCs/>
          <w:color w:val="000000" w:themeColor="text1"/>
          <w:sz w:val="18"/>
          <w:szCs w:val="18"/>
        </w:rPr>
        <w:t>3.2.2</w:t>
      </w:r>
      <w:r w:rsidRPr="00DA5FC8">
        <w:rPr>
          <w:rFonts w:asciiTheme="majorHAnsi" w:hAnsiTheme="majorHAnsi" w:cstheme="majorHAnsi"/>
          <w:b/>
          <w:bCs/>
          <w:color w:val="000000" w:themeColor="text1"/>
          <w:sz w:val="18"/>
          <w:szCs w:val="18"/>
        </w:rPr>
        <w:tab/>
        <w:t xml:space="preserve">Structure Construction </w:t>
      </w:r>
    </w:p>
    <w:p w14:paraId="4191CAA4"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Diverse cultures, from Central Asia to Europe, influenced the reinterpretation of dome architecture in Ottoman mosques. This evolution, from the pre-Istanbul era to the peak of the Ottoman Empire, is connected by distinct architectural links. The </w:t>
      </w:r>
      <w:proofErr w:type="spellStart"/>
      <w:r w:rsidRPr="00F84C40">
        <w:rPr>
          <w:rFonts w:ascii="Calibri Light" w:hAnsi="Calibri Light" w:cs="Calibri Light"/>
          <w:sz w:val="20"/>
          <w:szCs w:val="20"/>
        </w:rPr>
        <w:t>Karakhanids</w:t>
      </w:r>
      <w:proofErr w:type="spellEnd"/>
      <w:r w:rsidRPr="00F84C40">
        <w:rPr>
          <w:rFonts w:ascii="Calibri Light" w:hAnsi="Calibri Light" w:cs="Calibri Light"/>
          <w:sz w:val="20"/>
          <w:szCs w:val="20"/>
        </w:rPr>
        <w:t xml:space="preserve"> and Ghaznavids of the 9th and 10th centuries introduced central domes, chambers, and courtyards with multi-column hypostyle and iwan structures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m5gGtpnR","properties":{"formattedCitation":"[12]","plainCitation":"[12]","noteIndex":0},"citationItems":[{"id":6695,"uris":["http://zotero.org/users/11111567/items/JR3L33ZH"],"itemData":{"id":6695,"type":"article-journal","language":"en","source":"Zotero","title":"Contemporary mosque architecture in Turkey","author":[{"family":"Moustafa","given":"Samaa"}]}}],"schema":"https://github.com/citation-style-language/schema/raw/master/csl-citation.json"}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[12]</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Various factors influenced the construction of mosques in Ottoman regions. Ottoman regulations required settlers in newly occupied areas to have places of worship, leading to the proliferation of Jami Mosques (Cami in Turkish) to accommodate growing Muslim populations. Economic prosperity also played a role, as wealthy towns sought to enhance their status through impressive mosque architecture. This blend of indigenous and Ottoman architectural styles integrated local climate and materials with Islamic Shariah regulations, showcasing Ottoman power and religious identity. The fundamental unit of early Ottoman architecture is the domed square. The primary objective of architects during this period was not to find an ideal upper structure but to create the most significant uninterrupted interior space with minimal vertical structural elements within the prayer hall. This approach showcases an architect's understanding of the distinctive features of Ottoman spatial conception. Different mosque layouts evolved, including single-dome, pendentive, multiple-dome, rectangular form, courtyard, and earring-dome courtyard layouts, each reflecting architectural and cultural transformations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{"citationID":"LLfMT75y","properties":{"formattedCitation":"[13], [19]","plainCitation":"[13], [19]","noteIndex":0},"citationItems":[{"id":6694,"uris":["http://zotero.org/users/11111567/items/MLERK4RN"],"itemData":{"id":6694,"type":"article-journal","container-title":"Middle Eastern Studies","DOI":"10.1080/00263206.2011.621758","ISSN":"0026-3206, 1743-7881","issue":"6","journalAbbreviation":"Middle Eastern Studies","language":"en","page":"911-922","source":"DOI.org (Crossref)","title":"Architecture and Image: The Example of Turkey","title-short":"Architecture and Image","volume":"47","author":[{"family":"Ozaslan","given":"Nuray"},{"family":"Akalin","given":"Aysu"}],"issued":{"date-parts":[["2011",11]]}}},{"id":6701,"uris":["http://zotero.org/users/11111567/items/XBC9URST"],"itemData":{"id":6701,"type":"article-journal","abstract":"This study attempts to quantify the inﬂuence of spatial conﬁguration on the functional efﬁciency of mosque layouts in the early Ottoman period. The literature review consists of two parts. The ﬁrst part is a theoretical study of the relationship between spatial conﬁguration and functional efﬁciency of mosque layouts. This part highlights the key syntactical characteristics and effect of spatial conﬁguration on the level of functional efﬁciency using space syntax theory. The second part is an analytical comparative description of the changes and transformations in the conﬁgurations of mosque layouts. The architectural styles are classiﬁed into six types based on layout designs. The main benchmarks and indicators involved in measuring the functional efﬁciency of mosque layouts are analyzed using the A-graph 2009 software program, which provides numerical results. This analysis compares entire samples of mosque layout designs for each category. The numerical results indicate the effect of spatial conﬁgurations and the functions of mosque layouts. This study shows that mosques with courtyard layouts are accessible, efﬁcient, and ﬂexible in terms of function because of their distinct syntactical and morphological spatial structures.","container-title":"Frontiers of Architectural Research","DOI":"10.1016/j.foar.2013.08.005","ISSN":"20952635","issue":"4","journalAbbreviation":"Frontiers of Architectural Research","language":"en","page":"445-456","source":"DOI.org (Crossref)","title":"Mosque layout design: An analytical study of mosque layouts in the early Ottoman period","title-short":"Mosque layout design","volume":"2","author":[{"family":"Mustafa","given":"Faris Ali"},{"family":"Hassan","given":"Ahmad Sanusi"}],"issued":{"date-parts":[["2013",12]]}}}],"schema":"https://github.com/citation-style-language/schema/raw/master/csl-citation.json"}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[13], [19]</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w:t>
      </w:r>
      <w:bookmarkStart w:id="0" w:name="Figure_3_Typology_Turkish_Mosque"/>
      <w:r w:rsidRPr="00F84C40">
        <w:rPr>
          <w:rFonts w:ascii="Calibri Light" w:hAnsi="Calibri Light" w:cs="Calibri Light"/>
          <w:sz w:val="20"/>
          <w:szCs w:val="20"/>
        </w:rPr>
        <w:fldChar w:fldCharType="begin"/>
      </w:r>
      <w:r w:rsidRPr="00F84C40">
        <w:rPr>
          <w:rFonts w:ascii="Calibri Light" w:hAnsi="Calibri Light" w:cs="Calibri Light"/>
          <w:sz w:val="20"/>
          <w:szCs w:val="20"/>
        </w:rPr>
        <w:instrText>HYPERLINK "file:///I:\\My%20Drive\\UIN\\JIA\\Vol%209%20No%201%20June%2026\\19%2028292-118001-1-LE.docx" \l "Figure_3_Typology_Turkish_Mosque"</w:instrText>
      </w:r>
      <w:r w:rsidRPr="00F84C40">
        <w:rPr>
          <w:rFonts w:ascii="Calibri Light" w:hAnsi="Calibri Light" w:cs="Calibri Light"/>
          <w:sz w:val="20"/>
          <w:szCs w:val="20"/>
        </w:rPr>
      </w:r>
      <w:r w:rsidRPr="00F84C40">
        <w:rPr>
          <w:rFonts w:ascii="Calibri Light" w:hAnsi="Calibri Light" w:cs="Calibri Light"/>
          <w:sz w:val="20"/>
          <w:szCs w:val="20"/>
        </w:rPr>
        <w:fldChar w:fldCharType="separate"/>
      </w:r>
      <w:r w:rsidRPr="00F84C40">
        <w:rPr>
          <w:rStyle w:val="Hyperlink"/>
          <w:rFonts w:ascii="Calibri Light" w:hAnsi="Calibri Light" w:cs="Calibri Light"/>
          <w:sz w:val="20"/>
          <w:szCs w:val="20"/>
        </w:rPr>
        <w:t>(see figure 3</w:t>
      </w:r>
      <w:r w:rsidRPr="00F84C40">
        <w:rPr>
          <w:rFonts w:ascii="Calibri Light" w:hAnsi="Calibri Light" w:cs="Calibri Light"/>
          <w:sz w:val="20"/>
          <w:szCs w:val="20"/>
        </w:rPr>
        <w:fldChar w:fldCharType="end"/>
      </w:r>
      <w:r w:rsidRPr="00F84C40">
        <w:rPr>
          <w:rFonts w:ascii="Calibri Light" w:hAnsi="Calibri Light" w:cs="Calibri Light"/>
          <w:i/>
          <w:iCs/>
          <w:sz w:val="20"/>
          <w:szCs w:val="20"/>
        </w:rPr>
        <w:t>)</w:t>
      </w:r>
      <w:bookmarkEnd w:id="0"/>
      <w:r w:rsidRPr="00F84C40">
        <w:rPr>
          <w:rFonts w:ascii="Calibri Light" w:hAnsi="Calibri Light" w:cs="Calibri Light"/>
          <w:sz w:val="20"/>
          <w:szCs w:val="20"/>
        </w:rPr>
        <w:t xml:space="preserve">. Another scholar argues that there are six types of pendentive dome configurations: single-dome layout (nuclear dome layout), earring layout (pendentive layout), multiple-dome layout, duplication dome, courtyard dome layout, and earring dome layout [19] despite similarities to Byzantine architecture and the borrowing of structural features such as alternating brick-and-stone coursing, early Ottoman buildings aimed for a different effect. While Byzantine architecture adhered to a rigid cruciform plan, Ottoman structures were characterized by a non-directional containment of the inner space by four walls. </w:t>
      </w:r>
    </w:p>
    <w:p w14:paraId="571BA8F5" w14:textId="2B818798" w:rsidR="00F84C40" w:rsidRDefault="00F84C40" w:rsidP="00DA5FC8">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The old Fatih Mosque in Constantinople (Istanbul) marks a departure from the prevailing ground plans of the time, introducing new artistic features that were crucial to subsequent development. Moreover, Ottoman-Turkish mosque architecture, contrary to common belief, draws more on Islamic-Persian madrasa architecture than on </w:t>
      </w:r>
      <w:r w:rsidRPr="00F84C40">
        <w:rPr>
          <w:rFonts w:ascii="Calibri Light" w:hAnsi="Calibri Light" w:cs="Calibri Light"/>
          <w:sz w:val="20"/>
          <w:szCs w:val="20"/>
        </w:rPr>
        <w:lastRenderedPageBreak/>
        <w:t xml:space="preserve">Christian Byzantine churches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b9z39nBA","properties":{"formattedCitation":"[19]","plainCitation":"[19]","noteIndex":0},"citationItems":[{"id":6706,"uris":["http://zotero.org/users/11111567/items/YS3WNH82"],"itemData":{"id":6706,"type":"article-journal","language":"en","source":"Zotero","title":"The Fatih Mosque at Constantinople","issued":{"date-parts":[["2024"]]}}}],"schema":"https://github.com/citation-style-language/schema/raw/master/csl-citation.json"}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[19]</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While the </w:t>
      </w:r>
      <w:proofErr w:type="spellStart"/>
      <w:r w:rsidRPr="00F84C40">
        <w:rPr>
          <w:rFonts w:ascii="Calibri Light" w:hAnsi="Calibri Light" w:cs="Calibri Light"/>
          <w:sz w:val="20"/>
          <w:szCs w:val="20"/>
        </w:rPr>
        <w:t>Kuyularonu</w:t>
      </w:r>
      <w:proofErr w:type="spellEnd"/>
      <w:r w:rsidRPr="00F84C40">
        <w:rPr>
          <w:rFonts w:ascii="Calibri Light" w:hAnsi="Calibri Light" w:cs="Calibri Light"/>
          <w:sz w:val="20"/>
          <w:szCs w:val="20"/>
        </w:rPr>
        <w:t xml:space="preserve"> Mosque exhibits distinctive Turkish mosque characteristics by not prominently featuring large, numerous domes, it possesses a spacious courtyard and a monumental spatial design. Even without many large domes, minarets symbolize the place of worship.</w:t>
      </w:r>
    </w:p>
    <w:p w14:paraId="7CB83518" w14:textId="77777777" w:rsidR="008B7C9B" w:rsidRPr="00F84C40" w:rsidRDefault="008B7C9B" w:rsidP="00DA5FC8">
      <w:pPr>
        <w:ind w:firstLine="284"/>
        <w:jc w:val="both"/>
        <w:rPr>
          <w:rFonts w:ascii="Calibri Light" w:hAnsi="Calibri Light" w:cs="Calibri Light"/>
          <w:sz w:val="10"/>
          <w:szCs w:val="10"/>
        </w:rPr>
      </w:pPr>
    </w:p>
    <w:p w14:paraId="5B2DB610" w14:textId="7C41DEC2" w:rsidR="00F84C40" w:rsidRPr="00F84C40" w:rsidRDefault="00F84C40" w:rsidP="00DA5FC8">
      <w:pPr>
        <w:ind w:firstLine="284"/>
        <w:jc w:val="center"/>
        <w:rPr>
          <w:rFonts w:asciiTheme="majorHAnsi" w:hAnsiTheme="majorHAnsi" w:cstheme="majorHAnsi"/>
          <w:sz w:val="16"/>
          <w:szCs w:val="16"/>
        </w:rPr>
      </w:pPr>
      <w:r w:rsidRPr="00DA5FC8">
        <w:rPr>
          <w:rFonts w:asciiTheme="majorHAnsi" w:hAnsiTheme="majorHAnsi" w:cstheme="majorHAnsi"/>
          <w:sz w:val="16"/>
          <w:szCs w:val="16"/>
        </w:rPr>
        <w:drawing>
          <wp:inline distT="0" distB="0" distL="0" distR="0" wp14:anchorId="44D0B4DF" wp14:editId="28E0E1BF">
            <wp:extent cx="3398807" cy="2413404"/>
            <wp:effectExtent l="0" t="0" r="0" b="6350"/>
            <wp:docPr id="156662433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4" cstate="print">
                      <a:extLst>
                        <a:ext uri="{28A0092B-C50C-407E-A947-70E740481C1C}">
                          <a14:useLocalDpi xmlns:a14="http://schemas.microsoft.com/office/drawing/2010/main" val="0"/>
                        </a:ext>
                      </a:extLst>
                    </a:blip>
                    <a:srcRect l="11385" t="6389" r="15674" b="1463"/>
                    <a:stretch>
                      <a:fillRect/>
                    </a:stretch>
                  </pic:blipFill>
                  <pic:spPr bwMode="auto">
                    <a:xfrm>
                      <a:off x="0" y="0"/>
                      <a:ext cx="3400532" cy="2414629"/>
                    </a:xfrm>
                    <a:prstGeom prst="rect">
                      <a:avLst/>
                    </a:prstGeom>
                    <a:noFill/>
                    <a:ln>
                      <a:noFill/>
                    </a:ln>
                  </pic:spPr>
                </pic:pic>
              </a:graphicData>
            </a:graphic>
          </wp:inline>
        </w:drawing>
      </w:r>
    </w:p>
    <w:p w14:paraId="49029AB0" w14:textId="77777777" w:rsidR="00DA5FC8" w:rsidRDefault="00DA5FC8" w:rsidP="00DA5FC8">
      <w:pPr>
        <w:ind w:firstLine="284"/>
        <w:jc w:val="center"/>
        <w:rPr>
          <w:rFonts w:asciiTheme="majorHAnsi" w:hAnsiTheme="majorHAnsi" w:cstheme="majorHAnsi"/>
          <w:sz w:val="16"/>
          <w:szCs w:val="16"/>
        </w:rPr>
      </w:pPr>
    </w:p>
    <w:p w14:paraId="03AE75B5" w14:textId="4BDBC432" w:rsidR="00F84C40" w:rsidRPr="00F84C40" w:rsidRDefault="00F84C40" w:rsidP="00DA5FC8">
      <w:pPr>
        <w:ind w:firstLine="284"/>
        <w:jc w:val="center"/>
        <w:rPr>
          <w:rFonts w:asciiTheme="majorHAnsi" w:hAnsiTheme="majorHAnsi" w:cstheme="majorHAnsi"/>
          <w:sz w:val="16"/>
          <w:szCs w:val="16"/>
        </w:rPr>
      </w:pPr>
      <w:r w:rsidRPr="00F84C40">
        <w:rPr>
          <w:rFonts w:asciiTheme="majorHAnsi" w:hAnsiTheme="majorHAnsi" w:cstheme="majorHAnsi"/>
          <w:sz w:val="16"/>
          <w:szCs w:val="16"/>
        </w:rPr>
        <w:t xml:space="preserve">Figure 3. Typology of Turkish Mosques </w:t>
      </w:r>
      <w:r w:rsidRPr="00F84C40">
        <w:rPr>
          <w:rFonts w:asciiTheme="majorHAnsi" w:hAnsiTheme="majorHAnsi" w:cstheme="majorHAnsi"/>
          <w:sz w:val="16"/>
          <w:szCs w:val="16"/>
        </w:rPr>
        <w:fldChar w:fldCharType="begin"/>
      </w:r>
      <w:r w:rsidRPr="00F84C40">
        <w:rPr>
          <w:rFonts w:asciiTheme="majorHAnsi" w:hAnsiTheme="majorHAnsi" w:cstheme="majorHAnsi"/>
          <w:sz w:val="16"/>
          <w:szCs w:val="16"/>
        </w:rPr>
        <w:instrText xml:space="preserve"> ADDIN ZOTERO_ITEM CSL_CITATION {"citationID":"SOjCovoX","properties":{"formattedCitation":"[19]","plainCitation":"[19]","noteIndex":0},"citationItems":[{"id":6701,"uris":["http://zotero.org/users/11111567/items/XBC9URST"],"itemData":{"id":6701,"type":"article-journal","abstract":"This study attempts to quantify the inﬂuence of spatial conﬁguration on the functional efﬁciency of mosque layouts in the early Ottoman period. The literature review consists of two parts. The ﬁrst part is a theoretical study of the relationship between spatial conﬁguration and functional efﬁciency of mosque layouts. This part highlights the key syntactical characteristics and effect of spatial conﬁguration on the level of functional efﬁciency using space syntax theory. The second part is an analytical comparative description of the changes and transformations in the conﬁgurations of mosque layouts. The architectural styles are classiﬁed into six types based on layout designs. The main benchmarks and indicators involved in measuring the functional efﬁciency of mosque layouts are analyzed using the A-graph 2009 software program, which provides numerical results. This analysis compares entire samples of mosque layout designs for each category. The numerical results indicate the effect of spatial conﬁgurations and the functions of mosque layouts. This study shows that mosques with courtyard layouts are accessible, efﬁcient, and ﬂexible in terms of function because of their distinct syntactical and morphological spatial structures.","container-title":"Frontiers of Architectural Research","DOI":"10.1016/j.foar.2013.08.005","ISSN":"20952635","issue":"4","journalAbbreviation":"Frontiers of Architectural Research","language":"en","page":"445-456","source":"DOI.org (Crossref)","title":"Mosque layout design: An analytical study of mosque layouts in the early Ottoman period","title-short":"Mosque layout design","volume":"2","author":[{"family":"Mustafa","given":"Faris Ali"},{"family":"Hassan","given":"Ahmad Sanusi"}],"issued":{"date-parts":[["2013",12]]}}}],"schema":"https://github.com/citation-style-language/schema/raw/master/csl-citation.json"} </w:instrText>
      </w:r>
      <w:r w:rsidRPr="00F84C40">
        <w:rPr>
          <w:rFonts w:asciiTheme="majorHAnsi" w:hAnsiTheme="majorHAnsi" w:cstheme="majorHAnsi"/>
          <w:sz w:val="16"/>
          <w:szCs w:val="16"/>
        </w:rPr>
        <w:fldChar w:fldCharType="separate"/>
      </w:r>
      <w:r w:rsidRPr="00F84C40">
        <w:rPr>
          <w:rFonts w:asciiTheme="majorHAnsi" w:hAnsiTheme="majorHAnsi" w:cstheme="majorHAnsi"/>
          <w:sz w:val="16"/>
          <w:szCs w:val="16"/>
        </w:rPr>
        <w:t>[19]</w:t>
      </w:r>
      <w:r w:rsidRPr="00F84C40">
        <w:rPr>
          <w:rFonts w:asciiTheme="majorHAnsi" w:hAnsiTheme="majorHAnsi" w:cstheme="majorHAnsi"/>
          <w:sz w:val="16"/>
          <w:szCs w:val="16"/>
        </w:rPr>
        <w:fldChar w:fldCharType="end"/>
      </w:r>
    </w:p>
    <w:p w14:paraId="56E657D3" w14:textId="77777777" w:rsidR="00F84C40" w:rsidRPr="00F84C40" w:rsidRDefault="00F84C40" w:rsidP="00DA5FC8">
      <w:pPr>
        <w:ind w:firstLine="284"/>
        <w:jc w:val="center"/>
        <w:rPr>
          <w:rFonts w:asciiTheme="majorHAnsi" w:hAnsiTheme="majorHAnsi" w:cstheme="majorHAnsi"/>
          <w:sz w:val="16"/>
          <w:szCs w:val="16"/>
        </w:rPr>
      </w:pPr>
    </w:p>
    <w:p w14:paraId="5DC426E5" w14:textId="268502A7" w:rsidR="00F84C40" w:rsidRPr="00F84C40" w:rsidRDefault="00F84C40" w:rsidP="00DA5FC8">
      <w:pPr>
        <w:ind w:firstLine="284"/>
        <w:jc w:val="center"/>
        <w:rPr>
          <w:rFonts w:asciiTheme="majorHAnsi" w:hAnsiTheme="majorHAnsi" w:cstheme="majorHAnsi"/>
          <w:sz w:val="16"/>
          <w:szCs w:val="16"/>
        </w:rPr>
      </w:pPr>
      <w:r w:rsidRPr="00DA5FC8">
        <w:rPr>
          <w:rFonts w:asciiTheme="majorHAnsi" w:hAnsiTheme="majorHAnsi" w:cstheme="majorHAnsi"/>
          <w:sz w:val="16"/>
          <w:szCs w:val="16"/>
        </w:rPr>
        <w:drawing>
          <wp:inline distT="0" distB="0" distL="0" distR="0" wp14:anchorId="15B79CF1" wp14:editId="59B2512C">
            <wp:extent cx="3114135" cy="1752765"/>
            <wp:effectExtent l="0" t="0" r="0" b="0"/>
            <wp:docPr id="1366155626" name="Picture 30" descr="A group of people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group of people in front of a building&#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61343" cy="1779336"/>
                    </a:xfrm>
                    <a:prstGeom prst="rect">
                      <a:avLst/>
                    </a:prstGeom>
                    <a:noFill/>
                    <a:ln>
                      <a:noFill/>
                    </a:ln>
                  </pic:spPr>
                </pic:pic>
              </a:graphicData>
            </a:graphic>
          </wp:inline>
        </w:drawing>
      </w:r>
    </w:p>
    <w:p w14:paraId="71D9493A" w14:textId="77777777" w:rsidR="00DA5FC8" w:rsidRDefault="00DA5FC8" w:rsidP="00DA5FC8">
      <w:pPr>
        <w:ind w:firstLine="284"/>
        <w:jc w:val="center"/>
        <w:rPr>
          <w:rFonts w:asciiTheme="majorHAnsi" w:hAnsiTheme="majorHAnsi" w:cstheme="majorHAnsi"/>
          <w:sz w:val="16"/>
          <w:szCs w:val="16"/>
        </w:rPr>
      </w:pPr>
    </w:p>
    <w:p w14:paraId="491518F3" w14:textId="03F53AB1" w:rsidR="00F84C40" w:rsidRPr="00F84C40" w:rsidRDefault="00F84C40" w:rsidP="00DA5FC8">
      <w:pPr>
        <w:ind w:firstLine="284"/>
        <w:jc w:val="center"/>
        <w:rPr>
          <w:rFonts w:asciiTheme="majorHAnsi" w:hAnsiTheme="majorHAnsi" w:cstheme="majorHAnsi"/>
          <w:sz w:val="16"/>
          <w:szCs w:val="16"/>
        </w:rPr>
      </w:pPr>
      <w:r w:rsidRPr="00F84C40">
        <w:rPr>
          <w:rFonts w:asciiTheme="majorHAnsi" w:hAnsiTheme="majorHAnsi" w:cstheme="majorHAnsi"/>
          <w:sz w:val="16"/>
          <w:szCs w:val="16"/>
        </w:rPr>
        <w:t>Figure 4 (a). The Façade of Sultan Ahmed Mosque</w:t>
      </w:r>
    </w:p>
    <w:p w14:paraId="496B027C" w14:textId="77777777" w:rsidR="00F84C40" w:rsidRPr="00F84C40" w:rsidRDefault="00F84C40" w:rsidP="00DA5FC8">
      <w:pPr>
        <w:ind w:firstLine="284"/>
        <w:jc w:val="center"/>
        <w:rPr>
          <w:rFonts w:asciiTheme="majorHAnsi" w:hAnsiTheme="majorHAnsi" w:cstheme="majorHAnsi"/>
          <w:sz w:val="16"/>
          <w:szCs w:val="16"/>
        </w:rPr>
      </w:pPr>
    </w:p>
    <w:p w14:paraId="294B3194" w14:textId="17D31301" w:rsidR="00F84C40" w:rsidRPr="00F84C40" w:rsidRDefault="00F84C40" w:rsidP="00DA5FC8">
      <w:pPr>
        <w:ind w:firstLine="284"/>
        <w:jc w:val="center"/>
        <w:rPr>
          <w:rFonts w:asciiTheme="majorHAnsi" w:hAnsiTheme="majorHAnsi" w:cstheme="majorHAnsi"/>
          <w:sz w:val="16"/>
          <w:szCs w:val="16"/>
        </w:rPr>
      </w:pPr>
      <w:r w:rsidRPr="00DA5FC8">
        <w:rPr>
          <w:rFonts w:asciiTheme="majorHAnsi" w:hAnsiTheme="majorHAnsi" w:cstheme="majorHAnsi"/>
          <w:sz w:val="16"/>
          <w:szCs w:val="16"/>
        </w:rPr>
        <w:drawing>
          <wp:inline distT="0" distB="0" distL="0" distR="0" wp14:anchorId="400C796E" wp14:editId="7AB6473B">
            <wp:extent cx="3124200" cy="1762125"/>
            <wp:effectExtent l="0" t="0" r="0" b="9525"/>
            <wp:docPr id="28254778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24200" cy="1762125"/>
                    </a:xfrm>
                    <a:prstGeom prst="rect">
                      <a:avLst/>
                    </a:prstGeom>
                    <a:noFill/>
                    <a:ln>
                      <a:noFill/>
                    </a:ln>
                  </pic:spPr>
                </pic:pic>
              </a:graphicData>
            </a:graphic>
          </wp:inline>
        </w:drawing>
      </w:r>
    </w:p>
    <w:p w14:paraId="6D81E6D6" w14:textId="77777777" w:rsidR="00DA5FC8" w:rsidRDefault="00DA5FC8" w:rsidP="00DA5FC8">
      <w:pPr>
        <w:ind w:firstLine="284"/>
        <w:jc w:val="center"/>
        <w:rPr>
          <w:rFonts w:asciiTheme="majorHAnsi" w:hAnsiTheme="majorHAnsi" w:cstheme="majorHAnsi"/>
          <w:sz w:val="16"/>
          <w:szCs w:val="16"/>
        </w:rPr>
      </w:pPr>
    </w:p>
    <w:p w14:paraId="44B9CF23" w14:textId="37DB275D" w:rsidR="00F84C40" w:rsidRPr="00F84C40" w:rsidRDefault="00F84C40" w:rsidP="00DA5FC8">
      <w:pPr>
        <w:ind w:firstLine="284"/>
        <w:jc w:val="center"/>
        <w:rPr>
          <w:rFonts w:asciiTheme="majorHAnsi" w:hAnsiTheme="majorHAnsi" w:cstheme="majorHAnsi"/>
          <w:sz w:val="16"/>
          <w:szCs w:val="16"/>
        </w:rPr>
      </w:pPr>
      <w:r w:rsidRPr="00F84C40">
        <w:rPr>
          <w:rFonts w:asciiTheme="majorHAnsi" w:hAnsiTheme="majorHAnsi" w:cstheme="majorHAnsi"/>
          <w:sz w:val="16"/>
          <w:szCs w:val="16"/>
        </w:rPr>
        <w:t>Figure 4 (b). The Façade of Fatih Mosque</w:t>
      </w:r>
    </w:p>
    <w:p w14:paraId="274C396C" w14:textId="77777777" w:rsidR="00F84C40" w:rsidRPr="00F84C40" w:rsidRDefault="00F84C40" w:rsidP="00F84C40">
      <w:pPr>
        <w:ind w:firstLine="284"/>
        <w:jc w:val="both"/>
        <w:rPr>
          <w:rFonts w:ascii="Calibri Light" w:hAnsi="Calibri Light" w:cs="Calibri Light"/>
          <w:sz w:val="20"/>
          <w:szCs w:val="20"/>
        </w:rPr>
      </w:pPr>
    </w:p>
    <w:p w14:paraId="3243B78E"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From the outside, the Sunshine Mosque is characterized by eight symmetrical arches along the outer corridor that encircle the mosque, showcasing a layout that combines multiple domes and duplication dome patterns. Each arch is supported by columns that form mini domes, complementing the larger dome above. This geometric repetition is strongly reminiscent of Ottoman architecture. The dome is accompanied by a minaret that rises above its height. The appearance of the Sunshine Mosque's dome undoubtedly resembles a replica of the Sultan Ahmet Mosque in Istanbul. The curved lines and symmetrical distribution of the domes are distinctive features of Ottoman legacy mosques. While the Blue Mosque has 13 domes, the Sunshine Mosque boasts 17, all arranged harmoniously in the classical architectural style of Mimar Sinan. </w:t>
      </w:r>
    </w:p>
    <w:p w14:paraId="6AE59BD3" w14:textId="77777777" w:rsidR="00F84C40" w:rsidRPr="00F84C40" w:rsidRDefault="00F84C40" w:rsidP="00F84C40">
      <w:pPr>
        <w:ind w:firstLine="284"/>
        <w:jc w:val="both"/>
        <w:rPr>
          <w:rFonts w:ascii="Calibri Light" w:hAnsi="Calibri Light" w:cs="Calibri Light"/>
          <w:sz w:val="20"/>
          <w:szCs w:val="20"/>
        </w:rPr>
      </w:pPr>
    </w:p>
    <w:p w14:paraId="0597D44F" w14:textId="589D0D2C" w:rsidR="00F84C40" w:rsidRPr="00F84C40" w:rsidRDefault="00F84C40" w:rsidP="00DA5FC8">
      <w:pPr>
        <w:ind w:firstLine="284"/>
        <w:jc w:val="center"/>
        <w:rPr>
          <w:rFonts w:ascii="Calibri Light" w:hAnsi="Calibri Light" w:cs="Calibri Light"/>
          <w:b/>
          <w:iCs/>
          <w:sz w:val="20"/>
          <w:szCs w:val="20"/>
          <w:lang w:val="id-ID"/>
        </w:rPr>
      </w:pPr>
      <w:r w:rsidRPr="00F84C40">
        <w:rPr>
          <w:rFonts w:ascii="Calibri Light" w:hAnsi="Calibri Light" w:cs="Calibri Light"/>
          <w:b/>
          <w:sz w:val="20"/>
          <w:szCs w:val="20"/>
          <w:lang w:val="id-ID"/>
        </w:rPr>
        <w:drawing>
          <wp:inline distT="0" distB="0" distL="0" distR="0" wp14:anchorId="399B4D6C" wp14:editId="57A490A0">
            <wp:extent cx="2276475" cy="2105025"/>
            <wp:effectExtent l="0" t="9525" r="0" b="0"/>
            <wp:docPr id="1617787343" name="Picture 28" descr="A picture containing cloud, outdoor, sky,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cloud, outdoor, sky, screensho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r="19049"/>
                    <a:stretch>
                      <a:fillRect/>
                    </a:stretch>
                  </pic:blipFill>
                  <pic:spPr bwMode="auto">
                    <a:xfrm rot="5400000">
                      <a:off x="0" y="0"/>
                      <a:ext cx="2276475" cy="2105025"/>
                    </a:xfrm>
                    <a:prstGeom prst="rect">
                      <a:avLst/>
                    </a:prstGeom>
                    <a:noFill/>
                    <a:ln>
                      <a:noFill/>
                    </a:ln>
                  </pic:spPr>
                </pic:pic>
              </a:graphicData>
            </a:graphic>
          </wp:inline>
        </w:drawing>
      </w:r>
      <w:r w:rsidRPr="00F84C40">
        <w:rPr>
          <w:rFonts w:ascii="Calibri Light" w:hAnsi="Calibri Light" w:cs="Calibri Light"/>
          <w:b/>
          <w:sz w:val="20"/>
          <w:szCs w:val="20"/>
          <w:lang w:val="id-ID"/>
        </w:rPr>
        <w:drawing>
          <wp:inline distT="0" distB="0" distL="0" distR="0" wp14:anchorId="15F6079F" wp14:editId="54443735">
            <wp:extent cx="2276475" cy="1485900"/>
            <wp:effectExtent l="0" t="4762" r="4762" b="4763"/>
            <wp:docPr id="729072272" name="Picture 27" descr="A picture containing outdoor, building, sky, clou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A picture containing outdoor, building, sky, cloud&#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2276475" cy="1485900"/>
                    </a:xfrm>
                    <a:prstGeom prst="rect">
                      <a:avLst/>
                    </a:prstGeom>
                    <a:noFill/>
                    <a:ln>
                      <a:noFill/>
                    </a:ln>
                  </pic:spPr>
                </pic:pic>
              </a:graphicData>
            </a:graphic>
          </wp:inline>
        </w:drawing>
      </w:r>
    </w:p>
    <w:p w14:paraId="283A41F6" w14:textId="77777777" w:rsidR="00DA5FC8" w:rsidRDefault="00DA5FC8" w:rsidP="00DA5FC8">
      <w:pPr>
        <w:ind w:firstLine="284"/>
        <w:jc w:val="center"/>
        <w:rPr>
          <w:rFonts w:asciiTheme="majorHAnsi" w:hAnsiTheme="majorHAnsi" w:cstheme="majorHAnsi"/>
          <w:sz w:val="16"/>
          <w:szCs w:val="16"/>
        </w:rPr>
      </w:pPr>
    </w:p>
    <w:p w14:paraId="2CB8887B" w14:textId="7D6BB636" w:rsidR="00F84C40" w:rsidRPr="00F84C40" w:rsidRDefault="00F84C40" w:rsidP="00DA5FC8">
      <w:pPr>
        <w:ind w:firstLine="284"/>
        <w:jc w:val="center"/>
        <w:rPr>
          <w:rFonts w:asciiTheme="majorHAnsi" w:hAnsiTheme="majorHAnsi" w:cstheme="majorHAnsi"/>
          <w:sz w:val="16"/>
          <w:szCs w:val="16"/>
        </w:rPr>
      </w:pPr>
      <w:r w:rsidRPr="00F84C40">
        <w:rPr>
          <w:rFonts w:asciiTheme="majorHAnsi" w:hAnsiTheme="majorHAnsi" w:cstheme="majorHAnsi"/>
          <w:sz w:val="16"/>
          <w:szCs w:val="16"/>
        </w:rPr>
        <w:t>Figure 5. The Façade of the Sunshine Mosque</w:t>
      </w:r>
    </w:p>
    <w:p w14:paraId="3E58AFD9" w14:textId="77777777" w:rsidR="00F84C40" w:rsidRPr="00F84C40" w:rsidRDefault="00F84C40" w:rsidP="00F84C40">
      <w:pPr>
        <w:ind w:firstLine="284"/>
        <w:jc w:val="both"/>
        <w:rPr>
          <w:rFonts w:ascii="Calibri Light" w:hAnsi="Calibri Light" w:cs="Calibri Light"/>
          <w:sz w:val="20"/>
          <w:szCs w:val="20"/>
        </w:rPr>
      </w:pPr>
    </w:p>
    <w:p w14:paraId="6B5EF783" w14:textId="6AEDB3D8" w:rsidR="00F84C40" w:rsidRPr="00F84C40" w:rsidRDefault="008B7C9B" w:rsidP="00DA5FC8">
      <w:pPr>
        <w:ind w:left="567" w:hanging="567"/>
        <w:jc w:val="both"/>
        <w:rPr>
          <w:rFonts w:asciiTheme="majorHAnsi" w:hAnsiTheme="majorHAnsi" w:cstheme="majorHAnsi"/>
          <w:b/>
          <w:bCs/>
          <w:sz w:val="18"/>
          <w:szCs w:val="18"/>
        </w:rPr>
      </w:pPr>
      <w:r w:rsidRPr="00F84C40">
        <w:rPr>
          <w:rFonts w:asciiTheme="majorHAnsi" w:hAnsiTheme="majorHAnsi" w:cstheme="majorHAnsi"/>
          <w:b/>
          <w:bCs/>
          <w:sz w:val="18"/>
          <w:szCs w:val="18"/>
        </w:rPr>
        <w:t>3.2.3</w:t>
      </w:r>
      <w:r>
        <w:rPr>
          <w:rFonts w:asciiTheme="majorHAnsi" w:hAnsiTheme="majorHAnsi" w:cstheme="majorHAnsi"/>
          <w:b/>
          <w:bCs/>
          <w:sz w:val="18"/>
          <w:szCs w:val="18"/>
        </w:rPr>
        <w:tab/>
      </w:r>
      <w:r w:rsidRPr="00F84C40">
        <w:rPr>
          <w:rFonts w:asciiTheme="majorHAnsi" w:hAnsiTheme="majorHAnsi" w:cstheme="majorHAnsi"/>
          <w:b/>
          <w:bCs/>
          <w:sz w:val="18"/>
          <w:szCs w:val="18"/>
        </w:rPr>
        <w:t>Minarets</w:t>
      </w:r>
    </w:p>
    <w:p w14:paraId="00948C66" w14:textId="1240314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 Masonry minarets represent significant architectural elements inherited from the Seljuk and Ottoman Empires, symbolizing imperial dominance over territories and the broader influence of Islamic culture worldwide. Turkish minarets, characterized by slender, tapered shafts that may be cylindrical or polygonal, typically feature multiple galleries, distinguishing them from their Persian counterparts. Originating in Anatolia after the Battle of Malazgirt in 1071, early Turkish minarets followed styles from Turkestan and Khorasan, regions east of Iran. In the Ottoman period, minarets evolved into slim cylindrical or polygonal shafts with conical roofs, with specific rules governing their placement and number, particularly in mosques built by sultans. Standard components of a Classical Ottoman minaret include the footing, pulpit, transition segment, shaft, balcony, upper body section, spire, stairs, and end ornament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{"citationID":"xVxNRUjC","properties":{"formattedCitation":"[20]","plainCitation":"[20]","noteIndex":0},"citationItems":[{"id":6709,"uris":["http://zotero.org/users/11111567/items/UFMJGQDU"],"itemData":{"id":6709,"type":"article-journal","abstract":"Masonry minarets are one of the most significant architectural objects of the cultural inheritance from the period of Seljuk and Ottoman Empires. They may be considered as a sign of the Empire’s reign supreme on its territories and also a symbol of Islamic Culture all over the World. Even tough there are a lots of historical minarets in Turkey, very limited studies have been carried out depend upon especially in engineering concept.","language":"en","source":"Zotero","title":"Traditional Turkish Minarets on the Basis of Architectural and Engineering Concepts","author":[{"family":"Do","given":"Adem"},{"family":"Livao","given":"Ramazan"}]}}],"schema":"https://github.com/citation-style-language/schema/raw/master/csl-citation.json"}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[20]</w:t>
      </w:r>
      <w:r w:rsidRPr="00F84C40">
        <w:rPr>
          <w:rFonts w:ascii="Calibri Light" w:hAnsi="Calibri Light" w:cs="Calibri Light"/>
          <w:sz w:val="20"/>
          <w:szCs w:val="20"/>
        </w:rPr>
        <w:fldChar w:fldCharType="end"/>
      </w:r>
      <w:r w:rsidRPr="00F84C40">
        <w:rPr>
          <w:rFonts w:ascii="Calibri Light" w:hAnsi="Calibri Light" w:cs="Calibri Light"/>
          <w:sz w:val="20"/>
          <w:szCs w:val="20"/>
        </w:rPr>
        <w:t xml:space="preserve">. Ottoman mosques are distinguished by tall, pointed minarets and lead-covered domes, with larger mosques featuring multiple minarets, a privilege reserved for reigning sultans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{"citationID":"OV00J6C1","properties":{"formattedCitation":"[21]","plainCitation":"[21]","noteIndex":0},"citationItems":[{"id":6710,"uris":["http://zotero.org/users/11111567/items/42J5BALH"],"itemData":{"id":6710,"type":"article-journal","abstract":"This study aims to explore the usage, the formal and functional transformation of minarets in contemporary mosque architecture in Turkey, through a survey of the selected cases. The selected cases are the outstanding examples of Turkish contemporary mosque architecture. Their architects are innovative in their design decisions and displayed their own design approach and interpretation outside the main stream contemporary mosque design in Turkey.","container-title":"International journal of Science Culture and Sport","DOI":"10.14486/IJSCS36","ISSN":"2148-1148","issue":"4","journalAbbreviation":"ISSCS","language":"en","page":"95-95","source":"DOI.org (Crossref)","title":"Transformation of Minarets in Contemporary Mosque Architecture in Turkey","volume":"1","author":[{"family":"Urey","given":"Ozgur"}],"issued":{"date-parts":[["2013",1,1]]}}}],"schema":"https://github.com/citation-style-language/schema/raw/master/csl-citation.json"}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[21]</w:t>
      </w:r>
      <w:r w:rsidRPr="00F84C40">
        <w:rPr>
          <w:rFonts w:ascii="Calibri Light" w:hAnsi="Calibri Light" w:cs="Calibri Light"/>
          <w:sz w:val="20"/>
          <w:szCs w:val="20"/>
        </w:rPr>
        <w:fldChar w:fldCharType="end"/>
      </w:r>
      <w:r w:rsidRPr="00F84C40">
        <w:rPr>
          <w:rFonts w:ascii="Calibri Light" w:hAnsi="Calibri Light" w:cs="Calibri Light"/>
          <w:sz w:val="20"/>
          <w:szCs w:val="20"/>
        </w:rPr>
        <w:t>.</w:t>
      </w:r>
    </w:p>
    <w:p w14:paraId="5DDAC3C6" w14:textId="77777777" w:rsidR="00F84C40" w:rsidRPr="00F84C40" w:rsidRDefault="00F84C40" w:rsidP="00F84C40">
      <w:pPr>
        <w:ind w:firstLine="284"/>
        <w:jc w:val="both"/>
        <w:rPr>
          <w:rFonts w:ascii="Calibri Light" w:hAnsi="Calibri Light" w:cs="Calibri Light"/>
          <w:bCs/>
          <w:sz w:val="20"/>
          <w:szCs w:val="20"/>
          <w:lang w:val="id-ID"/>
        </w:rPr>
      </w:pPr>
      <w:r w:rsidRPr="00F84C40">
        <w:rPr>
          <w:rFonts w:ascii="Calibri Light" w:hAnsi="Calibri Light" w:cs="Calibri Light"/>
          <w:bCs/>
          <w:sz w:val="20"/>
          <w:szCs w:val="20"/>
          <w:lang w:val="id-ID"/>
        </w:rPr>
        <w:t xml:space="preserve">The construction of minarets in Australia is an adaptation of Islamic architectural features. The minarets of the oldest mosque in Adelaide were constructed 14 years after this regulation was implemented, using local materials and technologies </w:t>
      </w:r>
      <w:r w:rsidRPr="00F84C40">
        <w:rPr>
          <w:rFonts w:ascii="Calibri Light" w:hAnsi="Calibri Light" w:cs="Calibri Light"/>
          <w:bCs/>
          <w:sz w:val="20"/>
          <w:szCs w:val="20"/>
          <w:lang w:val="id-ID"/>
        </w:rPr>
        <w:fldChar w:fldCharType="begin"/>
      </w:r>
      <w:r w:rsidRPr="00F84C40">
        <w:rPr>
          <w:rFonts w:ascii="Calibri Light" w:hAnsi="Calibri Light" w:cs="Calibri Light"/>
          <w:bCs/>
          <w:sz w:val="20"/>
          <w:szCs w:val="20"/>
          <w:lang w:val="id-ID"/>
        </w:rPr>
        <w:instrText xml:space="preserve"> ADDIN ZOTERO_ITEM CSL_CITATION {"citationID":"FIphTEWF","properties":{"formattedCitation":"[8]","plainCitation":"[8]","noteIndex":0},"citationItems":[{"id":3438,"uris":["http://zotero.org/users/11111567/items/CK5XVVH3"],"itemData":{"id":3438,"type":"article-journal","abstract":"Although Muslim migration to Australia’s new world settler society has a long pedigree, their population and civic presence have grown in recent decades. New generations of Muslim migrants require the nation to engage with their histories and post-secular religious pluralism. Part of their history can be traced through their places of worship. This includes temporary structures along the inland telegraph route (the 1850s), the ﬁrst permanent mosques in South Australia (Adelaide, 1888) and Victoria (Shepparton, 1956–60), and a variety of contemporary mosques as the population grows – indicating more settled lives. The aim was/is to provide sites of communal, spiritual, cultural, social, and educational guidance. Mosques often comprise(d) hybrid designs using a combination of local materials to ﬁt with the existing built environment and to integrate unobtrusively. Recent examples of mosque development indicate a qualitative shift based on interacting social imaginaries of both Muslims and non-Muslims, which serves two key symbolic and social functions: as architectures of self-inclusion, and as architectures of assurance to the dominant, nonMuslim public in a society that resolutely “others” the Islamic faith and Muslim people. This paper explores the complex implications of this two-fold self-inclusion/assurance discourse by way of two case studies: the Hobson’s Bay mosque in Melbourne and the proposed Bendigo mosque.","container-title":"Fabrications","DOI":"10.1080/10331867.2020.1749220","ISSN":"1033-1867, 2164-4756","issue":"2","journalAbbreviation":"Fabrications","language":"en","page":"153-175","source":"DOI.org (Crossref)","title":"Islamic Architectures of Self-Inclusion and Assurance in a Multicultural Society","volume":"30","author":[{"family":"Rudner","given":"Julie"},{"family":"Shahani","given":"Fatemeh"},{"family":"Hogan","given":"Trevor"}],"issued":{"date-parts":[["2020",5,3]]}}}],"schema":"https://github.com/citation-style-language/schema/raw/master/csl-citation.json"} </w:instrText>
      </w:r>
      <w:r w:rsidRPr="00F84C40">
        <w:rPr>
          <w:rFonts w:ascii="Calibri Light" w:hAnsi="Calibri Light" w:cs="Calibri Light"/>
          <w:bCs/>
          <w:sz w:val="20"/>
          <w:szCs w:val="20"/>
          <w:lang w:val="id-ID"/>
        </w:rPr>
        <w:fldChar w:fldCharType="separate"/>
      </w:r>
      <w:r w:rsidRPr="00F84C40">
        <w:rPr>
          <w:rFonts w:ascii="Calibri Light" w:hAnsi="Calibri Light" w:cs="Calibri Light"/>
          <w:sz w:val="20"/>
          <w:szCs w:val="20"/>
        </w:rPr>
        <w:t>[8]</w:t>
      </w:r>
      <w:r w:rsidRPr="00F84C40">
        <w:rPr>
          <w:rFonts w:ascii="Calibri Light" w:hAnsi="Calibri Light" w:cs="Calibri Light"/>
          <w:sz w:val="20"/>
          <w:szCs w:val="20"/>
        </w:rPr>
        <w:fldChar w:fldCharType="end"/>
      </w:r>
      <w:r w:rsidRPr="00F84C40">
        <w:rPr>
          <w:rFonts w:ascii="Calibri Light" w:hAnsi="Calibri Light" w:cs="Calibri Light"/>
          <w:bCs/>
          <w:sz w:val="20"/>
          <w:szCs w:val="20"/>
          <w:lang w:val="id-ID"/>
        </w:rPr>
        <w:t xml:space="preserve">. A significant difference between the Sunshine Mosque and mosques in Turkey is the way the minaret is used: in Turkey, the adhan, or call to prayer, is regularly broadcast from the minaret for the five daily prayers. However, at the Sunshine Mosque, the minaret is not routinely used for the call to prayer or to announce public news. Instead, it serves primarily as an aesthetic accent and a spatial marker indicating the building's function as a place of worship within the district. </w:t>
      </w:r>
      <w:r w:rsidRPr="00F84C40">
        <w:rPr>
          <w:rFonts w:ascii="Calibri Light" w:hAnsi="Calibri Light" w:cs="Calibri Light"/>
          <w:sz w:val="20"/>
          <w:szCs w:val="20"/>
        </w:rPr>
        <w:t>The Sunshine Mosque has a single minaret.</w:t>
      </w:r>
    </w:p>
    <w:p w14:paraId="2C956EE7" w14:textId="77777777" w:rsidR="00F84C40" w:rsidRPr="00F84C40" w:rsidRDefault="00F84C40" w:rsidP="00F84C40">
      <w:pPr>
        <w:ind w:firstLine="284"/>
        <w:jc w:val="both"/>
        <w:rPr>
          <w:rFonts w:ascii="Calibri Light" w:hAnsi="Calibri Light" w:cs="Calibri Light"/>
          <w:sz w:val="20"/>
          <w:szCs w:val="20"/>
        </w:rPr>
      </w:pPr>
    </w:p>
    <w:p w14:paraId="7BCC6F67" w14:textId="3C19539D" w:rsidR="00F84C40" w:rsidRPr="00F84C40" w:rsidRDefault="00F84C40" w:rsidP="00DA5FC8">
      <w:pPr>
        <w:ind w:firstLine="284"/>
        <w:jc w:val="center"/>
        <w:rPr>
          <w:rFonts w:ascii="Calibri Light" w:hAnsi="Calibri Light" w:cs="Calibri Light"/>
          <w:sz w:val="20"/>
          <w:szCs w:val="20"/>
        </w:rPr>
      </w:pPr>
      <w:r w:rsidRPr="00F84C40">
        <w:rPr>
          <w:rFonts w:ascii="Calibri Light" w:hAnsi="Calibri Light" w:cs="Calibri Light"/>
          <w:sz w:val="20"/>
          <w:szCs w:val="20"/>
        </w:rPr>
        <w:drawing>
          <wp:inline distT="0" distB="0" distL="0" distR="0" wp14:anchorId="1A8F1B02" wp14:editId="4C930010">
            <wp:extent cx="2661694" cy="1653716"/>
            <wp:effectExtent l="8573" t="0" r="0" b="0"/>
            <wp:docPr id="1833209866" name="Picture 26" descr="A tall tower with a blue sky and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A tall tower with a blue sky and cloud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l="9830"/>
                    <a:stretch>
                      <a:fillRect/>
                    </a:stretch>
                  </pic:blipFill>
                  <pic:spPr bwMode="auto">
                    <a:xfrm rot="5400000">
                      <a:off x="0" y="0"/>
                      <a:ext cx="2679806" cy="1664969"/>
                    </a:xfrm>
                    <a:prstGeom prst="rect">
                      <a:avLst/>
                    </a:prstGeom>
                    <a:noFill/>
                    <a:ln>
                      <a:noFill/>
                    </a:ln>
                  </pic:spPr>
                </pic:pic>
              </a:graphicData>
            </a:graphic>
          </wp:inline>
        </w:drawing>
      </w:r>
      <w:r w:rsidR="008B7C9B">
        <w:rPr>
          <w:rFonts w:ascii="Calibri Light" w:hAnsi="Calibri Light" w:cs="Calibri Light"/>
          <w:sz w:val="20"/>
          <w:szCs w:val="20"/>
        </w:rPr>
        <w:t xml:space="preserve"> </w:t>
      </w:r>
      <w:r w:rsidRPr="00F84C40">
        <w:rPr>
          <w:rFonts w:ascii="Calibri Light" w:hAnsi="Calibri Light" w:cs="Calibri Light"/>
          <w:sz w:val="20"/>
          <w:szCs w:val="20"/>
        </w:rPr>
        <w:drawing>
          <wp:inline distT="0" distB="0" distL="0" distR="0" wp14:anchorId="7F0BD0B3" wp14:editId="5635FAB8">
            <wp:extent cx="2654638" cy="1653188"/>
            <wp:effectExtent l="5397" t="0" r="0" b="0"/>
            <wp:docPr id="161053909" name="Picture 25" descr="A building with a tall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building with a tall tower&#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2684189" cy="1671591"/>
                    </a:xfrm>
                    <a:prstGeom prst="rect">
                      <a:avLst/>
                    </a:prstGeom>
                    <a:noFill/>
                    <a:ln>
                      <a:noFill/>
                    </a:ln>
                  </pic:spPr>
                </pic:pic>
              </a:graphicData>
            </a:graphic>
          </wp:inline>
        </w:drawing>
      </w:r>
    </w:p>
    <w:p w14:paraId="38B1FCBC" w14:textId="77777777" w:rsidR="00DA5FC8" w:rsidRDefault="00DA5FC8" w:rsidP="00DA5FC8">
      <w:pPr>
        <w:ind w:firstLine="284"/>
        <w:jc w:val="center"/>
        <w:rPr>
          <w:rFonts w:ascii="Calibri Light" w:hAnsi="Calibri Light" w:cs="Calibri Light"/>
          <w:sz w:val="16"/>
          <w:szCs w:val="16"/>
        </w:rPr>
      </w:pPr>
    </w:p>
    <w:p w14:paraId="6CDABA4D" w14:textId="2FC1CBBE" w:rsidR="00F84C40" w:rsidRDefault="00F84C40" w:rsidP="00DA5FC8">
      <w:pPr>
        <w:ind w:firstLine="284"/>
        <w:jc w:val="center"/>
        <w:rPr>
          <w:rFonts w:ascii="Calibri Light" w:hAnsi="Calibri Light" w:cs="Calibri Light"/>
          <w:sz w:val="16"/>
          <w:szCs w:val="16"/>
        </w:rPr>
      </w:pPr>
      <w:r w:rsidRPr="00F84C40">
        <w:rPr>
          <w:rFonts w:ascii="Calibri Light" w:hAnsi="Calibri Light" w:cs="Calibri Light"/>
          <w:sz w:val="16"/>
          <w:szCs w:val="16"/>
        </w:rPr>
        <w:t xml:space="preserve">Figure 6. The Minaret of Sultan Ahmed Mosque and </w:t>
      </w:r>
      <w:proofErr w:type="spellStart"/>
      <w:r w:rsidRPr="00F84C40">
        <w:rPr>
          <w:rFonts w:ascii="Calibri Light" w:hAnsi="Calibri Light" w:cs="Calibri Light"/>
          <w:sz w:val="16"/>
          <w:szCs w:val="16"/>
        </w:rPr>
        <w:t>Kuyularonu</w:t>
      </w:r>
      <w:proofErr w:type="spellEnd"/>
      <w:r w:rsidRPr="00F84C40">
        <w:rPr>
          <w:rFonts w:ascii="Calibri Light" w:hAnsi="Calibri Light" w:cs="Calibri Light"/>
          <w:sz w:val="16"/>
          <w:szCs w:val="16"/>
        </w:rPr>
        <w:t xml:space="preserve"> Mosque</w:t>
      </w:r>
    </w:p>
    <w:p w14:paraId="7C271739" w14:textId="77777777" w:rsidR="00DA5FC8" w:rsidRPr="00F84C40" w:rsidRDefault="00DA5FC8" w:rsidP="00DA5FC8">
      <w:pPr>
        <w:ind w:firstLine="284"/>
        <w:jc w:val="center"/>
        <w:rPr>
          <w:rFonts w:ascii="Calibri Light" w:hAnsi="Calibri Light" w:cs="Calibri Light"/>
          <w:sz w:val="16"/>
          <w:szCs w:val="16"/>
        </w:rPr>
      </w:pPr>
    </w:p>
    <w:p w14:paraId="1E2A0DCB" w14:textId="7B43DA2A" w:rsidR="00F84C40" w:rsidRPr="00F84C40" w:rsidRDefault="008B7C9B" w:rsidP="00DA5FC8">
      <w:pPr>
        <w:ind w:left="567" w:hanging="567"/>
        <w:jc w:val="both"/>
        <w:rPr>
          <w:rFonts w:asciiTheme="majorHAnsi" w:hAnsiTheme="majorHAnsi" w:cstheme="majorHAnsi"/>
          <w:b/>
          <w:bCs/>
          <w:sz w:val="18"/>
          <w:szCs w:val="18"/>
        </w:rPr>
      </w:pPr>
      <w:r w:rsidRPr="00F84C40">
        <w:rPr>
          <w:rFonts w:asciiTheme="majorHAnsi" w:hAnsiTheme="majorHAnsi" w:cstheme="majorHAnsi"/>
          <w:b/>
          <w:bCs/>
          <w:sz w:val="18"/>
          <w:szCs w:val="18"/>
        </w:rPr>
        <w:lastRenderedPageBreak/>
        <w:t>3.2.4</w:t>
      </w:r>
      <w:r>
        <w:rPr>
          <w:rFonts w:asciiTheme="majorHAnsi" w:hAnsiTheme="majorHAnsi" w:cstheme="majorHAnsi"/>
          <w:b/>
          <w:bCs/>
          <w:sz w:val="18"/>
          <w:szCs w:val="18"/>
        </w:rPr>
        <w:tab/>
      </w:r>
      <w:r w:rsidRPr="00F84C40">
        <w:rPr>
          <w:rFonts w:asciiTheme="majorHAnsi" w:hAnsiTheme="majorHAnsi" w:cstheme="majorHAnsi"/>
          <w:b/>
          <w:bCs/>
          <w:sz w:val="18"/>
          <w:szCs w:val="18"/>
        </w:rPr>
        <w:t xml:space="preserve">Layout </w:t>
      </w:r>
      <w:r>
        <w:rPr>
          <w:rFonts w:asciiTheme="majorHAnsi" w:hAnsiTheme="majorHAnsi" w:cstheme="majorHAnsi"/>
          <w:b/>
          <w:bCs/>
          <w:sz w:val="18"/>
          <w:szCs w:val="18"/>
        </w:rPr>
        <w:t>o</w:t>
      </w:r>
      <w:r w:rsidRPr="00F84C40">
        <w:rPr>
          <w:rFonts w:asciiTheme="majorHAnsi" w:hAnsiTheme="majorHAnsi" w:cstheme="majorHAnsi"/>
          <w:b/>
          <w:bCs/>
          <w:sz w:val="18"/>
          <w:szCs w:val="18"/>
        </w:rPr>
        <w:t>f Transition Space</w:t>
      </w:r>
    </w:p>
    <w:p w14:paraId="4E5FD4ED"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Architectural trends from Istanbul during the Westernization period spread throughout Anatolia, reflecting traditions that draw upon Islamic visual culture. These architectural forms may also incorporate elements from ancient local Anatolian cultures, highlighting the development of Ottoman popular culture through architecture and illustrating how visual elements and cultural traditions interplay within mosque designs, such as wooden ceilings and vibrant interior decorations on white plaster </w:t>
      </w:r>
      <w:r w:rsidRPr="00F84C40">
        <w:rPr>
          <w:rFonts w:ascii="Calibri Light" w:hAnsi="Calibri Light" w:cs="Calibri Light"/>
          <w:sz w:val="20"/>
          <w:szCs w:val="20"/>
        </w:rPr>
        <w:fldChar w:fldCharType="begin"/>
      </w:r>
      <w:r w:rsidRPr="00F84C40">
        <w:rPr>
          <w:rFonts w:ascii="Calibri Light" w:hAnsi="Calibri Light" w:cs="Calibri Light"/>
          <w:sz w:val="20"/>
          <w:szCs w:val="20"/>
        </w:rPr>
        <w:instrText xml:space="preserve"> ADDIN ZOTERO_ITEM CSL_CITATION {"citationID":"aNjmLr09","properties":{"formattedCitation":"[14]","plainCitation":"[14]","noteIndex":0},"citationItems":[{"id":6813,"uris":["http://zotero.org/users/11111567/items/LCMNLFKB"],"itemData":{"id":6813,"type":"article-journal","abstract":"Islamic heritage contains rich cultural diversity with residential and public buildings which belong to the era of the Ottoman Empire and reflect the character of the Islamic tradition. Today, the influence of Islamic heritage begins to be represented by the predominance of consumerist culture and technology. In particular, Ottoman architecture and its traditional elements became objects of consumption, which set the visual aspect at the forefront of contemporary design practices. The study criticizes the transformation of the authenticity of Ottoman-Islamic architecture into a thematic \"authentic appearance\". Instead, it refers to the fact that Ottoman-Islamic heritage has become a consumer object. In this context, this study looks at various examples found in Turkey, such as hotels, shopping centers, and residential buildings. Examples are organized through a theoretical and comparative methodology between traditional and contemporary approaches. As a result, the article emphasizes the importance of cultural heritage for societies and their architecture which must not be transformed into objects of consumption linked to interests. The conclusion is that the flexible stance of the Ottoman-Islamic structural heritage is open to adaptation. It allows the tradition to be interpreted in the current structural and technological developments rather than copied.","container-title":"Journal of Islamic Architecture","DOI":"10.18860/jia.v6i4.11811","ISSN":"2356-4644, 2086-2636","issue":"4","journalAbbreviation":"JIA","language":"en","license":"http://creativecommons.org/licenses/by-sa/4.0","page":"338-348","source":"DOI.org (Crossref)","title":"A RESEARCH ON THE USE OF OTTOMAN-ISLAMIC HERITAGE AS A CONSUMPTION OBJECT IN CONTEMPORARY ARCHITECTURAL PRACTICE","volume":"6","author":[{"family":"Artkan","given":"Merve"}],"issued":{"date-parts":[["2021",12,26]]}}}],"schema":"https://github.com/citation-style-language/schema/raw/master/csl-citation.json"} </w:instrText>
      </w:r>
      <w:r w:rsidRPr="00F84C40">
        <w:rPr>
          <w:rFonts w:ascii="Calibri Light" w:hAnsi="Calibri Light" w:cs="Calibri Light"/>
          <w:sz w:val="20"/>
          <w:szCs w:val="20"/>
        </w:rPr>
        <w:fldChar w:fldCharType="separate"/>
      </w:r>
      <w:r w:rsidRPr="00F84C40">
        <w:rPr>
          <w:rFonts w:ascii="Calibri Light" w:hAnsi="Calibri Light" w:cs="Calibri Light"/>
          <w:sz w:val="20"/>
          <w:szCs w:val="20"/>
        </w:rPr>
        <w:t>[14]</w:t>
      </w:r>
      <w:r w:rsidRPr="00F84C40">
        <w:rPr>
          <w:rFonts w:ascii="Calibri Light" w:hAnsi="Calibri Light" w:cs="Calibri Light"/>
          <w:sz w:val="20"/>
          <w:szCs w:val="20"/>
        </w:rPr>
        <w:fldChar w:fldCharType="end"/>
      </w:r>
      <w:r w:rsidRPr="00F84C40">
        <w:rPr>
          <w:rFonts w:ascii="Calibri Light" w:hAnsi="Calibri Light" w:cs="Calibri Light"/>
          <w:sz w:val="20"/>
          <w:szCs w:val="20"/>
        </w:rPr>
        <w:t>. Visual elements were also articulated through users' habits in spatial activities, such as the placement of objects and the circulation of goods and people, including the positioning of stairs and transitional spaces in buildings that blend Western and Islamic cultural practices.</w:t>
      </w:r>
    </w:p>
    <w:p w14:paraId="4D785A12"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Before entering the prayer hall, there are designated areas for storing shoes. When entering a mosque, it is required to remove footwear, especially if worshippers have performed ablution (wudhu). Provision of shoe storage is common in Turkish mosques, including the Al Fatih Mosque and the Sultan Ahmed Mosque. Another similarity between the Sunshine Mosque and typical Turkish mosques is the presence of a foyer directly connected to a staircase. The staircase is located on the right or left of the entrance, linking to other functional spaces within the mosque, such as the women's prayer area, the mosque management office, or storage rooms. The staircase typically takes an L-shaped form with wooden or iron railings.</w:t>
      </w:r>
    </w:p>
    <w:p w14:paraId="1D243371" w14:textId="77777777" w:rsidR="00F84C40" w:rsidRPr="00F84C40" w:rsidRDefault="00F84C40" w:rsidP="00F84C40">
      <w:pPr>
        <w:ind w:firstLine="284"/>
        <w:jc w:val="both"/>
        <w:rPr>
          <w:rFonts w:ascii="Calibri Light" w:hAnsi="Calibri Light" w:cs="Calibri Light"/>
          <w:sz w:val="20"/>
          <w:szCs w:val="20"/>
        </w:rPr>
      </w:pPr>
    </w:p>
    <w:p w14:paraId="10D633CB" w14:textId="6FE0493F" w:rsidR="00F84C40" w:rsidRPr="00F84C40" w:rsidRDefault="00F84C40" w:rsidP="00DA5FC8">
      <w:pPr>
        <w:ind w:firstLine="284"/>
        <w:jc w:val="center"/>
        <w:rPr>
          <w:rFonts w:ascii="Calibri Light" w:hAnsi="Calibri Light" w:cs="Calibri Light"/>
          <w:sz w:val="20"/>
          <w:szCs w:val="20"/>
        </w:rPr>
      </w:pPr>
      <w:r w:rsidRPr="00F84C40">
        <w:rPr>
          <w:rFonts w:ascii="Calibri Light" w:hAnsi="Calibri Light" w:cs="Calibri Light"/>
          <w:sz w:val="20"/>
          <w:szCs w:val="20"/>
        </w:rPr>
        <w:drawing>
          <wp:inline distT="0" distB="0" distL="0" distR="0" wp14:anchorId="03524CFB" wp14:editId="3320C05D">
            <wp:extent cx="1971675" cy="1285875"/>
            <wp:effectExtent l="0" t="0" r="9525" b="9525"/>
            <wp:docPr id="1229866047" name="Picture 24" descr="A wooden crib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wooden crib in a room&#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1971675" cy="1285875"/>
                    </a:xfrm>
                    <a:prstGeom prst="rect">
                      <a:avLst/>
                    </a:prstGeom>
                    <a:noFill/>
                    <a:ln>
                      <a:noFill/>
                    </a:ln>
                  </pic:spPr>
                </pic:pic>
              </a:graphicData>
            </a:graphic>
          </wp:inline>
        </w:drawing>
      </w:r>
      <w:r w:rsidRPr="00F84C40">
        <w:rPr>
          <w:rFonts w:ascii="Calibri Light" w:hAnsi="Calibri Light" w:cs="Calibri Light"/>
          <w:sz w:val="20"/>
          <w:szCs w:val="20"/>
        </w:rPr>
        <w:drawing>
          <wp:inline distT="0" distB="0" distL="0" distR="0" wp14:anchorId="075FE6AB" wp14:editId="4E266C97">
            <wp:extent cx="1981200" cy="1485900"/>
            <wp:effectExtent l="0" t="0" r="0" b="0"/>
            <wp:docPr id="1599720868" name="Picture 23" descr="A staircas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staircase in a room&#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1981200" cy="1485900"/>
                    </a:xfrm>
                    <a:prstGeom prst="rect">
                      <a:avLst/>
                    </a:prstGeom>
                    <a:noFill/>
                    <a:ln>
                      <a:noFill/>
                    </a:ln>
                  </pic:spPr>
                </pic:pic>
              </a:graphicData>
            </a:graphic>
          </wp:inline>
        </w:drawing>
      </w:r>
    </w:p>
    <w:p w14:paraId="1C9BEF8A" w14:textId="77777777" w:rsidR="00DA5FC8" w:rsidRDefault="00DA5FC8" w:rsidP="00DA5FC8">
      <w:pPr>
        <w:jc w:val="center"/>
        <w:rPr>
          <w:rFonts w:asciiTheme="majorHAnsi" w:hAnsiTheme="majorHAnsi" w:cstheme="majorHAnsi"/>
          <w:sz w:val="16"/>
          <w:szCs w:val="16"/>
        </w:rPr>
      </w:pPr>
    </w:p>
    <w:p w14:paraId="048DC000" w14:textId="1DD201CE" w:rsidR="00F84C40" w:rsidRPr="00F84C40" w:rsidRDefault="00F84C40" w:rsidP="00DA5FC8">
      <w:pPr>
        <w:jc w:val="center"/>
        <w:rPr>
          <w:rFonts w:asciiTheme="majorHAnsi" w:hAnsiTheme="majorHAnsi" w:cstheme="majorHAnsi"/>
          <w:sz w:val="16"/>
          <w:szCs w:val="16"/>
        </w:rPr>
      </w:pPr>
      <w:r w:rsidRPr="00F84C40">
        <w:rPr>
          <w:rFonts w:asciiTheme="majorHAnsi" w:hAnsiTheme="majorHAnsi" w:cstheme="majorHAnsi"/>
          <w:sz w:val="16"/>
          <w:szCs w:val="16"/>
        </w:rPr>
        <w:t>Figure 7. The Similarities of the stair shape of Sultan Ahmed Mosque and Sunshine Mosque</w:t>
      </w:r>
    </w:p>
    <w:p w14:paraId="4D0B7DE4" w14:textId="77777777" w:rsidR="00F84C40" w:rsidRPr="00F84C40" w:rsidRDefault="00F84C40" w:rsidP="00F84C40">
      <w:pPr>
        <w:ind w:firstLine="284"/>
        <w:jc w:val="both"/>
        <w:rPr>
          <w:rFonts w:ascii="Calibri Light" w:hAnsi="Calibri Light" w:cs="Calibri Light"/>
          <w:sz w:val="20"/>
          <w:szCs w:val="20"/>
        </w:rPr>
      </w:pPr>
    </w:p>
    <w:p w14:paraId="799B592A" w14:textId="751566AE" w:rsidR="00F84C40" w:rsidRPr="00F84C40" w:rsidRDefault="00DA5FC8" w:rsidP="00DA5FC8">
      <w:pPr>
        <w:spacing w:after="240"/>
        <w:rPr>
          <w:rFonts w:asciiTheme="majorHAnsi" w:hAnsiTheme="majorHAnsi" w:cstheme="majorHAnsi"/>
          <w:b/>
          <w:bCs/>
          <w:sz w:val="18"/>
          <w:szCs w:val="18"/>
        </w:rPr>
      </w:pPr>
      <w:r w:rsidRPr="00DA5FC8">
        <w:rPr>
          <w:rFonts w:asciiTheme="majorHAnsi" w:hAnsiTheme="majorHAnsi" w:cstheme="majorHAnsi"/>
          <w:b/>
          <w:bCs/>
          <w:sz w:val="18"/>
          <w:szCs w:val="18"/>
          <w:lang w:val="en-AU"/>
        </w:rPr>
        <w:t xml:space="preserve">3.2.5 </w:t>
      </w:r>
      <w:r w:rsidRPr="00DA5FC8">
        <w:rPr>
          <w:rFonts w:asciiTheme="majorHAnsi" w:hAnsiTheme="majorHAnsi" w:cstheme="majorHAnsi"/>
          <w:b/>
          <w:bCs/>
          <w:sz w:val="18"/>
          <w:szCs w:val="18"/>
        </w:rPr>
        <w:t>Ornament Decorations</w:t>
      </w:r>
    </w:p>
    <w:p w14:paraId="57B89B97" w14:textId="22D94CAF" w:rsidR="00F84C40" w:rsidRPr="00F84C40" w:rsidRDefault="00DA5FC8" w:rsidP="00DA5FC8">
      <w:pPr>
        <w:numPr>
          <w:ilvl w:val="0"/>
          <w:numId w:val="7"/>
        </w:numPr>
        <w:ind w:left="284" w:hanging="284"/>
        <w:jc w:val="both"/>
        <w:rPr>
          <w:rFonts w:asciiTheme="majorHAnsi" w:hAnsiTheme="majorHAnsi" w:cstheme="majorHAnsi"/>
          <w:b/>
          <w:bCs/>
          <w:sz w:val="18"/>
          <w:szCs w:val="18"/>
        </w:rPr>
      </w:pPr>
      <w:r w:rsidRPr="00DA5FC8">
        <w:rPr>
          <w:rFonts w:asciiTheme="majorHAnsi" w:hAnsiTheme="majorHAnsi" w:cstheme="majorHAnsi"/>
          <w:b/>
          <w:bCs/>
          <w:sz w:val="18"/>
          <w:szCs w:val="18"/>
        </w:rPr>
        <w:t>Ceilings</w:t>
      </w:r>
    </w:p>
    <w:p w14:paraId="6035C918"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The ceiling is a significant element in Turkish mosques, with the height between the floor and ceiling symbolizing the spatial distance between humans and God. However, this height paradoxically brings worshippers closer to God during prostration in prayer. This classic concept of height is applied in nearly all places of worship, creating a psychological pressure that makes individuals feel humbled and small in the presence of the divine. On the ceilings, decorations often involve different height levels displayed in the mosque's dome. The ceilings usually feature a crystal chandelier, the </w:t>
      </w:r>
      <w:proofErr w:type="spellStart"/>
      <w:r w:rsidRPr="00F84C40">
        <w:rPr>
          <w:rFonts w:ascii="Calibri Light" w:hAnsi="Calibri Light" w:cs="Calibri Light"/>
          <w:sz w:val="20"/>
          <w:szCs w:val="20"/>
        </w:rPr>
        <w:t>center</w:t>
      </w:r>
      <w:proofErr w:type="spellEnd"/>
      <w:r w:rsidRPr="00F84C40">
        <w:rPr>
          <w:rFonts w:ascii="Calibri Light" w:hAnsi="Calibri Light" w:cs="Calibri Light"/>
          <w:sz w:val="20"/>
          <w:szCs w:val="20"/>
        </w:rPr>
        <w:t xml:space="preserve"> of attention, and a geometric divider. </w:t>
      </w:r>
    </w:p>
    <w:p w14:paraId="0A708460" w14:textId="77777777" w:rsidR="00F84C40" w:rsidRPr="00F84C40" w:rsidRDefault="00F84C40" w:rsidP="00F84C40">
      <w:pPr>
        <w:ind w:firstLine="284"/>
        <w:jc w:val="both"/>
        <w:rPr>
          <w:rFonts w:ascii="Calibri Light" w:hAnsi="Calibri Light" w:cs="Calibri Light"/>
          <w:sz w:val="20"/>
          <w:szCs w:val="20"/>
        </w:rPr>
      </w:pPr>
      <w:r w:rsidRPr="00F84C40">
        <w:rPr>
          <w:rFonts w:ascii="Calibri Light" w:hAnsi="Calibri Light" w:cs="Calibri Light"/>
          <w:sz w:val="20"/>
          <w:szCs w:val="20"/>
        </w:rPr>
        <w:t xml:space="preserve">The motifs and reliefs in the Al Fatih Mosque and the Blue Mosque are highly detailed, featuring floral carvings and typical geometric patterns. In contrast, the </w:t>
      </w:r>
      <w:proofErr w:type="spellStart"/>
      <w:r w:rsidRPr="00F84C40">
        <w:rPr>
          <w:rFonts w:ascii="Calibri Light" w:hAnsi="Calibri Light" w:cs="Calibri Light"/>
          <w:sz w:val="20"/>
          <w:szCs w:val="20"/>
        </w:rPr>
        <w:t>Kuyularonu</w:t>
      </w:r>
      <w:proofErr w:type="spellEnd"/>
      <w:r w:rsidRPr="00F84C40">
        <w:rPr>
          <w:rFonts w:ascii="Calibri Light" w:hAnsi="Calibri Light" w:cs="Calibri Light"/>
          <w:sz w:val="20"/>
          <w:szCs w:val="20"/>
        </w:rPr>
        <w:t xml:space="preserve"> Mosque in Alanya has simpler decorations. One minor difference from the Turkish mosques is that the Sunshine Mosque does not feature many hanging lamps. Instead, it has a single crystal chandelier hanging in the middle of the ceiling, serving as the axis of the building's layout. This decorative pattern is visible in the three mosques studied, and this repetition is also observed in the Sunshine Mosque. Windows have been integrated into the ceiling installation, especially those with stained-glass motifs, and serve as ornamental decorations that let natural light in. The ceiling layout of Turkish mosques is typically symmetrical, with Quranic calligraphy adorning the walls, prominently featuring the names of Allah and Muhammad. These large inscriptions are symmetrically placed to evenly divide the space within the mosque. </w:t>
      </w:r>
    </w:p>
    <w:p w14:paraId="19930482" w14:textId="77777777" w:rsidR="00F84C40" w:rsidRPr="00F84C40" w:rsidRDefault="00F84C40" w:rsidP="00F84C40">
      <w:pPr>
        <w:ind w:firstLine="284"/>
        <w:jc w:val="both"/>
        <w:rPr>
          <w:rFonts w:ascii="Calibri Light" w:hAnsi="Calibri Light" w:cs="Calibri Light"/>
          <w:sz w:val="20"/>
          <w:szCs w:val="20"/>
        </w:rPr>
      </w:pPr>
    </w:p>
    <w:p w14:paraId="3820BA75" w14:textId="542D114E" w:rsidR="00F84C40" w:rsidRPr="00F84C40" w:rsidRDefault="00F84C40" w:rsidP="00DA5FC8">
      <w:pPr>
        <w:ind w:firstLine="284"/>
        <w:jc w:val="center"/>
        <w:rPr>
          <w:rFonts w:ascii="Calibri Light" w:hAnsi="Calibri Light" w:cs="Calibri Light"/>
          <w:sz w:val="20"/>
          <w:szCs w:val="20"/>
        </w:rPr>
      </w:pPr>
      <w:r w:rsidRPr="00F84C40">
        <w:rPr>
          <w:rFonts w:ascii="Calibri Light" w:hAnsi="Calibri Light" w:cs="Calibri Light"/>
          <w:sz w:val="20"/>
          <w:szCs w:val="20"/>
        </w:rPr>
        <w:lastRenderedPageBreak/>
        <w:drawing>
          <wp:inline distT="0" distB="0" distL="0" distR="0" wp14:anchorId="0520EB6B" wp14:editId="66E72FEC">
            <wp:extent cx="1895475" cy="1152525"/>
            <wp:effectExtent l="0" t="9525" r="0" b="0"/>
            <wp:docPr id="651153216" name="Picture 22" descr="A large building with many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arge building with many windows&#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1895475" cy="1152525"/>
                    </a:xfrm>
                    <a:prstGeom prst="rect">
                      <a:avLst/>
                    </a:prstGeom>
                    <a:noFill/>
                    <a:ln>
                      <a:noFill/>
                    </a:ln>
                  </pic:spPr>
                </pic:pic>
              </a:graphicData>
            </a:graphic>
          </wp:inline>
        </w:drawing>
      </w:r>
      <w:r w:rsidR="008B7C9B">
        <w:rPr>
          <w:rFonts w:ascii="Calibri Light" w:hAnsi="Calibri Light" w:cs="Calibri Light"/>
          <w:sz w:val="20"/>
          <w:szCs w:val="20"/>
        </w:rPr>
        <w:t xml:space="preserve"> </w:t>
      </w:r>
      <w:r w:rsidRPr="00F84C40">
        <w:rPr>
          <w:rFonts w:ascii="Calibri Light" w:hAnsi="Calibri Light" w:cs="Calibri Light"/>
          <w:sz w:val="20"/>
          <w:szCs w:val="20"/>
        </w:rPr>
        <w:drawing>
          <wp:inline distT="0" distB="0" distL="0" distR="0" wp14:anchorId="5AF4224E" wp14:editId="60F660A9">
            <wp:extent cx="1895475" cy="1190625"/>
            <wp:effectExtent l="0" t="9525" r="0" b="0"/>
            <wp:docPr id="1227125488" name="Picture 21" descr="A ceiling with a circular de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eiling with a circular design&#10;&#10;Description automatically generated with medium confid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895475" cy="1190625"/>
                    </a:xfrm>
                    <a:prstGeom prst="rect">
                      <a:avLst/>
                    </a:prstGeom>
                    <a:noFill/>
                    <a:ln>
                      <a:noFill/>
                    </a:ln>
                  </pic:spPr>
                </pic:pic>
              </a:graphicData>
            </a:graphic>
          </wp:inline>
        </w:drawing>
      </w:r>
      <w:r w:rsidR="008B7C9B">
        <w:rPr>
          <w:rFonts w:ascii="Calibri Light" w:hAnsi="Calibri Light" w:cs="Calibri Light"/>
          <w:sz w:val="20"/>
          <w:szCs w:val="20"/>
        </w:rPr>
        <w:t xml:space="preserve"> </w:t>
      </w:r>
      <w:r w:rsidRPr="00F84C40">
        <w:rPr>
          <w:rFonts w:ascii="Calibri Light" w:hAnsi="Calibri Light" w:cs="Calibri Light"/>
          <w:sz w:val="20"/>
          <w:szCs w:val="20"/>
        </w:rPr>
        <w:drawing>
          <wp:inline distT="0" distB="0" distL="0" distR="0" wp14:anchorId="62D4EEFE" wp14:editId="61FA9DF0">
            <wp:extent cx="1890150" cy="1139789"/>
            <wp:effectExtent l="0" t="5715" r="0" b="0"/>
            <wp:docPr id="442478089" name="Picture 20" descr="A large white building with a stairc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large white building with a staircase&#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1895172" cy="1142818"/>
                    </a:xfrm>
                    <a:prstGeom prst="rect">
                      <a:avLst/>
                    </a:prstGeom>
                    <a:noFill/>
                    <a:ln>
                      <a:noFill/>
                    </a:ln>
                  </pic:spPr>
                </pic:pic>
              </a:graphicData>
            </a:graphic>
          </wp:inline>
        </w:drawing>
      </w:r>
    </w:p>
    <w:p w14:paraId="2831FEE8" w14:textId="77777777" w:rsidR="00DA5FC8" w:rsidRDefault="00DA5FC8" w:rsidP="00DA5FC8">
      <w:pPr>
        <w:jc w:val="center"/>
        <w:rPr>
          <w:rFonts w:asciiTheme="majorHAnsi" w:hAnsiTheme="majorHAnsi" w:cstheme="majorHAnsi"/>
          <w:sz w:val="16"/>
          <w:szCs w:val="16"/>
        </w:rPr>
      </w:pPr>
    </w:p>
    <w:p w14:paraId="5A9DDC11" w14:textId="5A23BDB7" w:rsidR="00F84C40" w:rsidRPr="00F84C40" w:rsidRDefault="00F84C40" w:rsidP="00DA5FC8">
      <w:pPr>
        <w:jc w:val="center"/>
        <w:rPr>
          <w:rFonts w:asciiTheme="majorHAnsi" w:hAnsiTheme="majorHAnsi" w:cstheme="majorHAnsi"/>
          <w:sz w:val="16"/>
          <w:szCs w:val="16"/>
        </w:rPr>
      </w:pPr>
      <w:r w:rsidRPr="00F84C40">
        <w:rPr>
          <w:rFonts w:asciiTheme="majorHAnsi" w:hAnsiTheme="majorHAnsi" w:cstheme="majorHAnsi"/>
          <w:sz w:val="16"/>
          <w:szCs w:val="16"/>
        </w:rPr>
        <w:t xml:space="preserve">Figure 8 (a). Ceiling ornament in Fatih Mosque, Sultan Ahmed Mosque, and </w:t>
      </w:r>
      <w:proofErr w:type="spellStart"/>
      <w:r w:rsidRPr="00F84C40">
        <w:rPr>
          <w:rFonts w:asciiTheme="majorHAnsi" w:hAnsiTheme="majorHAnsi" w:cstheme="majorHAnsi"/>
          <w:sz w:val="16"/>
          <w:szCs w:val="16"/>
        </w:rPr>
        <w:t>Kuyularonu</w:t>
      </w:r>
      <w:proofErr w:type="spellEnd"/>
      <w:r w:rsidRPr="00F84C40">
        <w:rPr>
          <w:rFonts w:asciiTheme="majorHAnsi" w:hAnsiTheme="majorHAnsi" w:cstheme="majorHAnsi"/>
          <w:sz w:val="16"/>
          <w:szCs w:val="16"/>
        </w:rPr>
        <w:t xml:space="preserve"> Mosque (from left to right)</w:t>
      </w:r>
    </w:p>
    <w:p w14:paraId="75104F8A" w14:textId="77777777" w:rsidR="00F84C40" w:rsidRPr="00F84C40" w:rsidRDefault="00F84C40" w:rsidP="00DA5FC8">
      <w:pPr>
        <w:jc w:val="center"/>
        <w:rPr>
          <w:rFonts w:asciiTheme="majorHAnsi" w:hAnsiTheme="majorHAnsi" w:cstheme="majorHAnsi"/>
          <w:sz w:val="16"/>
          <w:szCs w:val="16"/>
        </w:rPr>
      </w:pPr>
    </w:p>
    <w:p w14:paraId="0DC85965" w14:textId="5C0E5AA4" w:rsidR="00F84C40" w:rsidRPr="00F84C40" w:rsidRDefault="00F84C40" w:rsidP="00DA5FC8">
      <w:pPr>
        <w:jc w:val="center"/>
        <w:rPr>
          <w:rFonts w:asciiTheme="majorHAnsi" w:hAnsiTheme="majorHAnsi" w:cstheme="majorHAnsi"/>
          <w:sz w:val="16"/>
          <w:szCs w:val="16"/>
        </w:rPr>
      </w:pPr>
      <w:r w:rsidRPr="00DA5FC8">
        <w:rPr>
          <w:rFonts w:asciiTheme="majorHAnsi" w:hAnsiTheme="majorHAnsi" w:cstheme="majorHAnsi"/>
          <w:sz w:val="16"/>
          <w:szCs w:val="16"/>
        </w:rPr>
        <w:drawing>
          <wp:inline distT="0" distB="0" distL="0" distR="0" wp14:anchorId="1DE1655C" wp14:editId="70CDF47F">
            <wp:extent cx="1866900" cy="1104900"/>
            <wp:effectExtent l="0" t="0" r="0" b="0"/>
            <wp:docPr id="469621200" name="Picture 19" descr="A ceiling with a circular de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eiling with a circular design&#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1866900" cy="1104900"/>
                    </a:xfrm>
                    <a:prstGeom prst="rect">
                      <a:avLst/>
                    </a:prstGeom>
                    <a:noFill/>
                    <a:ln>
                      <a:noFill/>
                    </a:ln>
                  </pic:spPr>
                </pic:pic>
              </a:graphicData>
            </a:graphic>
          </wp:inline>
        </w:drawing>
      </w:r>
    </w:p>
    <w:p w14:paraId="041D0785" w14:textId="77777777" w:rsidR="00DA5FC8" w:rsidRDefault="00DA5FC8" w:rsidP="00DA5FC8">
      <w:pPr>
        <w:jc w:val="center"/>
        <w:rPr>
          <w:rFonts w:asciiTheme="majorHAnsi" w:hAnsiTheme="majorHAnsi" w:cstheme="majorHAnsi"/>
          <w:sz w:val="16"/>
          <w:szCs w:val="16"/>
        </w:rPr>
      </w:pPr>
    </w:p>
    <w:p w14:paraId="5A1A3FB2" w14:textId="210CD390" w:rsidR="00F84C40" w:rsidRPr="00F84C40" w:rsidRDefault="00F84C40" w:rsidP="00DA5FC8">
      <w:pPr>
        <w:jc w:val="center"/>
        <w:rPr>
          <w:rFonts w:asciiTheme="majorHAnsi" w:hAnsiTheme="majorHAnsi" w:cstheme="majorHAnsi"/>
          <w:sz w:val="16"/>
          <w:szCs w:val="16"/>
        </w:rPr>
      </w:pPr>
      <w:r w:rsidRPr="00F84C40">
        <w:rPr>
          <w:rFonts w:asciiTheme="majorHAnsi" w:hAnsiTheme="majorHAnsi" w:cstheme="majorHAnsi"/>
          <w:sz w:val="16"/>
          <w:szCs w:val="16"/>
        </w:rPr>
        <w:t>Figure 8 (b). Ceiling ornament in Sunshine Mosque</w:t>
      </w:r>
    </w:p>
    <w:p w14:paraId="7023D1F0" w14:textId="77777777" w:rsidR="00F84C40" w:rsidRDefault="00F84C40" w:rsidP="00F84C40">
      <w:pPr>
        <w:ind w:firstLine="284"/>
        <w:jc w:val="both"/>
        <w:rPr>
          <w:rFonts w:ascii="Calibri Light" w:hAnsi="Calibri Light" w:cs="Calibri Light"/>
          <w:sz w:val="20"/>
          <w:szCs w:val="20"/>
        </w:rPr>
      </w:pPr>
    </w:p>
    <w:p w14:paraId="307472A0" w14:textId="03A9A99B" w:rsidR="00DA5FC8" w:rsidRPr="00DA5FC8" w:rsidRDefault="008B7C9B" w:rsidP="00DA5FC8">
      <w:pPr>
        <w:pStyle w:val="ListParagraph"/>
        <w:numPr>
          <w:ilvl w:val="0"/>
          <w:numId w:val="7"/>
        </w:numPr>
        <w:ind w:left="284" w:hanging="284"/>
        <w:jc w:val="both"/>
        <w:rPr>
          <w:rFonts w:asciiTheme="majorHAnsi" w:hAnsiTheme="majorHAnsi" w:cstheme="majorHAnsi"/>
          <w:b/>
          <w:iCs/>
          <w:sz w:val="18"/>
          <w:szCs w:val="18"/>
        </w:rPr>
      </w:pPr>
      <w:r w:rsidRPr="00DA5FC8">
        <w:rPr>
          <w:rFonts w:asciiTheme="majorHAnsi" w:hAnsiTheme="majorHAnsi" w:cstheme="majorHAnsi"/>
          <w:b/>
          <w:iCs/>
          <w:sz w:val="18"/>
          <w:szCs w:val="18"/>
        </w:rPr>
        <w:t xml:space="preserve">Walls </w:t>
      </w:r>
      <w:r>
        <w:rPr>
          <w:rFonts w:asciiTheme="majorHAnsi" w:hAnsiTheme="majorHAnsi" w:cstheme="majorHAnsi"/>
          <w:b/>
          <w:iCs/>
          <w:sz w:val="18"/>
          <w:szCs w:val="18"/>
        </w:rPr>
        <w:t>a</w:t>
      </w:r>
      <w:r w:rsidRPr="00DA5FC8">
        <w:rPr>
          <w:rFonts w:asciiTheme="majorHAnsi" w:hAnsiTheme="majorHAnsi" w:cstheme="majorHAnsi"/>
          <w:b/>
          <w:iCs/>
          <w:sz w:val="18"/>
          <w:szCs w:val="18"/>
        </w:rPr>
        <w:t>nd Windows</w:t>
      </w:r>
    </w:p>
    <w:p w14:paraId="7E5E295B" w14:textId="77777777" w:rsidR="00DA5FC8" w:rsidRDefault="00DA5FC8" w:rsidP="00DA5FC8">
      <w:pPr>
        <w:ind w:firstLine="284"/>
        <w:jc w:val="both"/>
        <w:rPr>
          <w:rFonts w:cs="Calibri Light"/>
          <w:sz w:val="20"/>
          <w:szCs w:val="20"/>
        </w:rPr>
      </w:pPr>
      <w:r>
        <w:rPr>
          <w:rFonts w:cs="Calibri Light"/>
          <w:sz w:val="20"/>
          <w:szCs w:val="20"/>
        </w:rPr>
        <w:t xml:space="preserve">For at least 10,000 years, various stones, mainly carbonate rocks like limestone, have been extensively used in Anatolia's construction due to their quality and availability, especially in Istanbul. Many Islamic monuments in Istanbul and Turkish Thrace are now endangered by stone weathering, exacerbated by air pollution, rising water tables, and poor sewage systems. In contrast to the high-quality stonework of the 16th century, the 18th and 19th centuries saw a decline in attention to stone quality. Ancient quarries, crucial for early Ottoman architecture, were lost to urban expansion by the 1930s, leading to ongoing restoration challenges for later architectural elements [20]. The elements of the mosque wall determine the direction of prayer, with the Minbar typically positioned to the right of the qibla wall. On the left side of the qibla wall, which is generally made of limestone or a modified form, there are often built-in shelves or racks attached to the wall for storing Qurans. </w:t>
      </w:r>
    </w:p>
    <w:p w14:paraId="7D6581F7" w14:textId="77777777" w:rsidR="00DA5FC8" w:rsidRDefault="00DA5FC8" w:rsidP="00DA5FC8">
      <w:pPr>
        <w:ind w:firstLine="284"/>
        <w:jc w:val="both"/>
        <w:rPr>
          <w:rFonts w:cs="Calibri Light"/>
          <w:sz w:val="20"/>
          <w:szCs w:val="20"/>
        </w:rPr>
      </w:pPr>
      <w:r>
        <w:rPr>
          <w:rFonts w:cs="Calibri Light"/>
          <w:sz w:val="20"/>
          <w:szCs w:val="20"/>
        </w:rPr>
        <w:t xml:space="preserve">Naturally, the materials used in </w:t>
      </w:r>
      <w:r>
        <w:rPr>
          <w:rFonts w:asciiTheme="majorHAnsi" w:hAnsiTheme="majorHAnsi" w:cstheme="majorHAnsi"/>
          <w:sz w:val="20"/>
          <w:szCs w:val="20"/>
        </w:rPr>
        <w:t xml:space="preserve">Türkiye </w:t>
      </w:r>
      <w:r>
        <w:rPr>
          <w:rFonts w:cs="Calibri Light"/>
          <w:sz w:val="20"/>
          <w:szCs w:val="20"/>
        </w:rPr>
        <w:t xml:space="preserve">differ from those used in Australia. The materials used in the Sunshine Mosque have been adapted to suit Melbourne's climate. In their native Türkiye, these mosques traditionally feature stone construction suited to the Mediterranean climate, offering thermal stability and a natural aesthetic. Conversely, the Sunshine Mosque employs modern construction techniques while maintaining the distinctive characteristics of Turkish mosque architecture. This adaptation includes materials that enhance insulation and manage humidity levels, addressing Melbourne's diverse weather conditions. Despite these modern adjustments, the mosque preserves the essential visual and cultural elements that define Turkish mosque design. The walls typically consist of Quranic calligraphy in various styles, with the main focal point being the calligraphy of "Allahu Akbar" or "Allah and Muhammad." Other calligraphic decorations include the </w:t>
      </w:r>
      <w:proofErr w:type="spellStart"/>
      <w:r>
        <w:rPr>
          <w:rFonts w:cs="Calibri Light"/>
          <w:sz w:val="20"/>
          <w:szCs w:val="20"/>
        </w:rPr>
        <w:t>Asmaul</w:t>
      </w:r>
      <w:proofErr w:type="spellEnd"/>
      <w:r>
        <w:rPr>
          <w:rFonts w:cs="Calibri Light"/>
          <w:sz w:val="20"/>
          <w:szCs w:val="20"/>
        </w:rPr>
        <w:t xml:space="preserve"> Husna, the names of Allah, excerpts from the Quran, and Hadiths. </w:t>
      </w:r>
    </w:p>
    <w:p w14:paraId="3A37CEF3" w14:textId="77777777" w:rsidR="00DA5FC8" w:rsidRDefault="00DA5FC8" w:rsidP="00DA5FC8">
      <w:pPr>
        <w:ind w:firstLine="284"/>
        <w:jc w:val="both"/>
        <w:rPr>
          <w:rFonts w:cs="Calibri Light"/>
          <w:sz w:val="20"/>
          <w:szCs w:val="20"/>
        </w:rPr>
      </w:pPr>
      <w:r>
        <w:rPr>
          <w:rFonts w:cs="Calibri Light"/>
          <w:sz w:val="20"/>
          <w:szCs w:val="20"/>
        </w:rPr>
        <w:t xml:space="preserve">Islamic architecture has historically served to document the experiences of the Islamic diaspora across time and place. Its character in any given location reflects the emergence of Islam there and its profound impacts on local social, political, and cultural life. This dual process involves a deliberate creation of spaces imbued with religious and symbolic significance alongside an implicit understanding rooted in local worldviews, cultural values, and attitudes toward spatial use </w:t>
      </w:r>
      <w:r>
        <w:rPr>
          <w:rFonts w:cs="Calibri Light"/>
          <w:sz w:val="20"/>
          <w:szCs w:val="20"/>
        </w:rPr>
        <w:fldChar w:fldCharType="begin"/>
      </w:r>
      <w:r>
        <w:rPr>
          <w:rFonts w:cs="Calibri Light"/>
          <w:sz w:val="20"/>
          <w:szCs w:val="20"/>
        </w:rPr>
        <w:instrText xml:space="preserve"> ADDIN ZOTERO_ITEM CSL_CITATION {"citationID":"TeJCpJbo","properties":{"formattedCitation":"[6]","plainCitation":"[6]","noteIndex":0},"citationItems":[{"id":6825,"uris":["http://zotero.org/users/11111567/items/T63YTDGC"],"itemData":{"id":6825,"type":"article-journal","language":"en","source":"Zotero","title":"Architecture of the Adelaide Mosque: Hybridity, Resilience and Assimilation","issued":{"date-parts":[["2024"]]}}}],"schema":"https://github.com/citation-style-language/schema/raw/master/csl-citation.json"} </w:instrText>
      </w:r>
      <w:r>
        <w:rPr>
          <w:rFonts w:cs="Calibri Light"/>
          <w:sz w:val="20"/>
          <w:szCs w:val="20"/>
        </w:rPr>
        <w:fldChar w:fldCharType="separate"/>
      </w:r>
      <w:r>
        <w:rPr>
          <w:rFonts w:cs="Calibri Light"/>
          <w:sz w:val="20"/>
        </w:rPr>
        <w:t>[6]</w:t>
      </w:r>
      <w:r>
        <w:rPr>
          <w:rFonts w:cs="Calibri Light"/>
          <w:sz w:val="20"/>
          <w:szCs w:val="20"/>
        </w:rPr>
        <w:fldChar w:fldCharType="end"/>
      </w:r>
      <w:r>
        <w:rPr>
          <w:rFonts w:cs="Calibri Light"/>
          <w:sz w:val="20"/>
          <w:szCs w:val="20"/>
        </w:rPr>
        <w:t xml:space="preserve">. As can be seen, the Sunshine Mosque incorporates design elements tailored to Melbourne's climate, including enhanced insulation, improved ventilation, and larger, more numerous window openings. These features are designed to optimize thermal comfort and energy efficiency in a region with variable weather, often experiencing both hot summers and cool winters. Unlike traditional Turkish </w:t>
      </w:r>
      <w:r>
        <w:rPr>
          <w:rFonts w:cs="Calibri Light"/>
          <w:sz w:val="20"/>
          <w:szCs w:val="20"/>
        </w:rPr>
        <w:lastRenderedPageBreak/>
        <w:t>mosques, which are typically designed for Mediterranean climates with more moderate temperatures, the Sunshine Mosque's design reflects consideration of Melbourne's distinct climate challenges, aiming to provide a comfortable environment for worshipers year-round.</w:t>
      </w:r>
    </w:p>
    <w:p w14:paraId="0A0B219D" w14:textId="77777777" w:rsidR="00DA5FC8" w:rsidRDefault="00DA5FC8" w:rsidP="00DA5FC8">
      <w:pPr>
        <w:ind w:firstLine="283"/>
        <w:jc w:val="center"/>
        <w:rPr>
          <w:rFonts w:cstheme="minorBidi"/>
          <w:noProof/>
        </w:rPr>
      </w:pPr>
      <w:r>
        <w:rPr>
          <w:noProof/>
        </w:rPr>
        <w:t xml:space="preserve">        </w:t>
      </w:r>
    </w:p>
    <w:p w14:paraId="681535A3" w14:textId="0E773E7D" w:rsidR="00DA5FC8" w:rsidRDefault="00DA5FC8" w:rsidP="00DA5FC8">
      <w:pPr>
        <w:spacing w:before="20" w:after="20"/>
        <w:jc w:val="center"/>
        <w:rPr>
          <w:rFonts w:cs="Calibri Light"/>
          <w:bCs/>
          <w:iCs/>
          <w:noProof/>
          <w:sz w:val="18"/>
          <w:szCs w:val="18"/>
          <w:lang w:val="id-ID"/>
        </w:rPr>
      </w:pPr>
      <w:r>
        <w:rPr>
          <w:rFonts w:cs="Calibri Light"/>
          <w:noProof/>
          <w:sz w:val="18"/>
          <w:szCs w:val="18"/>
          <w:lang w:val="id-ID"/>
        </w:rPr>
        <w:drawing>
          <wp:inline distT="0" distB="0" distL="0" distR="0" wp14:anchorId="75B34708" wp14:editId="1741C183">
            <wp:extent cx="2862973" cy="1722082"/>
            <wp:effectExtent l="0" t="953" r="0" b="0"/>
            <wp:docPr id="1672302299" name="Picture 51" descr="A picture containing motif, rug, pattern,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ture containing motif, rug, pattern, ar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5400000">
                      <a:off x="0" y="0"/>
                      <a:ext cx="2875772" cy="1729781"/>
                    </a:xfrm>
                    <a:prstGeom prst="rect">
                      <a:avLst/>
                    </a:prstGeom>
                    <a:noFill/>
                    <a:ln>
                      <a:noFill/>
                    </a:ln>
                  </pic:spPr>
                </pic:pic>
              </a:graphicData>
            </a:graphic>
          </wp:inline>
        </w:drawing>
      </w:r>
      <w:r>
        <w:rPr>
          <w:rFonts w:cs="Calibri Light"/>
          <w:bCs/>
          <w:iCs/>
          <w:noProof/>
          <w:sz w:val="18"/>
          <w:szCs w:val="18"/>
          <w:lang w:val="id-ID"/>
        </w:rPr>
        <w:t xml:space="preserve">  </w:t>
      </w:r>
      <w:r>
        <w:rPr>
          <w:rFonts w:cs="Calibri Light"/>
          <w:noProof/>
          <w:sz w:val="18"/>
          <w:szCs w:val="18"/>
          <w:lang w:val="id-ID"/>
        </w:rPr>
        <w:drawing>
          <wp:inline distT="0" distB="0" distL="0" distR="0" wp14:anchorId="79B8F7F6" wp14:editId="1D592A4E">
            <wp:extent cx="2891386" cy="1770139"/>
            <wp:effectExtent l="8255" t="0" r="0" b="0"/>
            <wp:docPr id="302380530" name="Picture 50" descr="A clock on a brick wa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A clock on a brick wall&#10;&#10;Description automatically generated with medium confiden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2904035" cy="1777883"/>
                    </a:xfrm>
                    <a:prstGeom prst="rect">
                      <a:avLst/>
                    </a:prstGeom>
                    <a:noFill/>
                    <a:ln>
                      <a:noFill/>
                    </a:ln>
                  </pic:spPr>
                </pic:pic>
              </a:graphicData>
            </a:graphic>
          </wp:inline>
        </w:drawing>
      </w:r>
      <w:r>
        <w:rPr>
          <w:rFonts w:cs="Calibri Light"/>
          <w:bCs/>
          <w:iCs/>
          <w:noProof/>
          <w:sz w:val="18"/>
          <w:szCs w:val="18"/>
          <w:lang w:val="id-ID"/>
        </w:rPr>
        <w:t xml:space="preserve"> </w:t>
      </w:r>
      <w:r>
        <w:rPr>
          <w:rFonts w:cs="Calibri Light"/>
          <w:noProof/>
          <w:lang w:val="id-ID"/>
        </w:rPr>
        <w:t xml:space="preserve"> </w:t>
      </w:r>
    </w:p>
    <w:p w14:paraId="28B548ED" w14:textId="77777777" w:rsidR="00DA5FC8" w:rsidRDefault="00DA5FC8" w:rsidP="00DA5FC8">
      <w:pPr>
        <w:spacing w:before="20" w:after="20"/>
        <w:jc w:val="center"/>
        <w:rPr>
          <w:rFonts w:cs="Calibri Light"/>
          <w:bCs/>
          <w:iCs/>
          <w:noProof/>
          <w:sz w:val="16"/>
          <w:szCs w:val="16"/>
          <w:lang w:val="id-ID"/>
        </w:rPr>
      </w:pPr>
    </w:p>
    <w:p w14:paraId="10B7917F" w14:textId="53C431BF" w:rsidR="00DA5FC8" w:rsidRDefault="00DA5FC8" w:rsidP="00DA5FC8">
      <w:pPr>
        <w:spacing w:before="20" w:after="20"/>
        <w:jc w:val="center"/>
        <w:rPr>
          <w:rFonts w:cs="Calibri Light"/>
          <w:bCs/>
          <w:iCs/>
          <w:sz w:val="16"/>
          <w:szCs w:val="16"/>
          <w:lang w:val="id-ID"/>
        </w:rPr>
      </w:pPr>
      <w:r>
        <w:rPr>
          <w:rFonts w:cs="Calibri Light"/>
          <w:bCs/>
          <w:iCs/>
          <w:noProof/>
          <w:sz w:val="16"/>
          <w:szCs w:val="16"/>
          <w:lang w:val="id-ID"/>
        </w:rPr>
        <w:t>Figure 9. Ornament Decoration in Sunshine Mosque</w:t>
      </w:r>
    </w:p>
    <w:p w14:paraId="6D558276" w14:textId="77777777" w:rsidR="00DA5FC8" w:rsidRDefault="00DA5FC8" w:rsidP="00DA5FC8">
      <w:pPr>
        <w:rPr>
          <w:rFonts w:cstheme="minorBidi"/>
          <w:i/>
          <w:iCs/>
          <w:noProof/>
          <w:sz w:val="20"/>
          <w:szCs w:val="20"/>
        </w:rPr>
      </w:pPr>
    </w:p>
    <w:p w14:paraId="047AD418" w14:textId="2537D633" w:rsidR="00DA5FC8" w:rsidRPr="00DA5FC8" w:rsidRDefault="008B7C9B" w:rsidP="00DA5FC8">
      <w:pPr>
        <w:pStyle w:val="ListParagraph"/>
        <w:numPr>
          <w:ilvl w:val="0"/>
          <w:numId w:val="7"/>
        </w:numPr>
        <w:ind w:left="284" w:hanging="284"/>
        <w:rPr>
          <w:rFonts w:asciiTheme="majorHAnsi" w:hAnsiTheme="majorHAnsi" w:cstheme="majorHAnsi"/>
          <w:b/>
          <w:iCs/>
          <w:noProof/>
          <w:sz w:val="18"/>
          <w:szCs w:val="18"/>
        </w:rPr>
      </w:pPr>
      <w:r w:rsidRPr="00DA5FC8">
        <w:rPr>
          <w:rFonts w:asciiTheme="majorHAnsi" w:hAnsiTheme="majorHAnsi" w:cstheme="majorHAnsi"/>
          <w:b/>
          <w:iCs/>
          <w:noProof/>
          <w:sz w:val="18"/>
          <w:szCs w:val="18"/>
        </w:rPr>
        <w:t>Floor Surface</w:t>
      </w:r>
    </w:p>
    <w:p w14:paraId="77274D7E" w14:textId="77777777" w:rsidR="00DA5FC8" w:rsidRDefault="00DA5FC8" w:rsidP="00DA5FC8">
      <w:pPr>
        <w:ind w:firstLine="284"/>
        <w:jc w:val="both"/>
        <w:rPr>
          <w:rFonts w:cs="Calibri Light"/>
          <w:sz w:val="20"/>
          <w:szCs w:val="20"/>
        </w:rPr>
      </w:pPr>
      <w:r>
        <w:rPr>
          <w:rFonts w:cs="Calibri Light"/>
          <w:sz w:val="20"/>
          <w:szCs w:val="20"/>
        </w:rPr>
        <w:t xml:space="preserve">Carpets are a standard feature of mosque interiors, where their patterns, </w:t>
      </w:r>
      <w:proofErr w:type="spellStart"/>
      <w:r>
        <w:rPr>
          <w:rFonts w:cs="Calibri Light"/>
          <w:sz w:val="20"/>
          <w:szCs w:val="20"/>
        </w:rPr>
        <w:t>colors</w:t>
      </w:r>
      <w:proofErr w:type="spellEnd"/>
      <w:r>
        <w:rPr>
          <w:rFonts w:cs="Calibri Light"/>
          <w:sz w:val="20"/>
          <w:szCs w:val="20"/>
        </w:rPr>
        <w:t>, motifs, and materials can create different impressions for Muslim and non-Muslim visitors. Carpet serves multiple functions in mosques, including reducing noise to facilitate worship, symbolizing cleanliness and hygiene, adding aesthetic elements, and even marking the direction of the qibla and the location of the mihrab. On the floors, apart from carpets, intricate tile patterns indicate markers for spatial transitions and boundaries, such as the division between male and female areas and the transition between indoor and outdoor spaces. The material of carpets usually reflects their region of origin and other Middle Eastern countries. At the Sunshine Mosque, the carpets are red, with typical patterns delineating the spacing between worshippers in each row.</w:t>
      </w:r>
    </w:p>
    <w:p w14:paraId="39D4E47E" w14:textId="77777777" w:rsidR="00DA5FC8" w:rsidRDefault="00DA5FC8" w:rsidP="00DA5FC8">
      <w:pPr>
        <w:ind w:firstLine="284"/>
        <w:jc w:val="both"/>
        <w:rPr>
          <w:rFonts w:cs="Calibri Light"/>
          <w:sz w:val="20"/>
          <w:szCs w:val="20"/>
        </w:rPr>
      </w:pPr>
      <w:r>
        <w:rPr>
          <w:rFonts w:cs="Calibri Light"/>
          <w:sz w:val="20"/>
          <w:szCs w:val="20"/>
        </w:rPr>
        <w:t xml:space="preserve">In contrast, in mosques in Turkey, such patterns for spacing are not visible, and the carpets often have dynamic variations and improvisations in their designs. For instance, in the </w:t>
      </w:r>
      <w:proofErr w:type="spellStart"/>
      <w:r>
        <w:rPr>
          <w:rFonts w:cs="Calibri Light"/>
          <w:sz w:val="20"/>
          <w:szCs w:val="20"/>
        </w:rPr>
        <w:t>Kuyularonu</w:t>
      </w:r>
      <w:proofErr w:type="spellEnd"/>
      <w:r>
        <w:rPr>
          <w:rFonts w:cs="Calibri Light"/>
          <w:sz w:val="20"/>
          <w:szCs w:val="20"/>
        </w:rPr>
        <w:t xml:space="preserve"> Mosque in Alanya, the dominant carpet </w:t>
      </w:r>
      <w:proofErr w:type="spellStart"/>
      <w:r>
        <w:rPr>
          <w:rFonts w:cs="Calibri Light"/>
          <w:sz w:val="20"/>
          <w:szCs w:val="20"/>
        </w:rPr>
        <w:t>color</w:t>
      </w:r>
      <w:proofErr w:type="spellEnd"/>
      <w:r>
        <w:rPr>
          <w:rFonts w:cs="Calibri Light"/>
          <w:sz w:val="20"/>
          <w:szCs w:val="20"/>
        </w:rPr>
        <w:t xml:space="preserve"> is blue, with transitions and degradations of blue shades. In the Al Fatih Mosque, the carpets are a magnificent red. The Blue Mosque features orange carpets, which appear to balance the highly detailed yellow and cream-colored ceiling. </w:t>
      </w:r>
    </w:p>
    <w:p w14:paraId="771339F2" w14:textId="77777777" w:rsidR="00DA5FC8" w:rsidRDefault="00DA5FC8" w:rsidP="00DA5FC8">
      <w:pPr>
        <w:ind w:firstLine="284"/>
        <w:jc w:val="both"/>
        <w:rPr>
          <w:rFonts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2"/>
        <w:gridCol w:w="4578"/>
      </w:tblGrid>
      <w:tr w:rsidR="00DA5FC8" w14:paraId="4CCCD74D" w14:textId="77777777" w:rsidTr="00DA5FC8">
        <w:tc>
          <w:tcPr>
            <w:tcW w:w="4530" w:type="dxa"/>
          </w:tcPr>
          <w:p w14:paraId="4908535B" w14:textId="657149EC" w:rsidR="00DA5FC8" w:rsidRDefault="00DA5FC8" w:rsidP="00DA5FC8">
            <w:pPr>
              <w:jc w:val="both"/>
              <w:rPr>
                <w:rFonts w:cs="Calibri Light"/>
                <w:sz w:val="20"/>
                <w:szCs w:val="20"/>
              </w:rPr>
            </w:pPr>
            <w:r>
              <w:rPr>
                <w:noProof/>
                <w:sz w:val="16"/>
                <w:szCs w:val="16"/>
              </w:rPr>
              <w:drawing>
                <wp:inline distT="0" distB="0" distL="0" distR="0" wp14:anchorId="462DC8C9" wp14:editId="79E643F7">
                  <wp:extent cx="2814532" cy="1587500"/>
                  <wp:effectExtent l="0" t="0" r="5080" b="0"/>
                  <wp:docPr id="2124204989" name="Picture 49" descr="A large room with red car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large room with red carpe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23395" cy="1592499"/>
                          </a:xfrm>
                          <a:prstGeom prst="rect">
                            <a:avLst/>
                          </a:prstGeom>
                          <a:noFill/>
                          <a:ln>
                            <a:noFill/>
                          </a:ln>
                        </pic:spPr>
                      </pic:pic>
                    </a:graphicData>
                  </a:graphic>
                </wp:inline>
              </w:drawing>
            </w:r>
          </w:p>
        </w:tc>
        <w:tc>
          <w:tcPr>
            <w:tcW w:w="4530" w:type="dxa"/>
          </w:tcPr>
          <w:p w14:paraId="5F72A911" w14:textId="06D6CBC8" w:rsidR="00DA5FC8" w:rsidRDefault="00DA5FC8" w:rsidP="00DA5FC8">
            <w:pPr>
              <w:jc w:val="both"/>
              <w:rPr>
                <w:rFonts w:cs="Calibri Light"/>
                <w:sz w:val="20"/>
                <w:szCs w:val="20"/>
              </w:rPr>
            </w:pPr>
            <w:r>
              <w:rPr>
                <w:noProof/>
                <w:sz w:val="16"/>
                <w:szCs w:val="16"/>
              </w:rPr>
              <w:drawing>
                <wp:inline distT="0" distB="0" distL="0" distR="0" wp14:anchorId="7954735F" wp14:editId="4D59678C">
                  <wp:extent cx="2867660" cy="1587500"/>
                  <wp:effectExtent l="0" t="0" r="8890" b="0"/>
                  <wp:docPr id="29681954" name="Picture 48" descr="A large room with blue carpet and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large room with blue carpet and windows&#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67660" cy="1587500"/>
                          </a:xfrm>
                          <a:prstGeom prst="rect">
                            <a:avLst/>
                          </a:prstGeom>
                          <a:noFill/>
                          <a:ln>
                            <a:noFill/>
                          </a:ln>
                        </pic:spPr>
                      </pic:pic>
                    </a:graphicData>
                  </a:graphic>
                </wp:inline>
              </w:drawing>
            </w:r>
          </w:p>
        </w:tc>
      </w:tr>
      <w:tr w:rsidR="00DA5FC8" w14:paraId="4968CC77" w14:textId="77777777" w:rsidTr="00DA5FC8">
        <w:tc>
          <w:tcPr>
            <w:tcW w:w="4530" w:type="dxa"/>
          </w:tcPr>
          <w:p w14:paraId="0957BA9A" w14:textId="77777777" w:rsidR="00DA5FC8" w:rsidRDefault="00DA5FC8" w:rsidP="00DA5FC8">
            <w:pPr>
              <w:ind w:left="22" w:hanging="22"/>
              <w:jc w:val="center"/>
              <w:rPr>
                <w:rFonts w:cs="Calibri Light"/>
                <w:sz w:val="16"/>
                <w:szCs w:val="16"/>
              </w:rPr>
            </w:pPr>
          </w:p>
          <w:p w14:paraId="3E453E6C" w14:textId="017890CD" w:rsidR="00DA5FC8" w:rsidRDefault="00DA5FC8" w:rsidP="00DA5FC8">
            <w:pPr>
              <w:ind w:left="22" w:hanging="22"/>
              <w:jc w:val="center"/>
              <w:rPr>
                <w:rFonts w:cs="Calibri Light"/>
                <w:sz w:val="16"/>
                <w:szCs w:val="16"/>
              </w:rPr>
            </w:pPr>
            <w:r>
              <w:rPr>
                <w:rFonts w:cs="Calibri Light"/>
                <w:sz w:val="16"/>
                <w:szCs w:val="16"/>
              </w:rPr>
              <w:t>Figure 10 (a). Carpet Display in Fatih Mosque</w:t>
            </w:r>
          </w:p>
          <w:p w14:paraId="4D952619" w14:textId="77777777" w:rsidR="00DA5FC8" w:rsidRDefault="00DA5FC8" w:rsidP="00DA5FC8">
            <w:pPr>
              <w:ind w:left="22" w:hanging="22"/>
              <w:jc w:val="both"/>
              <w:rPr>
                <w:rFonts w:cs="Calibri Light"/>
                <w:sz w:val="20"/>
                <w:szCs w:val="20"/>
              </w:rPr>
            </w:pPr>
          </w:p>
        </w:tc>
        <w:tc>
          <w:tcPr>
            <w:tcW w:w="4530" w:type="dxa"/>
          </w:tcPr>
          <w:p w14:paraId="234E0124" w14:textId="77777777" w:rsidR="00DA5FC8" w:rsidRDefault="00DA5FC8" w:rsidP="00DA5FC8">
            <w:pPr>
              <w:ind w:left="22" w:hanging="22"/>
              <w:jc w:val="center"/>
              <w:rPr>
                <w:rFonts w:cs="Calibri Light"/>
                <w:sz w:val="16"/>
                <w:szCs w:val="16"/>
              </w:rPr>
            </w:pPr>
          </w:p>
          <w:p w14:paraId="6DE370BC" w14:textId="2143061B" w:rsidR="00DA5FC8" w:rsidRPr="00DA5FC8" w:rsidRDefault="00DA5FC8" w:rsidP="00DA5FC8">
            <w:pPr>
              <w:ind w:left="22" w:hanging="22"/>
              <w:jc w:val="center"/>
              <w:rPr>
                <w:rFonts w:cs="Calibri Light"/>
                <w:sz w:val="16"/>
                <w:szCs w:val="16"/>
              </w:rPr>
            </w:pPr>
            <w:r>
              <w:rPr>
                <w:rFonts w:cs="Calibri Light"/>
                <w:sz w:val="16"/>
                <w:szCs w:val="16"/>
              </w:rPr>
              <w:t xml:space="preserve">Figure 10 (b). Carpet Display in Fatih Mosque and </w:t>
            </w:r>
            <w:proofErr w:type="spellStart"/>
            <w:r>
              <w:rPr>
                <w:rFonts w:cs="Calibri Light"/>
                <w:sz w:val="16"/>
                <w:szCs w:val="16"/>
              </w:rPr>
              <w:t>Kuyularonu</w:t>
            </w:r>
            <w:proofErr w:type="spellEnd"/>
            <w:r>
              <w:rPr>
                <w:rFonts w:cs="Calibri Light"/>
                <w:sz w:val="16"/>
                <w:szCs w:val="16"/>
              </w:rPr>
              <w:t xml:space="preserve"> Mosque</w:t>
            </w:r>
          </w:p>
        </w:tc>
      </w:tr>
    </w:tbl>
    <w:p w14:paraId="374E8A38" w14:textId="77777777" w:rsidR="00DA5FC8" w:rsidRDefault="00DA5FC8" w:rsidP="00DA5FC8">
      <w:pPr>
        <w:ind w:firstLine="284"/>
        <w:jc w:val="both"/>
        <w:rPr>
          <w:rFonts w:cs="Calibri Light"/>
          <w:sz w:val="20"/>
          <w:szCs w:val="20"/>
        </w:rPr>
      </w:pPr>
    </w:p>
    <w:p w14:paraId="5B195504" w14:textId="14E66304" w:rsidR="00DA5FC8" w:rsidRDefault="00DA5FC8" w:rsidP="00DA5FC8">
      <w:pPr>
        <w:ind w:left="284" w:firstLine="284"/>
        <w:jc w:val="center"/>
        <w:rPr>
          <w:rFonts w:cs="Calibri Light"/>
          <w:sz w:val="16"/>
          <w:szCs w:val="16"/>
        </w:rPr>
      </w:pPr>
    </w:p>
    <w:p w14:paraId="2A2E667A" w14:textId="77777777" w:rsidR="00DA5FC8" w:rsidRDefault="00DA5FC8" w:rsidP="00DA5FC8">
      <w:pPr>
        <w:ind w:left="284" w:firstLine="284"/>
        <w:jc w:val="center"/>
        <w:rPr>
          <w:rFonts w:cs="Calibri Light"/>
          <w:sz w:val="16"/>
          <w:szCs w:val="16"/>
        </w:rPr>
      </w:pPr>
    </w:p>
    <w:p w14:paraId="0023264F" w14:textId="755CDEA8" w:rsidR="00DA5FC8" w:rsidRDefault="00DA5FC8" w:rsidP="00DA5FC8">
      <w:pPr>
        <w:ind w:left="284" w:firstLine="284"/>
        <w:jc w:val="center"/>
        <w:rPr>
          <w:rFonts w:cs="Calibri Light"/>
          <w:sz w:val="16"/>
          <w:szCs w:val="16"/>
        </w:rPr>
      </w:pPr>
    </w:p>
    <w:p w14:paraId="78CAD434" w14:textId="77777777" w:rsidR="00DA5FC8" w:rsidRDefault="00DA5FC8" w:rsidP="00DA5FC8">
      <w:pPr>
        <w:ind w:firstLine="284"/>
        <w:jc w:val="both"/>
        <w:rPr>
          <w:rFonts w:cs="Calibri Light"/>
          <w:sz w:val="20"/>
          <w:szCs w:val="20"/>
        </w:rPr>
      </w:pPr>
      <w:r>
        <w:rPr>
          <w:rFonts w:cs="Calibri Light"/>
          <w:sz w:val="20"/>
          <w:szCs w:val="20"/>
        </w:rPr>
        <w:lastRenderedPageBreak/>
        <w:t xml:space="preserve">The carpet also functions as a divider between the mihrab, the rows for men and women, the rows for adult and children’s worshippers, and those preparing to join congregational prayers or simply waiting in the mosque. The most essential aspect of the prayer space, particularly in the women's section, is that the Sunshine Mosque is equipped with rows of chairs used by elderly or disabled congregants. Such furniture is rarely found in mosques in </w:t>
      </w:r>
      <w:r>
        <w:rPr>
          <w:rFonts w:asciiTheme="majorHAnsi" w:hAnsiTheme="majorHAnsi" w:cstheme="majorHAnsi"/>
          <w:sz w:val="20"/>
          <w:szCs w:val="20"/>
        </w:rPr>
        <w:t>Türkiye</w:t>
      </w:r>
      <w:r>
        <w:rPr>
          <w:rFonts w:cs="Calibri Light"/>
          <w:sz w:val="20"/>
          <w:szCs w:val="20"/>
        </w:rPr>
        <w:t>. There is a greater provision of chairs in Melbourne mosques, reflecting a trend where regular attendees of worship services are often elderly or disabled, especially in secular countries, and mosques are particularly busy during Ramadan, frequented by elderly congregants.</w:t>
      </w:r>
    </w:p>
    <w:p w14:paraId="7403E063" w14:textId="77777777" w:rsidR="00DA5FC8" w:rsidRDefault="00DA5FC8" w:rsidP="00DA5FC8">
      <w:pPr>
        <w:ind w:firstLine="284"/>
        <w:jc w:val="both"/>
        <w:rPr>
          <w:rFonts w:cs="Calibri Light"/>
          <w:sz w:val="20"/>
          <w:szCs w:val="20"/>
        </w:rPr>
      </w:pPr>
    </w:p>
    <w:p w14:paraId="183BD3E5" w14:textId="79ED4F57" w:rsidR="00DA5FC8" w:rsidRDefault="00DA5FC8" w:rsidP="00DA5FC8">
      <w:pPr>
        <w:jc w:val="center"/>
        <w:rPr>
          <w:rFonts w:cs="Calibri Light"/>
          <w:sz w:val="20"/>
          <w:szCs w:val="20"/>
        </w:rPr>
      </w:pPr>
      <w:r>
        <w:rPr>
          <w:rFonts w:ascii="Century Gothic" w:hAnsi="Century Gothic"/>
          <w:b/>
          <w:noProof/>
          <w:sz w:val="18"/>
          <w:szCs w:val="18"/>
          <w:lang w:val="id-ID"/>
        </w:rPr>
        <w:drawing>
          <wp:inline distT="0" distB="0" distL="0" distR="0" wp14:anchorId="5E3BAB48" wp14:editId="6CCB7E2C">
            <wp:extent cx="3059962" cy="1967842"/>
            <wp:effectExtent l="0" t="6350" r="1270" b="1270"/>
            <wp:docPr id="1436768308" name="Picture 47" descr="A picture containing window, daylighting, composite material, symme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window, daylighting, composite material, symmetry&#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5400000">
                      <a:off x="0" y="0"/>
                      <a:ext cx="3077676" cy="1979234"/>
                    </a:xfrm>
                    <a:prstGeom prst="rect">
                      <a:avLst/>
                    </a:prstGeom>
                    <a:noFill/>
                    <a:ln>
                      <a:noFill/>
                    </a:ln>
                  </pic:spPr>
                </pic:pic>
              </a:graphicData>
            </a:graphic>
          </wp:inline>
        </w:drawing>
      </w:r>
    </w:p>
    <w:p w14:paraId="2A18A6A6" w14:textId="77777777" w:rsidR="00DA5FC8" w:rsidRDefault="00DA5FC8" w:rsidP="00DA5FC8">
      <w:pPr>
        <w:jc w:val="center"/>
        <w:rPr>
          <w:rFonts w:cs="Calibri Light"/>
          <w:sz w:val="20"/>
          <w:szCs w:val="20"/>
        </w:rPr>
      </w:pPr>
    </w:p>
    <w:p w14:paraId="4A3CAC1E" w14:textId="77777777" w:rsidR="00DA5FC8" w:rsidRDefault="00DA5FC8" w:rsidP="00DA5FC8">
      <w:pPr>
        <w:spacing w:before="20" w:after="20"/>
        <w:jc w:val="center"/>
        <w:rPr>
          <w:rFonts w:cs="Calibri Light"/>
          <w:bCs/>
          <w:iCs/>
          <w:sz w:val="16"/>
          <w:szCs w:val="16"/>
          <w:lang w:val="id-ID"/>
        </w:rPr>
      </w:pPr>
      <w:r>
        <w:rPr>
          <w:rFonts w:cs="Calibri Light"/>
          <w:bCs/>
          <w:iCs/>
          <w:noProof/>
          <w:sz w:val="16"/>
          <w:szCs w:val="16"/>
          <w:lang w:val="id-ID"/>
        </w:rPr>
        <w:t>Figure 11. Women's Prayer Area Carpet at Sunshine Mosque</w:t>
      </w:r>
    </w:p>
    <w:p w14:paraId="14A3D005" w14:textId="77777777" w:rsidR="00DA5FC8" w:rsidRDefault="00DA5FC8" w:rsidP="00DA5FC8">
      <w:pPr>
        <w:ind w:left="284" w:firstLine="283"/>
        <w:jc w:val="center"/>
        <w:rPr>
          <w:rFonts w:cs="Calibri Light"/>
          <w:sz w:val="20"/>
          <w:szCs w:val="20"/>
        </w:rPr>
      </w:pPr>
    </w:p>
    <w:p w14:paraId="6B70107A" w14:textId="07FA6665" w:rsidR="00DA5FC8" w:rsidRPr="00DA5FC8" w:rsidRDefault="008B7C9B" w:rsidP="00DA5FC8">
      <w:pPr>
        <w:pStyle w:val="ListParagraph"/>
        <w:numPr>
          <w:ilvl w:val="0"/>
          <w:numId w:val="7"/>
        </w:numPr>
        <w:ind w:left="284" w:hanging="284"/>
        <w:jc w:val="both"/>
        <w:rPr>
          <w:rFonts w:asciiTheme="majorHAnsi" w:hAnsiTheme="majorHAnsi" w:cstheme="majorHAnsi"/>
          <w:b/>
          <w:iCs/>
          <w:sz w:val="18"/>
          <w:szCs w:val="18"/>
        </w:rPr>
      </w:pPr>
      <w:r w:rsidRPr="00DA5FC8">
        <w:rPr>
          <w:rFonts w:asciiTheme="majorHAnsi" w:hAnsiTheme="majorHAnsi" w:cstheme="majorHAnsi"/>
          <w:b/>
          <w:iCs/>
          <w:sz w:val="18"/>
          <w:szCs w:val="18"/>
        </w:rPr>
        <w:t xml:space="preserve">Furniture </w:t>
      </w:r>
      <w:r>
        <w:rPr>
          <w:rFonts w:asciiTheme="majorHAnsi" w:hAnsiTheme="majorHAnsi" w:cstheme="majorHAnsi"/>
          <w:b/>
          <w:iCs/>
          <w:sz w:val="18"/>
          <w:szCs w:val="18"/>
        </w:rPr>
        <w:t>a</w:t>
      </w:r>
      <w:r w:rsidRPr="00DA5FC8">
        <w:rPr>
          <w:rFonts w:asciiTheme="majorHAnsi" w:hAnsiTheme="majorHAnsi" w:cstheme="majorHAnsi"/>
          <w:b/>
          <w:iCs/>
          <w:sz w:val="18"/>
          <w:szCs w:val="18"/>
        </w:rPr>
        <w:t>nd Furnishing</w:t>
      </w:r>
    </w:p>
    <w:p w14:paraId="45350F28" w14:textId="77777777" w:rsidR="00DA5FC8" w:rsidRDefault="00DA5FC8" w:rsidP="00DA5FC8">
      <w:pPr>
        <w:ind w:firstLine="284"/>
        <w:jc w:val="both"/>
        <w:rPr>
          <w:rFonts w:cs="Calibri Light"/>
          <w:sz w:val="20"/>
          <w:szCs w:val="20"/>
        </w:rPr>
      </w:pPr>
      <w:r>
        <w:rPr>
          <w:rFonts w:cs="Calibri Light"/>
          <w:sz w:val="20"/>
          <w:szCs w:val="20"/>
        </w:rPr>
        <w:t>The Minbar, where the khatib delivers sermons and individuals recite the Quran, is an essential element in Turkish mosques. Its placement is consistent across all four mosques studied. The Minbar is located to the right of the Imam, who leads the prayers. Meanwhile, the area for the Imam, Quran reader, or leader of Islamic studies typically consists of a pulpit without stairs. It is usually placed to the left of the prayer space or behind the women's section, near the mosque's exit. The materials used in the mihrab's structure are typically wood, with intricate carvings. Wood is considered vital in construction and maintains a natural balance with the stone walls surrounding the prayer hall. On the supporting pillars of the dome, ornamental wooden furnishings are often installed, sometimes serving dual purposes, such as storing the Quran.</w:t>
      </w:r>
    </w:p>
    <w:p w14:paraId="1F934EAB" w14:textId="77777777" w:rsidR="00DA5FC8" w:rsidRDefault="00DA5FC8" w:rsidP="00DA5FC8">
      <w:pPr>
        <w:ind w:firstLine="284"/>
        <w:jc w:val="both"/>
        <w:rPr>
          <w:rFonts w:ascii="Century Gothic" w:hAnsi="Century Gothic" w:cstheme="minorBidi"/>
          <w:b/>
          <w:sz w:val="18"/>
          <w:szCs w:val="18"/>
          <w:lang w:val="id-ID"/>
        </w:rPr>
      </w:pPr>
    </w:p>
    <w:p w14:paraId="713DC77E" w14:textId="5D720F1B" w:rsidR="00DA5FC8" w:rsidRDefault="00DA5FC8" w:rsidP="00DA5FC8">
      <w:pPr>
        <w:jc w:val="center"/>
        <w:rPr>
          <w:rFonts w:ascii="Century Gothic" w:hAnsi="Century Gothic"/>
          <w:b/>
          <w:noProof/>
          <w:sz w:val="18"/>
          <w:szCs w:val="18"/>
          <w:lang w:val="id-ID"/>
        </w:rPr>
      </w:pPr>
      <w:r>
        <w:rPr>
          <w:rFonts w:ascii="Century Gothic" w:hAnsi="Century Gothic"/>
          <w:b/>
          <w:noProof/>
          <w:sz w:val="18"/>
          <w:szCs w:val="18"/>
          <w:lang w:val="id-ID"/>
        </w:rPr>
        <w:drawing>
          <wp:inline distT="0" distB="0" distL="0" distR="0" wp14:anchorId="3226C565" wp14:editId="3B4EE9F4">
            <wp:extent cx="2296795" cy="1521460"/>
            <wp:effectExtent l="6668" t="0" r="0" b="0"/>
            <wp:docPr id="1342120473" name="Picture 46" descr="A wooden staircas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A wooden staircase in a room&#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l="7948"/>
                    <a:stretch>
                      <a:fillRect/>
                    </a:stretch>
                  </pic:blipFill>
                  <pic:spPr bwMode="auto">
                    <a:xfrm rot="5400000" flipV="1">
                      <a:off x="0" y="0"/>
                      <a:ext cx="2296795" cy="1521460"/>
                    </a:xfrm>
                    <a:prstGeom prst="rect">
                      <a:avLst/>
                    </a:prstGeom>
                    <a:noFill/>
                    <a:ln>
                      <a:noFill/>
                    </a:ln>
                  </pic:spPr>
                </pic:pic>
              </a:graphicData>
            </a:graphic>
          </wp:inline>
        </w:drawing>
      </w:r>
      <w:r>
        <w:rPr>
          <w:rFonts w:ascii="Century Gothic" w:hAnsi="Century Gothic"/>
          <w:b/>
          <w:noProof/>
          <w:sz w:val="18"/>
          <w:szCs w:val="18"/>
          <w:lang w:val="id-ID"/>
        </w:rPr>
        <w:t xml:space="preserve"> </w:t>
      </w:r>
      <w:r>
        <w:rPr>
          <w:rFonts w:ascii="Century Gothic" w:hAnsi="Century Gothic"/>
          <w:b/>
          <w:noProof/>
          <w:sz w:val="18"/>
          <w:szCs w:val="18"/>
          <w:lang w:val="id-ID"/>
        </w:rPr>
        <w:drawing>
          <wp:inline distT="0" distB="0" distL="0" distR="0" wp14:anchorId="146F7E2C" wp14:editId="5D95ADB2">
            <wp:extent cx="2296795" cy="1587500"/>
            <wp:effectExtent l="0" t="7302" r="952" b="953"/>
            <wp:docPr id="1970202809" name="Picture 45" descr="A wooden bench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wooden bench in a room&#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2296795" cy="1587500"/>
                    </a:xfrm>
                    <a:prstGeom prst="rect">
                      <a:avLst/>
                    </a:prstGeom>
                    <a:noFill/>
                    <a:ln>
                      <a:noFill/>
                    </a:ln>
                  </pic:spPr>
                </pic:pic>
              </a:graphicData>
            </a:graphic>
          </wp:inline>
        </w:drawing>
      </w:r>
      <w:r>
        <w:rPr>
          <w:rFonts w:ascii="Century Gothic" w:hAnsi="Century Gothic"/>
          <w:b/>
          <w:noProof/>
          <w:sz w:val="18"/>
          <w:szCs w:val="18"/>
          <w:lang w:val="id-ID"/>
        </w:rPr>
        <w:t xml:space="preserve"> </w:t>
      </w:r>
      <w:r>
        <w:rPr>
          <w:rFonts w:ascii="Century Gothic" w:hAnsi="Century Gothic"/>
          <w:b/>
          <w:noProof/>
          <w:sz w:val="18"/>
          <w:szCs w:val="18"/>
          <w:lang w:val="id-ID"/>
        </w:rPr>
        <w:drawing>
          <wp:inline distT="0" distB="0" distL="0" distR="0" wp14:anchorId="14482698" wp14:editId="43FEC59F">
            <wp:extent cx="2296795" cy="1572895"/>
            <wp:effectExtent l="0" t="0" r="8255" b="8255"/>
            <wp:docPr id="316966860" name="Picture 44" descr="A wooden podium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ooden podium in a room&#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t="5937"/>
                    <a:stretch>
                      <a:fillRect/>
                    </a:stretch>
                  </pic:blipFill>
                  <pic:spPr bwMode="auto">
                    <a:xfrm rot="5400000">
                      <a:off x="0" y="0"/>
                      <a:ext cx="2296795" cy="1572895"/>
                    </a:xfrm>
                    <a:prstGeom prst="rect">
                      <a:avLst/>
                    </a:prstGeom>
                    <a:noFill/>
                    <a:ln>
                      <a:noFill/>
                    </a:ln>
                  </pic:spPr>
                </pic:pic>
              </a:graphicData>
            </a:graphic>
          </wp:inline>
        </w:drawing>
      </w:r>
    </w:p>
    <w:p w14:paraId="7FA2F664" w14:textId="77777777" w:rsidR="00DA5FC8" w:rsidRDefault="00DA5FC8" w:rsidP="00DA5FC8">
      <w:pPr>
        <w:ind w:left="284" w:firstLine="283"/>
        <w:jc w:val="center"/>
        <w:rPr>
          <w:rFonts w:cs="Calibri Light"/>
          <w:sz w:val="18"/>
          <w:szCs w:val="18"/>
        </w:rPr>
      </w:pPr>
    </w:p>
    <w:p w14:paraId="6A1B10A7" w14:textId="55B44409" w:rsidR="00DA5FC8" w:rsidRPr="00DA5FC8" w:rsidRDefault="00DA5FC8" w:rsidP="00DA5FC8">
      <w:pPr>
        <w:ind w:left="284" w:firstLine="283"/>
        <w:jc w:val="center"/>
        <w:rPr>
          <w:rFonts w:ascii="Calibri Light" w:hAnsi="Calibri Light" w:cs="Calibri Light"/>
          <w:sz w:val="16"/>
          <w:szCs w:val="16"/>
        </w:rPr>
      </w:pPr>
      <w:r w:rsidRPr="00DA5FC8">
        <w:rPr>
          <w:rFonts w:cs="Calibri Light"/>
          <w:sz w:val="16"/>
          <w:szCs w:val="16"/>
        </w:rPr>
        <w:t>Figure 12 (a). Minbar in Sunshine Mosque</w:t>
      </w:r>
    </w:p>
    <w:p w14:paraId="2B5AB574" w14:textId="77777777" w:rsidR="00DA5FC8" w:rsidRDefault="00DA5FC8" w:rsidP="00DA5FC8">
      <w:pPr>
        <w:jc w:val="center"/>
        <w:rPr>
          <w:rFonts w:ascii="Century Gothic" w:hAnsi="Century Gothic" w:cstheme="minorBidi"/>
          <w:b/>
          <w:noProof/>
          <w:sz w:val="18"/>
          <w:szCs w:val="18"/>
          <w:lang w:val="id-ID"/>
        </w:rPr>
      </w:pPr>
    </w:p>
    <w:p w14:paraId="51EFF45D" w14:textId="77777777" w:rsidR="00DA5FC8" w:rsidRDefault="00DA5FC8" w:rsidP="00DA5FC8">
      <w:pPr>
        <w:jc w:val="center"/>
        <w:rPr>
          <w:rFonts w:ascii="Century Gothic" w:hAnsi="Century Gothic"/>
          <w:b/>
          <w:noProof/>
          <w:sz w:val="18"/>
          <w:szCs w:val="18"/>
          <w:lang w:val="id-ID"/>
        </w:rPr>
      </w:pPr>
    </w:p>
    <w:p w14:paraId="7D7E69B9" w14:textId="3822D77B" w:rsidR="00DA5FC8" w:rsidRDefault="00DA5FC8" w:rsidP="00DA5FC8">
      <w:pPr>
        <w:jc w:val="center"/>
        <w:rPr>
          <w:rFonts w:ascii="Calibri Light" w:hAnsi="Calibri Light"/>
          <w:noProof/>
        </w:rPr>
      </w:pPr>
      <w:r>
        <w:rPr>
          <w:noProof/>
        </w:rPr>
        <w:drawing>
          <wp:inline distT="0" distB="0" distL="0" distR="0" wp14:anchorId="2EFD4912" wp14:editId="41E01A2F">
            <wp:extent cx="2086636" cy="1435319"/>
            <wp:effectExtent l="1905" t="0" r="0" b="0"/>
            <wp:docPr id="1679279446" name="Picture 43" descr="A white ornate staircase in a room with blue wa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A white ornate staircase in a room with blue walls&#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l="4645" r="10947"/>
                    <a:stretch>
                      <a:fillRect/>
                    </a:stretch>
                  </pic:blipFill>
                  <pic:spPr bwMode="auto">
                    <a:xfrm rot="5400000">
                      <a:off x="0" y="0"/>
                      <a:ext cx="2094470" cy="1440708"/>
                    </a:xfrm>
                    <a:prstGeom prst="rect">
                      <a:avLst/>
                    </a:prstGeom>
                    <a:noFill/>
                    <a:ln>
                      <a:noFill/>
                    </a:ln>
                  </pic:spPr>
                </pic:pic>
              </a:graphicData>
            </a:graphic>
          </wp:inline>
        </w:drawing>
      </w:r>
      <w:r>
        <w:rPr>
          <w:noProof/>
        </w:rPr>
        <w:t xml:space="preserve"> </w:t>
      </w:r>
      <w:r>
        <w:rPr>
          <w:noProof/>
        </w:rPr>
        <w:drawing>
          <wp:inline distT="0" distB="0" distL="0" distR="0" wp14:anchorId="45E905B0" wp14:editId="134B1137">
            <wp:extent cx="2086144" cy="1455168"/>
            <wp:effectExtent l="0" t="8255" r="1270" b="1270"/>
            <wp:docPr id="1883536359" name="Picture 42" descr="A white bench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A white bench in a room&#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l="6056" r="6139"/>
                    <a:stretch>
                      <a:fillRect/>
                    </a:stretch>
                  </pic:blipFill>
                  <pic:spPr bwMode="auto">
                    <a:xfrm rot="5400000">
                      <a:off x="0" y="0"/>
                      <a:ext cx="2103393" cy="1467200"/>
                    </a:xfrm>
                    <a:prstGeom prst="rect">
                      <a:avLst/>
                    </a:prstGeom>
                    <a:noFill/>
                    <a:ln>
                      <a:noFill/>
                    </a:ln>
                  </pic:spPr>
                </pic:pic>
              </a:graphicData>
            </a:graphic>
          </wp:inline>
        </w:drawing>
      </w:r>
      <w:r>
        <w:rPr>
          <w:noProof/>
        </w:rPr>
        <w:t xml:space="preserve"> </w:t>
      </w:r>
      <w:r>
        <w:rPr>
          <w:noProof/>
        </w:rPr>
        <w:drawing>
          <wp:inline distT="0" distB="0" distL="0" distR="0" wp14:anchorId="178C1C16" wp14:editId="655BF175">
            <wp:extent cx="2084996" cy="1427850"/>
            <wp:effectExtent l="4763" t="0" r="0" b="0"/>
            <wp:docPr id="318731966" name="Picture 41" descr="A white and blue tiled room with a blue wall and a blue wa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white and blue tiled room with a blue wall and a blue wall&#10;&#10;Description automatically generated with medium confidence"/>
                    <pic:cNvPicPr>
                      <a:picLocks noChangeAspect="1" noChangeArrowheads="1"/>
                    </pic:cNvPicPr>
                  </pic:nvPicPr>
                  <pic:blipFill>
                    <a:blip r:embed="rId37" cstate="print">
                      <a:extLst>
                        <a:ext uri="{28A0092B-C50C-407E-A947-70E740481C1C}">
                          <a14:useLocalDpi xmlns:a14="http://schemas.microsoft.com/office/drawing/2010/main" val="0"/>
                        </a:ext>
                      </a:extLst>
                    </a:blip>
                    <a:srcRect r="10571"/>
                    <a:stretch>
                      <a:fillRect/>
                    </a:stretch>
                  </pic:blipFill>
                  <pic:spPr bwMode="auto">
                    <a:xfrm rot="5400000">
                      <a:off x="0" y="0"/>
                      <a:ext cx="2095396" cy="1434972"/>
                    </a:xfrm>
                    <a:prstGeom prst="rect">
                      <a:avLst/>
                    </a:prstGeom>
                    <a:noFill/>
                    <a:ln>
                      <a:noFill/>
                    </a:ln>
                  </pic:spPr>
                </pic:pic>
              </a:graphicData>
            </a:graphic>
          </wp:inline>
        </w:drawing>
      </w:r>
    </w:p>
    <w:p w14:paraId="2B5C0FB4" w14:textId="77777777" w:rsidR="00DA5FC8" w:rsidRDefault="00DA5FC8" w:rsidP="00DA5FC8">
      <w:pPr>
        <w:ind w:left="284" w:firstLine="283"/>
        <w:jc w:val="center"/>
        <w:rPr>
          <w:rFonts w:cs="Calibri Light"/>
          <w:sz w:val="18"/>
          <w:szCs w:val="18"/>
        </w:rPr>
      </w:pPr>
    </w:p>
    <w:p w14:paraId="75AAEB85" w14:textId="29D35477" w:rsidR="00DA5FC8" w:rsidRPr="00DA5FC8" w:rsidRDefault="00DA5FC8" w:rsidP="00DA5FC8">
      <w:pPr>
        <w:ind w:left="284" w:firstLine="283"/>
        <w:jc w:val="center"/>
        <w:rPr>
          <w:rFonts w:cs="Calibri Light"/>
          <w:sz w:val="16"/>
          <w:szCs w:val="16"/>
        </w:rPr>
      </w:pPr>
      <w:r w:rsidRPr="00DA5FC8">
        <w:rPr>
          <w:rFonts w:cs="Calibri Light"/>
          <w:sz w:val="16"/>
          <w:szCs w:val="16"/>
        </w:rPr>
        <w:t xml:space="preserve">Figure 12 (b). Minbar in </w:t>
      </w:r>
      <w:proofErr w:type="spellStart"/>
      <w:r w:rsidRPr="00DA5FC8">
        <w:rPr>
          <w:rFonts w:cs="Calibri Light"/>
          <w:sz w:val="16"/>
          <w:szCs w:val="16"/>
        </w:rPr>
        <w:t>Kuyularonu</w:t>
      </w:r>
      <w:proofErr w:type="spellEnd"/>
      <w:r w:rsidRPr="00DA5FC8">
        <w:rPr>
          <w:rFonts w:cs="Calibri Light"/>
          <w:sz w:val="16"/>
          <w:szCs w:val="16"/>
        </w:rPr>
        <w:t xml:space="preserve"> Mosque</w:t>
      </w:r>
    </w:p>
    <w:p w14:paraId="391A3D56" w14:textId="77777777" w:rsidR="00DA5FC8" w:rsidRDefault="00DA5FC8" w:rsidP="00DA5FC8">
      <w:pPr>
        <w:jc w:val="center"/>
        <w:rPr>
          <w:rFonts w:cs="Calibri Light"/>
          <w:sz w:val="20"/>
          <w:szCs w:val="20"/>
        </w:rPr>
      </w:pPr>
    </w:p>
    <w:p w14:paraId="7A8B22C9" w14:textId="7E87350C" w:rsidR="00DA5FC8" w:rsidRPr="00DA5FC8" w:rsidRDefault="008B7C9B" w:rsidP="00DA5FC8">
      <w:pPr>
        <w:pStyle w:val="ListParagraph"/>
        <w:numPr>
          <w:ilvl w:val="0"/>
          <w:numId w:val="7"/>
        </w:numPr>
        <w:spacing w:before="20" w:after="20"/>
        <w:ind w:left="284" w:hanging="284"/>
        <w:rPr>
          <w:rFonts w:asciiTheme="majorHAnsi" w:hAnsiTheme="majorHAnsi" w:cstheme="majorHAnsi"/>
          <w:b/>
          <w:iCs/>
          <w:noProof/>
          <w:sz w:val="18"/>
          <w:szCs w:val="18"/>
          <w:lang w:val="id-ID"/>
        </w:rPr>
      </w:pPr>
      <w:r w:rsidRPr="00DA5FC8">
        <w:rPr>
          <w:rFonts w:asciiTheme="majorHAnsi" w:hAnsiTheme="majorHAnsi" w:cstheme="majorHAnsi"/>
          <w:b/>
          <w:iCs/>
          <w:noProof/>
          <w:sz w:val="18"/>
          <w:szCs w:val="18"/>
          <w:lang w:val="id-ID"/>
        </w:rPr>
        <w:t xml:space="preserve">Outdoor </w:t>
      </w:r>
      <w:r>
        <w:rPr>
          <w:rFonts w:asciiTheme="majorHAnsi" w:hAnsiTheme="majorHAnsi" w:cstheme="majorHAnsi"/>
          <w:b/>
          <w:iCs/>
          <w:noProof/>
          <w:sz w:val="18"/>
          <w:szCs w:val="18"/>
          <w:lang w:val="id-ID"/>
        </w:rPr>
        <w:t>a</w:t>
      </w:r>
      <w:r w:rsidRPr="00DA5FC8">
        <w:rPr>
          <w:rFonts w:asciiTheme="majorHAnsi" w:hAnsiTheme="majorHAnsi" w:cstheme="majorHAnsi"/>
          <w:b/>
          <w:iCs/>
          <w:noProof/>
          <w:sz w:val="18"/>
          <w:szCs w:val="18"/>
          <w:lang w:val="id-ID"/>
        </w:rPr>
        <w:t>nd Landscape</w:t>
      </w:r>
    </w:p>
    <w:p w14:paraId="46C2654A" w14:textId="77777777" w:rsidR="00DA5FC8" w:rsidRDefault="00DA5FC8" w:rsidP="00DA5FC8">
      <w:pPr>
        <w:spacing w:before="20" w:after="20"/>
        <w:ind w:firstLine="284"/>
        <w:jc w:val="both"/>
        <w:rPr>
          <w:rFonts w:cs="Calibri Light"/>
          <w:sz w:val="20"/>
          <w:szCs w:val="20"/>
        </w:rPr>
      </w:pPr>
      <w:r>
        <w:rPr>
          <w:rFonts w:cs="Calibri Light"/>
          <w:sz w:val="20"/>
          <w:szCs w:val="20"/>
        </w:rPr>
        <w:t xml:space="preserve">Regarding layout, the Sultan Ahmet Mosque and the Fatih Mosque feature inner courtyards surrounded by covered corridors or pillars. These courtyards serve as transitional spaces from public or semi-public areas to the semi-private areas of worship. The </w:t>
      </w:r>
      <w:proofErr w:type="spellStart"/>
      <w:r>
        <w:rPr>
          <w:rFonts w:cs="Calibri Light"/>
          <w:sz w:val="20"/>
          <w:szCs w:val="20"/>
        </w:rPr>
        <w:t>Kuyularonu</w:t>
      </w:r>
      <w:proofErr w:type="spellEnd"/>
      <w:r>
        <w:rPr>
          <w:rFonts w:cs="Calibri Light"/>
          <w:sz w:val="20"/>
          <w:szCs w:val="20"/>
        </w:rPr>
        <w:t xml:space="preserve"> Mosque, however, does not have a large courtyard due to its location in a central business district, where it is directly accessible from public spaces such as roads and pedestrian pathways in the Alanya shopping </w:t>
      </w:r>
      <w:proofErr w:type="spellStart"/>
      <w:r>
        <w:rPr>
          <w:rFonts w:cs="Calibri Light"/>
          <w:sz w:val="20"/>
          <w:szCs w:val="20"/>
        </w:rPr>
        <w:t>center</w:t>
      </w:r>
      <w:proofErr w:type="spellEnd"/>
      <w:r>
        <w:rPr>
          <w:rFonts w:cs="Calibri Light"/>
          <w:sz w:val="20"/>
          <w:szCs w:val="20"/>
        </w:rPr>
        <w:t xml:space="preserve"> area. The limited space and functional linkage with surrounding activities influence the presence of a courtyard. Similarly, the Sunshine Mosque does not have an inner court, but it can be accessed directly from the parking area within the building's premises or by worshippers arriving from the highway in front of the mosque.</w:t>
      </w:r>
    </w:p>
    <w:p w14:paraId="2AB4B3DB" w14:textId="77777777" w:rsidR="00DA5FC8" w:rsidRDefault="00DA5FC8" w:rsidP="00DA5FC8">
      <w:pPr>
        <w:spacing w:before="20" w:after="20"/>
        <w:ind w:firstLine="284"/>
        <w:jc w:val="both"/>
        <w:rPr>
          <w:rFonts w:cs="Calibri Light"/>
          <w:sz w:val="20"/>
          <w:szCs w:val="20"/>
        </w:rPr>
      </w:pPr>
      <w:r>
        <w:rPr>
          <w:rFonts w:cs="Calibri Light"/>
          <w:sz w:val="20"/>
          <w:szCs w:val="20"/>
        </w:rPr>
        <w:t xml:space="preserve">The outdoor environment is the most fundamental difference between the Sunshine Mosque and its counterparts in </w:t>
      </w:r>
      <w:r>
        <w:rPr>
          <w:rFonts w:asciiTheme="majorHAnsi" w:hAnsiTheme="majorHAnsi" w:cstheme="majorHAnsi"/>
          <w:sz w:val="20"/>
          <w:szCs w:val="20"/>
        </w:rPr>
        <w:t>Türkiye</w:t>
      </w:r>
      <w:r>
        <w:rPr>
          <w:rFonts w:cs="Calibri Light"/>
          <w:sz w:val="20"/>
          <w:szCs w:val="20"/>
        </w:rPr>
        <w:t xml:space="preserve">. Even with the establishment of secular principles, mosques remain popular tourist attractions in </w:t>
      </w:r>
      <w:r>
        <w:rPr>
          <w:rFonts w:asciiTheme="majorHAnsi" w:hAnsiTheme="majorHAnsi" w:cstheme="majorHAnsi"/>
          <w:sz w:val="20"/>
          <w:szCs w:val="20"/>
        </w:rPr>
        <w:t>Türkiye</w:t>
      </w:r>
      <w:r>
        <w:rPr>
          <w:rFonts w:cs="Calibri Light"/>
          <w:sz w:val="20"/>
          <w:szCs w:val="20"/>
        </w:rPr>
        <w:t xml:space="preserve">, both in Istanbul and Alanya. Visitors often come for sightseeing, and Muslims for prayer. The secular impression is not very prominent. In contrast, visitors primarily come to worship at the Sunshine Mosque in Melbourne. The mosque is bustling mainly during Islamic events, especially during Ramadan and occasional festivals. During these times, the Muslim community, not just the Turkish community, gathers and uses the outdoor space for socializing and sports. This is evident in a football field, which can be converted into other play or sports areas, as well as various playground facilities for children. In </w:t>
      </w:r>
      <w:r>
        <w:rPr>
          <w:rFonts w:asciiTheme="majorHAnsi" w:hAnsiTheme="majorHAnsi" w:cstheme="majorHAnsi"/>
          <w:sz w:val="20"/>
          <w:szCs w:val="20"/>
        </w:rPr>
        <w:t>Türkiye</w:t>
      </w:r>
      <w:r>
        <w:rPr>
          <w:rFonts w:cs="Calibri Light"/>
          <w:sz w:val="20"/>
          <w:szCs w:val="20"/>
        </w:rPr>
        <w:t xml:space="preserve">, such facilities are less noticeable and not typically provided. The Sunshine Mosque offers added value as a community gathering place for social functions. </w:t>
      </w:r>
    </w:p>
    <w:p w14:paraId="7164A894" w14:textId="77777777" w:rsidR="00DA5FC8" w:rsidRDefault="00DA5FC8" w:rsidP="00DA5FC8">
      <w:pPr>
        <w:spacing w:before="20" w:after="20"/>
        <w:ind w:firstLine="284"/>
        <w:jc w:val="both"/>
        <w:rPr>
          <w:rFonts w:cs="Calibri Light"/>
          <w:sz w:val="20"/>
          <w:szCs w:val="20"/>
        </w:rPr>
      </w:pPr>
      <w:r>
        <w:rPr>
          <w:rFonts w:cs="Calibri Light"/>
          <w:sz w:val="20"/>
          <w:szCs w:val="20"/>
        </w:rPr>
        <w:t xml:space="preserve">The external elements of Turkish mosques typically include fountains, ponds, and spacious gardens, unlike the Sunshine Mosque. This absence can be attributed to various factors, including design preferences, spatial constraints, and local vegetation considerations. Sunshine Mosque may prioritize other architectural features or landscaping elements that </w:t>
      </w:r>
      <w:proofErr w:type="spellStart"/>
      <w:r>
        <w:rPr>
          <w:rFonts w:cs="Calibri Light"/>
          <w:sz w:val="20"/>
          <w:szCs w:val="20"/>
        </w:rPr>
        <w:t>fulfill</w:t>
      </w:r>
      <w:proofErr w:type="spellEnd"/>
      <w:r>
        <w:rPr>
          <w:rFonts w:cs="Calibri Light"/>
          <w:sz w:val="20"/>
          <w:szCs w:val="20"/>
        </w:rPr>
        <w:t xml:space="preserve"> its functional and aesthetic needs while adapting to Melbourne's urban context.</w:t>
      </w:r>
    </w:p>
    <w:p w14:paraId="3DA435AB" w14:textId="77777777" w:rsidR="00DA5FC8" w:rsidRDefault="00DA5FC8" w:rsidP="00DA5FC8">
      <w:pPr>
        <w:spacing w:before="20" w:after="20"/>
        <w:jc w:val="both"/>
        <w:rPr>
          <w:rFonts w:cs="Calibri Light"/>
          <w:sz w:val="20"/>
          <w:szCs w:val="20"/>
        </w:rPr>
      </w:pPr>
    </w:p>
    <w:p w14:paraId="5FABBD5B" w14:textId="257D3298" w:rsidR="00DA5FC8" w:rsidRDefault="00DA5FC8" w:rsidP="00DA5FC8">
      <w:pPr>
        <w:spacing w:before="20" w:after="20"/>
        <w:jc w:val="center"/>
        <w:rPr>
          <w:rFonts w:ascii="Century Gothic" w:hAnsi="Century Gothic" w:cstheme="minorBidi"/>
          <w:b/>
          <w:iCs/>
          <w:sz w:val="18"/>
          <w:szCs w:val="18"/>
          <w:lang w:val="id-ID"/>
        </w:rPr>
      </w:pPr>
      <w:r>
        <w:rPr>
          <w:rFonts w:ascii="Century Gothic" w:hAnsi="Century Gothic"/>
          <w:b/>
          <w:noProof/>
          <w:sz w:val="18"/>
          <w:szCs w:val="18"/>
          <w:lang w:val="id-ID"/>
        </w:rPr>
        <w:drawing>
          <wp:inline distT="0" distB="0" distL="0" distR="0" wp14:anchorId="751E4816" wp14:editId="0F5EDAC1">
            <wp:extent cx="1921122" cy="1442770"/>
            <wp:effectExtent l="0" t="8572" r="0" b="0"/>
            <wp:docPr id="1234153398" name="Picture 40" descr="A playground with swings and a chain link fen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playground with swings and a chain link fence&#10;&#10;Description automatically generated with low confidenc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5400000">
                      <a:off x="0" y="0"/>
                      <a:ext cx="1928972" cy="1448665"/>
                    </a:xfrm>
                    <a:prstGeom prst="rect">
                      <a:avLst/>
                    </a:prstGeom>
                    <a:noFill/>
                    <a:ln>
                      <a:noFill/>
                    </a:ln>
                  </pic:spPr>
                </pic:pic>
              </a:graphicData>
            </a:graphic>
          </wp:inline>
        </w:drawing>
      </w:r>
      <w:r>
        <w:rPr>
          <w:rFonts w:ascii="Century Gothic" w:hAnsi="Century Gothic"/>
          <w:b/>
          <w:iCs/>
          <w:sz w:val="18"/>
          <w:szCs w:val="18"/>
          <w:lang w:val="id-ID"/>
        </w:rPr>
        <w:t xml:space="preserve"> </w:t>
      </w:r>
      <w:r>
        <w:rPr>
          <w:rFonts w:ascii="Century Gothic" w:hAnsi="Century Gothic"/>
          <w:b/>
          <w:noProof/>
          <w:sz w:val="18"/>
          <w:szCs w:val="18"/>
          <w:lang w:val="id-ID"/>
        </w:rPr>
        <w:drawing>
          <wp:inline distT="0" distB="0" distL="0" distR="0" wp14:anchorId="25C07ADD" wp14:editId="134E2F65">
            <wp:extent cx="1924946" cy="1445642"/>
            <wp:effectExtent l="0" t="7937" r="0" b="0"/>
            <wp:docPr id="1038019005" name="Picture 39" descr="A picture containing cloud, outdoor, sky,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picture containing cloud, outdoor, sky, screenshot&#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5400000">
                      <a:off x="0" y="0"/>
                      <a:ext cx="1935651" cy="1453681"/>
                    </a:xfrm>
                    <a:prstGeom prst="rect">
                      <a:avLst/>
                    </a:prstGeom>
                    <a:noFill/>
                    <a:ln>
                      <a:noFill/>
                    </a:ln>
                  </pic:spPr>
                </pic:pic>
              </a:graphicData>
            </a:graphic>
          </wp:inline>
        </w:drawing>
      </w:r>
      <w:r>
        <w:rPr>
          <w:rFonts w:ascii="Century Gothic" w:hAnsi="Century Gothic"/>
          <w:b/>
          <w:iCs/>
          <w:sz w:val="18"/>
          <w:szCs w:val="18"/>
          <w:lang w:val="id-ID"/>
        </w:rPr>
        <w:t xml:space="preserve"> </w:t>
      </w:r>
      <w:r>
        <w:rPr>
          <w:noProof/>
        </w:rPr>
        <w:drawing>
          <wp:inline distT="0" distB="0" distL="0" distR="0" wp14:anchorId="64364853" wp14:editId="6FDBFBE8">
            <wp:extent cx="1939350" cy="1476830"/>
            <wp:effectExtent l="2857" t="0" r="6668" b="6667"/>
            <wp:docPr id="1705967701" name="Picture 38" descr="A garden with a building and bu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garden with a building and bushes&#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5400000">
                      <a:off x="0" y="0"/>
                      <a:ext cx="1948968" cy="1484154"/>
                    </a:xfrm>
                    <a:prstGeom prst="rect">
                      <a:avLst/>
                    </a:prstGeom>
                    <a:noFill/>
                    <a:ln>
                      <a:noFill/>
                    </a:ln>
                  </pic:spPr>
                </pic:pic>
              </a:graphicData>
            </a:graphic>
          </wp:inline>
        </w:drawing>
      </w:r>
    </w:p>
    <w:p w14:paraId="4716429D" w14:textId="77777777" w:rsidR="00DA5FC8" w:rsidRDefault="00DA5FC8" w:rsidP="00DA5FC8">
      <w:pPr>
        <w:spacing w:before="20" w:after="20"/>
        <w:jc w:val="center"/>
        <w:rPr>
          <w:rFonts w:cs="Calibri Light"/>
          <w:bCs/>
          <w:iCs/>
          <w:sz w:val="16"/>
          <w:szCs w:val="16"/>
          <w:lang w:val="id-ID"/>
        </w:rPr>
      </w:pPr>
    </w:p>
    <w:p w14:paraId="5A8C3CE6" w14:textId="11E631EE" w:rsidR="00DA5FC8" w:rsidRDefault="00DA5FC8" w:rsidP="00DA5FC8">
      <w:pPr>
        <w:spacing w:before="20" w:after="20"/>
        <w:jc w:val="center"/>
        <w:rPr>
          <w:rFonts w:ascii="Calibri Light" w:hAnsi="Calibri Light" w:cs="Calibri Light"/>
          <w:bCs/>
          <w:iCs/>
          <w:sz w:val="16"/>
          <w:szCs w:val="16"/>
          <w:lang w:val="id-ID"/>
        </w:rPr>
      </w:pPr>
      <w:r>
        <w:rPr>
          <w:rFonts w:cs="Calibri Light"/>
          <w:bCs/>
          <w:iCs/>
          <w:sz w:val="16"/>
          <w:szCs w:val="16"/>
          <w:lang w:val="id-ID"/>
        </w:rPr>
        <w:t>Figure 13. Outdoor Functional Space surrounding the Sunshine Mosque</w:t>
      </w:r>
    </w:p>
    <w:p w14:paraId="68E418E4" w14:textId="77777777" w:rsidR="00DA5FC8" w:rsidRDefault="00DA5FC8" w:rsidP="008B7C9B">
      <w:pPr>
        <w:spacing w:before="20" w:after="20"/>
        <w:ind w:firstLine="284"/>
        <w:jc w:val="both"/>
        <w:rPr>
          <w:rFonts w:asciiTheme="majorHAnsi" w:hAnsiTheme="majorHAnsi" w:cstheme="majorHAnsi"/>
          <w:bCs/>
          <w:iCs/>
          <w:sz w:val="20"/>
          <w:szCs w:val="20"/>
          <w:lang w:val="id-ID"/>
        </w:rPr>
      </w:pPr>
      <w:r>
        <w:rPr>
          <w:rFonts w:asciiTheme="majorHAnsi" w:hAnsiTheme="majorHAnsi" w:cstheme="majorHAnsi"/>
          <w:bCs/>
          <w:iCs/>
          <w:sz w:val="20"/>
          <w:szCs w:val="20"/>
          <w:lang w:val="id-ID"/>
        </w:rPr>
        <w:lastRenderedPageBreak/>
        <w:t>The architectural landscape of mosques intricately reflects and adapts to cultural identities and societal needs, showcasing a dynamic interplay between tradition and contemporary demands. This evolving design highlights the unique cultural elements of the communities they serve and addresses modern society's changing requirements and challenges. To summarize the discussion of each component, comparing the Sunshine Mosque in Melbourne with Turkish mosques, the following matrix illustrates the key</w:t>
      </w:r>
      <w:r w:rsidRPr="00DA5FC8">
        <w:rPr>
          <w:rFonts w:asciiTheme="majorHAnsi" w:hAnsiTheme="majorHAnsi" w:cstheme="majorHAnsi"/>
          <w:bCs/>
          <w:iCs/>
          <w:color w:val="000000" w:themeColor="text1"/>
          <w:sz w:val="20"/>
          <w:szCs w:val="20"/>
          <w:lang w:val="id-ID"/>
        </w:rPr>
        <w:t xml:space="preserve"> similarities and differences in </w:t>
      </w:r>
      <w:bookmarkStart w:id="1" w:name="Figure_14_Similarities_and_Differences"/>
      <w:r w:rsidRPr="00DA5FC8">
        <w:rPr>
          <w:rFonts w:asciiTheme="majorHAnsi" w:hAnsiTheme="majorHAnsi" w:cstheme="majorHAnsi"/>
          <w:bCs/>
          <w:iCs/>
          <w:color w:val="000000" w:themeColor="text1"/>
          <w:sz w:val="20"/>
          <w:szCs w:val="20"/>
          <w:lang w:val="id-ID"/>
        </w:rPr>
        <w:fldChar w:fldCharType="begin"/>
      </w:r>
      <w:r w:rsidRPr="00DA5FC8">
        <w:rPr>
          <w:rFonts w:asciiTheme="majorHAnsi" w:hAnsiTheme="majorHAnsi" w:cstheme="majorHAnsi"/>
          <w:bCs/>
          <w:iCs/>
          <w:color w:val="000000" w:themeColor="text1"/>
          <w:sz w:val="20"/>
          <w:szCs w:val="20"/>
          <w:lang w:val="id-ID"/>
        </w:rPr>
        <w:instrText>HYPERLINK "file:///I:\\My%20Drive\\UIN\\JIA\\Vol%209%20No%201%20June%2026\\19%2028292-118001-1-LE.docx" \l "Table_1_Similarities_and_Differences"</w:instrText>
      </w:r>
      <w:r w:rsidRPr="00DA5FC8">
        <w:rPr>
          <w:rFonts w:asciiTheme="majorHAnsi" w:hAnsiTheme="majorHAnsi" w:cstheme="majorHAnsi"/>
          <w:bCs/>
          <w:iCs/>
          <w:color w:val="000000" w:themeColor="text1"/>
          <w:sz w:val="20"/>
          <w:szCs w:val="20"/>
          <w:lang w:val="id-ID"/>
        </w:rPr>
      </w:r>
      <w:r w:rsidRPr="00DA5FC8">
        <w:rPr>
          <w:rFonts w:asciiTheme="majorHAnsi" w:hAnsiTheme="majorHAnsi" w:cstheme="majorHAnsi"/>
          <w:bCs/>
          <w:iCs/>
          <w:color w:val="000000" w:themeColor="text1"/>
          <w:sz w:val="20"/>
          <w:szCs w:val="20"/>
          <w:lang w:val="id-ID"/>
        </w:rPr>
        <w:fldChar w:fldCharType="separate"/>
      </w:r>
      <w:r w:rsidRPr="00DA5FC8">
        <w:rPr>
          <w:rStyle w:val="Hyperlink"/>
          <w:rFonts w:asciiTheme="majorHAnsi" w:hAnsiTheme="majorHAnsi" w:cstheme="majorHAnsi"/>
          <w:bCs/>
          <w:iCs/>
          <w:color w:val="000000" w:themeColor="text1"/>
          <w:sz w:val="20"/>
          <w:szCs w:val="20"/>
          <w:u w:val="none"/>
          <w:lang w:val="id-ID"/>
        </w:rPr>
        <w:t>Table 1.</w:t>
      </w:r>
      <w:r w:rsidRPr="00DA5FC8">
        <w:rPr>
          <w:rFonts w:asciiTheme="majorHAnsi" w:hAnsiTheme="majorHAnsi" w:cstheme="majorHAnsi"/>
          <w:bCs/>
          <w:iCs/>
          <w:color w:val="000000" w:themeColor="text1"/>
          <w:sz w:val="20"/>
          <w:szCs w:val="20"/>
          <w:lang w:val="id-ID"/>
        </w:rPr>
        <w:fldChar w:fldCharType="end"/>
      </w:r>
      <w:r w:rsidRPr="00DA5FC8">
        <w:rPr>
          <w:rFonts w:asciiTheme="majorHAnsi" w:hAnsiTheme="majorHAnsi" w:cstheme="majorHAnsi"/>
          <w:bCs/>
          <w:iCs/>
          <w:color w:val="000000" w:themeColor="text1"/>
          <w:sz w:val="20"/>
          <w:szCs w:val="20"/>
          <w:lang w:val="id-ID"/>
        </w:rPr>
        <w:t xml:space="preserve"> </w:t>
      </w:r>
    </w:p>
    <w:bookmarkEnd w:id="1"/>
    <w:p w14:paraId="119BD758" w14:textId="77777777" w:rsidR="00DA5FC8" w:rsidRDefault="00DA5FC8" w:rsidP="00DA5FC8">
      <w:pPr>
        <w:spacing w:before="20" w:after="20"/>
        <w:jc w:val="center"/>
        <w:rPr>
          <w:rFonts w:ascii="Calibri Light" w:hAnsi="Calibri Light" w:cs="Calibri Light"/>
          <w:bCs/>
          <w:iCs/>
          <w:sz w:val="16"/>
          <w:szCs w:val="16"/>
          <w:lang w:val="id-ID"/>
        </w:rPr>
      </w:pPr>
    </w:p>
    <w:p w14:paraId="22A10FC1" w14:textId="77777777" w:rsidR="00DA5FC8" w:rsidRDefault="00DA5FC8" w:rsidP="00DA5FC8">
      <w:pPr>
        <w:spacing w:before="20" w:after="20"/>
        <w:jc w:val="center"/>
        <w:rPr>
          <w:rFonts w:cs="Calibri Light"/>
          <w:bCs/>
          <w:iCs/>
          <w:sz w:val="16"/>
          <w:szCs w:val="16"/>
          <w:lang w:val="id-ID"/>
        </w:rPr>
      </w:pPr>
      <w:bookmarkStart w:id="2" w:name="Table_1_Similarities_and_Differences"/>
      <w:r>
        <w:rPr>
          <w:rFonts w:cs="Calibri Light"/>
          <w:bCs/>
          <w:iCs/>
          <w:sz w:val="16"/>
          <w:szCs w:val="16"/>
          <w:lang w:val="id-ID"/>
        </w:rPr>
        <w:t>Table 1. The Similarities and Differences of Sunshine Mosque and Turkish Mosques</w:t>
      </w:r>
    </w:p>
    <w:bookmarkEnd w:id="2"/>
    <w:p w14:paraId="17E62F37" w14:textId="7C1C7B50" w:rsidR="00DA5FC8" w:rsidRDefault="00DA5FC8" w:rsidP="00DA5FC8">
      <w:pPr>
        <w:spacing w:before="20" w:after="20"/>
        <w:ind w:left="-426"/>
        <w:jc w:val="center"/>
        <w:rPr>
          <w:rFonts w:ascii="Century Gothic" w:hAnsi="Century Gothic" w:cstheme="minorBidi"/>
          <w:b/>
          <w:iCs/>
          <w:sz w:val="18"/>
          <w:szCs w:val="18"/>
          <w:lang w:val="id-ID"/>
        </w:rPr>
      </w:pPr>
      <w:r>
        <w:rPr>
          <w:rFonts w:ascii="Century Gothic" w:hAnsi="Century Gothic"/>
          <w:b/>
          <w:noProof/>
          <w:sz w:val="18"/>
          <w:szCs w:val="18"/>
          <w:lang w:val="id-ID"/>
        </w:rPr>
        <w:drawing>
          <wp:inline distT="0" distB="0" distL="0" distR="0" wp14:anchorId="11818267" wp14:editId="6954FA8A">
            <wp:extent cx="5742305" cy="2940685"/>
            <wp:effectExtent l="0" t="0" r="0" b="0"/>
            <wp:docPr id="105282647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l="4015" t="7454" r="4732" b="9460"/>
                    <a:stretch>
                      <a:fillRect/>
                    </a:stretch>
                  </pic:blipFill>
                  <pic:spPr bwMode="auto">
                    <a:xfrm>
                      <a:off x="0" y="0"/>
                      <a:ext cx="5742305" cy="2940685"/>
                    </a:xfrm>
                    <a:prstGeom prst="rect">
                      <a:avLst/>
                    </a:prstGeom>
                    <a:noFill/>
                    <a:ln>
                      <a:noFill/>
                    </a:ln>
                  </pic:spPr>
                </pic:pic>
              </a:graphicData>
            </a:graphic>
          </wp:inline>
        </w:drawing>
      </w:r>
    </w:p>
    <w:p w14:paraId="2D579DF0" w14:textId="77777777" w:rsidR="00F84C40" w:rsidRDefault="00F84C40" w:rsidP="00F84C40">
      <w:pPr>
        <w:ind w:firstLine="284"/>
        <w:jc w:val="both"/>
        <w:rPr>
          <w:rFonts w:ascii="Calibri Light" w:hAnsi="Calibri Light" w:cs="Calibri Light"/>
          <w:sz w:val="20"/>
          <w:szCs w:val="20"/>
        </w:rPr>
      </w:pPr>
    </w:p>
    <w:p w14:paraId="1D333D81" w14:textId="32946DF0" w:rsidR="00A82AC8" w:rsidRDefault="000D18D6" w:rsidP="00B9001F">
      <w:pPr>
        <w:pStyle w:val="Heading1"/>
        <w:numPr>
          <w:ilvl w:val="0"/>
          <w:numId w:val="3"/>
        </w:numPr>
        <w:spacing w:before="0"/>
        <w:ind w:left="284"/>
      </w:pPr>
      <w:r>
        <w:t>CONCLUSION</w:t>
      </w:r>
    </w:p>
    <w:p w14:paraId="32F99AB8" w14:textId="77777777" w:rsidR="00DA5FC8" w:rsidRPr="00DA5FC8" w:rsidRDefault="00DA5FC8" w:rsidP="00DA5FC8">
      <w:pPr>
        <w:ind w:firstLine="284"/>
        <w:jc w:val="both"/>
        <w:rPr>
          <w:rFonts w:ascii="Calibri Light" w:hAnsi="Calibri Light" w:cs="Calibri Light"/>
          <w:sz w:val="20"/>
          <w:szCs w:val="20"/>
        </w:rPr>
      </w:pPr>
      <w:r w:rsidRPr="00DA5FC8">
        <w:rPr>
          <w:rFonts w:ascii="Calibri Light" w:hAnsi="Calibri Light" w:cs="Calibri Light"/>
          <w:sz w:val="20"/>
          <w:szCs w:val="20"/>
        </w:rPr>
        <w:t xml:space="preserve">Islamic architecture worldwide showcases a diverse and rich array of forms, articulations, and expressions. In this study, the Sunshine Mosque, built by immigrants in a secular context, shares similarities and differences with Turkish mosques in their home country. The Sunshine Mosque in Melbourne and Turkish mosques share several architectural and cultural similarities, including domes, minarets, and intricate tile work influenced by traditional Ottoman architecture. Both serve as vital community </w:t>
      </w:r>
      <w:proofErr w:type="spellStart"/>
      <w:r w:rsidRPr="00DA5FC8">
        <w:rPr>
          <w:rFonts w:ascii="Calibri Light" w:hAnsi="Calibri Light" w:cs="Calibri Light"/>
          <w:sz w:val="20"/>
          <w:szCs w:val="20"/>
        </w:rPr>
        <w:t>centers</w:t>
      </w:r>
      <w:proofErr w:type="spellEnd"/>
      <w:r w:rsidRPr="00DA5FC8">
        <w:rPr>
          <w:rFonts w:ascii="Calibri Light" w:hAnsi="Calibri Light" w:cs="Calibri Light"/>
          <w:sz w:val="20"/>
          <w:szCs w:val="20"/>
        </w:rPr>
        <w:t>, hosting religious, social, and cultural activities and incorporating significant Islamic symbols, such as calligraphy and geometric patterns. In urban contexts, both serve as landmarks and public transport stops, aiding spatial planning, particularly as the number of Australians converting to Islam rises.</w:t>
      </w:r>
    </w:p>
    <w:p w14:paraId="2CB140DD" w14:textId="77777777" w:rsidR="00DA5FC8" w:rsidRPr="00DA5FC8" w:rsidRDefault="00DA5FC8" w:rsidP="00DA5FC8">
      <w:pPr>
        <w:ind w:firstLine="284"/>
        <w:jc w:val="both"/>
        <w:rPr>
          <w:rFonts w:ascii="Calibri Light" w:hAnsi="Calibri Light" w:cs="Calibri Light"/>
          <w:sz w:val="20"/>
          <w:szCs w:val="20"/>
        </w:rPr>
      </w:pPr>
      <w:r w:rsidRPr="00DA5FC8">
        <w:rPr>
          <w:rFonts w:ascii="Calibri Light" w:hAnsi="Calibri Light" w:cs="Calibri Light"/>
          <w:sz w:val="20"/>
          <w:szCs w:val="20"/>
        </w:rPr>
        <w:t>Despite these similarities, there are key differences. The Sunshine Mosque uses modern materials and techniques suited to Melbourne's climate, blending Turkish and Australian cultural elements, unlike Turkish mosques that rely on historical methods and local materials. It lacks an inner courtyard but features outdoor spaces integrated with the parking lot, serving as a landmark rather than a bustling community hub. In contrast, Turkish mosques often have vibrant surroundings with shopping stalls and food vendors, reinforcing their central role in the community. Additionally, the regulation of places of worship in Melbourne is minimal, with concerns mainly focused on noise, traffic, and parking.</w:t>
      </w:r>
    </w:p>
    <w:p w14:paraId="0EB42DE0" w14:textId="77777777" w:rsidR="00DA5FC8" w:rsidRDefault="00DA5FC8" w:rsidP="00DA5FC8">
      <w:pPr>
        <w:ind w:firstLine="284"/>
        <w:jc w:val="both"/>
        <w:rPr>
          <w:rFonts w:ascii="Calibri Light" w:hAnsi="Calibri Light" w:cs="Calibri Light"/>
          <w:sz w:val="20"/>
          <w:szCs w:val="20"/>
        </w:rPr>
      </w:pPr>
      <w:r w:rsidRPr="00DA5FC8">
        <w:rPr>
          <w:rFonts w:ascii="Calibri Light" w:hAnsi="Calibri Light" w:cs="Calibri Light"/>
          <w:sz w:val="20"/>
          <w:szCs w:val="20"/>
        </w:rPr>
        <w:t xml:space="preserve">Further research opens the possibility of exploring how architectural and cultural adaptations of mosques impact other Islamic communities in Melbourne and across Australia. Examining modern adaptations to local climates and materials, as well as the effects of cultural integration on social cohesion and identity among Muslim populations, could provide valuable insights into accommodating multicultural needs and fostering inclusive environments. This research would provide essential insights into optimizing mosque design and functionality to serve the diverse needs of Islamic communities in Australia, a multicultural and secular nation, and </w:t>
      </w:r>
      <w:proofErr w:type="spellStart"/>
      <w:r w:rsidRPr="00DA5FC8">
        <w:rPr>
          <w:rFonts w:ascii="Calibri Light" w:hAnsi="Calibri Light" w:cs="Calibri Light"/>
          <w:sz w:val="20"/>
          <w:szCs w:val="20"/>
        </w:rPr>
        <w:t>beyond.</w:t>
      </w:r>
      <w:proofErr w:type="spellEnd"/>
    </w:p>
    <w:p w14:paraId="7E1A9679" w14:textId="77777777" w:rsidR="00DA5FC8" w:rsidRDefault="00DA5FC8" w:rsidP="00DA5FC8">
      <w:pPr>
        <w:ind w:firstLine="284"/>
        <w:jc w:val="both"/>
        <w:rPr>
          <w:rFonts w:ascii="Calibri Light" w:hAnsi="Calibri Light" w:cs="Calibri Light"/>
          <w:sz w:val="20"/>
          <w:szCs w:val="20"/>
        </w:rPr>
      </w:pPr>
    </w:p>
    <w:p w14:paraId="2339E8FD" w14:textId="77777777" w:rsidR="00DA5FC8" w:rsidRDefault="00DA5FC8" w:rsidP="00DA5FC8">
      <w:pPr>
        <w:ind w:firstLine="284"/>
        <w:jc w:val="both"/>
        <w:rPr>
          <w:rFonts w:ascii="Calibri Light" w:hAnsi="Calibri Light" w:cs="Calibri Light"/>
          <w:sz w:val="20"/>
          <w:szCs w:val="20"/>
        </w:rPr>
      </w:pPr>
    </w:p>
    <w:p w14:paraId="049F49B2" w14:textId="77777777" w:rsidR="00DA5FC8" w:rsidRDefault="00DA5FC8" w:rsidP="00DA5FC8">
      <w:pPr>
        <w:ind w:firstLine="284"/>
        <w:jc w:val="both"/>
        <w:rPr>
          <w:rFonts w:ascii="Calibri Light" w:hAnsi="Calibri Light" w:cs="Calibri Light"/>
          <w:sz w:val="20"/>
          <w:szCs w:val="20"/>
        </w:rPr>
      </w:pPr>
    </w:p>
    <w:p w14:paraId="018FA803" w14:textId="77777777" w:rsidR="00DA5FC8" w:rsidRDefault="00DA5FC8" w:rsidP="00DA5FC8">
      <w:pPr>
        <w:ind w:firstLine="284"/>
        <w:jc w:val="both"/>
        <w:rPr>
          <w:rFonts w:ascii="Calibri Light" w:hAnsi="Calibri Light" w:cs="Calibri Light"/>
          <w:sz w:val="20"/>
          <w:szCs w:val="20"/>
        </w:rPr>
      </w:pPr>
    </w:p>
    <w:p w14:paraId="7F721742" w14:textId="77777777" w:rsidR="00A82AC8" w:rsidRDefault="00A82AC8">
      <w:pPr>
        <w:jc w:val="both"/>
        <w:rPr>
          <w:b/>
          <w:bCs/>
        </w:rPr>
      </w:pPr>
    </w:p>
    <w:p w14:paraId="56F349BE" w14:textId="77777777" w:rsidR="00A82AC8" w:rsidRDefault="000D18D6" w:rsidP="009E125F">
      <w:pPr>
        <w:pStyle w:val="Heading1"/>
        <w:spacing w:before="0"/>
      </w:pPr>
      <w:r>
        <w:lastRenderedPageBreak/>
        <w:t>AUTHORS CONTRIBUTION</w:t>
      </w:r>
    </w:p>
    <w:p w14:paraId="60663FBE" w14:textId="77777777" w:rsidR="00DA5FC8" w:rsidRPr="00DA5FC8" w:rsidRDefault="00DA5FC8" w:rsidP="00DA5FC8">
      <w:pPr>
        <w:ind w:firstLine="284"/>
        <w:jc w:val="both"/>
        <w:rPr>
          <w:rFonts w:ascii="Calibri Light" w:hAnsi="Calibri Light" w:cs="Calibri Light"/>
          <w:sz w:val="20"/>
          <w:szCs w:val="20"/>
        </w:rPr>
      </w:pPr>
      <w:r w:rsidRPr="00DA5FC8">
        <w:rPr>
          <w:rFonts w:ascii="Calibri Light" w:hAnsi="Calibri Light" w:cs="Calibri Light"/>
          <w:sz w:val="20"/>
          <w:szCs w:val="20"/>
        </w:rPr>
        <w:t>Conceptualization: K.N., A.B., Formal analysis: K.N., A.B., Funding acquisition: K.N., Direct Observation: K.N., Methodology: K.N., Project administration: K.N. Writing—original draft: K.N., A.B. Writing-review-editing: K.N., A.B. All authors have reviewed and approved the final version of the manuscript for publication.</w:t>
      </w:r>
    </w:p>
    <w:p w14:paraId="1E3B9417" w14:textId="77777777" w:rsidR="00A82AC8" w:rsidRDefault="00A82AC8">
      <w:pPr>
        <w:jc w:val="both"/>
        <w:rPr>
          <w:b/>
          <w:bCs/>
        </w:rPr>
      </w:pPr>
    </w:p>
    <w:p w14:paraId="6EAD045A" w14:textId="3E5F34BA" w:rsidR="00A82AC8" w:rsidRDefault="000D18D6" w:rsidP="009E125F">
      <w:pPr>
        <w:pStyle w:val="Heading1"/>
        <w:spacing w:before="0"/>
      </w:pPr>
      <w:r>
        <w:t>ACKNOWLEDGEMENT</w:t>
      </w:r>
    </w:p>
    <w:p w14:paraId="19CA3E8F" w14:textId="6B565C9C" w:rsidR="00B9001F" w:rsidRPr="00335DDA" w:rsidRDefault="00DA5FC8" w:rsidP="009E125F">
      <w:pPr>
        <w:ind w:firstLine="284"/>
        <w:jc w:val="both"/>
        <w:rPr>
          <w:rFonts w:ascii="Calibri Light" w:hAnsi="Calibri Light" w:cs="Calibri Light"/>
          <w:sz w:val="20"/>
          <w:szCs w:val="20"/>
        </w:rPr>
      </w:pPr>
      <w:r w:rsidRPr="00DA5FC8">
        <w:rPr>
          <w:rFonts w:ascii="Calibri Light" w:hAnsi="Calibri Light" w:cs="Calibri Light"/>
          <w:sz w:val="20"/>
          <w:szCs w:val="20"/>
        </w:rPr>
        <w:t>The fieldwork for this study was supported by the Future Earth Australia Opportunities Fund: Seizing Opportunities grant stream in 2024.</w:t>
      </w:r>
      <w:r w:rsidR="000D18D6" w:rsidRPr="00335DDA">
        <w:rPr>
          <w:rFonts w:ascii="Calibri Light" w:hAnsi="Calibri Light" w:cs="Calibri Light"/>
          <w:sz w:val="20"/>
          <w:szCs w:val="20"/>
        </w:rPr>
        <w:t xml:space="preserve"> </w:t>
      </w:r>
    </w:p>
    <w:p w14:paraId="17F5B9DF" w14:textId="48E84EC4" w:rsidR="009E125F" w:rsidRDefault="009E125F" w:rsidP="009E125F">
      <w:pPr>
        <w:ind w:firstLine="284"/>
        <w:jc w:val="both"/>
        <w:rPr>
          <w:sz w:val="20"/>
          <w:szCs w:val="20"/>
        </w:rPr>
      </w:pPr>
    </w:p>
    <w:p w14:paraId="5C521C9D" w14:textId="343DD43C" w:rsidR="00A82AC8" w:rsidRDefault="000D18D6" w:rsidP="009E125F">
      <w:pPr>
        <w:pStyle w:val="Heading1"/>
        <w:spacing w:before="0"/>
      </w:pPr>
      <w:r>
        <w:t>REFERENCES</w:t>
      </w:r>
    </w:p>
    <w:p w14:paraId="02DA92C0" w14:textId="77777777" w:rsidR="00DA5FC8" w:rsidRDefault="00DA5FC8" w:rsidP="00B9001F">
      <w:pPr>
        <w:widowControl w:val="0"/>
        <w:spacing w:before="20" w:after="20"/>
        <w:ind w:left="284" w:hanging="284"/>
        <w:jc w:val="both"/>
        <w:rPr>
          <w:rFonts w:ascii="Calibri Light" w:hAnsi="Calibri Light" w:cs="Calibri Light"/>
          <w:sz w:val="20"/>
          <w:szCs w:val="20"/>
        </w:rPr>
      </w:pPr>
    </w:p>
    <w:p w14:paraId="115E4DAE" w14:textId="57855DD4" w:rsidR="00DA5FC8" w:rsidRPr="00DA5FC8" w:rsidRDefault="000D18D6"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[1]</w:t>
      </w:r>
      <w:r w:rsidRPr="00DA5FC8">
        <w:rPr>
          <w:rFonts w:ascii="Calibri Light" w:hAnsi="Calibri Light" w:cs="Calibri Light"/>
          <w:sz w:val="20"/>
          <w:szCs w:val="20"/>
        </w:rPr>
        <w:tab/>
      </w:r>
      <w:r w:rsidR="00DA5FC8" w:rsidRPr="00DA5FC8">
        <w:rPr>
          <w:rFonts w:ascii="Calibri Light" w:hAnsi="Calibri Light" w:cs="Calibri Light"/>
          <w:b/>
          <w:bCs/>
          <w:sz w:val="20"/>
          <w:szCs w:val="20"/>
        </w:rPr>
        <w:fldChar w:fldCharType="begin"/>
      </w:r>
      <w:r w:rsidR="00DA5FC8" w:rsidRPr="00DA5FC8">
        <w:rPr>
          <w:rFonts w:ascii="Calibri Light" w:hAnsi="Calibri Light" w:cs="Calibri Light"/>
          <w:b/>
          <w:bCs/>
          <w:sz w:val="20"/>
          <w:szCs w:val="20"/>
        </w:rPr>
        <w:instrText xml:space="preserve"> ADDIN ZOTERO_BIBL {"uncited":[],"omitted":[],"custom":[]} CSL_BIBLIOGRAPHY </w:instrText>
      </w:r>
      <w:r w:rsidR="00DA5FC8" w:rsidRPr="00DA5FC8">
        <w:rPr>
          <w:rFonts w:ascii="Calibri Light" w:hAnsi="Calibri Light" w:cs="Calibri Light"/>
          <w:b/>
          <w:bCs/>
          <w:sz w:val="20"/>
          <w:szCs w:val="20"/>
        </w:rPr>
        <w:fldChar w:fldCharType="separate"/>
      </w:r>
      <w:r w:rsidR="00DA5FC8" w:rsidRPr="00DA5FC8">
        <w:rPr>
          <w:rFonts w:ascii="Calibri Light" w:hAnsi="Calibri Light" w:cs="Calibri Light"/>
          <w:sz w:val="20"/>
          <w:szCs w:val="20"/>
        </w:rPr>
        <w:t xml:space="preserve">N. A. Kabir, “A Study of Australian Muslim Youth Identity: The Melbourne Case,” </w:t>
      </w:r>
      <w:r w:rsidR="00DA5FC8" w:rsidRPr="00DA5FC8">
        <w:rPr>
          <w:rFonts w:ascii="Calibri Light" w:hAnsi="Calibri Light" w:cs="Calibri Light"/>
          <w:i/>
          <w:iCs/>
          <w:sz w:val="20"/>
          <w:szCs w:val="20"/>
        </w:rPr>
        <w:t>Journal of Muslim Minority Affairs</w:t>
      </w:r>
      <w:r w:rsidR="00DA5FC8" w:rsidRPr="00DA5FC8">
        <w:rPr>
          <w:rFonts w:ascii="Calibri Light" w:hAnsi="Calibri Light" w:cs="Calibri Light"/>
          <w:sz w:val="20"/>
          <w:szCs w:val="20"/>
        </w:rPr>
        <w:t xml:space="preserve">, vol. 31, no. 2, pp. 243–258, Jun. 2011, </w:t>
      </w:r>
      <w:proofErr w:type="spellStart"/>
      <w:r w:rsidR="00DA5FC8" w:rsidRPr="00DA5FC8">
        <w:rPr>
          <w:rFonts w:ascii="Calibri Light" w:hAnsi="Calibri Light" w:cs="Calibri Light"/>
          <w:sz w:val="20"/>
          <w:szCs w:val="20"/>
        </w:rPr>
        <w:t>doi</w:t>
      </w:r>
      <w:proofErr w:type="spellEnd"/>
      <w:r w:rsidR="00DA5FC8" w:rsidRPr="00DA5FC8">
        <w:rPr>
          <w:rFonts w:ascii="Calibri Light" w:hAnsi="Calibri Light" w:cs="Calibri Light"/>
          <w:sz w:val="20"/>
          <w:szCs w:val="20"/>
        </w:rPr>
        <w:t>: 10.1080/13602004.2011.583518.</w:t>
      </w:r>
    </w:p>
    <w:p w14:paraId="69D6C6BA"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[2]</w:t>
      </w:r>
      <w:r w:rsidRPr="00DA5FC8">
        <w:rPr>
          <w:rFonts w:ascii="Calibri Light" w:hAnsi="Calibri Light" w:cs="Calibri Light"/>
          <w:sz w:val="20"/>
          <w:szCs w:val="20"/>
        </w:rPr>
        <w:tab/>
        <w:t xml:space="preserve">N. Kabir, “Muslims in Australia: The Double Edge of Terrorism,” </w:t>
      </w:r>
      <w:r w:rsidRPr="00DA5FC8">
        <w:rPr>
          <w:rFonts w:ascii="Calibri Light" w:hAnsi="Calibri Light" w:cs="Calibri Light"/>
          <w:i/>
          <w:iCs/>
          <w:sz w:val="20"/>
          <w:szCs w:val="20"/>
        </w:rPr>
        <w:t>Journal of Ethnic and Migration Studies</w:t>
      </w:r>
      <w:r w:rsidRPr="00DA5FC8">
        <w:rPr>
          <w:rFonts w:ascii="Calibri Light" w:hAnsi="Calibri Light" w:cs="Calibri Light"/>
          <w:sz w:val="20"/>
          <w:szCs w:val="20"/>
        </w:rPr>
        <w:t xml:space="preserve">, vol. 33, no. 8, pp. 1277–1297, Nov. 2007,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10.1080/13691830701614072.</w:t>
      </w:r>
    </w:p>
    <w:p w14:paraId="6F92C873"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[3]</w:t>
      </w:r>
      <w:r w:rsidRPr="00DA5FC8">
        <w:rPr>
          <w:rFonts w:ascii="Calibri Light" w:hAnsi="Calibri Light" w:cs="Calibri Light"/>
          <w:sz w:val="20"/>
          <w:szCs w:val="20"/>
        </w:rPr>
        <w:tab/>
        <w:t xml:space="preserve">S. Arifin, H. Bachtiar, A. N. Fuad, T. </w:t>
      </w:r>
      <w:proofErr w:type="spellStart"/>
      <w:r w:rsidRPr="00DA5FC8">
        <w:rPr>
          <w:rFonts w:ascii="Calibri Light" w:hAnsi="Calibri Light" w:cs="Calibri Light"/>
          <w:sz w:val="20"/>
          <w:szCs w:val="20"/>
        </w:rPr>
        <w:t>Tongat</w:t>
      </w:r>
      <w:proofErr w:type="spellEnd"/>
      <w:r w:rsidRPr="00DA5FC8">
        <w:rPr>
          <w:rFonts w:ascii="Calibri Light" w:hAnsi="Calibri Light" w:cs="Calibri Light"/>
          <w:sz w:val="20"/>
          <w:szCs w:val="20"/>
        </w:rPr>
        <w:t xml:space="preserve">, and W. Wahyudi, “Minority Muslims and freedom of religion: Learning from Australian Muslims’ Experiences,” </w:t>
      </w:r>
      <w:r w:rsidRPr="00DA5FC8">
        <w:rPr>
          <w:rFonts w:ascii="Calibri Light" w:hAnsi="Calibri Light" w:cs="Calibri Light"/>
          <w:i/>
          <w:iCs/>
          <w:sz w:val="20"/>
          <w:szCs w:val="20"/>
        </w:rPr>
        <w:t>Indonesian J. Islam Muslim Soc.</w:t>
      </w:r>
      <w:r w:rsidRPr="00DA5FC8">
        <w:rPr>
          <w:rFonts w:ascii="Calibri Light" w:hAnsi="Calibri Light" w:cs="Calibri Light"/>
          <w:sz w:val="20"/>
          <w:szCs w:val="20"/>
        </w:rPr>
        <w:t xml:space="preserve">, vol. 9, no. 2, pp. 295–326, Dec. 2019,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10.18326/</w:t>
      </w:r>
      <w:proofErr w:type="gramStart"/>
      <w:r w:rsidRPr="00DA5FC8">
        <w:rPr>
          <w:rFonts w:ascii="Calibri Light" w:hAnsi="Calibri Light" w:cs="Calibri Light"/>
          <w:sz w:val="20"/>
          <w:szCs w:val="20"/>
        </w:rPr>
        <w:t>ijims.v</w:t>
      </w:r>
      <w:proofErr w:type="gramEnd"/>
      <w:r w:rsidRPr="00DA5FC8">
        <w:rPr>
          <w:rFonts w:ascii="Calibri Light" w:hAnsi="Calibri Light" w:cs="Calibri Light"/>
          <w:sz w:val="20"/>
          <w:szCs w:val="20"/>
        </w:rPr>
        <w:t>9i2.295-326.</w:t>
      </w:r>
    </w:p>
    <w:p w14:paraId="6D20DFC8"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[4]</w:t>
      </w:r>
      <w:r w:rsidRPr="00DA5FC8">
        <w:rPr>
          <w:rFonts w:ascii="Calibri Light" w:hAnsi="Calibri Light" w:cs="Calibri Light"/>
          <w:sz w:val="20"/>
          <w:szCs w:val="20"/>
        </w:rPr>
        <w:tab/>
        <w:t xml:space="preserve">V. Colic-Peisker, M. Mikola, and K. Dekker, “Religious visibility: perceptions and experiences of residents in two Muslim concentration suburbs in Melbourne, Australia,” </w:t>
      </w:r>
      <w:r w:rsidRPr="00DA5FC8">
        <w:rPr>
          <w:rFonts w:ascii="Calibri Light" w:hAnsi="Calibri Light" w:cs="Calibri Light"/>
          <w:i/>
          <w:iCs/>
          <w:sz w:val="20"/>
          <w:szCs w:val="20"/>
        </w:rPr>
        <w:t>Ethnic and Racial Studies</w:t>
      </w:r>
      <w:r w:rsidRPr="00DA5FC8">
        <w:rPr>
          <w:rFonts w:ascii="Calibri Light" w:hAnsi="Calibri Light" w:cs="Calibri Light"/>
          <w:sz w:val="20"/>
          <w:szCs w:val="20"/>
        </w:rPr>
        <w:t xml:space="preserve">, vol. 42, no. 15, pp. 2743–2762, Nov. 2019,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10.1080/01419870.2018.1557729.</w:t>
      </w:r>
    </w:p>
    <w:p w14:paraId="2135ED2D"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[5]</w:t>
      </w:r>
      <w:r w:rsidRPr="00DA5FC8">
        <w:rPr>
          <w:rFonts w:ascii="Calibri Light" w:hAnsi="Calibri Light" w:cs="Calibri Light"/>
          <w:sz w:val="20"/>
          <w:szCs w:val="20"/>
        </w:rPr>
        <w:tab/>
        <w:t xml:space="preserve">K. M. Dunn, “Representations of Islam in the politics of mosque development in Sydney,” </w:t>
      </w:r>
      <w:proofErr w:type="spellStart"/>
      <w:r w:rsidRPr="00DA5FC8">
        <w:rPr>
          <w:rFonts w:ascii="Calibri Light" w:hAnsi="Calibri Light" w:cs="Calibri Light"/>
          <w:i/>
          <w:iCs/>
          <w:sz w:val="20"/>
          <w:szCs w:val="20"/>
        </w:rPr>
        <w:t>Tijd</w:t>
      </w:r>
      <w:proofErr w:type="spellEnd"/>
      <w:r w:rsidRPr="00DA5FC8">
        <w:rPr>
          <w:rFonts w:ascii="Calibri Light" w:hAnsi="Calibri Light" w:cs="Calibri Light"/>
          <w:i/>
          <w:iCs/>
          <w:sz w:val="20"/>
          <w:szCs w:val="20"/>
        </w:rPr>
        <w:t xml:space="preserve"> </w:t>
      </w:r>
      <w:proofErr w:type="spellStart"/>
      <w:r w:rsidRPr="00DA5FC8">
        <w:rPr>
          <w:rFonts w:ascii="Calibri Light" w:hAnsi="Calibri Light" w:cs="Calibri Light"/>
          <w:i/>
          <w:iCs/>
          <w:sz w:val="20"/>
          <w:szCs w:val="20"/>
        </w:rPr>
        <w:t>voor</w:t>
      </w:r>
      <w:proofErr w:type="spellEnd"/>
      <w:r w:rsidRPr="00DA5FC8">
        <w:rPr>
          <w:rFonts w:ascii="Calibri Light" w:hAnsi="Calibri Light" w:cs="Calibri Light"/>
          <w:i/>
          <w:iCs/>
          <w:sz w:val="20"/>
          <w:szCs w:val="20"/>
        </w:rPr>
        <w:t xml:space="preserve"> Econ &amp; Soc Geog</w:t>
      </w:r>
      <w:r w:rsidRPr="00DA5FC8">
        <w:rPr>
          <w:rFonts w:ascii="Calibri Light" w:hAnsi="Calibri Light" w:cs="Calibri Light"/>
          <w:sz w:val="20"/>
          <w:szCs w:val="20"/>
        </w:rPr>
        <w:t xml:space="preserve">, vol. 92, no. 3, pp. 291–308, Aug. 2001,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10.1111/1467-9663.00158.</w:t>
      </w:r>
    </w:p>
    <w:p w14:paraId="2CD89205"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[6]</w:t>
      </w:r>
      <w:r w:rsidRPr="00DA5FC8">
        <w:rPr>
          <w:rFonts w:ascii="Calibri Light" w:hAnsi="Calibri Light" w:cs="Calibri Light"/>
          <w:sz w:val="20"/>
          <w:szCs w:val="20"/>
        </w:rPr>
        <w:tab/>
        <w:t xml:space="preserve">M. M. Rashid, K. Bartsch “Architecture of the Adelaide Mosque: Hybridity, Resilience and Assimilation,” </w:t>
      </w:r>
      <w:r w:rsidRPr="00DA5FC8">
        <w:rPr>
          <w:rFonts w:ascii="Calibri Light" w:hAnsi="Calibri Light" w:cs="Calibri Light"/>
          <w:i/>
          <w:iCs/>
          <w:sz w:val="20"/>
          <w:szCs w:val="20"/>
        </w:rPr>
        <w:t>Traditional Dwellings and Settlements Review</w:t>
      </w:r>
      <w:r w:rsidRPr="00DA5FC8">
        <w:rPr>
          <w:rFonts w:ascii="Calibri Light" w:hAnsi="Calibri Light" w:cs="Calibri Light"/>
          <w:sz w:val="20"/>
          <w:szCs w:val="20"/>
        </w:rPr>
        <w:t>, vol. 25, no. 2, pp. 65-75, 2024.</w:t>
      </w:r>
    </w:p>
    <w:p w14:paraId="0B6685EA"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[7]</w:t>
      </w:r>
      <w:r w:rsidRPr="00DA5FC8">
        <w:rPr>
          <w:rFonts w:ascii="Calibri Light" w:hAnsi="Calibri Light" w:cs="Calibri Light"/>
          <w:sz w:val="20"/>
          <w:szCs w:val="20"/>
        </w:rPr>
        <w:tab/>
        <w:t xml:space="preserve">H.U. Khan, “The Architecture of the Mosque, an Overview and Design Directions,” </w:t>
      </w:r>
      <w:r w:rsidRPr="00DA5FC8">
        <w:rPr>
          <w:rFonts w:ascii="Calibri Light" w:hAnsi="Calibri Light" w:cs="Calibri Light"/>
          <w:i/>
          <w:iCs/>
          <w:sz w:val="20"/>
          <w:szCs w:val="20"/>
        </w:rPr>
        <w:t>The Mosque</w:t>
      </w:r>
      <w:r w:rsidRPr="00DA5FC8">
        <w:rPr>
          <w:rFonts w:ascii="Calibri Light" w:hAnsi="Calibri Light" w:cs="Calibri Light"/>
          <w:sz w:val="20"/>
          <w:szCs w:val="20"/>
        </w:rPr>
        <w:t xml:space="preserve">. pp. 109-127. </w:t>
      </w:r>
    </w:p>
    <w:p w14:paraId="772C090B"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[8]</w:t>
      </w:r>
      <w:r w:rsidRPr="00DA5FC8">
        <w:rPr>
          <w:rFonts w:ascii="Calibri Light" w:hAnsi="Calibri Light" w:cs="Calibri Light"/>
          <w:sz w:val="20"/>
          <w:szCs w:val="20"/>
        </w:rPr>
        <w:tab/>
        <w:t xml:space="preserve">J. Rudner, F. Shahani, and T. Hogan, “Islamic Architectures of Self-Inclusion and Assurance in a Multicultural Society,” </w:t>
      </w:r>
      <w:r w:rsidRPr="00DA5FC8">
        <w:rPr>
          <w:rFonts w:ascii="Calibri Light" w:hAnsi="Calibri Light" w:cs="Calibri Light"/>
          <w:i/>
          <w:iCs/>
          <w:sz w:val="20"/>
          <w:szCs w:val="20"/>
        </w:rPr>
        <w:t>Fabrications</w:t>
      </w:r>
      <w:r w:rsidRPr="00DA5FC8">
        <w:rPr>
          <w:rFonts w:ascii="Calibri Light" w:hAnsi="Calibri Light" w:cs="Calibri Light"/>
          <w:sz w:val="20"/>
          <w:szCs w:val="20"/>
        </w:rPr>
        <w:t xml:space="preserve">, vol. 30, no. 2, pp. 153–175, May 2020,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10.1080/10331867.2020.1749220.</w:t>
      </w:r>
    </w:p>
    <w:p w14:paraId="6F63DD2F"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[9]</w:t>
      </w:r>
      <w:r w:rsidRPr="00DA5FC8">
        <w:rPr>
          <w:rFonts w:ascii="Calibri Light" w:hAnsi="Calibri Light" w:cs="Calibri Light"/>
          <w:sz w:val="20"/>
          <w:szCs w:val="20"/>
        </w:rPr>
        <w:tab/>
        <w:t xml:space="preserve">F. Shahani, T. De Cotta, and J. Rudner, “An Imagined Islamic Space in Multicultural Melbourne: A Focus on Lefebvre’s Representational Space,” </w:t>
      </w:r>
      <w:r w:rsidRPr="00DA5FC8">
        <w:rPr>
          <w:rFonts w:ascii="Calibri Light" w:hAnsi="Calibri Light" w:cs="Calibri Light"/>
          <w:i/>
          <w:iCs/>
          <w:sz w:val="20"/>
          <w:szCs w:val="20"/>
        </w:rPr>
        <w:t xml:space="preserve">Spaces and Flows: An International Journal of Urban and </w:t>
      </w:r>
      <w:proofErr w:type="spellStart"/>
      <w:r w:rsidRPr="00DA5FC8">
        <w:rPr>
          <w:rFonts w:ascii="Calibri Light" w:hAnsi="Calibri Light" w:cs="Calibri Light"/>
          <w:i/>
          <w:iCs/>
          <w:sz w:val="20"/>
          <w:szCs w:val="20"/>
        </w:rPr>
        <w:t>ExtraUrban</w:t>
      </w:r>
      <w:proofErr w:type="spellEnd"/>
      <w:r w:rsidRPr="00DA5FC8">
        <w:rPr>
          <w:rFonts w:ascii="Calibri Light" w:hAnsi="Calibri Light" w:cs="Calibri Light"/>
          <w:i/>
          <w:iCs/>
          <w:sz w:val="20"/>
          <w:szCs w:val="20"/>
        </w:rPr>
        <w:t xml:space="preserve"> Studies</w:t>
      </w:r>
      <w:r w:rsidRPr="00DA5FC8">
        <w:rPr>
          <w:rFonts w:ascii="Calibri Light" w:hAnsi="Calibri Light" w:cs="Calibri Light"/>
          <w:sz w:val="20"/>
          <w:szCs w:val="20"/>
        </w:rPr>
        <w:t xml:space="preserve">, vol. 9, no. 1, pp. 1–14, 2018,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10.18848/2154-8676/CGP/v09i01/1-14.</w:t>
      </w:r>
    </w:p>
    <w:p w14:paraId="65294D62"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[10]</w:t>
      </w:r>
      <w:r w:rsidRPr="00DA5FC8">
        <w:rPr>
          <w:rFonts w:ascii="Calibri Light" w:hAnsi="Calibri Light" w:cs="Calibri Light"/>
          <w:sz w:val="20"/>
          <w:szCs w:val="20"/>
        </w:rPr>
        <w:tab/>
        <w:t xml:space="preserve">S. K. Yetkin, “The Evolution of Architectural Form in Turkish Mosques (1300-1700),” </w:t>
      </w:r>
      <w:r w:rsidRPr="00DA5FC8">
        <w:rPr>
          <w:rFonts w:ascii="Calibri Light" w:hAnsi="Calibri Light" w:cs="Calibri Light"/>
          <w:i/>
          <w:iCs/>
          <w:sz w:val="20"/>
          <w:szCs w:val="20"/>
        </w:rPr>
        <w:t xml:space="preserve">Studia </w:t>
      </w:r>
      <w:proofErr w:type="spellStart"/>
      <w:r w:rsidRPr="00DA5FC8">
        <w:rPr>
          <w:rFonts w:ascii="Calibri Light" w:hAnsi="Calibri Light" w:cs="Calibri Light"/>
          <w:i/>
          <w:iCs/>
          <w:sz w:val="20"/>
          <w:szCs w:val="20"/>
        </w:rPr>
        <w:t>Islamica</w:t>
      </w:r>
      <w:proofErr w:type="spellEnd"/>
      <w:r w:rsidRPr="00DA5FC8">
        <w:rPr>
          <w:rFonts w:ascii="Calibri Light" w:hAnsi="Calibri Light" w:cs="Calibri Light"/>
          <w:sz w:val="20"/>
          <w:szCs w:val="20"/>
        </w:rPr>
        <w:t xml:space="preserve">, no. 11, p. 73, 1959,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10.2307/1595151.</w:t>
      </w:r>
    </w:p>
    <w:p w14:paraId="7C8A856F"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[11]</w:t>
      </w:r>
      <w:r w:rsidRPr="00DA5FC8">
        <w:rPr>
          <w:rFonts w:ascii="Calibri Light" w:hAnsi="Calibri Light" w:cs="Calibri Light"/>
          <w:sz w:val="20"/>
          <w:szCs w:val="20"/>
        </w:rPr>
        <w:tab/>
        <w:t xml:space="preserve">B. </w:t>
      </w:r>
      <w:proofErr w:type="spellStart"/>
      <w:r w:rsidRPr="00DA5FC8">
        <w:rPr>
          <w:rFonts w:ascii="Calibri Light" w:hAnsi="Calibri Light" w:cs="Calibri Light"/>
          <w:sz w:val="20"/>
          <w:szCs w:val="20"/>
        </w:rPr>
        <w:t>Batuman</w:t>
      </w:r>
      <w:proofErr w:type="spellEnd"/>
      <w:r w:rsidRPr="00DA5FC8">
        <w:rPr>
          <w:rFonts w:ascii="Calibri Light" w:hAnsi="Calibri Light" w:cs="Calibri Light"/>
          <w:sz w:val="20"/>
          <w:szCs w:val="20"/>
        </w:rPr>
        <w:t xml:space="preserve">, “Architectural mimicry and the politics of mosque building: negotiating Islam and Nation in Turkey,” </w:t>
      </w:r>
      <w:r w:rsidRPr="00DA5FC8">
        <w:rPr>
          <w:rFonts w:ascii="Calibri Light" w:hAnsi="Calibri Light" w:cs="Calibri Light"/>
          <w:i/>
          <w:iCs/>
          <w:sz w:val="20"/>
          <w:szCs w:val="20"/>
        </w:rPr>
        <w:t>The Journal of Architecture</w:t>
      </w:r>
      <w:r w:rsidRPr="00DA5FC8">
        <w:rPr>
          <w:rFonts w:ascii="Calibri Light" w:hAnsi="Calibri Light" w:cs="Calibri Light"/>
          <w:sz w:val="20"/>
          <w:szCs w:val="20"/>
        </w:rPr>
        <w:t xml:space="preserve">, vol. 21, no. 3, pp. 321–347, Apr. 2016,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10.1080/13602365.2016.1179660.</w:t>
      </w:r>
    </w:p>
    <w:p w14:paraId="692DF58C"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[12]</w:t>
      </w:r>
      <w:r w:rsidRPr="00DA5FC8">
        <w:rPr>
          <w:rFonts w:ascii="Calibri Light" w:hAnsi="Calibri Light" w:cs="Calibri Light"/>
          <w:sz w:val="20"/>
          <w:szCs w:val="20"/>
        </w:rPr>
        <w:tab/>
        <w:t>S. Moustafa, “Contemporary Mosque Architecture in Turkey”. Master's Thesis, the American University in Cairo, 2013.</w:t>
      </w:r>
    </w:p>
    <w:p w14:paraId="2331F060" w14:textId="77777777" w:rsid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[13]</w:t>
      </w:r>
      <w:r w:rsidRPr="00DA5FC8">
        <w:rPr>
          <w:rFonts w:ascii="Calibri Light" w:hAnsi="Calibri Light" w:cs="Calibri Light"/>
          <w:sz w:val="20"/>
          <w:szCs w:val="20"/>
        </w:rPr>
        <w:tab/>
        <w:t xml:space="preserve">N. </w:t>
      </w:r>
      <w:proofErr w:type="spellStart"/>
      <w:r w:rsidRPr="00DA5FC8">
        <w:rPr>
          <w:rFonts w:ascii="Calibri Light" w:hAnsi="Calibri Light" w:cs="Calibri Light"/>
          <w:sz w:val="20"/>
          <w:szCs w:val="20"/>
        </w:rPr>
        <w:t>Ozaslan</w:t>
      </w:r>
      <w:proofErr w:type="spellEnd"/>
      <w:r w:rsidRPr="00DA5FC8">
        <w:rPr>
          <w:rFonts w:ascii="Calibri Light" w:hAnsi="Calibri Light" w:cs="Calibri Light"/>
          <w:sz w:val="20"/>
          <w:szCs w:val="20"/>
        </w:rPr>
        <w:t xml:space="preserve"> and A. Akalin, “Architecture and Image: The Example of Turkey,” </w:t>
      </w:r>
      <w:r w:rsidRPr="00DA5FC8">
        <w:rPr>
          <w:rFonts w:ascii="Calibri Light" w:hAnsi="Calibri Light" w:cs="Calibri Light"/>
          <w:i/>
          <w:iCs/>
          <w:sz w:val="20"/>
          <w:szCs w:val="20"/>
        </w:rPr>
        <w:t>Middle Eastern Studies</w:t>
      </w:r>
      <w:r w:rsidRPr="00DA5FC8">
        <w:rPr>
          <w:rFonts w:ascii="Calibri Light" w:hAnsi="Calibri Light" w:cs="Calibri Light"/>
          <w:sz w:val="20"/>
          <w:szCs w:val="20"/>
        </w:rPr>
        <w:t xml:space="preserve">, vol. 47, no. 6, pp. 911–922, Nov. 2011,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10.1080/00263206.2011.621758.</w:t>
      </w:r>
    </w:p>
    <w:p w14:paraId="3FD6496A" w14:textId="77777777" w:rsidR="00DA5FC8" w:rsidRPr="00DA5FC8" w:rsidRDefault="00DA5FC8" w:rsidP="00DA5FC8">
      <w:pPr>
        <w:widowControl w:val="0"/>
        <w:spacing w:after="240"/>
        <w:ind w:left="567" w:hanging="567"/>
        <w:jc w:val="both"/>
        <w:rPr>
          <w:rFonts w:ascii="Calibri Light" w:hAnsi="Calibri Light" w:cs="Calibri Light"/>
          <w:sz w:val="20"/>
          <w:szCs w:val="20"/>
        </w:rPr>
      </w:pPr>
    </w:p>
    <w:p w14:paraId="4DDF57A9" w14:textId="7D49E6B9"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lastRenderedPageBreak/>
        <w:t>[14]</w:t>
      </w:r>
      <w:r w:rsidRPr="00DA5FC8">
        <w:rPr>
          <w:rFonts w:ascii="Calibri Light" w:hAnsi="Calibri Light" w:cs="Calibri Light"/>
          <w:sz w:val="20"/>
          <w:szCs w:val="20"/>
        </w:rPr>
        <w:tab/>
        <w:t xml:space="preserve">M. </w:t>
      </w:r>
      <w:proofErr w:type="spellStart"/>
      <w:r w:rsidRPr="00DA5FC8">
        <w:rPr>
          <w:rFonts w:ascii="Calibri Light" w:hAnsi="Calibri Light" w:cs="Calibri Light"/>
          <w:sz w:val="20"/>
          <w:szCs w:val="20"/>
        </w:rPr>
        <w:t>Artkan</w:t>
      </w:r>
      <w:proofErr w:type="spellEnd"/>
      <w:r w:rsidRPr="00DA5FC8">
        <w:rPr>
          <w:rFonts w:ascii="Calibri Light" w:hAnsi="Calibri Light" w:cs="Calibri Light"/>
          <w:sz w:val="20"/>
          <w:szCs w:val="20"/>
        </w:rPr>
        <w:t xml:space="preserve">, “A Research </w:t>
      </w:r>
      <w:r>
        <w:rPr>
          <w:rFonts w:ascii="Calibri Light" w:hAnsi="Calibri Light" w:cs="Calibri Light"/>
          <w:sz w:val="20"/>
          <w:szCs w:val="20"/>
        </w:rPr>
        <w:t>o</w:t>
      </w:r>
      <w:r w:rsidRPr="00DA5FC8">
        <w:rPr>
          <w:rFonts w:ascii="Calibri Light" w:hAnsi="Calibri Light" w:cs="Calibri Light"/>
          <w:sz w:val="20"/>
          <w:szCs w:val="20"/>
        </w:rPr>
        <w:t xml:space="preserve">n The Use </w:t>
      </w:r>
      <w:r>
        <w:rPr>
          <w:rFonts w:ascii="Calibri Light" w:hAnsi="Calibri Light" w:cs="Calibri Light"/>
          <w:sz w:val="20"/>
          <w:szCs w:val="20"/>
        </w:rPr>
        <w:t>o</w:t>
      </w:r>
      <w:r w:rsidRPr="00DA5FC8">
        <w:rPr>
          <w:rFonts w:ascii="Calibri Light" w:hAnsi="Calibri Light" w:cs="Calibri Light"/>
          <w:sz w:val="20"/>
          <w:szCs w:val="20"/>
        </w:rPr>
        <w:t xml:space="preserve">f Ottoman-Islamic Heritage </w:t>
      </w:r>
      <w:proofErr w:type="gramStart"/>
      <w:r w:rsidRPr="00DA5FC8">
        <w:rPr>
          <w:rFonts w:ascii="Calibri Light" w:hAnsi="Calibri Light" w:cs="Calibri Light"/>
          <w:sz w:val="20"/>
          <w:szCs w:val="20"/>
        </w:rPr>
        <w:t>As</w:t>
      </w:r>
      <w:proofErr w:type="gramEnd"/>
      <w:r w:rsidRPr="00DA5FC8">
        <w:rPr>
          <w:rFonts w:ascii="Calibri Light" w:hAnsi="Calibri Light" w:cs="Calibri Light"/>
          <w:sz w:val="20"/>
          <w:szCs w:val="20"/>
        </w:rPr>
        <w:t xml:space="preserve"> </w:t>
      </w:r>
      <w:proofErr w:type="gramStart"/>
      <w:r w:rsidRPr="00DA5FC8">
        <w:rPr>
          <w:rFonts w:ascii="Calibri Light" w:hAnsi="Calibri Light" w:cs="Calibri Light"/>
          <w:sz w:val="20"/>
          <w:szCs w:val="20"/>
        </w:rPr>
        <w:t>A</w:t>
      </w:r>
      <w:proofErr w:type="gramEnd"/>
      <w:r w:rsidRPr="00DA5FC8">
        <w:rPr>
          <w:rFonts w:ascii="Calibri Light" w:hAnsi="Calibri Light" w:cs="Calibri Light"/>
          <w:sz w:val="20"/>
          <w:szCs w:val="20"/>
        </w:rPr>
        <w:t xml:space="preserve"> Consumption Object </w:t>
      </w:r>
      <w:proofErr w:type="gramStart"/>
      <w:r w:rsidRPr="00DA5FC8">
        <w:rPr>
          <w:rFonts w:ascii="Calibri Light" w:hAnsi="Calibri Light" w:cs="Calibri Light"/>
          <w:sz w:val="20"/>
          <w:szCs w:val="20"/>
        </w:rPr>
        <w:t>In</w:t>
      </w:r>
      <w:proofErr w:type="gramEnd"/>
      <w:r w:rsidRPr="00DA5FC8">
        <w:rPr>
          <w:rFonts w:ascii="Calibri Light" w:hAnsi="Calibri Light" w:cs="Calibri Light"/>
          <w:sz w:val="20"/>
          <w:szCs w:val="20"/>
        </w:rPr>
        <w:t xml:space="preserve"> Contemporary Architectural Practice,” </w:t>
      </w:r>
      <w:r w:rsidRPr="00DA5FC8">
        <w:rPr>
          <w:rFonts w:ascii="Calibri Light" w:hAnsi="Calibri Light" w:cs="Calibri Light"/>
          <w:i/>
          <w:iCs/>
          <w:sz w:val="20"/>
          <w:szCs w:val="20"/>
        </w:rPr>
        <w:t>Journal of Islamic Architecture</w:t>
      </w:r>
      <w:r w:rsidRPr="00DA5FC8">
        <w:rPr>
          <w:rFonts w:ascii="Calibri Light" w:hAnsi="Calibri Light" w:cs="Calibri Light"/>
          <w:sz w:val="20"/>
          <w:szCs w:val="20"/>
        </w:rPr>
        <w:t xml:space="preserve">, vol. 6, no. 4, pp. 338–348, Dec. 2021,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10.18860/</w:t>
      </w:r>
      <w:proofErr w:type="gramStart"/>
      <w:r w:rsidRPr="00DA5FC8">
        <w:rPr>
          <w:rFonts w:ascii="Calibri Light" w:hAnsi="Calibri Light" w:cs="Calibri Light"/>
          <w:sz w:val="20"/>
          <w:szCs w:val="20"/>
        </w:rPr>
        <w:t>jia.v</w:t>
      </w:r>
      <w:proofErr w:type="gramEnd"/>
      <w:r w:rsidRPr="00DA5FC8">
        <w:rPr>
          <w:rFonts w:ascii="Calibri Light" w:hAnsi="Calibri Light" w:cs="Calibri Light"/>
          <w:sz w:val="20"/>
          <w:szCs w:val="20"/>
        </w:rPr>
        <w:t>6i4.11811.</w:t>
      </w:r>
    </w:p>
    <w:p w14:paraId="0C32BE7F"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[15]</w:t>
      </w:r>
      <w:r w:rsidRPr="00DA5FC8">
        <w:rPr>
          <w:rFonts w:ascii="Calibri Light" w:hAnsi="Calibri Light" w:cs="Calibri Light"/>
          <w:sz w:val="20"/>
          <w:szCs w:val="20"/>
        </w:rPr>
        <w:tab/>
        <w:t xml:space="preserve">A. </w:t>
      </w:r>
      <w:proofErr w:type="spellStart"/>
      <w:r w:rsidRPr="00DA5FC8">
        <w:rPr>
          <w:rFonts w:ascii="Calibri Light" w:hAnsi="Calibri Light" w:cs="Calibri Light"/>
          <w:sz w:val="20"/>
          <w:szCs w:val="20"/>
        </w:rPr>
        <w:t>Erarslan</w:t>
      </w:r>
      <w:proofErr w:type="spellEnd"/>
      <w:r w:rsidRPr="00DA5FC8">
        <w:rPr>
          <w:rFonts w:ascii="Calibri Light" w:hAnsi="Calibri Light" w:cs="Calibri Light"/>
          <w:sz w:val="20"/>
          <w:szCs w:val="20"/>
        </w:rPr>
        <w:t xml:space="preserve">, “Reflections of the Ottoman Period of Westernization in Religious Architecture: Façade Arrangement of the Balyan Mosques,” </w:t>
      </w:r>
      <w:r w:rsidRPr="00DA5FC8">
        <w:rPr>
          <w:rFonts w:ascii="Calibri Light" w:hAnsi="Calibri Light" w:cs="Calibri Light"/>
          <w:i/>
          <w:iCs/>
          <w:sz w:val="20"/>
          <w:szCs w:val="20"/>
        </w:rPr>
        <w:t>Journal of Islamic Architecture</w:t>
      </w:r>
      <w:r w:rsidRPr="00DA5FC8">
        <w:rPr>
          <w:rFonts w:ascii="Calibri Light" w:hAnsi="Calibri Light" w:cs="Calibri Light"/>
          <w:sz w:val="20"/>
          <w:szCs w:val="20"/>
        </w:rPr>
        <w:t xml:space="preserve">, vol. 7, no. 3, pp. 518–528, Jun. 2023,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10.18860/</w:t>
      </w:r>
      <w:proofErr w:type="gramStart"/>
      <w:r w:rsidRPr="00DA5FC8">
        <w:rPr>
          <w:rFonts w:ascii="Calibri Light" w:hAnsi="Calibri Light" w:cs="Calibri Light"/>
          <w:sz w:val="20"/>
          <w:szCs w:val="20"/>
        </w:rPr>
        <w:t>jia.v</w:t>
      </w:r>
      <w:proofErr w:type="gramEnd"/>
      <w:r w:rsidRPr="00DA5FC8">
        <w:rPr>
          <w:rFonts w:ascii="Calibri Light" w:hAnsi="Calibri Light" w:cs="Calibri Light"/>
          <w:sz w:val="20"/>
          <w:szCs w:val="20"/>
        </w:rPr>
        <w:t>7i3.20630.</w:t>
      </w:r>
    </w:p>
    <w:p w14:paraId="11C2C849"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[16]</w:t>
      </w:r>
      <w:r w:rsidRPr="00DA5FC8">
        <w:rPr>
          <w:rFonts w:ascii="Calibri Light" w:hAnsi="Calibri Light" w:cs="Calibri Light"/>
          <w:sz w:val="20"/>
          <w:szCs w:val="20"/>
        </w:rPr>
        <w:tab/>
        <w:t xml:space="preserve">S. Şimşek, Z. </w:t>
      </w:r>
      <w:proofErr w:type="spellStart"/>
      <w:r w:rsidRPr="00DA5FC8">
        <w:rPr>
          <w:rFonts w:ascii="Calibri Light" w:hAnsi="Calibri Light" w:cs="Calibri Light"/>
          <w:sz w:val="20"/>
          <w:szCs w:val="20"/>
        </w:rPr>
        <w:t>Polvan</w:t>
      </w:r>
      <w:proofErr w:type="spellEnd"/>
      <w:r w:rsidRPr="00DA5FC8">
        <w:rPr>
          <w:rFonts w:ascii="Calibri Light" w:hAnsi="Calibri Light" w:cs="Calibri Light"/>
          <w:sz w:val="20"/>
          <w:szCs w:val="20"/>
        </w:rPr>
        <w:t xml:space="preserve">, and T. </w:t>
      </w:r>
      <w:proofErr w:type="spellStart"/>
      <w:r w:rsidRPr="00DA5FC8">
        <w:rPr>
          <w:rFonts w:ascii="Calibri Light" w:hAnsi="Calibri Light" w:cs="Calibri Light"/>
          <w:sz w:val="20"/>
          <w:szCs w:val="20"/>
        </w:rPr>
        <w:t>Yeşilşerit</w:t>
      </w:r>
      <w:proofErr w:type="spellEnd"/>
      <w:r w:rsidRPr="00DA5FC8">
        <w:rPr>
          <w:rFonts w:ascii="Calibri Light" w:hAnsi="Calibri Light" w:cs="Calibri Light"/>
          <w:sz w:val="20"/>
          <w:szCs w:val="20"/>
        </w:rPr>
        <w:t xml:space="preserve">, “The Mosque as a Divisive Symbol in the Turkish Political Landscape,” </w:t>
      </w:r>
      <w:r w:rsidRPr="00DA5FC8">
        <w:rPr>
          <w:rFonts w:ascii="Calibri Light" w:hAnsi="Calibri Light" w:cs="Calibri Light"/>
          <w:i/>
          <w:iCs/>
          <w:sz w:val="20"/>
          <w:szCs w:val="20"/>
        </w:rPr>
        <w:t>Turkish Studies</w:t>
      </w:r>
      <w:r w:rsidRPr="00DA5FC8">
        <w:rPr>
          <w:rFonts w:ascii="Calibri Light" w:hAnsi="Calibri Light" w:cs="Calibri Light"/>
          <w:sz w:val="20"/>
          <w:szCs w:val="20"/>
        </w:rPr>
        <w:t xml:space="preserve">, vol. 7, no. 3, pp. 489–508, Sep. 2006,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10.1080/14683840600891166.</w:t>
      </w:r>
    </w:p>
    <w:p w14:paraId="788A4A32"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[17]</w:t>
      </w:r>
      <w:r w:rsidRPr="00DA5FC8">
        <w:rPr>
          <w:rFonts w:ascii="Calibri Light" w:hAnsi="Calibri Light" w:cs="Calibri Light"/>
          <w:sz w:val="20"/>
          <w:szCs w:val="20"/>
        </w:rPr>
        <w:tab/>
        <w:t xml:space="preserve">S. Özaloglu, M. O. Gürel, “Designing Mosques for Secular Congregations: Transformations of the Mosque as a Social Space in Turkey,” </w:t>
      </w:r>
      <w:r w:rsidRPr="00DA5FC8">
        <w:rPr>
          <w:rFonts w:ascii="Calibri Light" w:hAnsi="Calibri Light" w:cs="Calibri Light"/>
          <w:i/>
          <w:iCs/>
          <w:sz w:val="20"/>
          <w:szCs w:val="20"/>
        </w:rPr>
        <w:t>Journal of Architectural and Planning Research</w:t>
      </w:r>
      <w:r w:rsidRPr="00DA5FC8">
        <w:rPr>
          <w:rFonts w:ascii="Calibri Light" w:hAnsi="Calibri Light" w:cs="Calibri Light"/>
          <w:sz w:val="20"/>
          <w:szCs w:val="20"/>
        </w:rPr>
        <w:t>, vol. 28, no. 4, pp. 336-358, 2011.</w:t>
      </w:r>
    </w:p>
    <w:p w14:paraId="6C4D4A69"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[18]</w:t>
      </w:r>
      <w:r w:rsidRPr="00DA5FC8">
        <w:rPr>
          <w:rFonts w:ascii="Calibri Light" w:hAnsi="Calibri Light" w:cs="Calibri Light"/>
          <w:sz w:val="20"/>
          <w:szCs w:val="20"/>
        </w:rPr>
        <w:tab/>
        <w:t xml:space="preserve">J. Rudner, A. Butt, and M. Lobo, “Adjudicating Faith: 20 Years of Secular Decision-Making for Religious Spaces”. </w:t>
      </w:r>
      <w:r w:rsidRPr="00DA5FC8">
        <w:rPr>
          <w:rFonts w:ascii="Calibri Light" w:hAnsi="Calibri Light" w:cs="Calibri Light"/>
          <w:i/>
          <w:iCs/>
          <w:sz w:val="20"/>
          <w:szCs w:val="20"/>
        </w:rPr>
        <w:t>8</w:t>
      </w:r>
      <w:r w:rsidRPr="00DA5FC8">
        <w:rPr>
          <w:rFonts w:ascii="Calibri Light" w:hAnsi="Calibri Light" w:cs="Calibri Light"/>
          <w:i/>
          <w:iCs/>
          <w:sz w:val="20"/>
          <w:szCs w:val="20"/>
          <w:vertAlign w:val="superscript"/>
        </w:rPr>
        <w:t>th</w:t>
      </w:r>
      <w:r w:rsidRPr="00DA5FC8">
        <w:rPr>
          <w:rFonts w:ascii="Calibri Light" w:hAnsi="Calibri Light" w:cs="Calibri Light"/>
          <w:i/>
          <w:iCs/>
          <w:sz w:val="20"/>
          <w:szCs w:val="20"/>
        </w:rPr>
        <w:t xml:space="preserve"> State of Australian Cities National Conference</w:t>
      </w:r>
      <w:r w:rsidRPr="00DA5FC8">
        <w:rPr>
          <w:rFonts w:ascii="Calibri Light" w:hAnsi="Calibri Light" w:cs="Calibri Light"/>
          <w:sz w:val="20"/>
          <w:szCs w:val="20"/>
        </w:rPr>
        <w:t>, Adelaide, Australia, 2018.</w:t>
      </w:r>
    </w:p>
    <w:p w14:paraId="6C2C8DDC"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[19]</w:t>
      </w:r>
      <w:r w:rsidRPr="00DA5FC8">
        <w:rPr>
          <w:rFonts w:ascii="Calibri Light" w:hAnsi="Calibri Light" w:cs="Calibri Light"/>
          <w:sz w:val="20"/>
          <w:szCs w:val="20"/>
        </w:rPr>
        <w:tab/>
        <w:t xml:space="preserve">F. A. Mustafa and A. S. Hassan, “Mosque layout design: An analytical study of mosque layouts in the early Ottoman period,” </w:t>
      </w:r>
      <w:r w:rsidRPr="00DA5FC8">
        <w:rPr>
          <w:rFonts w:ascii="Calibri Light" w:hAnsi="Calibri Light" w:cs="Calibri Light"/>
          <w:i/>
          <w:iCs/>
          <w:sz w:val="20"/>
          <w:szCs w:val="20"/>
        </w:rPr>
        <w:t>Frontiers of Architectural Research</w:t>
      </w:r>
      <w:r w:rsidRPr="00DA5FC8">
        <w:rPr>
          <w:rFonts w:ascii="Calibri Light" w:hAnsi="Calibri Light" w:cs="Calibri Light"/>
          <w:sz w:val="20"/>
          <w:szCs w:val="20"/>
        </w:rPr>
        <w:t xml:space="preserve">, vol. 2, no. 4, pp. 445–456, Dec. 2013,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10.1016/j.foar.2013.08.005.</w:t>
      </w:r>
    </w:p>
    <w:p w14:paraId="044B2A89"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[20]</w:t>
      </w:r>
      <w:r w:rsidRPr="00DA5FC8">
        <w:rPr>
          <w:rFonts w:ascii="Calibri Light" w:hAnsi="Calibri Light" w:cs="Calibri Light"/>
          <w:sz w:val="20"/>
          <w:szCs w:val="20"/>
        </w:rPr>
        <w:tab/>
        <w:t>M. Aga-</w:t>
      </w:r>
      <w:proofErr w:type="spellStart"/>
      <w:r w:rsidRPr="00DA5FC8">
        <w:rPr>
          <w:rFonts w:ascii="Calibri Light" w:hAnsi="Calibri Light" w:cs="Calibri Light"/>
          <w:sz w:val="20"/>
          <w:szCs w:val="20"/>
        </w:rPr>
        <w:t>Oglu</w:t>
      </w:r>
      <w:proofErr w:type="spellEnd"/>
      <w:r w:rsidRPr="00DA5FC8">
        <w:rPr>
          <w:rFonts w:ascii="Calibri Light" w:hAnsi="Calibri Light" w:cs="Calibri Light"/>
          <w:sz w:val="20"/>
          <w:szCs w:val="20"/>
        </w:rPr>
        <w:t xml:space="preserve">, “The Fatih Mosque at Constantinople,” </w:t>
      </w:r>
      <w:r w:rsidRPr="00DA5FC8">
        <w:rPr>
          <w:rFonts w:ascii="Calibri Light" w:hAnsi="Calibri Light" w:cs="Calibri Light"/>
          <w:i/>
          <w:iCs/>
          <w:sz w:val="20"/>
          <w:szCs w:val="20"/>
        </w:rPr>
        <w:t>The Art Bulletin</w:t>
      </w:r>
      <w:r w:rsidRPr="00DA5FC8">
        <w:rPr>
          <w:rFonts w:ascii="Calibri Light" w:hAnsi="Calibri Light" w:cs="Calibri Light"/>
          <w:sz w:val="20"/>
          <w:szCs w:val="20"/>
        </w:rPr>
        <w:t>, vol. 12, no. 2, pp. 179-195, 1930.</w:t>
      </w:r>
    </w:p>
    <w:p w14:paraId="52AB75C0"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[21]</w:t>
      </w:r>
      <w:r w:rsidRPr="00DA5FC8">
        <w:rPr>
          <w:rFonts w:ascii="Calibri Light" w:hAnsi="Calibri Light" w:cs="Calibri Light"/>
          <w:sz w:val="20"/>
          <w:szCs w:val="20"/>
        </w:rPr>
        <w:tab/>
        <w:t xml:space="preserve">A. </w:t>
      </w:r>
      <w:proofErr w:type="spellStart"/>
      <w:r w:rsidRPr="00DA5FC8">
        <w:rPr>
          <w:rFonts w:ascii="Calibri Light" w:hAnsi="Calibri Light" w:cs="Calibri Light"/>
          <w:sz w:val="20"/>
          <w:szCs w:val="20"/>
        </w:rPr>
        <w:t>Doğangün</w:t>
      </w:r>
      <w:proofErr w:type="spellEnd"/>
      <w:r w:rsidRPr="00DA5FC8">
        <w:rPr>
          <w:rFonts w:ascii="Calibri Light" w:hAnsi="Calibri Light" w:cs="Calibri Light"/>
          <w:sz w:val="20"/>
          <w:szCs w:val="20"/>
        </w:rPr>
        <w:t xml:space="preserve">, O. I. </w:t>
      </w:r>
      <w:proofErr w:type="spellStart"/>
      <w:proofErr w:type="gramStart"/>
      <w:r w:rsidRPr="00DA5FC8">
        <w:rPr>
          <w:rFonts w:ascii="Calibri Light" w:hAnsi="Calibri Light" w:cs="Calibri Light"/>
          <w:sz w:val="20"/>
          <w:szCs w:val="20"/>
        </w:rPr>
        <w:t>Tuluk</w:t>
      </w:r>
      <w:proofErr w:type="spellEnd"/>
      <w:r w:rsidRPr="00DA5FC8">
        <w:rPr>
          <w:rFonts w:ascii="Calibri Light" w:hAnsi="Calibri Light" w:cs="Calibri Light"/>
          <w:sz w:val="20"/>
          <w:szCs w:val="20"/>
        </w:rPr>
        <w:t>,  R.</w:t>
      </w:r>
      <w:proofErr w:type="gramEnd"/>
      <w:r w:rsidRPr="00DA5FC8">
        <w:rPr>
          <w:rFonts w:ascii="Calibri Light" w:hAnsi="Calibri Light" w:cs="Calibri Light"/>
          <w:sz w:val="20"/>
          <w:szCs w:val="20"/>
        </w:rPr>
        <w:t xml:space="preserve"> </w:t>
      </w:r>
      <w:proofErr w:type="spellStart"/>
      <w:r w:rsidRPr="00DA5FC8">
        <w:rPr>
          <w:rFonts w:ascii="Calibri Light" w:hAnsi="Calibri Light" w:cs="Calibri Light"/>
          <w:sz w:val="20"/>
          <w:szCs w:val="20"/>
        </w:rPr>
        <w:t>Livaoğlu</w:t>
      </w:r>
      <w:proofErr w:type="spellEnd"/>
      <w:r w:rsidRPr="00DA5FC8">
        <w:rPr>
          <w:rFonts w:ascii="Calibri Light" w:hAnsi="Calibri Light" w:cs="Calibri Light"/>
          <w:sz w:val="20"/>
          <w:szCs w:val="20"/>
        </w:rPr>
        <w:t xml:space="preserve">, R. Acar, “Traditional Turkish Minarets on the Basis of Architectural and Engineering Concepts”. </w:t>
      </w:r>
      <w:r w:rsidRPr="00DA5FC8">
        <w:rPr>
          <w:rFonts w:ascii="Calibri Light" w:hAnsi="Calibri Light" w:cs="Calibri Light"/>
          <w:i/>
          <w:iCs/>
          <w:sz w:val="20"/>
          <w:szCs w:val="20"/>
        </w:rPr>
        <w:t>1</w:t>
      </w:r>
      <w:r w:rsidRPr="00DA5FC8">
        <w:rPr>
          <w:rFonts w:ascii="Calibri Light" w:hAnsi="Calibri Light" w:cs="Calibri Light"/>
          <w:i/>
          <w:iCs/>
          <w:sz w:val="20"/>
          <w:szCs w:val="20"/>
          <w:vertAlign w:val="superscript"/>
        </w:rPr>
        <w:t>st</w:t>
      </w:r>
      <w:r w:rsidRPr="00DA5FC8">
        <w:rPr>
          <w:rFonts w:ascii="Calibri Light" w:hAnsi="Calibri Light" w:cs="Calibri Light"/>
          <w:i/>
          <w:iCs/>
          <w:sz w:val="20"/>
          <w:szCs w:val="20"/>
        </w:rPr>
        <w:t xml:space="preserve"> International Conference on Restoration of Heritage Masonry Structures</w:t>
      </w:r>
      <w:r w:rsidRPr="00DA5FC8">
        <w:rPr>
          <w:rFonts w:ascii="Calibri Light" w:hAnsi="Calibri Light" w:cs="Calibri Light"/>
          <w:sz w:val="20"/>
          <w:szCs w:val="20"/>
        </w:rPr>
        <w:t>, Cairo, Egypt, 2006.</w:t>
      </w:r>
    </w:p>
    <w:p w14:paraId="16D1387E" w14:textId="77777777" w:rsidR="00DA5FC8" w:rsidRP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t>[22]</w:t>
      </w:r>
      <w:r w:rsidRPr="00DA5FC8">
        <w:rPr>
          <w:rFonts w:ascii="Calibri Light" w:hAnsi="Calibri Light" w:cs="Calibri Light"/>
          <w:sz w:val="20"/>
          <w:szCs w:val="20"/>
        </w:rPr>
        <w:tab/>
        <w:t xml:space="preserve">O. Urey, “Transformation of Minarets in Contemporary Mosque Architecture in Turkey,” </w:t>
      </w:r>
      <w:r w:rsidRPr="00DA5FC8">
        <w:rPr>
          <w:rFonts w:ascii="Calibri Light" w:hAnsi="Calibri Light" w:cs="Calibri Light"/>
          <w:i/>
          <w:iCs/>
          <w:sz w:val="20"/>
          <w:szCs w:val="20"/>
        </w:rPr>
        <w:t>ISSCS</w:t>
      </w:r>
      <w:r w:rsidRPr="00DA5FC8">
        <w:rPr>
          <w:rFonts w:ascii="Calibri Light" w:hAnsi="Calibri Light" w:cs="Calibri Light"/>
          <w:sz w:val="20"/>
          <w:szCs w:val="20"/>
        </w:rPr>
        <w:t xml:space="preserve">, vol. 1, no. 4, pp. 95–95, Jan. 2013, </w:t>
      </w:r>
      <w:proofErr w:type="spellStart"/>
      <w:r w:rsidRPr="00DA5FC8">
        <w:rPr>
          <w:rFonts w:ascii="Calibri Light" w:hAnsi="Calibri Light" w:cs="Calibri Light"/>
          <w:sz w:val="20"/>
          <w:szCs w:val="20"/>
        </w:rPr>
        <w:t>doi</w:t>
      </w:r>
      <w:proofErr w:type="spellEnd"/>
      <w:r w:rsidRPr="00DA5FC8">
        <w:rPr>
          <w:rFonts w:ascii="Calibri Light" w:hAnsi="Calibri Light" w:cs="Calibri Light"/>
          <w:sz w:val="20"/>
          <w:szCs w:val="20"/>
        </w:rPr>
        <w:t>: 10.14486/IJSCS36.</w:t>
      </w:r>
    </w:p>
    <w:p w14:paraId="36420FA3" w14:textId="77777777" w:rsidR="00DA5FC8" w:rsidRDefault="00DA5FC8" w:rsidP="00DA5FC8">
      <w:pPr>
        <w:widowControl w:val="0"/>
        <w:spacing w:after="240"/>
        <w:ind w:left="567" w:hanging="567"/>
        <w:jc w:val="both"/>
        <w:rPr>
          <w:rFonts w:ascii="Calibri Light" w:hAnsi="Calibri Light" w:cs="Calibri Light"/>
          <w:sz w:val="20"/>
          <w:szCs w:val="20"/>
        </w:rPr>
      </w:pPr>
      <w:r w:rsidRPr="00DA5FC8">
        <w:rPr>
          <w:rFonts w:ascii="Calibri Light" w:hAnsi="Calibri Light" w:cs="Calibri Light"/>
          <w:sz w:val="20"/>
          <w:szCs w:val="20"/>
        </w:rPr>
        <w:fldChar w:fldCharType="end"/>
      </w:r>
    </w:p>
    <w:sectPr w:rsidR="00DA5FC8" w:rsidSect="008B7C9B">
      <w:headerReference w:type="even" r:id="rId42"/>
      <w:headerReference w:type="default" r:id="rId43"/>
      <w:footerReference w:type="even" r:id="rId44"/>
      <w:footerReference w:type="default" r:id="rId45"/>
      <w:footerReference w:type="first" r:id="rId46"/>
      <w:pgSz w:w="11906" w:h="16838"/>
      <w:pgMar w:top="1418" w:right="1418" w:bottom="1418" w:left="1418" w:header="709" w:footer="709" w:gutter="0"/>
      <w:pgNumType w:start="31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0F2DA" w14:textId="77777777" w:rsidR="001B7168" w:rsidRDefault="001B7168">
      <w:r>
        <w:separator/>
      </w:r>
    </w:p>
  </w:endnote>
  <w:endnote w:type="continuationSeparator" w:id="0">
    <w:p w14:paraId="448F73C9" w14:textId="77777777" w:rsidR="001B7168" w:rsidRDefault="001B7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A0F4654-B482-432A-B600-180FE9AEE347}"/>
    <w:embedBold r:id="rId2" w:fontKey="{24DEB812-F1E8-4F12-9FD1-44B2546D840B}"/>
    <w:embedItalic r:id="rId3" w:fontKey="{7CE752B2-9F36-4DFB-A10A-2696F360E8CC}"/>
    <w:embedBoldItalic r:id="rId4" w:fontKey="{B8DD9DF5-5141-4D87-9DAC-68B31D9239BC}"/>
  </w:font>
  <w:font w:name="Georgia">
    <w:panose1 w:val="02040502050405020303"/>
    <w:charset w:val="00"/>
    <w:family w:val="roman"/>
    <w:pitch w:val="variable"/>
    <w:sig w:usb0="00000287" w:usb1="00000000" w:usb2="00000000" w:usb3="00000000" w:csb0="0000009F" w:csb1="00000000"/>
    <w:embedItalic r:id="rId5" w:fontKey="{526BC5DF-8484-4581-87EC-3B7BA0077DC9}"/>
  </w:font>
  <w:font w:name="Calibri Light">
    <w:panose1 w:val="020F0302020204030204"/>
    <w:charset w:val="00"/>
    <w:family w:val="swiss"/>
    <w:pitch w:val="variable"/>
    <w:sig w:usb0="E4002EFF" w:usb1="C200247B" w:usb2="00000009" w:usb3="00000000" w:csb0="000001FF" w:csb1="00000000"/>
    <w:embedRegular r:id="rId6" w:fontKey="{68EFCF47-6339-4DC6-BF64-78A3FC42A39C}"/>
    <w:embedBold r:id="rId7" w:fontKey="{D5A7696A-2E69-4594-A2EE-4785BF281FB4}"/>
    <w:embedItalic r:id="rId8" w:fontKey="{ACFCE5C8-3E31-4571-B408-F17EB9986829}"/>
    <w:embedBoldItalic r:id="rId9" w:fontKey="{C7E39251-09EE-4F2F-9A3E-2376E43D8705}"/>
  </w:font>
  <w:font w:name="Cambria">
    <w:panose1 w:val="02040503050406030204"/>
    <w:charset w:val="00"/>
    <w:family w:val="roman"/>
    <w:pitch w:val="variable"/>
    <w:sig w:usb0="E00006FF" w:usb1="420024FF" w:usb2="02000000" w:usb3="00000000" w:csb0="0000019F" w:csb1="00000000"/>
    <w:embedRegular r:id="rId10" w:fontKey="{77A938E4-65EC-418D-BF0A-30D22A854DAE}"/>
    <w:embedBold r:id="rId11" w:fontKey="{B4C302A5-31B9-4534-A478-85689919D5E8}"/>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Bold r:id="rId12" w:fontKey="{305B6A5A-9C4F-4FFB-B440-20EB21F886CE}"/>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0D96AE00"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DA5FC8">
      <w:rPr>
        <w:color w:val="000000"/>
        <w:sz w:val="16"/>
        <w:szCs w:val="16"/>
      </w:rPr>
      <w:t>9</w:t>
    </w:r>
    <w:r>
      <w:rPr>
        <w:color w:val="000000"/>
        <w:sz w:val="16"/>
        <w:szCs w:val="16"/>
      </w:rPr>
      <w:t>(</w:t>
    </w:r>
    <w:r w:rsidR="00DA5FC8">
      <w:rPr>
        <w:color w:val="000000"/>
        <w:sz w:val="16"/>
        <w:szCs w:val="16"/>
      </w:rPr>
      <w:t>1</w:t>
    </w:r>
    <w:r>
      <w:rPr>
        <w:color w:val="000000"/>
        <w:sz w:val="16"/>
        <w:szCs w:val="16"/>
      </w:rPr>
      <w:t xml:space="preserve">), </w:t>
    </w:r>
    <w:r w:rsidR="00DA5FC8">
      <w:rPr>
        <w:color w:val="000000"/>
        <w:sz w:val="16"/>
        <w:szCs w:val="16"/>
      </w:rPr>
      <w:t>June</w:t>
    </w:r>
    <w:r>
      <w:rPr>
        <w:color w:val="000000"/>
        <w:sz w:val="16"/>
        <w:szCs w:val="16"/>
      </w:rPr>
      <w:t xml:space="preserve"> 202</w:t>
    </w:r>
    <w:r w:rsidR="00DA5FC8">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2A2159F8"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DA5FC8">
      <w:rPr>
        <w:color w:val="000000"/>
        <w:sz w:val="16"/>
        <w:szCs w:val="16"/>
      </w:rPr>
      <w:t>9</w:t>
    </w:r>
    <w:r>
      <w:rPr>
        <w:color w:val="000000"/>
        <w:sz w:val="16"/>
        <w:szCs w:val="16"/>
      </w:rPr>
      <w:t>(</w:t>
    </w:r>
    <w:r w:rsidR="00DA5FC8">
      <w:rPr>
        <w:color w:val="000000"/>
        <w:sz w:val="16"/>
        <w:szCs w:val="16"/>
      </w:rPr>
      <w:t>1</w:t>
    </w:r>
    <w:r>
      <w:rPr>
        <w:color w:val="000000"/>
        <w:sz w:val="16"/>
        <w:szCs w:val="16"/>
      </w:rPr>
      <w:t xml:space="preserve">), </w:t>
    </w:r>
    <w:r w:rsidR="00DA5FC8">
      <w:rPr>
        <w:color w:val="000000"/>
        <w:sz w:val="16"/>
        <w:szCs w:val="16"/>
      </w:rPr>
      <w:t>June</w:t>
    </w:r>
    <w:r>
      <w:rPr>
        <w:color w:val="000000"/>
        <w:sz w:val="16"/>
        <w:szCs w:val="16"/>
      </w:rPr>
      <w:t xml:space="preserve"> 202</w:t>
    </w:r>
    <w:r w:rsidR="00DA5FC8">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12D54" w14:textId="77777777" w:rsidR="001B7168" w:rsidRDefault="001B7168">
      <w:r>
        <w:separator/>
      </w:r>
    </w:p>
  </w:footnote>
  <w:footnote w:type="continuationSeparator" w:id="0">
    <w:p w14:paraId="344080DC" w14:textId="77777777" w:rsidR="001B7168" w:rsidRDefault="001B7168">
      <w:r>
        <w:continuationSeparator/>
      </w:r>
    </w:p>
  </w:footnote>
  <w:footnote w:id="1">
    <w:p w14:paraId="36B8D07E" w14:textId="77777777" w:rsidR="00F84C40" w:rsidRDefault="00F84C40" w:rsidP="00F84C40">
      <w:pPr>
        <w:pStyle w:val="FootnoteText"/>
        <w:rPr>
          <w:sz w:val="16"/>
          <w:szCs w:val="16"/>
          <w:lang w:val="en-AU"/>
        </w:rPr>
      </w:pPr>
      <w:r>
        <w:rPr>
          <w:rStyle w:val="FootnoteReference"/>
          <w:sz w:val="16"/>
          <w:szCs w:val="16"/>
        </w:rPr>
        <w:footnoteRef/>
      </w:r>
      <w:r>
        <w:rPr>
          <w:sz w:val="16"/>
          <w:szCs w:val="16"/>
        </w:rPr>
        <w:t xml:space="preserve"> In 2021, of the 38,586 Turkish Australians, 67.6% identified as Muslim, 20.6% as atheist, 1.7% as Oriental Orthodox, 1.6% as Eastern Orthodox, and 8.5% identified with other religions (https://en.wikipedia.org/wiki/Turkish_Australians)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2C940E95" w:rsidR="00A82AC8" w:rsidRDefault="008B7C9B">
    <w:pPr>
      <w:pBdr>
        <w:top w:val="nil"/>
        <w:left w:val="nil"/>
        <w:bottom w:val="nil"/>
        <w:right w:val="nil"/>
        <w:between w:val="nil"/>
      </w:pBdr>
      <w:tabs>
        <w:tab w:val="center" w:pos="4513"/>
        <w:tab w:val="right" w:pos="9026"/>
      </w:tabs>
      <w:rPr>
        <w:color w:val="000000"/>
        <w:sz w:val="16"/>
        <w:szCs w:val="16"/>
      </w:rPr>
    </w:pPr>
    <w:r w:rsidRPr="008B7C9B">
      <w:rPr>
        <w:color w:val="000000"/>
        <w:sz w:val="16"/>
        <w:szCs w:val="16"/>
      </w:rPr>
      <w:t>Architectural and Cultural Preservation: A Comparative Study of Mosques in Australia and Turkey</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05E651C7" w:rsidR="00A82AC8" w:rsidRDefault="00DA5FC8">
    <w:pPr>
      <w:pBdr>
        <w:top w:val="nil"/>
        <w:left w:val="nil"/>
        <w:bottom w:val="nil"/>
        <w:right w:val="nil"/>
        <w:between w:val="nil"/>
      </w:pBdr>
      <w:tabs>
        <w:tab w:val="center" w:pos="4513"/>
        <w:tab w:val="right" w:pos="9026"/>
      </w:tabs>
      <w:jc w:val="right"/>
      <w:rPr>
        <w:color w:val="000000"/>
        <w:sz w:val="16"/>
        <w:szCs w:val="16"/>
      </w:rPr>
    </w:pPr>
    <w:proofErr w:type="spellStart"/>
    <w:r w:rsidRPr="00DA5FC8">
      <w:rPr>
        <w:color w:val="000000"/>
        <w:sz w:val="16"/>
        <w:szCs w:val="16"/>
      </w:rPr>
      <w:t>Khilda</w:t>
    </w:r>
    <w:proofErr w:type="spellEnd"/>
    <w:r w:rsidRPr="00DA5FC8">
      <w:rPr>
        <w:color w:val="000000"/>
        <w:sz w:val="16"/>
        <w:szCs w:val="16"/>
      </w:rPr>
      <w:t xml:space="preserve"> Wildana Nur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7B0C"/>
    <w:multiLevelType w:val="hybridMultilevel"/>
    <w:tmpl w:val="4354488E"/>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B0F77DB"/>
    <w:multiLevelType w:val="multilevel"/>
    <w:tmpl w:val="D21E6EE4"/>
    <w:lvl w:ilvl="0">
      <w:start w:val="3"/>
      <w:numFmt w:val="decimal"/>
      <w:lvlText w:val="%1"/>
      <w:lvlJc w:val="left"/>
      <w:pPr>
        <w:ind w:left="400" w:hanging="400"/>
      </w:pPr>
    </w:lvl>
    <w:lvl w:ilvl="1">
      <w:start w:val="2"/>
      <w:numFmt w:val="decimal"/>
      <w:lvlText w:val="%1.%2"/>
      <w:lvlJc w:val="left"/>
      <w:pPr>
        <w:ind w:left="400" w:hanging="4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15CE38EB"/>
    <w:multiLevelType w:val="hybridMultilevel"/>
    <w:tmpl w:val="871A58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E95D69"/>
    <w:multiLevelType w:val="hybridMultilevel"/>
    <w:tmpl w:val="0ED6997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3"/>
  </w:num>
  <w:num w:numId="2" w16cid:durableId="359473795">
    <w:abstractNumId w:val="7"/>
  </w:num>
  <w:num w:numId="3" w16cid:durableId="1955595857">
    <w:abstractNumId w:val="5"/>
  </w:num>
  <w:num w:numId="4" w16cid:durableId="544297778">
    <w:abstractNumId w:val="4"/>
  </w:num>
  <w:num w:numId="5" w16cid:durableId="625625863">
    <w:abstractNumId w:val="2"/>
    <w:lvlOverride w:ilvl="0"/>
    <w:lvlOverride w:ilvl="1"/>
    <w:lvlOverride w:ilvl="2"/>
    <w:lvlOverride w:ilvl="3"/>
    <w:lvlOverride w:ilvl="4"/>
    <w:lvlOverride w:ilvl="5"/>
    <w:lvlOverride w:ilvl="6"/>
    <w:lvlOverride w:ilvl="7"/>
    <w:lvlOverride w:ilvl="8"/>
  </w:num>
  <w:num w:numId="6" w16cid:durableId="540359645">
    <w:abstractNumId w:val="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1221606">
    <w:abstractNumId w:val="0"/>
  </w:num>
  <w:num w:numId="8" w16cid:durableId="1245723219">
    <w:abstractNumId w:val="0"/>
  </w:num>
  <w:num w:numId="9" w16cid:durableId="14445716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62647"/>
    <w:rsid w:val="000A3405"/>
    <w:rsid w:val="000D18D6"/>
    <w:rsid w:val="001B7168"/>
    <w:rsid w:val="00335DDA"/>
    <w:rsid w:val="004C685E"/>
    <w:rsid w:val="00553D52"/>
    <w:rsid w:val="00574238"/>
    <w:rsid w:val="005B0156"/>
    <w:rsid w:val="005C4D88"/>
    <w:rsid w:val="00846CF4"/>
    <w:rsid w:val="008A00B9"/>
    <w:rsid w:val="008B7C9B"/>
    <w:rsid w:val="009E125F"/>
    <w:rsid w:val="00A82AC8"/>
    <w:rsid w:val="00AE0B01"/>
    <w:rsid w:val="00B9001F"/>
    <w:rsid w:val="00DA5FC8"/>
    <w:rsid w:val="00F84C4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F84C40"/>
    <w:rPr>
      <w:color w:val="0000FF" w:themeColor="hyperlink"/>
      <w:u w:val="single"/>
    </w:rPr>
  </w:style>
  <w:style w:type="character" w:styleId="UnresolvedMention">
    <w:name w:val="Unresolved Mention"/>
    <w:basedOn w:val="DefaultParagraphFont"/>
    <w:uiPriority w:val="99"/>
    <w:semiHidden/>
    <w:unhideWhenUsed/>
    <w:rsid w:val="00F84C40"/>
    <w:rPr>
      <w:color w:val="605E5C"/>
      <w:shd w:val="clear" w:color="auto" w:fill="E1DFDD"/>
    </w:rPr>
  </w:style>
  <w:style w:type="paragraph" w:styleId="FootnoteText">
    <w:name w:val="footnote text"/>
    <w:basedOn w:val="Normal"/>
    <w:link w:val="FootnoteTextChar"/>
    <w:uiPriority w:val="99"/>
    <w:semiHidden/>
    <w:unhideWhenUsed/>
    <w:rsid w:val="00F84C40"/>
    <w:rPr>
      <w:rFonts w:ascii="Calibri Light" w:eastAsiaTheme="minorHAnsi" w:hAnsi="Calibri Light" w:cstheme="minorBidi"/>
      <w:sz w:val="20"/>
      <w:szCs w:val="20"/>
    </w:rPr>
  </w:style>
  <w:style w:type="character" w:customStyle="1" w:styleId="FootnoteTextChar">
    <w:name w:val="Footnote Text Char"/>
    <w:basedOn w:val="DefaultParagraphFont"/>
    <w:link w:val="FootnoteText"/>
    <w:uiPriority w:val="99"/>
    <w:semiHidden/>
    <w:rsid w:val="00F84C40"/>
    <w:rPr>
      <w:rFonts w:ascii="Calibri Light" w:eastAsiaTheme="minorHAnsi" w:hAnsi="Calibri Light" w:cstheme="minorBidi"/>
      <w:sz w:val="20"/>
      <w:szCs w:val="20"/>
    </w:rPr>
  </w:style>
  <w:style w:type="character" w:styleId="FootnoteReference">
    <w:name w:val="footnote reference"/>
    <w:basedOn w:val="DefaultParagraphFont"/>
    <w:uiPriority w:val="99"/>
    <w:semiHidden/>
    <w:unhideWhenUsed/>
    <w:rsid w:val="00F84C40"/>
    <w:rPr>
      <w:vertAlign w:val="superscript"/>
    </w:rPr>
  </w:style>
  <w:style w:type="paragraph" w:styleId="ListParagraph">
    <w:name w:val="List Paragraph"/>
    <w:basedOn w:val="Normal"/>
    <w:uiPriority w:val="34"/>
    <w:qFormat/>
    <w:rsid w:val="00DA5FC8"/>
    <w:pPr>
      <w:ind w:left="720"/>
      <w:contextualSpacing/>
    </w:pPr>
    <w:rPr>
      <w:rFonts w:ascii="Calibri Light" w:eastAsiaTheme="minorHAnsi" w:hAnsi="Calibri Light" w:cstheme="minorBidi"/>
    </w:rPr>
  </w:style>
  <w:style w:type="table" w:styleId="TableGrid">
    <w:name w:val="Table Grid"/>
    <w:basedOn w:val="TableNormal"/>
    <w:uiPriority w:val="39"/>
    <w:rsid w:val="00DA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DA5FC8"/>
    <w:rPr>
      <w:rFonts w:ascii="Calibri Light" w:eastAsiaTheme="minorHAnsi" w:hAnsi="Calibri Light" w:cstheme="minorBidi"/>
    </w:rPr>
  </w:style>
  <w:style w:type="paragraph" w:styleId="Header">
    <w:name w:val="header"/>
    <w:basedOn w:val="Normal"/>
    <w:link w:val="HeaderChar"/>
    <w:uiPriority w:val="99"/>
    <w:unhideWhenUsed/>
    <w:rsid w:val="00DA5FC8"/>
    <w:pPr>
      <w:tabs>
        <w:tab w:val="center" w:pos="4513"/>
        <w:tab w:val="right" w:pos="9026"/>
      </w:tabs>
    </w:pPr>
  </w:style>
  <w:style w:type="character" w:customStyle="1" w:styleId="HeaderChar">
    <w:name w:val="Header Char"/>
    <w:basedOn w:val="DefaultParagraphFont"/>
    <w:link w:val="Header"/>
    <w:uiPriority w:val="99"/>
    <w:rsid w:val="00DA5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eader" Target="header1.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header" Target="header2.xml"/><Relationship Id="rId48" Type="http://schemas.openxmlformats.org/officeDocument/2006/relationships/theme" Target="theme/theme1.xml"/><Relationship Id="rId8" Type="http://schemas.openxmlformats.org/officeDocument/2006/relationships/hyperlink" Target="mailto:khildawildananur@unismuh.ac.id"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oter" Target="footer3.xml"/><Relationship Id="rId20" Type="http://schemas.openxmlformats.org/officeDocument/2006/relationships/image" Target="media/image13.jpeg"/><Relationship Id="rId41" Type="http://schemas.openxmlformats.org/officeDocument/2006/relationships/image" Target="media/image34.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15</Pages>
  <Words>14195</Words>
  <Characters>80913</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5</cp:revision>
  <dcterms:created xsi:type="dcterms:W3CDTF">2026-06-08T14:04:00Z</dcterms:created>
  <dcterms:modified xsi:type="dcterms:W3CDTF">2026-06-08T14:52:00Z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