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0D544A18" w:rsidR="00A82AC8" w:rsidRDefault="00F64A8D">
            <w:pPr>
              <w:jc w:val="both"/>
              <w:rPr>
                <w:b/>
                <w:bCs/>
                <w:sz w:val="26"/>
                <w:szCs w:val="26"/>
              </w:rPr>
            </w:pPr>
            <w:r w:rsidRPr="00F64A8D">
              <w:rPr>
                <w:b/>
                <w:bCs/>
                <w:sz w:val="28"/>
                <w:szCs w:val="28"/>
              </w:rPr>
              <w:t>EVALUATION OF THE LEGIBILITY OF WAYFINDING SIGNAGE IN MOSQUES THROUGH THE DESIGN OF ERGONOMIC SIGNAGE</w:t>
            </w:r>
            <w:r w:rsidR="000D18D6">
              <w:rPr>
                <w:b/>
                <w:bCs/>
                <w:sz w:val="28"/>
                <w:szCs w:val="28"/>
              </w:rPr>
              <w:t xml:space="preserve"> </w:t>
            </w:r>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203E9DAC" w:rsidR="00A82AC8" w:rsidRDefault="00F64A8D">
            <w:pPr>
              <w:rPr>
                <w:color w:val="FF0000"/>
              </w:rPr>
            </w:pPr>
            <w:r w:rsidRPr="00F64A8D">
              <w:t>Bambang Suhardi</w:t>
            </w:r>
            <w:r w:rsidRPr="00F64A8D">
              <w:rPr>
                <w:vertAlign w:val="superscript"/>
              </w:rPr>
              <w:t>1*</w:t>
            </w:r>
            <w:r w:rsidRPr="00F64A8D">
              <w:t>, Afiq Ramadhan</w:t>
            </w:r>
            <w:r w:rsidRPr="00F64A8D">
              <w:rPr>
                <w:vertAlign w:val="superscript"/>
              </w:rPr>
              <w:t>1</w:t>
            </w:r>
            <w:r w:rsidRPr="00F64A8D">
              <w:t xml:space="preserve">, </w:t>
            </w:r>
            <w:proofErr w:type="spellStart"/>
            <w:r w:rsidRPr="00F64A8D">
              <w:t>Rahmaniyah</w:t>
            </w:r>
            <w:proofErr w:type="spellEnd"/>
            <w:r w:rsidRPr="00F64A8D">
              <w:t xml:space="preserve"> Dwi Astuti</w:t>
            </w:r>
            <w:r w:rsidRPr="00F64A8D">
              <w:rPr>
                <w:vertAlign w:val="superscript"/>
              </w:rPr>
              <w:t>1</w:t>
            </w:r>
            <w:r>
              <w:rPr>
                <w:vertAlign w:val="superscript"/>
              </w:rPr>
              <w:t xml:space="preserve"> </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33BEBD46" w14:textId="4FBD4308" w:rsidR="00A82AC8" w:rsidRPr="005C4D88" w:rsidRDefault="00F64A8D">
            <w:pPr>
              <w:rPr>
                <w:rFonts w:ascii="Calibri Light" w:hAnsi="Calibri Light" w:cs="Calibri Light"/>
                <w:sz w:val="18"/>
                <w:szCs w:val="18"/>
              </w:rPr>
            </w:pPr>
            <w:r w:rsidRPr="00F64A8D">
              <w:rPr>
                <w:rFonts w:ascii="Calibri Light" w:hAnsi="Calibri Light" w:cs="Calibri Light"/>
                <w:sz w:val="18"/>
                <w:szCs w:val="18"/>
                <w:vertAlign w:val="superscript"/>
              </w:rPr>
              <w:t>1</w:t>
            </w:r>
            <w:r w:rsidRPr="00F64A8D">
              <w:rPr>
                <w:rFonts w:ascii="Calibri Light" w:hAnsi="Calibri Light" w:cs="Calibri Light"/>
                <w:sz w:val="18"/>
                <w:szCs w:val="18"/>
              </w:rPr>
              <w:t xml:space="preserve">Department of Industrial Engineering, Universitas </w:t>
            </w:r>
            <w:proofErr w:type="spellStart"/>
            <w:r w:rsidRPr="00F64A8D">
              <w:rPr>
                <w:rFonts w:ascii="Calibri Light" w:hAnsi="Calibri Light" w:cs="Calibri Light"/>
                <w:sz w:val="18"/>
                <w:szCs w:val="18"/>
              </w:rPr>
              <w:t>Sebelas</w:t>
            </w:r>
            <w:proofErr w:type="spellEnd"/>
            <w:r w:rsidRPr="00F64A8D">
              <w:rPr>
                <w:rFonts w:ascii="Calibri Light" w:hAnsi="Calibri Light" w:cs="Calibri Light"/>
                <w:sz w:val="18"/>
                <w:szCs w:val="18"/>
              </w:rPr>
              <w:t xml:space="preserve"> Maret, Surakarta, Indonesia</w:t>
            </w:r>
          </w:p>
          <w:p w14:paraId="376FF58E" w14:textId="0045E34F" w:rsidR="00A82AC8" w:rsidRDefault="000D18D6">
            <w:r w:rsidRPr="005C4D88">
              <w:rPr>
                <w:rFonts w:ascii="Calibri Light" w:hAnsi="Calibri Light" w:cs="Calibri Light"/>
                <w:sz w:val="18"/>
                <w:szCs w:val="18"/>
              </w:rPr>
              <w:t>*Corresponding Author:</w:t>
            </w:r>
            <w:r w:rsidRPr="00F64A8D">
              <w:rPr>
                <w:rFonts w:ascii="Calibri Light" w:hAnsi="Calibri Light" w:cs="Calibri Light"/>
                <w:color w:val="000000" w:themeColor="text1"/>
                <w:sz w:val="18"/>
                <w:szCs w:val="18"/>
              </w:rPr>
              <w:t xml:space="preserve"> </w:t>
            </w:r>
            <w:hyperlink r:id="rId9" w:history="1">
              <w:r w:rsidR="00F64A8D" w:rsidRPr="00F64A8D">
                <w:rPr>
                  <w:rStyle w:val="Hyperlink"/>
                  <w:rFonts w:ascii="Calibri Light" w:hAnsi="Calibri Light" w:cs="Calibri Light"/>
                  <w:color w:val="000000" w:themeColor="text1"/>
                  <w:sz w:val="18"/>
                  <w:szCs w:val="18"/>
                  <w:u w:val="none"/>
                </w:rPr>
                <w:t>bambangsuhardi@staff.uns.ac.id</w:t>
              </w:r>
            </w:hyperlink>
          </w:p>
        </w:tc>
      </w:tr>
      <w:tr w:rsidR="00A82AC8" w14:paraId="6227FC43" w14:textId="77777777">
        <w:tc>
          <w:tcPr>
            <w:tcW w:w="9068" w:type="dxa"/>
            <w:gridSpan w:val="4"/>
          </w:tcPr>
          <w:p w14:paraId="08D157F5" w14:textId="18D38D11"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1336B09A" w:rsidR="00A82AC8" w:rsidRDefault="000D18D6">
            <w:pPr>
              <w:rPr>
                <w:sz w:val="18"/>
                <w:szCs w:val="18"/>
              </w:rPr>
            </w:pPr>
            <w:r>
              <w:rPr>
                <w:sz w:val="18"/>
                <w:szCs w:val="18"/>
              </w:rPr>
              <w:t>Volume:</w:t>
            </w:r>
            <w:r w:rsidR="00F64A8D">
              <w:rPr>
                <w:sz w:val="18"/>
                <w:szCs w:val="18"/>
              </w:rPr>
              <w:t xml:space="preserve"> 9</w:t>
            </w:r>
          </w:p>
          <w:p w14:paraId="1391BAB8" w14:textId="0DB16E76" w:rsidR="00A82AC8" w:rsidRDefault="000D18D6">
            <w:pPr>
              <w:rPr>
                <w:sz w:val="18"/>
                <w:szCs w:val="18"/>
              </w:rPr>
            </w:pPr>
            <w:r>
              <w:rPr>
                <w:sz w:val="18"/>
                <w:szCs w:val="18"/>
              </w:rPr>
              <w:t>Issue:</w:t>
            </w:r>
            <w:r w:rsidR="00F64A8D">
              <w:rPr>
                <w:sz w:val="18"/>
                <w:szCs w:val="18"/>
              </w:rPr>
              <w:t xml:space="preserve"> 1</w:t>
            </w:r>
          </w:p>
          <w:p w14:paraId="58B4DD90" w14:textId="69A795CA" w:rsidR="00A82AC8" w:rsidRDefault="000D18D6">
            <w:pPr>
              <w:rPr>
                <w:sz w:val="18"/>
                <w:szCs w:val="18"/>
              </w:rPr>
            </w:pPr>
            <w:r>
              <w:rPr>
                <w:sz w:val="18"/>
                <w:szCs w:val="18"/>
              </w:rPr>
              <w:t>Page:</w:t>
            </w:r>
            <w:r w:rsidR="00F64A8D">
              <w:rPr>
                <w:sz w:val="18"/>
                <w:szCs w:val="18"/>
              </w:rPr>
              <w:t xml:space="preserve"> 81-</w:t>
            </w:r>
            <w:r w:rsidR="00315C9E">
              <w:rPr>
                <w:sz w:val="18"/>
                <w:szCs w:val="18"/>
              </w:rPr>
              <w:t>96</w:t>
            </w:r>
          </w:p>
          <w:p w14:paraId="2DA4CA69" w14:textId="52E1C1DB" w:rsidR="00A82AC8" w:rsidRDefault="000D18D6">
            <w:pPr>
              <w:rPr>
                <w:sz w:val="18"/>
                <w:szCs w:val="18"/>
              </w:rPr>
            </w:pPr>
            <w:r>
              <w:rPr>
                <w:sz w:val="18"/>
                <w:szCs w:val="18"/>
              </w:rPr>
              <w:t>Received: Ju</w:t>
            </w:r>
            <w:r w:rsidR="00F64A8D">
              <w:rPr>
                <w:sz w:val="18"/>
                <w:szCs w:val="18"/>
              </w:rPr>
              <w:t>ly</w:t>
            </w:r>
            <w:r>
              <w:rPr>
                <w:sz w:val="18"/>
                <w:szCs w:val="18"/>
              </w:rPr>
              <w:t xml:space="preserve"> </w:t>
            </w:r>
            <w:r w:rsidR="00F64A8D">
              <w:rPr>
                <w:sz w:val="18"/>
                <w:szCs w:val="18"/>
              </w:rPr>
              <w:t>12</w:t>
            </w:r>
            <w:r>
              <w:rPr>
                <w:sz w:val="18"/>
                <w:szCs w:val="18"/>
                <w:vertAlign w:val="superscript"/>
              </w:rPr>
              <w:t>th</w:t>
            </w:r>
            <w:r>
              <w:rPr>
                <w:sz w:val="18"/>
                <w:szCs w:val="18"/>
              </w:rPr>
              <w:t>, 202</w:t>
            </w:r>
            <w:r w:rsidR="00F64A8D">
              <w:rPr>
                <w:sz w:val="18"/>
                <w:szCs w:val="18"/>
              </w:rPr>
              <w:t>4</w:t>
            </w:r>
          </w:p>
          <w:p w14:paraId="25F5E39B" w14:textId="442979C7" w:rsidR="00A82AC8" w:rsidRDefault="000D18D6">
            <w:pPr>
              <w:rPr>
                <w:sz w:val="18"/>
                <w:szCs w:val="18"/>
              </w:rPr>
            </w:pPr>
            <w:r>
              <w:rPr>
                <w:sz w:val="18"/>
                <w:szCs w:val="18"/>
              </w:rPr>
              <w:t xml:space="preserve">Accepted: </w:t>
            </w:r>
            <w:r w:rsidR="00F64A8D">
              <w:rPr>
                <w:sz w:val="18"/>
                <w:szCs w:val="18"/>
              </w:rPr>
              <w:t>January 11</w:t>
            </w:r>
            <w:r>
              <w:rPr>
                <w:sz w:val="18"/>
                <w:szCs w:val="18"/>
                <w:vertAlign w:val="superscript"/>
              </w:rPr>
              <w:t>th</w:t>
            </w:r>
            <w:r>
              <w:rPr>
                <w:sz w:val="18"/>
                <w:szCs w:val="18"/>
              </w:rPr>
              <w:t>, 202</w:t>
            </w:r>
            <w:r w:rsidR="00F64A8D">
              <w:rPr>
                <w:sz w:val="18"/>
                <w:szCs w:val="18"/>
              </w:rPr>
              <w:t>5</w:t>
            </w:r>
          </w:p>
          <w:p w14:paraId="65297365" w14:textId="46673FE6" w:rsidR="00A82AC8" w:rsidRDefault="000D18D6">
            <w:pPr>
              <w:rPr>
                <w:sz w:val="18"/>
                <w:szCs w:val="18"/>
              </w:rPr>
            </w:pPr>
            <w:r>
              <w:rPr>
                <w:sz w:val="18"/>
                <w:szCs w:val="18"/>
              </w:rPr>
              <w:t xml:space="preserve">Available Online: </w:t>
            </w:r>
            <w:r w:rsidR="00F64A8D">
              <w:rPr>
                <w:sz w:val="18"/>
                <w:szCs w:val="18"/>
              </w:rPr>
              <w:t>June</w:t>
            </w:r>
            <w:r>
              <w:rPr>
                <w:sz w:val="18"/>
                <w:szCs w:val="18"/>
              </w:rPr>
              <w:t xml:space="preserve"> 30</w:t>
            </w:r>
            <w:r>
              <w:rPr>
                <w:sz w:val="18"/>
                <w:szCs w:val="18"/>
                <w:vertAlign w:val="superscript"/>
              </w:rPr>
              <w:t>th</w:t>
            </w:r>
            <w:r>
              <w:rPr>
                <w:sz w:val="18"/>
                <w:szCs w:val="18"/>
              </w:rPr>
              <w:t>, 202</w:t>
            </w:r>
            <w:r w:rsidR="00F64A8D">
              <w:rPr>
                <w:sz w:val="18"/>
                <w:szCs w:val="18"/>
              </w:rPr>
              <w:t>6</w:t>
            </w:r>
          </w:p>
          <w:p w14:paraId="023CCB7A" w14:textId="6FC0BF0A" w:rsidR="00A82AC8" w:rsidRDefault="000D18D6">
            <w:pPr>
              <w:rPr>
                <w:sz w:val="18"/>
                <w:szCs w:val="18"/>
              </w:rPr>
            </w:pPr>
            <w:r>
              <w:rPr>
                <w:sz w:val="18"/>
                <w:szCs w:val="18"/>
              </w:rPr>
              <w:t>DOI: https://doi.org/</w:t>
            </w:r>
            <w:hyperlink r:id="rId10" w:history="1">
              <w:r w:rsidR="00F64A8D" w:rsidRPr="00F64A8D">
                <w:rPr>
                  <w:rStyle w:val="Hyperlink"/>
                  <w:color w:val="000000" w:themeColor="text1"/>
                  <w:sz w:val="18"/>
                  <w:szCs w:val="18"/>
                  <w:u w:val="none"/>
                </w:rPr>
                <w:t>10.18860/</w:t>
              </w:r>
              <w:proofErr w:type="gramStart"/>
              <w:r w:rsidR="00F64A8D" w:rsidRPr="00F64A8D">
                <w:rPr>
                  <w:rStyle w:val="Hyperlink"/>
                  <w:color w:val="000000" w:themeColor="text1"/>
                  <w:sz w:val="18"/>
                  <w:szCs w:val="18"/>
                  <w:u w:val="none"/>
                </w:rPr>
                <w:t>jia.v</w:t>
              </w:r>
              <w:proofErr w:type="gramEnd"/>
              <w:r w:rsidR="00F64A8D" w:rsidRPr="00F64A8D">
                <w:rPr>
                  <w:rStyle w:val="Hyperlink"/>
                  <w:color w:val="000000" w:themeColor="text1"/>
                  <w:sz w:val="18"/>
                  <w:szCs w:val="18"/>
                  <w:u w:val="none"/>
                </w:rPr>
                <w:t>9i1.28423</w:t>
              </w:r>
            </w:hyperlink>
          </w:p>
        </w:tc>
        <w:tc>
          <w:tcPr>
            <w:tcW w:w="5524" w:type="dxa"/>
          </w:tcPr>
          <w:p w14:paraId="7B19E913" w14:textId="77777777" w:rsidR="00F64A8D" w:rsidRDefault="00F64A8D">
            <w:pPr>
              <w:jc w:val="both"/>
              <w:rPr>
                <w:rFonts w:ascii="Calibri Light" w:hAnsi="Calibri Light" w:cs="Calibri Light"/>
                <w:sz w:val="18"/>
                <w:szCs w:val="18"/>
              </w:rPr>
            </w:pPr>
            <w:r w:rsidRPr="00F64A8D">
              <w:rPr>
                <w:rFonts w:ascii="Calibri Light" w:hAnsi="Calibri Light" w:cs="Calibri Light"/>
                <w:sz w:val="18"/>
                <w:szCs w:val="18"/>
              </w:rPr>
              <w:t xml:space="preserve">Mosque visitors often struggle with poorly designed wayfinding signs. Small fonts, unappealing </w:t>
            </w:r>
            <w:proofErr w:type="spellStart"/>
            <w:r w:rsidRPr="00F64A8D">
              <w:rPr>
                <w:rFonts w:ascii="Calibri Light" w:hAnsi="Calibri Light" w:cs="Calibri Light"/>
                <w:sz w:val="18"/>
                <w:szCs w:val="18"/>
              </w:rPr>
              <w:t>color</w:t>
            </w:r>
            <w:proofErr w:type="spellEnd"/>
            <w:r w:rsidRPr="00F64A8D">
              <w:rPr>
                <w:rFonts w:ascii="Calibri Light" w:hAnsi="Calibri Light" w:cs="Calibri Light"/>
                <w:sz w:val="18"/>
                <w:szCs w:val="18"/>
              </w:rPr>
              <w:t xml:space="preserve"> combinations, illogical placement, and dazzling materials contribute to this frustration. Common complaints involve signs for toilets, ablution areas, prayer halls, and holy boundaries. This study aimed to improve signage legibility by applying ergonomic principles. The visual display cognitive ergonomics approach was chosen, with a focus on human-system interaction and acknowledgment of human limitations. An experimental design was used to evaluate the effects of font size, typeface, and </w:t>
            </w:r>
            <w:proofErr w:type="spellStart"/>
            <w:r w:rsidRPr="00F64A8D">
              <w:rPr>
                <w:rFonts w:ascii="Calibri Light" w:hAnsi="Calibri Light" w:cs="Calibri Light"/>
                <w:sz w:val="18"/>
                <w:szCs w:val="18"/>
              </w:rPr>
              <w:t>color</w:t>
            </w:r>
            <w:proofErr w:type="spellEnd"/>
            <w:r w:rsidRPr="00F64A8D">
              <w:rPr>
                <w:rFonts w:ascii="Calibri Light" w:hAnsi="Calibri Light" w:cs="Calibri Light"/>
                <w:sz w:val="18"/>
                <w:szCs w:val="18"/>
              </w:rPr>
              <w:t xml:space="preserve"> combinations on legibility. Additionally, symbol comprehension tests and assessments of familiarity, compatibility, and standardization were conducted to inform the design of effective symbol signage. The experimental data were </w:t>
            </w:r>
            <w:proofErr w:type="spellStart"/>
            <w:r w:rsidRPr="00F64A8D">
              <w:rPr>
                <w:rFonts w:ascii="Calibri Light" w:hAnsi="Calibri Light" w:cs="Calibri Light"/>
                <w:sz w:val="18"/>
                <w:szCs w:val="18"/>
              </w:rPr>
              <w:t>analyzed</w:t>
            </w:r>
            <w:proofErr w:type="spellEnd"/>
            <w:r w:rsidRPr="00F64A8D">
              <w:rPr>
                <w:rFonts w:ascii="Calibri Light" w:hAnsi="Calibri Light" w:cs="Calibri Light"/>
                <w:sz w:val="18"/>
                <w:szCs w:val="18"/>
              </w:rPr>
              <w:t xml:space="preserve"> using the Friedman test. Spearman’s rank correlation test was used to assess the relationships among the three ergonomic factors: familiarity, compatibility, and standardization. Data analysis revealed that only font size significantly impacted legibility. However, a positive correlation was found between ergonomic factors and participant understanding of the signage symbols. This suggests that these factors collectively affect overall legibility. After introducing the newly designed signage, the study successfully increased sign legibility. Future research can explore additional factors that influence legibility to develop more comprehensive guidelines for mosque signage design</w:t>
            </w:r>
            <w:r>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2A8F1C89" w:rsidR="00A82AC8" w:rsidRPr="005C4D88" w:rsidRDefault="00F64A8D">
            <w:pPr>
              <w:jc w:val="both"/>
              <w:rPr>
                <w:rFonts w:ascii="Calibri Light" w:hAnsi="Calibri Light" w:cs="Calibri Light"/>
                <w:sz w:val="18"/>
                <w:szCs w:val="18"/>
              </w:rPr>
            </w:pPr>
            <w:r w:rsidRPr="00F64A8D">
              <w:rPr>
                <w:rFonts w:ascii="Calibri Light" w:hAnsi="Calibri Light" w:cs="Calibri Light"/>
                <w:sz w:val="18"/>
                <w:szCs w:val="18"/>
                <w:lang w:val="en-US"/>
              </w:rPr>
              <w:t>Ergonomic; Legibility; Mosque; Signage; Symbol</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367B433E" w:rsidR="00A82AC8" w:rsidRDefault="000D18D6" w:rsidP="00B9001F">
      <w:pPr>
        <w:pStyle w:val="Heading1"/>
        <w:numPr>
          <w:ilvl w:val="0"/>
          <w:numId w:val="3"/>
        </w:numPr>
        <w:spacing w:before="0"/>
        <w:ind w:left="284" w:hanging="284"/>
      </w:pPr>
      <w:r>
        <w:t>INTRODUCTION</w:t>
      </w:r>
    </w:p>
    <w:p w14:paraId="1BB65B86"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Mosques play a vital role as places of worship, community </w:t>
      </w:r>
      <w:proofErr w:type="spellStart"/>
      <w:r w:rsidRPr="00F64A8D">
        <w:rPr>
          <w:rFonts w:ascii="Calibri Light" w:hAnsi="Calibri Light" w:cs="Calibri Light"/>
          <w:sz w:val="20"/>
          <w:szCs w:val="20"/>
        </w:rPr>
        <w:t>centers</w:t>
      </w:r>
      <w:proofErr w:type="spellEnd"/>
      <w:r w:rsidRPr="00F64A8D">
        <w:rPr>
          <w:rFonts w:ascii="Calibri Light" w:hAnsi="Calibri Light" w:cs="Calibri Light"/>
          <w:sz w:val="20"/>
          <w:szCs w:val="20"/>
        </w:rPr>
        <w:t xml:space="preserve">, and symbols of Muslim identity. The development of mosques as public spaces requires careful consideration of the necessary facilities and infrastructure, including signage. Signage is defined as signs or other materials used to provide information, directions, warnings, or prohibitions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{"citationItems":[{"id":"ITEM-1","itemData":{"DOI":"10.20961/arst.v19i2.49152","ISSN":"1693-3680","abstract":"&lt;p class=\"Abstract\"&gt;&lt;em&gt;A wide university campus which consist of many buildings need a good signage and wayfinding system arrangement. Meanwhile, the development of campus buildings is not necessarily accompanied by integrated wayfinding system planning. This article explain the finding of study on signage and wayfinding system on ITS Campus in Surabaya. The purpose of this study is to find out how signages and elements of the area work in wayfinding system on the campus. This qualitative descriptive study used direct observation in collecting data in the field. The result shows that generally the wayfinding system on the campus has been well implemented. However, it needs to optimize the signages that already available so that wayfinding activity can be carried out more easily by people who have not been familiar with the campus area&lt;/em&gt;&lt;em&gt;&lt;/em&gt;&lt;/p&gt;","author":[{"dropping-particle":"","family":"Dharmawan","given":"Vippy","non-dropping-particle":"","parse-names":false,"suffix":""},{"dropping-particle":"","family":"Rachmaniyah","given":"Nanik","non-dropping-particle":"","parse-names":false,"suffix":""}],"container-title":"Arsitektura","id":"ITEM-1","issue":"2","issued":{"date-parts":[["2021"]]},"page":"205","title":"Kajian Signage dan Elemen Wayfinding di Kampus Perguruan Tinggi (Studi Kasus : Kampus ITS Surabaya)","type":"article-journal","volume":"19"},"uris":["http://www.mendeley.com/documents/?uuid=8d55e69e-fa23-4e84-8eb4-2c23fa5bf119"]}],"mendeley":{"formattedCitation":"[1]","plainTextFormattedCitation":"[1]","previouslyFormattedCitation":"[1]"},"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Wayfinding is the process by which an individual identifies their current position and determines the direction to their intended destination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{"citationItems":[{"id":"ITEM-1","itemData":{"DOI":"10.20961/arst.v19i2.49152","ISSN":"1693-3680","abstract":"&lt;p class=\"Abstract\"&gt;&lt;em&gt;A wide university campus which consist of many buildings need a good signage and wayfinding system arrangement. Meanwhile, the development of campus buildings is not necessarily accompanied by integrated wayfinding system planning. This article explain the finding of study on signage and wayfinding system on ITS Campus in Surabaya. The purpose of this study is to find out how signages and elements of the area work in wayfinding system on the campus. This qualitative descriptive study used direct observation in collecting data in the field. The result shows that generally the wayfinding system on the campus has been well implemented. However, it needs to optimize the signages that already available so that wayfinding activity can be carried out more easily by people who have not been familiar with the campus area&lt;/em&gt;&lt;em&gt;&lt;/em&gt;&lt;/p&gt;","author":[{"dropping-particle":"","family":"Dharmawan","given":"Vippy","non-dropping-particle":"","parse-names":false,"suffix":""},{"dropping-particle":"","family":"Rachmaniyah","given":"Nanik","non-dropping-particle":"","parse-names":false,"suffix":""}],"container-title":"Arsitektura","id":"ITEM-1","issue":"2","issued":{"date-parts":[["2021"]]},"page":"205","title":"Kajian Signage dan Elemen Wayfinding di Kampus Perguruan Tinggi (Studi Kasus : Kampus ITS Surabaya)","type":"article-journal","volume":"19"},"uris":["http://www.mendeley.com/documents/?uuid=8d55e69e-fa23-4e84-8eb4-2c23fa5bf119"]}],"mendeley":{"formattedCitation":"[1]","plainTextFormattedCitation":"[1]","previouslyFormattedCitation":"[1]"},"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Signage plays a crucial role in ensuring comfort, safety, and security within a spatial environment. Legibility is paramount in ensuring effective comprehension of signage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{"citationItems":[{"id":"ITEM-1","itemData":{"DOI":"10.32699/jiars.v12i2.3585","ISSN":"1829-9431","abstract":"Wayfinding diperlukan perannya dalam peletakkan, pengarah, penuntun, dan titik keputusan sehingga dalam perencanaan dan proses pelaksanaannya harus terintegrasi dengan tepat. Keterbacaan menjadi kunci keberhasilan dalam perencanaan bagaimana orang mampu untuk memahami wayfinding. Oleh sebab pentingnya wayfinding dalam pergerakan manusia, maka penelitian ini mengangkat kasus di Jakarta International Stadium (JIS) yang bersifat sangat kompleks. Tujuan dari penelitian ini adalah untuk menjelaskan keterbacaan wayfinding, terutama dalam keadaan darurat, bagaimana penonton sepak bola dapat melakukan evakuasi dengan cara mengikuti rute wayfinding. Penelitian ini berbentuk penelitian kepustakaan dengan menggunakan metode kualitatif yang dianalisis secara deskriptif. Pada tahap teknik analisis data dilakukan dengan memfokuskan alur pergerakan penonton sepak bola sampai pada tujuan yang diinginkan. Alur pergerakan ini sebagai strategi pencapaian dengan menggunakan landmarks model. Hasil penelitian ini menunjukan desain wayfinding di JIS dominan pada desain grafis dan struktural. Desain grafis adalah aspek ukuran dan huruf untuk memenuhi keterbacaan, warna untuk membantu klasifikasi zona dan sebagai penuntun serta simbol untuk memudahkan penyandang disabilitas. Ada konsistensi terhadap aspek ukuran, warna, huruf, dan simbol pada keragaman wayfinding di JIS. Desain wayfinding juga memudahkan penonton sepak bola yang mayoritas bergender laki-laki yaitu orientasi dan arah. Proses pelaksanaan wayfinding menjadi krusial keterlibatannya untuk memperoleh hasil akhir. Struktural diterapkan dalam wayfinding menyangkut pada perkuatan dan posisi aman pemasangan mengacu pada peraturan.","author":[{"dropping-particle":"","family":"Sari","given":"Pawitra","non-dropping-particle":"","parse-names":false,"suffix":""},{"dropping-particle":"","family":"Bomo","given":"Desta Promesetiyo","non-dropping-particle":"","parse-names":false,"suffix":""}],"container-title":"Jurnal Ilmiah Arsitektur","id":"ITEM-1","issue":"2","issued":{"date-parts":[["2022"]]},"page":"116-130","title":"Desain Wayfinding Dalam Keterbacaan Dan Pelaksanaan Studi Kasus Jakarta International Stadium","type":"article-journal","volume":"12"},"uris":["http://www.mendeley.com/documents/?uuid=5fb1fd21-9cb3-4375-89da-33d03bcf95e5"]}],"mendeley":{"formattedCitation":"[2]","plainTextFormattedCitation":"[2]","previouslyFormattedCitation":"[2]"},"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w:t>
      </w:r>
      <w:r w:rsidRPr="00F64A8D">
        <w:rPr>
          <w:rFonts w:ascii="Calibri Light" w:hAnsi="Calibri Light" w:cs="Calibri Light"/>
          <w:sz w:val="20"/>
          <w:szCs w:val="20"/>
        </w:rPr>
        <w:fldChar w:fldCharType="end"/>
      </w:r>
      <w:r w:rsidRPr="00F64A8D">
        <w:rPr>
          <w:rFonts w:ascii="Calibri Light" w:hAnsi="Calibri Light" w:cs="Calibri Light"/>
          <w:sz w:val="20"/>
          <w:szCs w:val="20"/>
        </w:rPr>
        <w:t>.</w:t>
      </w:r>
    </w:p>
    <w:p w14:paraId="3DE1EB50"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Legibility refers to an individual's ability to read, comprehend, and respond to the information displayed on signs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approach.","author":[{"dropping-particle":"","family":"Bullough","given":"John D.","non-dropping-particle":"","parse-names":false,"suffix":""}],"container-title":"Interdisciplinary Journal of Signage and Wayfinding","id":"ITEM-1","issue":"2","issued":{"date-parts":[["2017"]]},"page":"2-25","title":"FACTORS AFFECTING SIGN VISIBILITY, CONSPICUITY AND LEGIBILITY: REVIEW AND ANNOTATED BIBLIOGRAPHY","type":"article-journal","volume":"1"},"uris":["http://www.mendeley.com/documents/?uuid=c908f87d-4c9d-437d-bc20-daa1fb9e5c28"]}],"mendeley":{"formattedCitation":"[3]","plainTextFormattedCitation":"[3]","previouslyFormattedCitation":"[3]"},"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[3]</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Legibility is a widely recognized ergonomic criterion used to evaluate visual displays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{"citationItems":[{"id":"ITEM-1","itemData":{"DOI":"10.1080/00140139.2013.790485","ISSN":"00140139","PMID":"23654206","abstract":"The effect of display polarity on visual acuity and proofreading performance was investigated for younger and older adults. An advantage of positive polarity (dark characters on light background) over negative polarity (light characters on dark background) was expected for younger adults, but the effects on older adults were ambiguous. Light scatter due to residues in the senescent lens and vitreous humour could reverse the typical advantage of positive polarity. However, age-related changes lead to a decline in retinal illuminance. Brighter positive polarity displays should help to compensate for this decline and, accordingly, lead to better performance than darker negative polarity displays. Participants conducted a visual acuity test with black optotypes on white background or white optotypes on black background and performed a proofreading task in the same polarity. A positive polarity advantage was found for both age groups. The presentation in positive polarity is recommended for all ages. Practitioner summary: In an ageing society, age-related vision changes need to be considered when designing digital displays. Visual acuity testing and a proofreading task revealed a positive polarity advantage for younger and older adults. Dark characters on light background lead to better legibility and are strongly recommended independent of observer's age. © 2013 Copyright Taylor and Francis Group, LLC.","author":[{"dropping-particle":"","family":"Piepenbrock","given":"Cosima","non-dropping-particle":"","parse-names":false,"suffix":""},{"dropping-particle":"","family":"Mayr","given":"Susanne","non-dropping-particle":"","parse-names":false,"suffix":""},{"dropping-particle":"","family":"Mund","given":"Iris","non-dropping-particle":"","parse-names":false,"suffix":""},{"dropping-particle":"","family":"Buchner","given":"Axel","non-dropping-particle":"","parse-names":false,"suffix":""}],"container-title":"Ergonomics","id":"ITEM-1","issue":"7","issued":{"date-parts":[["2013"]]},"page":"1116-1124","title":"Positive display polarity is advantageous for both younger and older adults","type":"article-journal","volume":"56"},"uris":["http://www.mendeley.com/documents/?uuid=41d1a667-90a3-4350-a6d9-130b9894d192"]}],"mendeley":{"formattedCitation":"[4]","plainTextFormattedCitation":"[4]","previouslyFormattedCitation":"[4]"},"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[4]</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According to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{"citationItems":[{"id":"ITEM-1","itemData":{"DOI":"10.1097/00006324-196402000-00008","ISSN":"1040-5488","abstract":"Methodology and definitions; Legibility of letters and digits; Kinds of type; Size of type; Width of line; Leading and relationship of leading, type size, and line width; Spatial arrangements of the printed page; Color of print and background; Printing surfaces; Cumulative effect of combining nonoptimal typographical arrangements; Newspaper typography; Formulas and mathematical tables; Special printing situations; Illumination for reading; The hygienic reading situation.","author":[{"dropping-particle":"","family":"Tinker","given":"Miles A.","non-dropping-particle":"","parse-names":false,"suffix":""}],"container-title":"Iowa State University Press","id":"ITEM-1","issued":{"date-parts":[["1969"]]},"title":"Legibility of Print","type":"book"},"uris":["http://www.mendeley.com/documents/?uuid=3eca5f3e-f8ec-49a6-bb70-0e6c0d45e5a5"]}],"mendeley":{"formattedCitation":"[5]","plainTextFormattedCitation":"[5]","previouslyFormattedCitation":"[5]"},"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[5]</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legibility is influenced by a combination of factors, including font size, font type, and leading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{"citationItems":[{"id":"ITEM-1","itemData":{"DOI":"10.1016/j.sbspro.2015.01.751","ISSN":"18770428","abstract":"The purpose of the study was to analyse findings in the field of the textbooks’ legibility, readability and visual word recognition. The paper focuses on the most significant findings for comprehending the texts’ spatial characteristics during reading, word and letter recognition. The aim of the study was to analyse the factors which have induced inconsistencies between the findings acquired by scientists, as well as to compare findings which continually lead to progression in this field.","author":[{"dropping-particle":"","family":"Tarasov","given":"Dmitry A.","non-dropping-particle":"","parse-names":false,"suffix":""},{"dropping-particle":"","family":"Sergeev","given":"Alexander P.","non-dropping-particle":"","parse-names":false,"suffix":""},{"dropping-particle":"V.","family":"Filimonov","given":"Victor","non-dropping-particle":"","parse-names":false,"suffix":""}],"container-title":"Procedia - Social and Behavioral Sciences","id":"ITEM-1","issued":{"date-parts":[["2015"]]},"page":"1300-1308","publisher":"Elsevier B.V.","title":"Legibility of Textbooks: A Literature Review","type":"article-journal","volume":"174"},"uris":["http://www.mendeley.com/documents/?uuid=9badddda-4877-4686-9794-059c11f60799"]}],"mendeley":{"formattedCitation":"[6]","plainTextFormattedCitation":"[6]","previouslyFormattedCitation":"[6]"},"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[6]</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Legibility is further affected by the sign's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contrast, and ambient lighting conditions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{"citationItems":[{"id":"ITEM-1","itemData":{"author":[{"dropping-particle":"","family":"Kuhn","given":"Beverly Thompson","non-dropping-particle":"","parse-names":false,"suffix":""},{"dropping-particle":"","family":"Garvey","given":"Phillip M.","non-dropping-particle":"","parse-names":false,"suffix":""},{"dropping-particle":"","family":"Petrucha","given":"Martin T.","non-dropping-particle":"","parse-names":false,"suffix":""}],"id":"ITEM-1","issued":{"date-parts":[["1998"]]},"title":"Sign Legibility The Impact of Color and Illumination","type":"book"},"uris":["http://www.mendeley.com/documents/?uuid=9f62ff3a-6205-423a-bb30-6d3798fcaabe"]}],"mendeley":{"formattedCitation":"[7]","plainTextFormattedCitation":"[7]","previouslyFormattedCitation":"[7]"},"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[7]</w:t>
      </w:r>
      <w:r w:rsidRPr="00F64A8D">
        <w:rPr>
          <w:rFonts w:ascii="Calibri Light" w:hAnsi="Calibri Light" w:cs="Calibri Light"/>
          <w:sz w:val="20"/>
          <w:szCs w:val="20"/>
        </w:rPr>
        <w:fldChar w:fldCharType="end"/>
      </w:r>
      <w:r w:rsidRPr="00F64A8D">
        <w:rPr>
          <w:rFonts w:ascii="Calibri Light" w:hAnsi="Calibri Light" w:cs="Calibri Light"/>
          <w:sz w:val="20"/>
          <w:szCs w:val="20"/>
        </w:rPr>
        <w:t>.</w:t>
      </w:r>
    </w:p>
    <w:p w14:paraId="45F02B0A" w14:textId="33389F28" w:rsid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Extensive research has been conducted on the legibility of signage in various public spaces, including hospitals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{"citationItems":[{"id":"ITEM-1","itemData":{"DOI":"10.1016/j.apergo.2021.103410","ISSN":"18729126","PMID":"33714727","abstract":"People visiting different Government Hospitals at Jabalpur in central India, were facing problems in comprehending different symbols. One of such hospital authority approached the research team for developing new symbols which could be easily comprehended by the users. Based on this, the current study was conducted, which included two experiments. The first experiment dealt with the ergonomic evaluation and identification of problems associated with the existing symbols. New concepts were then developed based on Ergonomic principles and users’ feedback. The second experiment focused upon testing of the new concepts on the target users. Results of Experiment 1 indicated that the mean comprehension level was 22.3% for all the existing symbols (n = 41). Low scores (on a scale of 1–10) were found for the existing symbol for ergonomic principles (mean value was 1.9 for Compatibility, 2.1 for Familiarity, and 2.0 for Standardisation). Redesigned concepts of the symbols were tested on the target users, the result indicated an improvement in comprehensibility of newly designed symbols. The mean comprehension level for 53 new/redesigned symbols was 70.2%, which included redesign of 41 orignal and inclusion of 12 new symbols. High scores (on a scale of 1–10) were received for all the new symbols for ergonomic principles (the mean value was 8.4 for Compatibility, 8.5 for Familiarity, and 8.5 for Standardisation). Findings of this study may be helpful for the researchers working in the domain of information ergonomics in space related to healthcare sector or similar areas.","author":[{"dropping-particle":"","family":"Patel","given":"Gaurav","non-dropping-particle":"","parse-names":false,"suffix":""},{"dropping-particle":"","family":"Mukhopadhyay","given":"Prabir","non-dropping-particle":"","parse-names":false,"suffix":""}],"container-title":"Applied Ergonomics","id":"ITEM-1","issue":"November 2019","issued":{"date-parts":[["2021"]]},"page":"103410","publisher":"Elsevier Ltd","title":"Ergonomic analysis and design intervention in symbols used in hospitals in central India","type":"article-journal","volume":"94"},"uris":["http://www.mendeley.com/documents/?uuid=6eabc034-11f2-44d1-aa8b-ce4f2e3cae24"]}],"mendeley":{"formattedCitation":"[8]","plainTextFormattedCitation":"[8]","previouslyFormattedCitation":"[8]"},"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[8]</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metro stations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{"citationItems":[{"id":"ITEM-1","itemData":{"DOI":"10.3390/su12104133","ISSN":"20711050","abstract":"Well-designed wayfinding signs play an important role in improving the service level of metro stations, ensuring the safety of passengers in evacuation, and promoting the sustainable development of public transport. This study explored the effects of ambient illumination, color combination, sign height, and observation angle on wayfinding signs' legibility in metro stations. In the experiment, simulated metro-wayfinding signs were made to test legibility. As designed, the legibility was measured based on the following independent variables: two levels of ambient illumination (70 lux and 273 lux), two target/background color combinations (achromatic-white target on black background, chromatic-yellow target on black background), two sign heights (1.5mand 2 m), and three observation angles (0°, 45°, 70°). The results showed that brighter ambient illumination provided passengers with higher legibility. Achromatic color combination was more legible than chromatic color combination, but not significantly. Different types of signs, set at different height, did not directly affect legibility. Observation angle had significant effects on legibility. Visibility catchment area of wayfinding signs was like an ellipse, with its short axis nearly equal to the legibility distance of the sign at 0 degrees. The findings will facilitate the layout and setting location of wayfinding signs in metro stations and improve the level of wayfinding service.","author":[{"dropping-particle":"","family":"Shi","given":"Yuqi","non-dropping-particle":"","parse-names":false,"suffix":""},{"dropping-particle":"","family":"Zhang","given":"Yi","non-dropping-particle":"","parse-names":false,"suffix":""},{"dropping-particle":"","family":"Wang","given":"Tao","non-dropping-particle":"","parse-names":false,"suffix":""},{"dropping-particle":"","family":"Li","given":"Chaoyang","non-dropping-particle":"","parse-names":false,"suffix":""},{"dropping-particle":"","family":"Yuan","given":"Shengqiang","non-dropping-particle":"","parse-names":false,"suffix":""}],"container-title":"Sustainability (Switzerland)","id":"ITEM-1","issue":"10","issued":{"date-parts":[["2020"]]},"title":"The effects of ambient illumination, color combination, sign height, and observation angle on the legibility of wayfinding signs in metro stations","type":"article-journal","volume":"12"},"uris":["http://www.mendeley.com/documents/?uuid=0bd27522-e139-4e0b-b251-0c86ce8a313f"]}],"mendeley":{"formattedCitation":"[9]","plainTextFormattedCitation":"[9]","previouslyFormattedCitation":"[9]"},"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[9]</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{"citationItems":[{"id":"ITEM-1","itemData":{"DOI":"10.17411/jacces.v12i2.357","ISSN":"20137087","abstract":"For low-vision people and elderly people with decreased vision and cognitive function, the legibility of signs (character size, position, etc.) is an important issue. Graphic floor signs are considered more effective for low-vision people and elderly people than typical hanging signs because they are closer to pedestrians and can be larger in size. There is a growing number of improved graphic floor signs, but there are no guidelines for character sizes, colour scheme, and layout. Therefore, this study considers the character size ofgraphic floor signs that are legible for elderly people. In this study, we aimed to verify the legibility of characters installed on the floor. The test was conducted on 30 non-elderly and 30 elderly people, about Japanese Industrial Standards (JIS) S 0032 “Guidelines for the elderly and people with disabilities-Visual signs and displays-Estimation of minimum legible size for a Japanese single character”. Experiments on minimum legible sizes of characters and experiments on readability were conducted in that order. In the experiment on the minimum legible sizes of characters, we found that the minimum legible sizes of characters written on the vertical surface can be converted to the minimum size of legible characters written on the floor surface by multiplying with the coefficient of minimum legible characters on the floor surface by 2 to 3 times. In the experiment on readability, we found that the optimum character sizes are about 90 mm and 80 mm in height at a minimum for vertical and horizontal characters, respectively. These results showed that the optimum size of characters on graphic floor signs is about 90 mm.","author":[{"dropping-particle":"","family":"Yanagihara","given":"Takao","non-dropping-particle":"","parse-names":false,"suffix":""},{"dropping-particle":"","family":"Omori","given":"Kiyohiro","non-dropping-particle":"","parse-names":false,"suffix":""},{"dropping-particle":"","family":"Hiroshi","given":"Kitagawa","non-dropping-particle":"","parse-names":false,"suffix":""}],"container-title":"Journal of Accessibility and Design for All","id":"ITEM-1","issue":"2","issued":{"date-parts":[["2022"]]},"page":"335-353","title":"Legibility of Japanese Characters in Graphic Floor Signs for Elderly People","type":"article-journal","volume":"12"},"uris":["http://www.mendeley.com/documents/?uuid=ee4264e7-35c6-4c95-8195-62f24e7b8243"]}],"mendeley":{"formattedCitation":"[10]","plainTextFormattedCitation":"[10]","previouslyFormattedCitation":"[10]"},"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[10]</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and highways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{"citationItems":[{"id":"ITEM-1","itemData":{"author":[{"dropping-particle":"","family":"Vidal-ribas","given":"Marta Perez","non-dropping-particle":"","parse-names":false,"suffix":""},{"dropping-particle":"","family":"Katz","given":"Bryan J","non-dropping-particle":"","parse-names":false,"suffix":""}],"id":"ITEM-1","issued":{"date-parts":[["2023"]]},"title":"Effects of Font Design on Highway Sign Legibility Effects of Font Design on Highway Sign Legibility","type":"article-journal"},"uris":["http://www.mendeley.com/documents/?uuid=9c6d150d-1cd0-4276-b387-8ece3bf58bad"]}],"mendeley":{"formattedCitation":"[11]","plainTextFormattedCitation":"[11]","previouslyFormattedCitation":"[11]"},"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[11]</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Mosques, by contrast, have received relatively little attention as significant public spaces. Consequently, this study focuses on mosques as the primary object of investigation. Four </w:t>
      </w:r>
      <w:r w:rsidRPr="00F64A8D">
        <w:rPr>
          <w:rFonts w:ascii="Calibri Light" w:hAnsi="Calibri Light" w:cs="Calibri Light"/>
          <w:sz w:val="20"/>
          <w:szCs w:val="20"/>
        </w:rPr>
        <w:lastRenderedPageBreak/>
        <w:t>mosques in the Solo Raya region were selected for analysis: Masjid Raya Sheikh Zayed Surakarta (</w:t>
      </w:r>
      <w:proofErr w:type="spellStart"/>
      <w:r w:rsidRPr="00F64A8D">
        <w:rPr>
          <w:rFonts w:ascii="Calibri Light" w:hAnsi="Calibri Light" w:cs="Calibri Light"/>
          <w:sz w:val="20"/>
          <w:szCs w:val="20"/>
        </w:rPr>
        <w:t>Gilingan</w:t>
      </w:r>
      <w:proofErr w:type="spellEnd"/>
      <w:r w:rsidRPr="00F64A8D">
        <w:rPr>
          <w:rFonts w:ascii="Calibri Light" w:hAnsi="Calibri Light" w:cs="Calibri Light"/>
          <w:sz w:val="20"/>
          <w:szCs w:val="20"/>
        </w:rPr>
        <w:t>, Surakarta), Masjid Agung Al-</w:t>
      </w:r>
      <w:proofErr w:type="spellStart"/>
      <w:r w:rsidRPr="00F64A8D">
        <w:rPr>
          <w:rFonts w:ascii="Calibri Light" w:hAnsi="Calibri Light" w:cs="Calibri Light"/>
          <w:sz w:val="20"/>
          <w:szCs w:val="20"/>
        </w:rPr>
        <w:t>Aqsha</w:t>
      </w:r>
      <w:proofErr w:type="spellEnd"/>
      <w:r w:rsidRPr="00F64A8D">
        <w:rPr>
          <w:rFonts w:ascii="Calibri Light" w:hAnsi="Calibri Light" w:cs="Calibri Light"/>
          <w:sz w:val="20"/>
          <w:szCs w:val="20"/>
        </w:rPr>
        <w:t xml:space="preserve"> </w:t>
      </w:r>
      <w:proofErr w:type="spellStart"/>
      <w:r w:rsidRPr="00F64A8D">
        <w:rPr>
          <w:rFonts w:ascii="Calibri Light" w:hAnsi="Calibri Light" w:cs="Calibri Light"/>
          <w:sz w:val="20"/>
          <w:szCs w:val="20"/>
        </w:rPr>
        <w:t>Klaten</w:t>
      </w:r>
      <w:proofErr w:type="spellEnd"/>
      <w:r w:rsidRPr="00F64A8D">
        <w:rPr>
          <w:rFonts w:ascii="Calibri Light" w:hAnsi="Calibri Light" w:cs="Calibri Light"/>
          <w:sz w:val="20"/>
          <w:szCs w:val="20"/>
        </w:rPr>
        <w:t xml:space="preserve"> (</w:t>
      </w:r>
      <w:proofErr w:type="spellStart"/>
      <w:r w:rsidRPr="00F64A8D">
        <w:rPr>
          <w:rFonts w:ascii="Calibri Light" w:hAnsi="Calibri Light" w:cs="Calibri Light"/>
          <w:sz w:val="20"/>
          <w:szCs w:val="20"/>
        </w:rPr>
        <w:t>Jonggrangan</w:t>
      </w:r>
      <w:proofErr w:type="spellEnd"/>
      <w:r w:rsidRPr="00F64A8D">
        <w:rPr>
          <w:rFonts w:ascii="Calibri Light" w:hAnsi="Calibri Light" w:cs="Calibri Light"/>
          <w:sz w:val="20"/>
          <w:szCs w:val="20"/>
        </w:rPr>
        <w:t xml:space="preserve">, </w:t>
      </w:r>
      <w:proofErr w:type="spellStart"/>
      <w:r w:rsidRPr="00F64A8D">
        <w:rPr>
          <w:rFonts w:ascii="Calibri Light" w:hAnsi="Calibri Light" w:cs="Calibri Light"/>
          <w:sz w:val="20"/>
          <w:szCs w:val="20"/>
        </w:rPr>
        <w:t>Klaten</w:t>
      </w:r>
      <w:proofErr w:type="spellEnd"/>
      <w:r w:rsidRPr="00F64A8D">
        <w:rPr>
          <w:rFonts w:ascii="Calibri Light" w:hAnsi="Calibri Light" w:cs="Calibri Light"/>
          <w:sz w:val="20"/>
          <w:szCs w:val="20"/>
        </w:rPr>
        <w:t xml:space="preserve">), Masjid Agung </w:t>
      </w:r>
      <w:proofErr w:type="spellStart"/>
      <w:r w:rsidRPr="00F64A8D">
        <w:rPr>
          <w:rFonts w:ascii="Calibri Light" w:hAnsi="Calibri Light" w:cs="Calibri Light"/>
          <w:sz w:val="20"/>
          <w:szCs w:val="20"/>
        </w:rPr>
        <w:t>Madaniyyah</w:t>
      </w:r>
      <w:proofErr w:type="spellEnd"/>
      <w:r w:rsidRPr="00F64A8D">
        <w:rPr>
          <w:rFonts w:ascii="Calibri Light" w:hAnsi="Calibri Light" w:cs="Calibri Light"/>
          <w:sz w:val="20"/>
          <w:szCs w:val="20"/>
        </w:rPr>
        <w:t xml:space="preserve"> Karanganyar (Badran, Karanganyar), and Masjid Agung </w:t>
      </w:r>
      <w:proofErr w:type="spellStart"/>
      <w:r w:rsidRPr="00F64A8D">
        <w:rPr>
          <w:rFonts w:ascii="Calibri Light" w:hAnsi="Calibri Light" w:cs="Calibri Light"/>
          <w:sz w:val="20"/>
          <w:szCs w:val="20"/>
        </w:rPr>
        <w:t>Baiturrahmah</w:t>
      </w:r>
      <w:proofErr w:type="spellEnd"/>
      <w:r w:rsidRPr="00F64A8D">
        <w:rPr>
          <w:rFonts w:ascii="Calibri Light" w:hAnsi="Calibri Light" w:cs="Calibri Light"/>
          <w:sz w:val="20"/>
          <w:szCs w:val="20"/>
        </w:rPr>
        <w:t xml:space="preserve"> </w:t>
      </w:r>
      <w:proofErr w:type="spellStart"/>
      <w:r w:rsidRPr="00F64A8D">
        <w:rPr>
          <w:rFonts w:ascii="Calibri Light" w:hAnsi="Calibri Light" w:cs="Calibri Light"/>
          <w:sz w:val="20"/>
          <w:szCs w:val="20"/>
        </w:rPr>
        <w:t>Sukoharjo</w:t>
      </w:r>
      <w:proofErr w:type="spellEnd"/>
      <w:r w:rsidRPr="00F64A8D">
        <w:rPr>
          <w:rFonts w:ascii="Calibri Light" w:hAnsi="Calibri Light" w:cs="Calibri Light"/>
          <w:sz w:val="20"/>
          <w:szCs w:val="20"/>
        </w:rPr>
        <w:t xml:space="preserve"> (</w:t>
      </w:r>
      <w:proofErr w:type="spellStart"/>
      <w:r w:rsidRPr="00F64A8D">
        <w:rPr>
          <w:rFonts w:ascii="Calibri Light" w:hAnsi="Calibri Light" w:cs="Calibri Light"/>
          <w:sz w:val="20"/>
          <w:szCs w:val="20"/>
        </w:rPr>
        <w:t>Johosari</w:t>
      </w:r>
      <w:proofErr w:type="spellEnd"/>
      <w:r w:rsidRPr="00F64A8D">
        <w:rPr>
          <w:rFonts w:ascii="Calibri Light" w:hAnsi="Calibri Light" w:cs="Calibri Light"/>
          <w:sz w:val="20"/>
          <w:szCs w:val="20"/>
        </w:rPr>
        <w:t xml:space="preserve">, </w:t>
      </w:r>
      <w:proofErr w:type="spellStart"/>
      <w:r w:rsidRPr="00F64A8D">
        <w:rPr>
          <w:rFonts w:ascii="Calibri Light" w:hAnsi="Calibri Light" w:cs="Calibri Light"/>
          <w:sz w:val="20"/>
          <w:szCs w:val="20"/>
        </w:rPr>
        <w:t>Sukoharjo</w:t>
      </w:r>
      <w:proofErr w:type="spellEnd"/>
      <w:r w:rsidRPr="00F64A8D">
        <w:rPr>
          <w:rFonts w:ascii="Calibri Light" w:hAnsi="Calibri Light" w:cs="Calibri Light"/>
          <w:sz w:val="20"/>
          <w:szCs w:val="20"/>
        </w:rPr>
        <w:t>).</w:t>
      </w:r>
    </w:p>
    <w:p w14:paraId="530B251B"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Findings from interviews and observations conducted at the four mosques indicate that signage legibility is generally low. A majority of visitors expressed dissatisfaction with the signage for toilets (70%), ablution facilities (45%), purity boundaries (20%), and prayer areas (15%). His dissatisfaction stems from several factors: Small font sizes often require visitors to approach the signs closely to decipher the information. Inconspicuous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combinations make the signage difficult to locate. Inconsistent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use within the same space creates a visually chaotic, confusing environment. Unsuitable placement often leads visitors to miss important signs, such as those indicating purity boundaries. The use of materials that reflect excessive glare causes visual discomfort, further hindering legibility.</w:t>
      </w:r>
    </w:p>
    <w:p w14:paraId="6D9B596B"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Word processing speed with larger fonts is generally smoother than with smaller fonts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{"citationItems":[{"id":"ITEM-1","itemData":{"DOI":"10.1080/09658210244000586","ISSN":"09658211","PMID":"14562871","abstract":"Two studies tested the hypothesis that the knew-it-all-along effect may be the result of an inferential process. Specifically, that individuals use their feelings and experiences (e.g., \"This question seems so familiar to me, surely I would have known the answer!\") to infer their judgement. Drawing on subjective feelings such as certainty or perceptual fluency, individuals can use a provided actual value as an informational cue and draw inferences from it. Thus, the occurrence of the knew-it-all-along effect is expected to depend on the experienced feeling of confidence with a question. This feeling may indicate to an individual that he or she did know the answer; a total lack of such a feeling may suggest that he or she never would have known the answer. In the reported studies we both measured feelings of confidence (Study 1) and induced them by manipulating perceptual fluency (Study 2) to show that the knew-it-all-along effect proves to be a phenomenon of inferences based on these experienced feelings. Participants experiencing high confidence or high perceptual fluency more strongly assimilated their judgements to the provided values, than did participants experiencing low confidence or low perceptual fluency.","author":[{"dropping-particle":"","family":"Werth","given":"Lioba","non-dropping-particle":"","parse-names":false,"suffix":""},{"dropping-particle":"","family":"Strack","given":"Fritz","non-dropping-particle":"","parse-names":false,"suffix":""}],"container-title":"Memory","id":"ITEM-1","issue":"4-5","issued":{"date-parts":[["2003"]]},"page":"411-419","title":"An inferential approach to the knew-it-all-along phenomenon","type":"article-journal","volume":"11"},"uris":["http://www.mendeley.com/documents/?uuid=db3f1561-235f-4adc-bf72-c8977c8a12dc"]}],"mendeley":{"formattedCitation":"[12]","plainTextFormattedCitation":"[12]","previouslyFormattedCitation":"[12]"},"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[12]</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Legibility is enhanced when the font size is increased by 20%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{"citationItems":[{"id":"ITEM-1","itemData":{"ISBN":"9783030909833","author":[{"dropping-particle":"","family":"John T.E. Richardson","given":"","non-dropping-particle":"","parse-names":false,"suffix":""}],"id":"ITEM-1","issued":{"date-parts":[["2022"]]},"title":"The Legibility of Serif and Sans Serif Typefaces: Reading from Paper and Reading from Screens","type":"book"},"uris":["http://www.mendeley.com/documents/?uuid=7ac6a3fe-9c91-44f3-ba68-fcc7d51b928c"]}],"mendeley":{"formattedCitation":"[13]","plainTextFormattedCitation":"[13]","previouslyFormattedCitation":"[13]"},"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[13]</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Researchers have investigated the impact of typeface on the legibility of signs that employ alphanumeric characters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approach.","author":[{"dropping-particle":"","family":"Bullough","given":"John D.","non-dropping-particle":"","parse-names":false,"suffix":""}],"container-title":"Interdisciplinary Journal of Signage and Wayfinding","id":"ITEM-1","issue":"2","issued":{"date-parts":[["2017"]]},"page":"2-25","title":"FACTORS AFFECTING SIGN VISIBILITY, CONSPICUITY AND LEGIBILITY: REVIEW AND ANNOTATED BIBLIOGRAPHY","type":"article-journal","volume":"1"},"uris":["http://www.mendeley.com/documents/?uuid=c908f87d-4c9d-437d-bc20-daa1fb9e5c28"]}],"mendeley":{"formattedCitation":"[3]","plainTextFormattedCitation":"[3]","previouslyFormattedCitation":"[3]"},"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[3]</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Serif and sans serif are the two most common typefaces currently used for mosque signage. Several studies have evaluated the extent to which typeface influences legibility, with findings indicating no significant difference between serif and sans serif [6][13]. Serif outperforms sans serif in terms of readability by 5%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{"citationItems":[{"id":"ITEM-1","itemData":{"DOI":"10.1016/j.visres.2005.06.013","ISSN":"00426989","PMID":"16099015","abstract":"Using lower-case fonts varying only in serif size (0%, 5%, and 10% cap height), we assessed legibility using size thresholds and reading speed. Five percentage serif fonts were slightly more legible than sans serif, but the average inter-letter spacing increase that serifs themselves impose, predicts greater enhancement than we observed. RSVP and continuous reading speeds showed no effect of serifs. When text is small or distant, serifs may, then, produce a tiny legibility increase due to the concomitant increase in spacing. However, our data exhibited no difference in legibility between typefaces that differ only in the presence or absence of serifs. © 2005 Elsevier Ltd. All rights reserved.","author":[{"dropping-particle":"","family":"Arditi","given":"Aries","non-dropping-particle":"","parse-names":false,"suffix":""},{"dropping-particle":"","family":"Cho","given":"Jianna","non-dropping-particle":"","parse-names":false,"suffix":""}],"container-title":"Vision Research","id":"ITEM-1","issue":"23","issued":{"date-parts":[["2005"]]},"page":"2926-2933","title":"Serifs and font legibility","type":"article-journal","volume":"45"},"uris":["http://www.mendeley.com/documents/?uuid=fa355409-e1c1-4585-8c62-0ad93cb29752"]}],"mendeley":{"formattedCitation":"[14]","plainTextFormattedCitation":"[14]","previouslyFormattedCitation":"[14]"},"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[14]</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On the other hand, Bailey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{"citationItems":[{"id":"ITEM-1","itemData":{"DOI":"10.3138/flor.20.036","ISSN":"0709-5201","abstract":"Teaching and researching medieval literature at UPEI is both a challenge and a delight. It is a challenge, because I am the only medievalist on the campus (indeed, on the Island). My students do not have complementary courses in other disciplines (such as history or philosophy) to introduce them to the contexts in which the literature I teach emerged. And I often miss the intellectual stimulation and support of having other medievalists nearby. Finally, as might be expected for a small university where only one member of the faculty teaches a vast area of literature and history, our library resources are inadequate.","author":[{"dropping-particle":"","family":"Innes-Parker","given":"Catherine","non-dropping-particle":"","parse-names":false,"suffix":""}],"container-title":"Florilegium","id":"ITEM-1","issue":"1","issued":{"date-parts":[["2003"]]},"page":"120-122","title":"University of Prince Edward Island","type":"article-journal","volume":"20"},"uris":["http://www.mendeley.com/documents/?uuid=22c71d6e-b6a5-4352-aacb-ded33e5e2903"]}],"mendeley":{"formattedCitation":"[15]","plainTextFormattedCitation":"[15]","previouslyFormattedCitation":"[15]"},"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[15]</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asserts that sans serif is more legible than serif.</w:t>
      </w:r>
    </w:p>
    <w:p w14:paraId="7BC24B30" w14:textId="77777777" w:rsidR="00F64A8D" w:rsidRPr="00F64A8D" w:rsidRDefault="00F64A8D" w:rsidP="00F64A8D">
      <w:pPr>
        <w:ind w:firstLine="284"/>
        <w:jc w:val="both"/>
        <w:rPr>
          <w:rFonts w:ascii="Calibri Light" w:hAnsi="Calibri Light" w:cs="Calibri Light"/>
          <w:sz w:val="20"/>
          <w:szCs w:val="20"/>
        </w:rPr>
      </w:pP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is the most sensitive attribute in human visual perception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{"citationItems":[{"id":"ITEM-1","itemData":{"DOI":"10.3138/flor.20.036","ISSN":"0709-5201","abstract":"Teaching and researching medieval literature at UPEI is both a challenge and a delight. It is a challenge, because I am the only medievalist on the campus (indeed, on the Island). My students do not have complementary courses in other disciplines (such as history or philosophy) to introduce them to the contexts in which the literature I teach emerged. And I often miss the intellectual stimulation and support of having other medievalists nearby. Finally, as might be expected for a small university where only one member of the faculty teaches a vast area of literature and history, our library resources are inadequate.","author":[{"dropping-particle":"","family":"Innes-Parker","given":"Catherine","non-dropping-particle":"","parse-names":false,"suffix":""}],"container-title":"Florilegium","id":"ITEM-1","issue":"1","issued":{"date-parts":[["2003"]]},"page":"120-122","title":"University of Prince Edward Island","type":"article-journal","volume":"20"},"uris":["http://www.mendeley.com/documents/?uuid=22c71d6e-b6a5-4352-aacb-ded33e5e2903"]}],"mendeley":{"formattedCitation":"[15]","plainTextFormattedCitation":"[15]","previouslyFormattedCitation":"[15]"},"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[15]</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It not only influences aesthetics but also guides the observer's </w:t>
      </w:r>
      <w:proofErr w:type="spellStart"/>
      <w:r w:rsidRPr="00F64A8D">
        <w:rPr>
          <w:rFonts w:ascii="Calibri Light" w:hAnsi="Calibri Light" w:cs="Calibri Light"/>
          <w:sz w:val="20"/>
          <w:szCs w:val="20"/>
        </w:rPr>
        <w:t>behavior</w:t>
      </w:r>
      <w:proofErr w:type="spellEnd"/>
      <w:r w:rsidRPr="00F64A8D">
        <w:rPr>
          <w:rFonts w:ascii="Calibri Light" w:hAnsi="Calibri Light" w:cs="Calibri Light"/>
          <w:sz w:val="20"/>
          <w:szCs w:val="20"/>
        </w:rPr>
        <w:t xml:space="preserve">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{"citationItems":[{"id":"ITEM-1","itemData":{"DOI":"10.1016/j.displa.2010.12.002","ISSN":"01419382","abstract":"One of the challenges today in human-computer interaction is to design systems that are not only usable but also appealing to users. In order to contribute to meet this challenge, our general objective in the present study was to enhance current understanding of the perceptual features that favour users' interactions with Websites. This is a particularly important issue, as users' first impressions when they land on a site determine whether or not they stay on it. We conducted two experimental studies, focusing on one specific perceptual feature: Website colour. The first study investigated designers' and users' preferred colours for a Web homepage. Although researchers generally flag up differences between designers and users, we found that the latter also had several favourite colours in common. On the basis of these initial results, three colours were selected for a second study exploring colour in relation to an entire Website. The main originality of this second study lays in the fact that we used both subjective and objective measurements to gauge the impact of colour, analyzing not only users' judgments but also their Website navigation and the items of information they memorized. Results of this second study showed that colours were a determining factor in the way that users interacted with the Website. Their influence was also observed afterwards, when users were asked to exploit the information they had gleaned from the Website. As such, these findings will have a practical value for Website designers. © 2010 Elsevier B.V. All rights reserved.","author":[{"dropping-particle":"","family":"Bonnardel","given":"Nathalie","non-dropping-particle":"","parse-names":false,"suffix":""},{"dropping-particle":"","family":"Piolat","given":"Annie","non-dropping-particle":"","parse-names":false,"suffix":""},{"dropping-particle":"","family":"Bigot","given":"Ludovic","non-dropping-particle":"Le","parse-names":false,"suffix":""}],"container-title":"Displays","id":"ITEM-1","issue":"2","issued":{"date-parts":[["2011"]]},"page":"69-80","publisher":"Elsevier B.V.","title":"The impact of colour on Website appeal and users' cognitive processes","type":"article-journal","volume":"32"},"uris":["http://www.mendeley.com/documents/?uuid=66d359a7-d7b6-4707-892d-361fdc979456"]}],"mendeley":{"formattedCitation":"[16]","plainTextFormattedCitation":"[16]","previouslyFormattedCitation":"[16]"},"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[16]</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combinations impact legibility and visual search performance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{"citationItems":[{"id":"ITEM-1","itemData":{"DOI":"10.1016/j.displa.2012.11.007","ISSN":"01419382","abstract":"This study explored the effect of target/background color combination and exposure time on legibility of and EEG response to icons presented on a visual display terminal (VDT). The results showed that color combinations with high preference had better legibility than those with low preference. Peak latency of P100 at visual-cortex area (O1, O2, OZ) showed significantly faster response time with high preference color combinations than with low preference. Mean amplitudes of P300 were significantly greater for short exposure time, i.e., the subjects had greater attention load with short exposure time. In summary, both icon color combination and exposure time had significant effects on the accuracy of icon legibility, and the result was confirmed in EEG analysis. © 2012 Elsevier B.V. All rights reserved.","author":[{"dropping-particle":"","family":"Yeh","given":"Yun Ying","non-dropping-particle":"","parse-names":false,"suffix":""},{"dropping-particle":"","family":"Lee","given":"Der Song","non-dropping-particle":"","parse-names":false,"suffix":""},{"dropping-particle":"","family":"Ko","given":"Ya Hsien","non-dropping-particle":"","parse-names":false,"suffix":""}],"container-title":"Displays","id":"ITEM-1","issue":"1","issued":{"date-parts":[["2013"]]},"page":"33-38","title":"Color combination and exposure time on legibility and EEG response of icon presented on visual display terminal","type":"article-journal","volume":"34"},"uris":["http://www.mendeley.com/documents/?uuid=2a3c8ea1-98f4-420b-b83d-4d936dfe041e"]}],"mendeley":{"formattedCitation":"[17]","plainTextFormattedCitation":"[17]","previouslyFormattedCitation":"[17]"},"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[17]</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Huang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{"citationItems":[{"id":"ITEM-1","itemData":{"DOI":"10.2466/PMS.103.3.887-895","ISSN":"00315125","PMID":"17326519","abstract":"The purpose of the experiment was to investigate the effects of chromaticity combination on reading speeds and subjective preference ratings for small Chinese characters. The experiment was 7 (text chromaticity) × 7 (background chromaticity) split-plot design. Analysis of variance showed that the text chromaticity was not significant, but background chromaticity was. The findings suggested that achromatic color was the most effective background chromaticity with lower reading time and had a higher preference rating; however, the highly saturated short-wavelength blue was least effective. © Perceptual and Motor Skills 2006.","author":[{"dropping-particle":"","family":"Huang","given":"Shih Miao","non-dropping-particle":"","parse-names":false,"suffix":""}],"container-title":"Perceptual and Motor Skills","id":"ITEM-1","issue":"3","issued":{"date-parts":[["2006"]]},"page":"887-895","title":"A study of reading time and viewers' preferences for a variety of combinations of character-background chromaticity for small traditional Chinese characters","type":"article-journal","volume":"103"},"uris":["http://www.mendeley.com/documents/?uuid=44064367-f966-4cfe-ab20-1173cd5c5d49"]}],"mendeley":{"formattedCitation":"[18]","plainTextFormattedCitation":"[18]","previouslyFormattedCitation":"[18]"},"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[18]</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suggests using achromatic </w:t>
      </w:r>
      <w:proofErr w:type="spellStart"/>
      <w:r w:rsidRPr="00F64A8D">
        <w:rPr>
          <w:rFonts w:ascii="Calibri Light" w:hAnsi="Calibri Light" w:cs="Calibri Light"/>
          <w:sz w:val="20"/>
          <w:szCs w:val="20"/>
        </w:rPr>
        <w:t>colors</w:t>
      </w:r>
      <w:proofErr w:type="spellEnd"/>
      <w:r w:rsidRPr="00F64A8D">
        <w:rPr>
          <w:rFonts w:ascii="Calibri Light" w:hAnsi="Calibri Light" w:cs="Calibri Light"/>
          <w:sz w:val="20"/>
          <w:szCs w:val="20"/>
        </w:rPr>
        <w:t xml:space="preserve"> due to their high preference. In contrast, Lin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{"citationItems":[{"id":"ITEM-1","itemData":{"DOI":"10.1016/j.ergon.2004.09.002","ISSN":"01698141","abstract":"This study investigated the effects of screen luminance combination and text color on visual performance for thin film transistor liquid crystal display (TFT-LCD) screen characteristics. Results showed that screen luminance combination significantly affected visual performance. In general, visual performance increased with increasing contrast ratio. Screen luminance combination also played an important role on visual performance. Further, there might be interaction effect between screen luminance combination and contrast ratio on visual performance. Higher screen luminance combination (C4H) was slightly better than lower screen luminance combination (C4L) under contrast ratio C4. On the contrary, lower screen luminance combination (C8L) was slightly better than higher screen luminance combination (C8H) under contrast ratio C8. Text color did not differ with respect to visual performance. However, the chromatic texts may be more appropriate than achromatic text on achromatic background for TFT-LCD work. The TFT-LCD is the most important VDT today. Screen luminance combination and text color are the key factors affecting visual performance for TFT-LCD. The results from this study may improve visual performance for TFT-LCD workers. © 2004 Elsevier B.V. All rights reserved.","author":[{"dropping-particle":"","family":"Lin","given":"Chin Chiuan","non-dropping-particle":"","parse-names":false,"suffix":""}],"container-title":"International Journal of Industrial Ergonomics","id":"ITEM-1","issue":"3","issued":{"date-parts":[["2005"]]},"page":"229-235","title":"Effects of screen luminance combination and text color on visual performance with TFT-LCD","type":"article-journal","volume":"35"},"uris":["http://www.mendeley.com/documents/?uuid=e8cc24a8-06c4-46e6-a767-2fcdfcd40f17"]}],"mendeley":{"formattedCitation":"[19]","plainTextFormattedCitation":"[19]","previouslyFormattedCitation":"[19]"},"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[19]</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asserts that chromatic </w:t>
      </w:r>
      <w:proofErr w:type="spellStart"/>
      <w:r w:rsidRPr="00F64A8D">
        <w:rPr>
          <w:rFonts w:ascii="Calibri Light" w:hAnsi="Calibri Light" w:cs="Calibri Light"/>
          <w:sz w:val="20"/>
          <w:szCs w:val="20"/>
        </w:rPr>
        <w:t>colors</w:t>
      </w:r>
      <w:proofErr w:type="spellEnd"/>
      <w:r w:rsidRPr="00F64A8D">
        <w:rPr>
          <w:rFonts w:ascii="Calibri Light" w:hAnsi="Calibri Light" w:cs="Calibri Light"/>
          <w:sz w:val="20"/>
          <w:szCs w:val="20"/>
        </w:rPr>
        <w:t xml:space="preserve"> are visually preferred over achromatic ones, although the difference is not statistically significant.</w:t>
      </w:r>
    </w:p>
    <w:p w14:paraId="67CB713D"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According to ISO 2227:2007, a symbol is a visually perceived figure that conveys specific meaning to an individual, regardless of language barriers. Graphic perception is faster than reading and comprehending text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{"citationItems":[{"id":"ITEM-1","itemData":{"DOI":"10.1016/j.apergo.2021.103410","ISSN":"18729126","PMID":"33714727","abstract":"People visiting different Government Hospitals at Jabalpur in central India, were facing problems in comprehending different symbols. One of such hospital authority approached the research team for developing new symbols which could be easily comprehended by the users. Based on this, the current study was conducted, which included two experiments. The first experiment dealt with the ergonomic evaluation and identification of problems associated with the existing symbols. New concepts were then developed based on Ergonomic principles and users’ feedback. The second experiment focused upon testing of the new concepts on the target users. Results of Experiment 1 indicated that the mean comprehension level was 22.3% for all the existing symbols (n = 41). Low scores (on a scale of 1–10) were found for the existing symbol for ergonomic principles (mean value was 1.9 for Compatibility, 2.1 for Familiarity, and 2.0 for Standardisation). Redesigned concepts of the symbols were tested on the target users, the result indicated an improvement in comprehensibility of newly designed symbols. The mean comprehension level for 53 new/redesigned symbols was 70.2%, which included redesign of 41 orignal and inclusion of 12 new symbols. High scores (on a scale of 1–10) were received for all the new symbols for ergonomic principles (the mean value was 8.4 for Compatibility, 8.5 for Familiarity, and 8.5 for Standardisation). Findings of this study may be helpful for the researchers working in the domain of information ergonomics in space related to healthcare sector or similar areas.","author":[{"dropping-particle":"","family":"Patel","given":"Gaurav","non-dropping-particle":"","parse-names":false,"suffix":""},{"dropping-particle":"","family":"Mukhopadhyay","given":"Prabir","non-dropping-particle":"","parse-names":false,"suffix":""}],"container-title":"Applied Ergonomics","id":"ITEM-1","issue":"November 2019","issued":{"date-parts":[["2021"]]},"page":"103410","publisher":"Elsevier Ltd","title":"Ergonomic analysis and design intervention in symbols used in hospitals in central India","type":"article-journal","volume":"94"},"uris":["http://www.mendeley.com/documents/?uuid=6eabc034-11f2-44d1-aa8b-ce4f2e3cae24"]}],"mendeley":{"formattedCitation":"[8]","plainTextFormattedCitation":"[8]","previouslyFormattedCitation":"[8]"},"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[8]</w:t>
      </w:r>
      <w:r w:rsidRPr="00F64A8D">
        <w:rPr>
          <w:rFonts w:ascii="Calibri Light" w:hAnsi="Calibri Light" w:cs="Calibri Light"/>
          <w:sz w:val="20"/>
          <w:szCs w:val="20"/>
        </w:rPr>
        <w:fldChar w:fldCharType="end"/>
      </w:r>
      <w:r w:rsidRPr="00F64A8D">
        <w:rPr>
          <w:rFonts w:ascii="Calibri Light" w:hAnsi="Calibri Light" w:cs="Calibri Light"/>
          <w:sz w:val="20"/>
          <w:szCs w:val="20"/>
        </w:rPr>
        <w:t>. However, non-informative symbols can lead to ambiguity.</w:t>
      </w:r>
    </w:p>
    <w:p w14:paraId="02C4144B"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This study aims to assess the legibility of mosque signage and design ergonomic signage to improve it. Previous research has primarily employed experiments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{"citationItems":[{"id":"ITEM-1","itemData":{"DOI":"10.3390/su12104133","ISSN":"20711050","abstract":"Well-designed wayfinding signs play an important role in improving the service level of metro stations, ensuring the safety of passengers in evacuation, and promoting the sustainable development of public transport. This study explored the effects of ambient illumination, color combination, sign height, and observation angle on wayfinding signs' legibility in metro stations. In the experiment, simulated metro-wayfinding signs were made to test legibility. As designed, the legibility was measured based on the following independent variables: two levels of ambient illumination (70 lux and 273 lux), two target/background color combinations (achromatic-white target on black background, chromatic-yellow target on black background), two sign heights (1.5mand 2 m), and three observation angles (0°, 45°, 70°). The results showed that brighter ambient illumination provided passengers with higher legibility. Achromatic color combination was more legible than chromatic color combination, but not significantly. Different types of signs, set at different height, did not directly affect legibility. Observation angle had significant effects on legibility. Visibility catchment area of wayfinding signs was like an ellipse, with its short axis nearly equal to the legibility distance of the sign at 0 degrees. The findings will facilitate the layout and setting location of wayfinding signs in metro stations and improve the level of wayfinding service.","author":[{"dropping-particle":"","family":"Shi","given":"Yuqi","non-dropping-particle":"","parse-names":false,"suffix":""},{"dropping-particle":"","family":"Zhang","given":"Yi","non-dropping-particle":"","parse-names":false,"suffix":""},{"dropping-particle":"","family":"Wang","given":"Tao","non-dropping-particle":"","parse-names":false,"suffix":""},{"dropping-particle":"","family":"Li","given":"Chaoyang","non-dropping-particle":"","parse-names":false,"suffix":""},{"dropping-particle":"","family":"Yuan","given":"Shengqiang","non-dropping-particle":"","parse-names":false,"suffix":""}],"container-title":"Sustainability (Switzerland)","id":"ITEM-1","issue":"10","issued":{"date-parts":[["2020"]]},"title":"The effects of ambient illumination, color combination, sign height, and observation angle on the legibility of wayfinding signs in metro stations","type":"article-journal","volume":"12"},"uris":["http://www.mendeley.com/documents/?uuid=0bd27522-e139-4e0b-b251-0c86ce8a313f"]}],"mendeley":{"formattedCitation":"[9]","plainTextFormattedCitation":"[9]","previouslyFormattedCitation":"[9]"},"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[9]</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{"citationItems":[{"id":"ITEM-1","itemData":{"DOI":"10.17411/jacces.v12i2.357","ISSN":"20137087","abstract":"For low-vision people and elderly people with decreased vision and cognitive function, the legibility of signs (character size, position, etc.) is an important issue. Graphic floor signs are considered more effective for low-vision people and elderly people than typical hanging signs because they are closer to pedestrians and can be larger in size. There is a growing number of improved graphic floor signs, but there are no guidelines for character sizes, colour scheme, and layout. Therefore, this study considers the character size ofgraphic floor signs that are legible for elderly people. In this study, we aimed to verify the legibility of characters installed on the floor. The test was conducted on 30 non-elderly and 30 elderly people, about Japanese Industrial Standards (JIS) S 0032 “Guidelines for the elderly and people with disabilities-Visual signs and displays-Estimation of minimum legible size for a Japanese single character”. Experiments on minimum legible sizes of characters and experiments on readability were conducted in that order. In the experiment on the minimum legible sizes of characters, we found that the minimum legible sizes of characters written on the vertical surface can be converted to the minimum size of legible characters written on the floor surface by multiplying with the coefficient of minimum legible characters on the floor surface by 2 to 3 times. In the experiment on readability, we found that the optimum character sizes are about 90 mm and 80 mm in height at a minimum for vertical and horizontal characters, respectively. These results showed that the optimum size of characters on graphic floor signs is about 90 mm.","author":[{"dropping-particle":"","family":"Yanagihara","given":"Takao","non-dropping-particle":"","parse-names":false,"suffix":""},{"dropping-particle":"","family":"Omori","given":"Kiyohiro","non-dropping-particle":"","parse-names":false,"suffix":""},{"dropping-particle":"","family":"Hiroshi","given":"Kitagawa","non-dropping-particle":"","parse-names":false,"suffix":""}],"container-title":"Journal of Accessibility and Design for All","id":"ITEM-1","issue":"2","issued":{"date-parts":[["2022"]]},"page":"335-353","title":"Legibility of Japanese Characters in Graphic Floor Signs for Elderly People","type":"article-journal","volume":"12"},"uris":["http://www.mendeley.com/documents/?uuid=ee4264e7-35c6-4c95-8195-62f24e7b8243"]}],"mendeley":{"formattedCitation":"[10]","plainTextFormattedCitation":"[10]","previouslyFormattedCitation":"[10]"},"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[10]</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{"citationItems":[{"id":"ITEM-1","itemData":{"author":[{"dropping-particle":"","family":"Vidal-ribas","given":"Marta Perez","non-dropping-particle":"","parse-names":false,"suffix":""},{"dropping-particle":"","family":"Katz","given":"Bryan J","non-dropping-particle":"","parse-names":false,"suffix":""}],"id":"ITEM-1","issued":{"date-parts":[["2023"]]},"title":"Effects of Font Design on Highway Sign Legibility Effects of Font Design on Highway Sign Legibility","type":"article-journal"},"uris":["http://www.mendeley.com/documents/?uuid=9c6d150d-1cd0-4276-b387-8ece3bf58bad"]}],"mendeley":{"formattedCitation":"[11]","plainTextFormattedCitation":"[11]","previouslyFormattedCitation":"[11]"},"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[11]</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{"citationItems":[{"id":"ITEM-1","itemData":{"DOI":"10.3141/2624-01","ISSN":"21694052","abstract":"Older drivers represent the fastest-growing segment of the driving population. Aging is associated with well-known declines in reaction time and visual processing, and, as such, future roadway infrastructure and related design considerations will need to accommodate this population. One potential area of concern is the legibility of highway signage. FHWA recently revoked an interim approval that allowed optional use of the Clearview typeface in place of the traditional Highway Gothic typeface for signage. The legibility of the two fonts was assessed with color combinations that maximized the contrast (positive or negative) or approximated a color configuration used in highway signage. Psychophysical techniques were used to establish thresholds for the time needed to decide accurately - under glancelike reading conditions - whether a string of letters was a word, as a proxy for legibility. These thresholds were lower for Clearview (indicating superior legibility) than for Highway Gothic across all conditions. Legibility thresholds were lowest for negative - contrast conditions and highest for positive - contrast conditions, with colored highway signs roughly between the two extremes. These thresholds also increased significantly across the age range studied. The method used to investigate the legibility of signage fonts adds methodological diversity to the literature along with evidence supporting the superior legibility of the Clearview font over Highway Gothic. The results do not suggest that the Clearview typeface is the optimal solution for all signage but they do indicate that additional scientific evaluations of signage legibility are warranted in different operating contexts.","author":[{"dropping-particle":"","family":"Dobres","given":"Jonathan","non-dropping-particle":"","parse-names":false,"suffix":""},{"dropping-particle":"","family":"Chrysler","given":"Susan T.","non-dropping-particle":"","parse-names":false,"suffix":""},{"dropping-particle":"","family":"Wolfe","given":"Benjamin","non-dropping-particle":"","parse-names":false,"suffix":""},{"dropping-particle":"","family":"Chahine","given":"Nadine","non-dropping-particle":"","parse-names":false,"suffix":""},{"dropping-particle":"","family":"Reimer","given":"Bryan","non-dropping-particle":"","parse-names":false,"suffix":""}],"container-title":"Transportation Research Record","id":"ITEM-1","issue":"2624","issued":{"date-parts":[["2017"]]},"page":"1-8","title":"Empirical assessment of the legibility of the highway gothic and clearview signage fonts","type":"article-journal","volume":"2624"},"uris":["http://www.mendeley.com/documents/?uuid=7f71ee0f-8b8a-4f48-a9fa-2a090ec5f904"]}],"mendeley":{"formattedCitation":"[20]","plainTextFormattedCitation":"[20]","previouslyFormattedCitation":"[20]"},"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[20]</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In this study, experiments were conducted in a laboratory setting to minimize the influence of external factors, such as lighting and noise, thereby reducing distractions during data collection. Signage legibility experiments were conducted to determine the effects of font size, typeface, and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combinations on legibility. Subsequently, a questionnaire-based sign symbol comprehension test was administered, encompassing a comprehension test and a test of familiarity, compatibility, and standardization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{"citationItems":[{"id":"ITEM-1","itemData":{"DOI":"10.1016/j.apergo.2021.103410","ISSN":"18729126","PMID":"33714727","abstract":"People visiting different Government Hospitals at Jabalpur in central India, were facing problems in comprehending different symbols. One of such hospital authority approached the research team for developing new symbols which could be easily comprehended by the users. Based on this, the current study was conducted, which included two experiments. The first experiment dealt with the ergonomic evaluation and identification of problems associated with the existing symbols. New concepts were then developed based on Ergonomic principles and users’ feedback. The second experiment focused upon testing of the new concepts on the target users. Results of Experiment 1 indicated that the mean comprehension level was 22.3% for all the existing symbols (n = 41). Low scores (on a scale of 1–10) were found for the existing symbol for ergonomic principles (mean value was 1.9 for Compatibility, 2.1 for Familiarity, and 2.0 for Standardisation). Redesigned concepts of the symbols were tested on the target users, the result indicated an improvement in comprehensibility of newly designed symbols. The mean comprehension level for 53 new/redesigned symbols was 70.2%, which included redesign of 41 orignal and inclusion of 12 new symbols. High scores (on a scale of 1–10) were received for all the new symbols for ergonomic principles (the mean value was 8.4 for Compatibility, 8.5 for Familiarity, and 8.5 for Standardisation). Findings of this study may be helpful for the researchers working in the domain of information ergonomics in space related to healthcare sector or similar areas.","author":[{"dropping-particle":"","family":"Patel","given":"Gaurav","non-dropping-particle":"","parse-names":false,"suffix":""},{"dropping-particle":"","family":"Mukhopadhyay","given":"Prabir","non-dropping-particle":"","parse-names":false,"suffix":""}],"container-title":"Applied Ergonomics","id":"ITEM-1","issue":"November 2019","issued":{"date-parts":[["2021"]]},"page":"103410","publisher":"Elsevier Ltd","title":"Ergonomic analysis and design intervention in symbols used in hospitals in central India","type":"article-journal","volume":"94"},"uris":["http://www.mendeley.com/documents/?uuid=6eabc034-11f2-44d1-aa8b-ce4f2e3cae24"]}],"mendeley":{"formattedCitation":"[8]","plainTextFormattedCitation":"[8]","previouslyFormattedCitation":"[8]"},"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[8]</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{"citationItems":[{"id":"ITEM-1","itemData":{"DOI":"10.1016/j.ergon.2015.09.018","ISSN":"18728219","abstract":"The goal of this study is to evaluate the comprehensibility of recently introduced water-sport prohibitive symbols by the Ministry of Knowledge Economy (MKE, now the Ministry of Trade, Industry and Energy) of South Korea, and to redesign the poorly comprehended symbols based on participants' feedback and three universal ergonomic principles. Evaluation of comprehensibility and cognitive features of fourteen water-sport prohibitive symbols were conducted with forty Korean participants. Only two out of fourteen symbols have comprehension rates higher than the level recommended by ISO standard. Four poorly comprehended symbols are redesigned based on ergonomic design principles and participants' feedback. A follow-up experiment with another group of twenty Korean participants was conducted to verify the effectiveness of the redesign process and results showed redesigned symbols have better adherence to ergonomic design principles and enhanced comprehensibility than the original ones. The findings may serve as a useful input for researchers and designers in creating easily comprehended symbols to promote safety. Relevance to industry: Warning symbols have long been used as an interface to communicate critical situation-specific information to prospective users in industrial undertakings so that the risk of accidents and injuries can be reduced. The findings of this study provide useful information for designers in developing easily comprehended symbols to promote safety.","author":[{"dropping-particle":"","family":"Siswandari","given":"Yohana","non-dropping-particle":"","parse-names":false,"suffix":""},{"dropping-particle":"","family":"Kim","given":"Woojoo","non-dropping-particle":"","parse-names":false,"suffix":""},{"dropping-particle":"","family":"Xiong","given":"Shuping","non-dropping-particle":"","parse-names":false,"suffix":""}],"container-title":"International Journal of Industrial Ergonomics","id":"ITEM-1","issued":{"date-parts":[["2015"]]},"page":"196-205","publisher":"Elsevier Ltd","title":"Comprehension and redesign of recently introduced water-sport prohibitive symbols in South Korea","type":"article-journal","volume":"50"},"uris":["http://www.mendeley.com/documents/?uuid=4c39302c-f9f3-46b6-a0bb-cd57b91fe157"]}],"mendeley":{"formattedCitation":"[21]","plainTextFormattedCitation":"[21]","previouslyFormattedCitation":"[21]"},"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[21]</w:t>
      </w:r>
      <w:r w:rsidRPr="00F64A8D">
        <w:rPr>
          <w:rFonts w:ascii="Calibri Light" w:hAnsi="Calibri Light" w:cs="Calibri Light"/>
          <w:sz w:val="20"/>
          <w:szCs w:val="20"/>
        </w:rPr>
        <w:fldChar w:fldCharType="end"/>
      </w:r>
      <w:r w:rsidRPr="00F64A8D">
        <w:rPr>
          <w:rFonts w:ascii="Calibri Light" w:hAnsi="Calibri Light" w:cs="Calibri Light"/>
          <w:sz w:val="20"/>
          <w:szCs w:val="20"/>
        </w:rPr>
        <w:t>. This research resulted in a proposed signage display design that can be universally implemented in mosques.</w:t>
      </w:r>
    </w:p>
    <w:p w14:paraId="5D9A1A1D" w14:textId="77777777" w:rsidR="00F64A8D" w:rsidRDefault="00F64A8D" w:rsidP="00F64A8D">
      <w:pPr>
        <w:ind w:firstLine="284"/>
        <w:jc w:val="both"/>
        <w:rPr>
          <w:rFonts w:ascii="Calibri Light" w:hAnsi="Calibri Light" w:cs="Calibri Light"/>
          <w:sz w:val="20"/>
          <w:szCs w:val="20"/>
        </w:rPr>
      </w:pPr>
    </w:p>
    <w:p w14:paraId="395E8E88" w14:textId="443DDCDB" w:rsidR="00F64A8D" w:rsidRDefault="00F64A8D" w:rsidP="00F64A8D">
      <w:pPr>
        <w:pStyle w:val="Heading1"/>
        <w:numPr>
          <w:ilvl w:val="0"/>
          <w:numId w:val="3"/>
        </w:numPr>
        <w:spacing w:before="0"/>
        <w:ind w:left="284" w:hanging="284"/>
      </w:pPr>
      <w:r>
        <w:t>METHODS</w:t>
      </w:r>
    </w:p>
    <w:p w14:paraId="5772B2E5"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Initial data collection was conducted through semi-structured in-depth interviews with 20 mosque visitors at 4 predetermined mosques. Interviews were conducted during the daytime (March 1, 2024 - March 8, 2024) to identify the most common legibility and signage issues faced by visitors. Observations were conducted to document the physical characteristics of existing signage. The findings from the preliminary data analysis served as the basis for the experimental design. According to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{"citationItems":[{"id":"ITEM-1","itemData":{"ISBN":"9780205503452","author":[{"dropping-particle":"","family":"Gall","given":"M D","non-dropping-particle":"","parse-names":false,"suffix":""},{"dropping-particle":"","family":"Gall","given":"J P","non-dropping-particle":"","parse-names":false,"suffix":""},{"dropping-particle":"","family":"Borg","given":"W R","non-dropping-particle":"","parse-names":false,"suffix":""}],"id":"ITEM-1","issued":{"date-parts":[["2007"]]},"publisher":"Pearson/Allyn \\&amp; Bacon","title":"Educational Research: An Introduction","type":"book"},"uris":["http://www.mendeley.com/documents/?uuid=8e849b91-614a-46c3-bf21-02833ad4b265"]}],"mendeley":{"formattedCitation":"[22]","plainTextFormattedCitation":"[22]","previouslyFormattedCitation":"[22]"},"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[22]</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and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{"citationItems":[{"id":"ITEM-1","itemData":{"DOI":"10.30998/formatif.v2i2.95","ISSN":"2088-351X","abstract":"&lt;p&gt;Sample-size determination is often an important step in planning statistical study and item analysis and it is usually a difficult one. Among the important hurdles to surpassed, one must obtain an estimate of one or more error variances, and specify an effects size of importance. There is the temptation to take some shortcuts. This paper offers some suggestions for successful and meaningful sample-size determination. Also discussed is the possibility that sample-size may not be the main issue, that the real goal is to design a high-quality study. Finnaly, criticism is made of some ill-advised shortcuts relating to power and sample-size. &lt;br /&gt;&lt;br /&gt;&lt;/p&gt;","author":[{"dropping-particle":"","family":"Alwi","given":"Idrus","non-dropping-particle":"","parse-names":false,"suffix":""}],"container-title":"Formatif: Jurnal Ilmiah Pendidikan MIPA","id":"ITEM-1","issue":"2","issued":{"date-parts":[["2015"]]},"page":"140-148","title":"Kriteria Empirik dalam Menentukan Ukuran Sampel Pada Pengujian Hipotesis Statistika dan Analisis Butir","type":"article-journal","volume":"2"},"uris":["http://www.mendeley.com/documents/?uuid=1460f8d4-0800-49d5-8543-0d83a516f8a0"]}],"mendeley":{"formattedCitation":"[23]","plainTextFormattedCitation":"[23]","previouslyFormattedCitation":"[23]"},"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[23]</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the experimental study involved 15 participants. Participants were selected purposively from the population of mosque visitors aged 19-59 years. The inclusion criterion was a minimum visual acuity of 20/30, whereas the exclusion criterion was the absence of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vision deficiency. The experiment will be divided into three stages: respondent criteria testing, signage legibility testing, and symbol comprehension testing.</w:t>
      </w:r>
    </w:p>
    <w:p w14:paraId="6645D6D4" w14:textId="77777777" w:rsidR="00F64A8D" w:rsidRPr="00F64A8D" w:rsidRDefault="00F64A8D" w:rsidP="00F64A8D">
      <w:pPr>
        <w:ind w:firstLine="284"/>
        <w:jc w:val="both"/>
        <w:rPr>
          <w:rFonts w:ascii="Calibri Light" w:hAnsi="Calibri Light" w:cs="Calibri Light"/>
          <w:sz w:val="20"/>
          <w:szCs w:val="20"/>
        </w:rPr>
      </w:pPr>
    </w:p>
    <w:p w14:paraId="204F627A" w14:textId="77777777" w:rsidR="00F64A8D" w:rsidRPr="00F64A8D" w:rsidRDefault="00F64A8D" w:rsidP="00F64A8D">
      <w:pPr>
        <w:numPr>
          <w:ilvl w:val="1"/>
          <w:numId w:val="5"/>
        </w:numPr>
        <w:jc w:val="both"/>
        <w:rPr>
          <w:rFonts w:asciiTheme="majorHAnsi" w:hAnsiTheme="majorHAnsi" w:cstheme="majorHAnsi"/>
          <w:b/>
          <w:bCs/>
          <w:sz w:val="18"/>
          <w:szCs w:val="18"/>
        </w:rPr>
      </w:pPr>
      <w:r w:rsidRPr="00F64A8D">
        <w:rPr>
          <w:rFonts w:asciiTheme="majorHAnsi" w:hAnsiTheme="majorHAnsi" w:cstheme="majorHAnsi"/>
          <w:b/>
          <w:bCs/>
          <w:sz w:val="18"/>
          <w:szCs w:val="18"/>
        </w:rPr>
        <w:t>RESPONDENT CRITERIA TESTING</w:t>
      </w:r>
    </w:p>
    <w:p w14:paraId="2081A589" w14:textId="77777777" w:rsid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Respondent criteria testing is employed to ensure that participants meet the pre-established inclusion and exclusion criteria. Respondent criteria testing comprises two parts: a visual acuity test using the Snellen Chart and a </w:t>
      </w:r>
      <w:proofErr w:type="spellStart"/>
      <w:r w:rsidRPr="00F64A8D">
        <w:rPr>
          <w:rFonts w:ascii="Calibri Light" w:hAnsi="Calibri Light" w:cs="Calibri Light"/>
          <w:sz w:val="20"/>
          <w:szCs w:val="20"/>
        </w:rPr>
        <w:t>color-blindness</w:t>
      </w:r>
      <w:proofErr w:type="spellEnd"/>
      <w:r w:rsidRPr="00F64A8D">
        <w:rPr>
          <w:rFonts w:ascii="Calibri Light" w:hAnsi="Calibri Light" w:cs="Calibri Light"/>
          <w:sz w:val="20"/>
          <w:szCs w:val="20"/>
        </w:rPr>
        <w:t xml:space="preserve"> test using Ishihara's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Blind Test. The Snellen chart was chosen due to its accessibility and straightforward procedure for assessing literacy skills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{"citationItems":[{"id":"ITEM-1","itemData":{"abstract":"To compare the visual acuity of pre and post cataract surgery's patients using a Snellen acuity chart and DYOP acuity chart as to differences in resolution acuity versus recognition acuity. Fifty-nine patients (105 eyes) with senile cataracts aged 40 years or older, and with no other ocular pathologies, were evaluated as to visual acuity for pre and post cataract surgery using the Snellen acuity and DYOP acuity charts. Cataracts were nuclear in 50 eyes, nuclear and posterior sub capsular in 24 eyes, nuclear and cortical in 23 eyes, nuclear, cortical and posterior sub capsular in 4 eyes as well as nuclear, anterior and posterior sub cortical in 2 eyes, pre cataract surgery. The mean VA measured at pre cataract surgery was significantly overestimated with Snellen (OD: 0.64 ± 0.15, OS: 0.69 ± 0.23 decimal units) versus a DYOP (OD: 0.53 ± 0.25, OS: 0.55 ± 0.24 decimal units), for both eyes (OD: p=0.01, OS: p=0.01). The mean VA measured at post cataract surgery was also significantly overestimated with Snellen (OD: 0.88 ± 0.22, OS: 0.85 ± 0.20 decimal units) versus a DYOP (OD: 0.72 ± 0.22, OS: 0.72 ± 0.23 decimal units), for both eyes (OD: p=0.00, OS: p=0.01). Visual acuity measurements for pre and post cataract surgery were different with a Snellen acuity chart and a DYOP acuity chart in that the DYOP test was a more precise indicator of acuity resolution. The apparent strength of the DYOP acuity assessment is that it utilizes Dynamic Resolution Acuity to prevent the 0.25 diopter overestimation of visual acuity inherent in the Static Recognition Acuity of the Snellen test.","author":[{"dropping-particle":"","family":"Gordon","given":"Peter","non-dropping-particle":"","parse-names":false,"suffix":""}],"id":"ITEM-1","issue":"7","issued":{"date-parts":[["2021"]]},"page":"500-503","title":"Visual acuity-DYOP® versus Snellen acuity charts: A review.","type":"article-journal","volume":"5"},"uris":["http://www.mendeley.com/documents/?uuid=aa5e06be-5f03-4ba8-9a01-0923cca60720"]}],"mendeley":{"formattedCitation":"[24]","plainTextFormattedCitation":"[24]","previouslyFormattedCitation":"[24]"},"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[24]</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Ishihara's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Blind Test is a rapid method for identifying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blindness disorders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{"citationItems":[{"id":"ITEM-1","itemData":{"abstract":"Color blind test system is needed in various needs such as the management of a driver's license, prospective students in certain institutions, prospective employees or employees in government and private agencies. The development of a computer-based color blind test system aims at color blind test activities that produce conclusions on normal eye sealing, partial color blindness and total color blindness. The method used to complete this research is ISHIHARA, which was discovered by Dr. Shinobu Ishihara. For the construction of the Ishihara method of color blind testing using the stages of analysis, design and implementation. The developed test system aims to be used as a color blind test for the health test requirements as a requirement for prospective employees at PT JAVA GLOBAL FUTURES Medan. To build this color blind test system used MS-Visual Studio 2010 and the results were made using Crystal Report 2010. This research has produced a Color Blind Test System with the Ishihara Method Computer Based which is used for the color blind test at PT JAVA GLOBAL FUTURES Medan. With the output in the form of computer screens and paper prints using a printer when connected to a computer in the form of a Health Certificate with test results in the form of normal eye vision, partial color blindness or total color blindness.","author":[{"dropping-particle":"","family":"Lombu","given":"Faduhusi","non-dropping-particle":"","parse-names":false,"suffix":""},{"dropping-particle":"","family":"Panggabean","given":"Erwin","non-dropping-particle":"","parse-names":false,"suffix":""}],"container-title":"Journal of Computer Networks","id":"ITEM-1","issue":"1","issued":{"date-parts":[["2020"]]},"page":"218-221","title":"Membangun Sistem Testing Buta Warna Menggunakan Metode Ishihara","type":"article-journal","volume":"2"},"uris":["http://www.mendeley.com/documents/?uuid=e63d1cae-5cd3-4a7d-91d8-1281d56a9493"]}],"mendeley":{"formattedCitation":"[25]","plainTextFormattedCitation":"[25]","previouslyFormattedCitation":"[25]"},"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[25]</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The acceptance criteria for respondents in the visual acuity test are a minimum visual acuity of 20/30. In contrast, the acceptance criteria for Ishihara's </w:t>
      </w:r>
      <w:proofErr w:type="spellStart"/>
      <w:proofErr w:type="gram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Blind</w:t>
      </w:r>
      <w:proofErr w:type="gramEnd"/>
      <w:r w:rsidRPr="00F64A8D">
        <w:rPr>
          <w:rFonts w:ascii="Calibri Light" w:hAnsi="Calibri Light" w:cs="Calibri Light"/>
          <w:sz w:val="20"/>
          <w:szCs w:val="20"/>
        </w:rPr>
        <w:t xml:space="preserve"> Test are the ability to correctly answer &gt; 7 plates in an average time of &lt; 3 seconds. Respondents who meet the criteria can proceed with the experiment.</w:t>
      </w:r>
    </w:p>
    <w:p w14:paraId="5EAA5E75" w14:textId="77777777" w:rsidR="00933A64" w:rsidRPr="00F64A8D" w:rsidRDefault="00933A64" w:rsidP="00F64A8D">
      <w:pPr>
        <w:ind w:firstLine="284"/>
        <w:jc w:val="both"/>
        <w:rPr>
          <w:rFonts w:ascii="Calibri Light" w:hAnsi="Calibri Light" w:cs="Calibri Light"/>
          <w:sz w:val="20"/>
          <w:szCs w:val="20"/>
        </w:rPr>
      </w:pPr>
    </w:p>
    <w:p w14:paraId="28B829A0" w14:textId="77777777" w:rsidR="00F64A8D" w:rsidRPr="00F64A8D" w:rsidRDefault="00F64A8D" w:rsidP="00F64A8D">
      <w:pPr>
        <w:ind w:firstLine="284"/>
        <w:jc w:val="both"/>
        <w:rPr>
          <w:rFonts w:ascii="Calibri Light" w:hAnsi="Calibri Light" w:cs="Calibri Light"/>
          <w:sz w:val="20"/>
          <w:szCs w:val="20"/>
        </w:rPr>
      </w:pPr>
    </w:p>
    <w:p w14:paraId="3C21A316" w14:textId="77777777" w:rsidR="00F64A8D" w:rsidRPr="00F64A8D" w:rsidRDefault="00F64A8D" w:rsidP="00F64A8D">
      <w:pPr>
        <w:numPr>
          <w:ilvl w:val="1"/>
          <w:numId w:val="5"/>
        </w:numPr>
        <w:jc w:val="both"/>
        <w:rPr>
          <w:rFonts w:asciiTheme="majorHAnsi" w:hAnsiTheme="majorHAnsi" w:cstheme="majorHAnsi"/>
          <w:b/>
          <w:bCs/>
          <w:sz w:val="18"/>
          <w:szCs w:val="18"/>
        </w:rPr>
      </w:pPr>
      <w:r w:rsidRPr="00F64A8D">
        <w:rPr>
          <w:rFonts w:asciiTheme="majorHAnsi" w:hAnsiTheme="majorHAnsi" w:cstheme="majorHAnsi"/>
          <w:b/>
          <w:bCs/>
          <w:sz w:val="18"/>
          <w:szCs w:val="18"/>
        </w:rPr>
        <w:lastRenderedPageBreak/>
        <w:t>SIGNAGE LEGIBILITY TESTING</w:t>
      </w:r>
    </w:p>
    <w:p w14:paraId="717A532A"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Signage legibility testing is conducted to determine the impact of the independent variables (font size, typeface, and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combination) on the dependent variable (total correct answers (TCA)). Total response time (TRT) serves as a mediating variable, strengthening or weakening the relationship between the independent variables and the dependent variable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{"citationItems":[{"id":"ITEM-1","itemData":{"abstract":"Dalam suatu penelitian perumusan variabel merupakan salah satu unsur yang penting karena suatu proses pengumpulan fakta atau pengukuran dapat dilakukan dengan baik, bila dapat dirumuskan variabel penelitian dengan tegas. Proses perumusan variabel ini diawali dari perumusan konsep tentang segala sesuatu yang menjadi sasaran penelitian. Konsep yang dimaksud adalah istilah dan definisi yang digunakan untuk menggambarkan secara abstrak tentang kejadian dan keadaan suatu kelompok atau individu tertentu yang menjadi sasaran penelitian.","author":[{"dropping-particle":"","family":"Nasution","given":"Sangkot","non-dropping-particle":"","parse-names":false,"suffix":""}],"container-title":"Raudhah","id":"ITEM-1","issue":"02","issued":{"date-parts":[["2017"]]},"page":"1-9","title":"Variabel penelitian","type":"article-journal","volume":"05"},"uris":["http://www.mendeley.com/documents/?uuid=7bf3e79c-7e53-4971-a7d4-698d57a4c49b"]}],"mendeley":{"formattedCitation":"[26]","plainTextFormattedCitation":"[26]","previouslyFormattedCitation":"[26]"},"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[26]</w:t>
      </w:r>
      <w:r w:rsidRPr="00F64A8D">
        <w:rPr>
          <w:rFonts w:ascii="Calibri Light" w:hAnsi="Calibri Light" w:cs="Calibri Light"/>
          <w:sz w:val="20"/>
          <w:szCs w:val="20"/>
        </w:rPr>
        <w:fldChar w:fldCharType="end"/>
      </w:r>
      <w:r w:rsidRPr="00F64A8D">
        <w:rPr>
          <w:rFonts w:ascii="Calibri Light" w:hAnsi="Calibri Light" w:cs="Calibri Light"/>
          <w:sz w:val="20"/>
          <w:szCs w:val="20"/>
        </w:rPr>
        <w:t>.</w:t>
      </w:r>
    </w:p>
    <w:p w14:paraId="7CD559BB"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Three hypotheses will be tested in this experiment. These hypotheses were formulated in light of previous research findings. Sheedy </w:t>
      </w:r>
      <w:r w:rsidRPr="00F64A8D">
        <w:rPr>
          <w:rFonts w:ascii="Calibri Light" w:hAnsi="Calibri Light" w:cs="Calibri Light"/>
          <w:i/>
          <w:iCs/>
          <w:sz w:val="20"/>
          <w:szCs w:val="20"/>
        </w:rPr>
        <w:t>et al</w:t>
      </w:r>
      <w:r w:rsidRPr="00F64A8D">
        <w:rPr>
          <w:rFonts w:ascii="Calibri Light" w:hAnsi="Calibri Light" w:cs="Calibri Light"/>
          <w:sz w:val="20"/>
          <w:szCs w:val="20"/>
        </w:rPr>
        <w:t xml:space="preserve">. explicitly stated that font size and typeface have a significant impact on legibility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{"citationItems":[{"id":"ITEM-1","itemData":{"DOI":"10.1518/001872005775570998","ISSN":"00187208","PMID":"16553067","abstract":"Effects of font design and electronic display parameters upon text legibility were determined using a threshold size method. Participants' visual acuity (inverse of the minimum detection size, representing the threshold legibility for each condition) was measured using upper- and lowercase letters and lowercase words in combinations of 6 fonts, 3 font-smoothing modes, 4 font sizes, 10 pixel heights, and 4 stroke widths. Individual lowercase letters were 10% to 20% more legible than lowercase words (i.e., lowercase words must be 10%-20% larger to have the same threshold legibility). This letter superiority effect suggests that individual letters play a large role and word shape plays a smaller role, if any, in word identification at threshold. Pixel height, font, stroke width, and font smoothing had significant main effects on threshold legibility. Optimal legibility was attained at 9 pixels (10 points). Verdana and Arial were the most legible fonts; Times New Roman and Franklin were least legible. Subpixel rendering (ClearType™) improved threshold legibility for some fonts and, in combination with Verdana, was the most legible condition. Increased stroke width (bold) improved threshold legibility but only at the thinnest width tested. Potential applications of this research include optimization of font design for legibility and readability. Copyright © 2005, Human Factors and Ergonomics Society. All rights reserved.","author":[{"dropping-particle":"","family":"Sheedy","given":"James E.","non-dropping-particle":"","parse-names":false,"suffix":""},{"dropping-particle":"V.","family":"Subbaram","given":"Manoj","non-dropping-particle":"","parse-names":false,"suffix":""},{"dropping-particle":"","family":"Zimmerman","given":"Aaron B.","non-dropping-particle":"","parse-names":false,"suffix":""},{"dropping-particle":"","family":"Hayes","given":"John R.","non-dropping-particle":"","parse-names":false,"suffix":""}],"container-title":"Human Factors","id":"ITEM-1","issue":"4","issued":{"date-parts":[["2005"]]},"page":"797-815","title":"Text legibility and the letter superiority effect","type":"article-journal","volume":"47"},"uris":["http://www.mendeley.com/documents/?uuid=a4c0dc74-dbf9-4ed1-955c-8a70c05f5082"]}],"mendeley":{"formattedCitation":"[27]","plainTextFormattedCitation":"[27]","previouslyFormattedCitation":"[27]"},"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[27]</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Franken </w:t>
      </w:r>
      <w:r w:rsidRPr="00F64A8D">
        <w:rPr>
          <w:rFonts w:ascii="Calibri Light" w:hAnsi="Calibri Light" w:cs="Calibri Light"/>
          <w:i/>
          <w:iCs/>
          <w:sz w:val="20"/>
          <w:szCs w:val="20"/>
        </w:rPr>
        <w:t>et al</w:t>
      </w:r>
      <w:r w:rsidRPr="00F64A8D">
        <w:rPr>
          <w:rFonts w:ascii="Calibri Light" w:hAnsi="Calibri Light" w:cs="Calibri Light"/>
          <w:sz w:val="20"/>
          <w:szCs w:val="20"/>
        </w:rPr>
        <w:t xml:space="preserve">. mentioned that the selection of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combinations affects legibility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{"citationItems":[{"id":"ITEM-1","itemData":{"DOI":"10.28991/esj-2020-01243","ISSN":"26109182","abstract":"The evolution of high resolution displays, especially liquid crystal displays (LCD), which are among the most commonly used ones, has contributed to a larger number of display readers. Regardless of high resolutions, problems in the legibility of typefaces still occur. Many typefaces may well be readable in print, but cause more difficulties when being read on displays. The aim of this study was to examine the influence of colour contrast on the legibility on LCDs to establish which type style is appropriate for a coloured text to be legible. Two different typefaces specially designed for display use were tested in a satisfactory light-dark contrast of five different colour combinations. The reading speed and fixations were analysed with an eye-tracking device Tobii 120X. Different texts were displayed on an LCD display. The results showed that the selection of a particular colour combination and contrast greatly affects the reading speed and legibility. Less visible colour combinations of text and background were read more slowly than the more contrasting or visible ones in both typefaces. At both typefaces, it was seen that at a slower reading speed, more fixations were needed and vice-versa. A transitional typeface gave a faster reading speed than a sans-serif typeface. An appropriate contrast, colour combination and used typography can facilitate legibility on displays.","author":[{"dropping-particle":"","family":"Franken","given":"Gregor","non-dropping-particle":"","parse-names":false,"suffix":""},{"dropping-particle":"","family":"Pangerc","given":"Maruša","non-dropping-particle":"","parse-names":false,"suffix":""},{"dropping-particle":"","family":"Možina","given":"Klementina","non-dropping-particle":"","parse-names":false,"suffix":""}],"container-title":"Emerging Science Journal","id":"ITEM-1","issue":"6","issued":{"date-parts":[["2020"]]},"page":"436-442","title":"Impact of typeface and colour combinations on lcd display legibility","type":"article-journal","volume":"4"},"uris":["http://www.mendeley.com/documents/?uuid=fd6b9fd1-5f57-4f67-be13-1c357910f3af"]}],"mendeley":{"formattedCitation":"[28]","plainTextFormattedCitation":"[28]","previouslyFormattedCitation":"[28]"},"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[28]</w:t>
      </w:r>
      <w:r w:rsidRPr="00F64A8D">
        <w:rPr>
          <w:rFonts w:ascii="Calibri Light" w:hAnsi="Calibri Light" w:cs="Calibri Light"/>
          <w:sz w:val="20"/>
          <w:szCs w:val="20"/>
        </w:rPr>
        <w:fldChar w:fldCharType="end"/>
      </w:r>
      <w:r w:rsidRPr="00F64A8D">
        <w:rPr>
          <w:rFonts w:ascii="Calibri Light" w:hAnsi="Calibri Light" w:cs="Calibri Light"/>
          <w:sz w:val="20"/>
          <w:szCs w:val="20"/>
        </w:rPr>
        <w:t>. The following are the hypotheses employed:</w:t>
      </w:r>
    </w:p>
    <w:p w14:paraId="1FE0554B"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H1: Font size has a significant impact on the legibility of signage, as represented by total correct answers (TCA).</w:t>
      </w:r>
    </w:p>
    <w:p w14:paraId="7C34E98C"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H2: Typeface has a significant impact on the legibility of signage, as reflected in total correct answers (TCA).</w:t>
      </w:r>
    </w:p>
    <w:p w14:paraId="14F08EC2"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H3: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combination has a significant impact on the legibility of signage, as represented by total correct answers (TCA).</w:t>
      </w:r>
    </w:p>
    <w:p w14:paraId="6BA1555B"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Font size is divided into four test groups (2 cm, 3 cm, 4 cm, and 5 cm), typeface is divided into two test groups (serif and sans serif), and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combination is divided into two test groups (chromatic and achromatic). Times New Roman represents a serif typeface, while Copperplate Gothic represents a sans-serif typeface. The chromatic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combination is white text on a green background, while the achromatic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combination is black text on a white background. As a result, 16 testing schemes comprising 240 data-collection processes were created.</w:t>
      </w:r>
    </w:p>
    <w:p w14:paraId="27547CB2"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Signage legibility testing was conducted in the Human Factors Design and Ergonomics Laboratory at </w:t>
      </w:r>
      <w:proofErr w:type="spellStart"/>
      <w:r w:rsidRPr="00F64A8D">
        <w:rPr>
          <w:rFonts w:ascii="Calibri Light" w:hAnsi="Calibri Light" w:cs="Calibri Light"/>
          <w:sz w:val="20"/>
          <w:szCs w:val="20"/>
        </w:rPr>
        <w:t>Sebelas</w:t>
      </w:r>
      <w:proofErr w:type="spellEnd"/>
      <w:r w:rsidRPr="00F64A8D">
        <w:rPr>
          <w:rFonts w:ascii="Calibri Light" w:hAnsi="Calibri Light" w:cs="Calibri Light"/>
          <w:sz w:val="20"/>
          <w:szCs w:val="20"/>
        </w:rPr>
        <w:t xml:space="preserve"> Maret University on May 2, 2024. The lighting level was maintained between 100 and 300 lux. Participants were positioned 6 meters from the test field, and two observers were placed to the right and left of the participants at 30 cm. The observers were responsible for recording TCA and TRT. The test field was constructed from thick cardboard measuring 80 cm in length and 26 cm in width and was laminated with a matte finish to minimize light reflection.</w:t>
      </w:r>
    </w:p>
    <w:p w14:paraId="6F407D39" w14:textId="77777777" w:rsidR="00F64A8D" w:rsidRPr="00F64A8D" w:rsidRDefault="00F64A8D" w:rsidP="00F64A8D">
      <w:pPr>
        <w:ind w:firstLine="284"/>
        <w:jc w:val="both"/>
        <w:rPr>
          <w:rFonts w:ascii="Calibri Light" w:hAnsi="Calibri Light" w:cs="Calibri Light"/>
          <w:b/>
          <w:bCs/>
          <w:sz w:val="20"/>
          <w:szCs w:val="20"/>
        </w:rPr>
      </w:pPr>
    </w:p>
    <w:p w14:paraId="1810D544" w14:textId="77777777" w:rsidR="00F64A8D" w:rsidRPr="00F64A8D" w:rsidRDefault="00F64A8D" w:rsidP="00F64A8D">
      <w:pPr>
        <w:numPr>
          <w:ilvl w:val="1"/>
          <w:numId w:val="5"/>
        </w:numPr>
        <w:jc w:val="both"/>
        <w:rPr>
          <w:rFonts w:asciiTheme="majorHAnsi" w:hAnsiTheme="majorHAnsi" w:cstheme="majorHAnsi"/>
          <w:b/>
          <w:bCs/>
          <w:sz w:val="18"/>
          <w:szCs w:val="18"/>
        </w:rPr>
      </w:pPr>
      <w:r w:rsidRPr="00F64A8D">
        <w:rPr>
          <w:rFonts w:asciiTheme="majorHAnsi" w:hAnsiTheme="majorHAnsi" w:cstheme="majorHAnsi"/>
          <w:b/>
          <w:bCs/>
          <w:sz w:val="18"/>
          <w:szCs w:val="18"/>
        </w:rPr>
        <w:t>SYMBOL COMPREHENSION TESTING</w:t>
      </w:r>
    </w:p>
    <w:p w14:paraId="58D2585C"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Symbol comprehension testing aims to evaluate participants' understanding of current signage symbols following the introduction of the proposed symbols. Symbol comprehension testing is questionnaire-based and consists of a comprehension test and a test of familiarity, compatibility, and standardization.</w:t>
      </w:r>
    </w:p>
    <w:p w14:paraId="1894A647"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The comprehension test categorizes correct answers as correct (score of 2), partially correct (score of 1), and incorrect (score of 0). The correct or incorrect categories are based on participants' ability to identify the sign's meaning and the appropriate action to take when they see the sign.</w:t>
      </w:r>
    </w:p>
    <w:p w14:paraId="19BBB801"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The test of familiarity, compatibility, and standardization uses a 1–10 Likert scale. Point 1 indicates that the sign symbol is "very not" (familiar, compatible, and standardized), while point 10 indicates that the sign symbol is "very" (familiar, compatible, and standardized).</w:t>
      </w:r>
    </w:p>
    <w:p w14:paraId="518EB968" w14:textId="77777777" w:rsidR="00F64A8D" w:rsidRPr="00F64A8D" w:rsidRDefault="00F64A8D" w:rsidP="00F64A8D">
      <w:pPr>
        <w:ind w:firstLine="284"/>
        <w:jc w:val="both"/>
        <w:rPr>
          <w:rFonts w:ascii="Calibri Light" w:hAnsi="Calibri Light" w:cs="Calibri Light"/>
          <w:sz w:val="20"/>
          <w:szCs w:val="20"/>
        </w:rPr>
      </w:pPr>
    </w:p>
    <w:p w14:paraId="6B6BA9B7" w14:textId="77777777" w:rsidR="00F64A8D" w:rsidRPr="00F64A8D" w:rsidRDefault="00F64A8D" w:rsidP="00F64A8D">
      <w:pPr>
        <w:numPr>
          <w:ilvl w:val="1"/>
          <w:numId w:val="5"/>
        </w:numPr>
        <w:jc w:val="both"/>
        <w:rPr>
          <w:rFonts w:asciiTheme="majorHAnsi" w:hAnsiTheme="majorHAnsi" w:cstheme="majorHAnsi"/>
          <w:b/>
          <w:bCs/>
          <w:sz w:val="18"/>
          <w:szCs w:val="18"/>
        </w:rPr>
      </w:pPr>
      <w:r w:rsidRPr="00F64A8D">
        <w:rPr>
          <w:rFonts w:asciiTheme="majorHAnsi" w:hAnsiTheme="majorHAnsi" w:cstheme="majorHAnsi"/>
          <w:b/>
          <w:bCs/>
          <w:sz w:val="18"/>
          <w:szCs w:val="18"/>
        </w:rPr>
        <w:t>ERGONOMICS FOR DESIGNING WAYFINDING SIGNAGE</w:t>
      </w:r>
    </w:p>
    <w:p w14:paraId="1C5AB0A4" w14:textId="77777777" w:rsidR="00F64A8D" w:rsidRP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Ergonomics aims to create compatibility between human needs, capabilities, and limitations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{"citationItems":[{"id":"ITEM-1","itemData":{"DOI":"10.1002/9781119636113.ch16","ISBN":"9781119636113","abstract":"Training can, and does, differ greatly across contexts in regard to specific emphases, and these generally vary depending on the organization and its mission. However, the universal goal is to improve the quality of the workforce in order to strengthen the bottom line of the organization. If this is to happen, those who design and deliver the training material must take advantage of the ever-growing field of research and evidence-based principles and apply it to the analysis, design, delivery, evaluation, and transfer of training systems. This chapter outlines the relevant research on what constitutes an effective training system. It provides an updated review on the foundational science of training and to offer further guidance related to the design, delivery, and evaluation of training programs. The chapter discusses research on training facilitators/instructors, the importance of practice scenarios, and findings on the content and delivery of feedback.","author":[{"dropping-particle":"","family":"Bisbey","given":"Tiffany M.","non-dropping-particle":"","parse-names":false,"suffix":""},{"dropping-particle":"","family":"Grossman","given":"Rebecca","non-dropping-particle":"","parse-names":false,"suffix":""},{"dropping-particle":"","family":"Panton","given":"Kareem","non-dropping-particle":"","parse-names":false,"suffix":""},{"dropping-particle":"","family":"Coultas","given":"Chris W.","non-dropping-particle":"","parse-names":false,"suffix":""},{"dropping-particle":"","family":"Salas","given":"Eduardo","non-dropping-particle":"","parse-names":false,"suffix":""}],"container-title":"Handbook of Human Factors and Ergonomics","id":"ITEM-1","issued":{"date-parts":[["2021"]]},"number-of-pages":"414-433","title":"Design, Delivery, Evaluation, and Transfer of Effective Training Systems","type":"book"},"uris":["http://www.mendeley.com/documents/?uuid=32e49fab-6484-47b0-bd1f-8984cdb3f806"]}],"mendeley":{"formattedCitation":"[29]","plainTextFormattedCitation":"[29]","previouslyFormattedCitation":"[29]"},"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[29]</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Cognitive ergonomics, a branch of ergonomics, focuses on </w:t>
      </w:r>
      <w:proofErr w:type="spellStart"/>
      <w:r w:rsidRPr="00F64A8D">
        <w:rPr>
          <w:rFonts w:ascii="Calibri Light" w:hAnsi="Calibri Light" w:cs="Calibri Light"/>
          <w:sz w:val="20"/>
          <w:szCs w:val="20"/>
        </w:rPr>
        <w:t>analyzing</w:t>
      </w:r>
      <w:proofErr w:type="spellEnd"/>
      <w:r w:rsidRPr="00F64A8D">
        <w:rPr>
          <w:rFonts w:ascii="Calibri Light" w:hAnsi="Calibri Light" w:cs="Calibri Light"/>
          <w:sz w:val="20"/>
          <w:szCs w:val="20"/>
        </w:rPr>
        <w:t xml:space="preserve"> human mental processes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{"citationItems":[{"id":"ITEM-1","itemData":{"ISBN":"9786025842658","author":[{"dropping-particle":"","family":"Sulistiarini","given":"Emma Budi","non-dropping-particle":"","parse-names":false,"suffix":""},{"dropping-particle":"","family":"Widyagama","given":"Universitas","non-dropping-particle":"","parse-names":false,"suffix":""}],"id":"ITEM-1","issue":"July","issued":{"date-parts":[["2020"]]},"number-of-pages":"(hal. 110-111)","title":"Kognitif Ergonomi dan Beban Kerja --- Buku Referensi","type":"book"},"uris":["http://www.mendeley.com/documents/?uuid=e8f2a374-604f-40ea-b6a8-95ce723e3293"]}],"mendeley":{"formattedCitation":"[30]","plainTextFormattedCitation":"[30]","previouslyFormattedCitation":"[30]"},"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[30]</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Cognitive ergonomics research areas include perception, categorization, memory, knowledge representation, numeracy, language, and thinking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{"citationItems":[{"id":"ITEM-1","itemData":{"ISBN":"9786025842658","author":[{"dropping-particle":"","family":"Sulistiarini","given":"Emma Budi","non-dropping-particle":"","parse-names":false,"suffix":""},{"dropping-particle":"","family":"Widyagama","given":"Universitas","non-dropping-particle":"","parse-names":false,"suffix":""}],"id":"ITEM-1","issue":"July","issued":{"date-parts":[["2020"]]},"number-of-pages":"(hal. 110-111)","title":"Kognitif Ergonomi dan Beban Kerja --- Buku Referensi","type":"book"},"uris":["http://www.mendeley.com/documents/?uuid=e8f2a374-604f-40ea-b6a8-95ce723e3293"]}],"mendeley":{"formattedCitation":"[30]","plainTextFormattedCitation":"[30]","previouslyFormattedCitation":"[30]"},"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[30]</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The process of information processing is divided into three main stages: understanding the type of information provided by the environment, processing the information, and taking appropriate actions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{"citationItems":[{"id":"ITEM-1","itemData":{"DOI":"10.1063/5.0000701","ISBN":"9780735419711","ISSN":"15517616","abstract":"Traffic signs are one of the required road safety equipment and easily found throughout the world. Comprehension of traffic signs is absolutely necessary to improve aspects of driving safety. This paper aims to discuss several previous studies related to drivers' comprehension of traffic signs. This comprehension is related to human information processing between humans and systems. In addition, ergonomic principles are also considered in it. From the review, it is known that there are several evaluation methods that have been developed to test the comprehension level of traffic signs. In the end, it can be concluded that human characteristics, ergonomic principles, and cognitive sign design features play important role in traffic signs comprehension and design.","author":[{"dropping-particle":"","family":"Ishartomo","given":"Farid","non-dropping-particle":"","parse-names":false,"suffix":""},{"dropping-particle":"","family":"Suhardi","given":"Bambang","non-dropping-particle":"","parse-names":false,"suffix":""},{"dropping-particle":"","family":"Rohani","given":"Jafri Mohd","non-dropping-particle":"","parse-names":false,"suffix":""}],"container-title":"AIP Conference Proceedings","id":"ITEM-1","issue":"April","issued":{"date-parts":[["2020"]]},"title":"Ergonomic principles in traffic signs comprehension: A literature review","type":"article-journal","volume":"2217"},"uris":["http://www.mendeley.com/documents/?uuid=b50db2d3-1843-4e0a-832d-0f71488594fe"]}],"mendeley":{"formattedCitation":"[31]","plainTextFormattedCitation":"[31]","previouslyFormattedCitation":"[31]"},"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[31]</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w:t>
      </w:r>
    </w:p>
    <w:p w14:paraId="5D8CA873" w14:textId="5E37516D" w:rsid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A display is a medium for providing information to humans so that the information seen can be conveyed to facilitate an activity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{"citationItems":[{"id":"ITEM-1","itemData":{"abstract":"Tujuan penelitian ini adalah membantu PT Impero Nusa Pratama dalam meningkatkan awareness terhadap System Operating Procedure perusahaan melalui visual display informasi. Perancangan dilakukan dengan pendekatan ergonomi berdasarkan beberapa kriteria rancangan. Kriteria rancangan visual display dari sisi penentuan kalimat, tipografi, ukuran huruf, dan pemilihan warna agar display informasi dapat terlihat dan diterima dengan baik oleh karyawan. Berdasarkan analisis masalah dengan menggunakan 5W 1H diperoleh penyebab operator tidak menyelesaikan pekerjaan dalam satu siklus adalah bermain handphone pada saat bekerja. Display rekomendasi yang dirancang mempertimbangkan visual activity (VA), typography, stroke width, letter height, dan komposisi warna. Dimensi visual display yang dirancang yaitu, tinggi huruf untuk display ruang produksi 1 memiliki ukuran lebar huruf 8,7 mm dan tinggi huruf 43,4 mm dengan ukuran display panjang 274,3 x lebar 232 mm. Display ruang produksi 2 memiliki ukuran lebar huruf 5,8 mm dan tinggi huruf 28,96 mm dengan ukuran display panjang 71,4 x lebar 298,7 mm. Kata","author":[{"dropping-particle":"","family":"Junaedi","given":"Didi","non-dropping-particle":"","parse-names":false,"suffix":""},{"dropping-particle":"","family":"Cholisana","given":"Alif","non-dropping-particle":"","parse-names":false,"suffix":""}],"container-title":"Jurnal Penelitian dan Aplikasi Sistem &amp; Teknik Industri (PASTI)","id":"ITEM-1","issue":"2","issued":{"date-parts":[["2021"]]},"page":"137-146","title":"Perancangan Visual Display Informasi Dengan Pendekatan Ergonomi","type":"article-journal","volume":"15"},"uris":["http://www.mendeley.com/documents/?uuid=95cf8dfd-8f8c-4a1a-80a0-f49cc97a9d6e"]}],"mendeley":{"formattedCitation":"[32]","plainTextFormattedCitation":"[32]","previouslyFormattedCitation":"[32]"},"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[32]</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Salvendy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{"citationItems":[{"id":"ITEM-1","itemData":{"DOI":"10.1002/9781119636113.ch16","ISBN":"9781119636113","abstract":"Training can, and does, differ greatly across contexts in regard to specific emphases, and these generally vary depending on the organization and its mission. However, the universal goal is to improve the quality of the workforce in order to strengthen the bottom line of the organization. If this is to happen, those who design and deliver the training material must take advantage of the ever-growing field of research and evidence-based principles and apply it to the analysis, design, delivery, evaluation, and transfer of training systems. This chapter outlines the relevant research on what constitutes an effective training system. It provides an updated review on the foundational science of training and to offer further guidance related to the design, delivery, and evaluation of training programs. The chapter discusses research on training facilitators/instructors, the importance of practice scenarios, and findings on the content and delivery of feedback.","author":[{"dropping-particle":"","family":"Bisbey","given":"Tiffany M.","non-dropping-particle":"","parse-names":false,"suffix":""},{"dropping-particle":"","family":"Grossman","given":"Rebecca","non-dropping-particle":"","parse-names":false,"suffix":""},{"dropping-particle":"","family":"Panton","given":"Kareem","non-dropping-particle":"","parse-names":false,"suffix":""},{"dropping-particle":"","family":"Coultas","given":"Chris W.","non-dropping-particle":"","parse-names":false,"suffix":""},{"dropping-particle":"","family":"Salas","given":"Eduardo","non-dropping-particle":"","parse-names":false,"suffix":""}],"container-title":"Handbook of Human Factors and Ergonomics","id":"ITEM-1","issued":{"date-parts":[["2021"]]},"number-of-pages":"414-433","title":"Design, Delivery, Evaluation, and Transfer of Effective Training Systems","type":"book"},"uris":["http://www.mendeley.com/documents/?uuid=32e49fab-6484-47b0-bd1f-8984cdb3f806"]}],"mendeley":{"formattedCitation":"[29]","plainTextFormattedCitation":"[29]","previouslyFormattedCitation":"[29]"},"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[29]</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states that in designing displays for human-machine interaction, correspondence and coherence are important. According to Berrio </w:t>
      </w:r>
      <w:r w:rsidRPr="00F64A8D">
        <w:rPr>
          <w:rFonts w:ascii="Calibri Light" w:hAnsi="Calibri Light" w:cs="Calibri Light"/>
          <w:i/>
          <w:iCs/>
          <w:sz w:val="20"/>
          <w:szCs w:val="20"/>
        </w:rPr>
        <w:t>et al</w:t>
      </w:r>
      <w:r w:rsidRPr="00F64A8D">
        <w:rPr>
          <w:rFonts w:ascii="Calibri Light" w:hAnsi="Calibri Light" w:cs="Calibri Light"/>
          <w:sz w:val="20"/>
          <w:szCs w:val="20"/>
        </w:rPr>
        <w:t xml:space="preserve">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{"citationItems":[{"id":"ITEM-1","itemData":{"DOI":"10.1016/j.ijtst.2022.08.004","ISSN":"20460449","abstract":"Comprehension of traffic signs is important to road safety. This review aims to study the extent to which road users in different countries comprehend traffic signs and to identify which ergonomic principles in traffic sign design can affect the levels of comprehension. We conducted an extensive literature review dealing with comprehension of public traffic signs directed at any road user. We searched Journal articles indexed by Scopus, ScienceDirect, and Web of Science. The search identified 35 articles that assessed the comprehension of 931 traffic signs in 26 countries, including six studies that tested the comprehension of new versus existing traffic signs. Various methods have been implemented to measure traffic signs’ comprehension levels and assess traffic sign design's conformity to different ergonomic principles. Results indicate high variability in the comprehension levels of signs, e.g., signs such as “Road works” and “No U-turn” are highly comprehended (comprehension levels over 90 %), while other signs like “termination of road” are rarely comprehended by road users. Regarding the acceptable comprehension levels, 23.1 % of the assessed traffic signs achieved levels above 85 %; and 53.3 % of signs have comprehension levels lower than 67 %. On the other hand, twenty-four studies evaluated how traffic signs comply with ergonomic design principles. Incorporating ergonomic principles into the design of traffic signs can improve comprehension levels. However, apart from the familiarity, there is uncertainty about the ergonomic principles that could maximize the comprehension of traffic signs. Efforts should be made to ensure that different populations of road users sufficiently comprehend traffic signs.","author":[{"dropping-particle":"","family":"Berrio","given":"Shyrle","non-dropping-particle":"","parse-names":false,"suffix":""},{"dropping-particle":"","family":"Barrero","given":"Lope H.","non-dropping-particle":"","parse-names":false,"suffix":""},{"dropping-particle":"","family":"Zambrano","given":"Laura","non-dropping-particle":"","parse-names":false,"suffix":""},{"dropping-particle":"","family":"Papadimitriou","given":"Eleonora","non-dropping-particle":"","parse-names":false,"suffix":""}],"container-title":"International Journal of Transportation Science and Technology","id":"ITEM-1","issue":"3","issued":{"date-parts":[["2023"]]},"page":"848-861","publisher":"Tongji University and Tongji University Press","title":"Ergonomic factors affecting comprehension levels of traffic signs: A critical review","type":"article-journal","volume":"12"},"uris":["http://www.mendeley.com/documents/?uuid=4e61df86-2c42-4421-8bde-09f78ce3b63c"]}],"mendeley":{"formattedCitation":"[33]","plainTextFormattedCitation":"[33]","previouslyFormattedCitation":"[33]"},"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[33]</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ergonomic concepts in display design include (a) familiarity, how often users encounter the sign in their daily lives, (b) standardization, the consistency of codes (e.g.,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shape) used across different signs, (c) concreteness, how clearly the sign represents a real-world object or situation, (d) compatibility, the match between the sign and the message it conveys, (e) meaningfulness, the perceived meaningfulness of the icons within the sign, (f) simplicity, fewer elements or details, and (g) semantic closeness, closeness of the relationship between the symbol and its meaning. Three ergonomic design concepts: familiarity, compatibility, and standardization were referenced in designing new wayfinding signage symbols for this research. Patel &amp; Mukhopadhyay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{"citationItems":[{"id":"ITEM-1","itemData":{"DOI":"10.1016/j.apergo.2021.103410","ISSN":"18729126","PMID":"33714727","abstract":"People visiting different Government Hospitals at Jabalpur in central India, were facing problems in comprehending different symbols. One of such hospital authority approached the research team for developing new symbols which could be easily comprehended by the users. Based on this, the current study was conducted, which included two experiments. The first experiment dealt with the ergonomic evaluation and identification of problems associated with the existing symbols. New concepts were then developed based on Ergonomic principles and users’ feedback. The second experiment focused upon testing of the new concepts on the target users. Results of Experiment 1 indicated that the mean comprehension level was 22.3% for all the existing symbols (n = 41). Low scores (on a scale of 1–10) were found for the existing symbol for ergonomic principles (mean value was 1.9 for Compatibility, 2.1 for Familiarity, and 2.0 for Standardisation). Redesigned concepts of the symbols were tested on the target users, the result indicated an improvement in comprehensibility of newly designed symbols. The mean comprehension level for 53 new/redesigned symbols was 70.2%, which included redesign of 41 orignal and inclusion of 12 new symbols. High scores (on a scale of 1–10) were received for all the new symbols for ergonomic principles (the mean value was 8.4 for Compatibility, 8.5 for Familiarity, and 8.5 for Standardisation). Findings of this study may be helpful for the researchers working in the domain of information ergonomics in space related to healthcare sector or similar areas.","author":[{"dropping-particle":"","family":"Patel","given":"Gaurav","non-dropping-particle":"","parse-names":false,"suffix":""},{"dropping-particle":"","family":"Mukhopadhyay","given":"Prabir","non-dropping-particle":"","parse-names":false,"suffix":""}],"container-title":"Applied Ergonomics","id":"ITEM-1","issue":"November 2019","issued":{"date-parts":[["2021"]]},"page":"103410","publisher":"Elsevier Ltd","title":"Ergonomic analysis and design intervention in symbols used in hospitals in central India","type":"article-journal","volume":"94"},"uris":["http://www.mendeley.com/documents/?uuid=6eabc034-11f2-44d1-aa8b-ce4f2e3cae24"]}],"mendeley":{"formattedCitation":"[8]","plainTextFormattedCitation":"[8]","previouslyFormattedCitation":"[8]"},"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[8]</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also employed a similar approach. Nonetheless, the final design incorporated all seven ergonomic display design concepts.</w:t>
      </w:r>
    </w:p>
    <w:p w14:paraId="4570C1EB" w14:textId="77777777" w:rsidR="00F64A8D" w:rsidRDefault="00F64A8D" w:rsidP="00F64A8D">
      <w:pPr>
        <w:ind w:firstLine="284"/>
        <w:jc w:val="both"/>
        <w:rPr>
          <w:rFonts w:ascii="Calibri Light" w:hAnsi="Calibri Light" w:cs="Calibri Light"/>
          <w:sz w:val="20"/>
          <w:szCs w:val="20"/>
        </w:rPr>
      </w:pPr>
    </w:p>
    <w:p w14:paraId="13F55A89" w14:textId="3489DC54" w:rsidR="00F64A8D" w:rsidRDefault="00F64A8D" w:rsidP="00F64A8D">
      <w:pPr>
        <w:pStyle w:val="Heading1"/>
        <w:numPr>
          <w:ilvl w:val="0"/>
          <w:numId w:val="3"/>
        </w:numPr>
        <w:spacing w:before="0"/>
        <w:ind w:left="284" w:hanging="284"/>
      </w:pPr>
      <w:r>
        <w:lastRenderedPageBreak/>
        <w:t>RESULT AND</w:t>
      </w:r>
      <w:r>
        <w:rPr>
          <w:color w:val="FF0000"/>
        </w:rPr>
        <w:t xml:space="preserve"> </w:t>
      </w:r>
      <w:r>
        <w:t xml:space="preserve">DISCUSSION </w:t>
      </w:r>
    </w:p>
    <w:p w14:paraId="5AC55656" w14:textId="38B61837" w:rsidR="00F64A8D" w:rsidRDefault="00F64A8D" w:rsidP="00F64A8D">
      <w:pPr>
        <w:pStyle w:val="Heading2"/>
        <w:numPr>
          <w:ilvl w:val="0"/>
          <w:numId w:val="4"/>
        </w:numPr>
        <w:ind w:left="284" w:hanging="284"/>
      </w:pPr>
      <w:r w:rsidRPr="00F64A8D">
        <w:t>RESPONDENT CRITERIA TEST RESULTS</w:t>
      </w:r>
    </w:p>
    <w:p w14:paraId="69A1FE47" w14:textId="2225C80B" w:rsid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Respondents were selected through random sampling, meeting inclusion and exclusion criteria, and providing informed consent. Of the 15 participants, 4 were male, and 11 were female. The higher proportion of female participants is attributed to (a) a majority of consenting respondents being female, (b) women's tendency for more detailed assessments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{"citationItems":[{"id":"ITEM-1","itemData":{"ISSN":"2775-6548","abstract":"Tujuan dari adanya organisasi kemahasiswaan adalah memperluas wawasan, ilmu \ndan pengetahuan, membentuk kepribadian, dan mengembangkan keterampilan \n(softskill) baik kepemimpinan (leadership), manajerial, dan komunikasi. Dalam \ndinamikanya, setiap organisasi pasti memiliki konflik, begitu pula dengan \norganisasi kemahasiswaan. Mengelola konflik merupakan tugas dari pemimpin. \nKarakteristik tipe pemimpin juga akan berpengaruh terhadap cara yang digunakan \nuntuk mengelola konflik. Hal ini mungkin juga terjadi pada karakteristik pemimpin \nlaki-laki dan peerempuan dalam mengelola konflik organisasi. Penelitian studi \npustaka ini akan mendeskripsikan tentang faktor-faktor yang mempengaruhi cara \npemimpin perempuan dalam mengelola konflik dan cara-cara pemimpin \nperempuan dalam mengelola konflik. Faktor pendukung meliputi: 1) kepribadian \nperempuan yang yang perhatian, baik, supel, berperasaan, dan demokratis. 2) sifat \nperempuan yang kritis, teliti, dan detail, 3) kemampuan komunikasi perempuan yang \nefektif, 4) sensitivitas perempuan, dan 5) motivasi belajar serta bekerja perempuan \nyang tinggi. Faktor penghambat meliputi: 1) kuatnya budaya patriarki dan ajaran \nagama, 2) peran ganda yang dimiliki perempuan, 3) pendidikan perempuan yang \ncenderung masih lebih rendah 4) kurangnya dukungan keluarga atau kerabat \ndekat, 5) kurangnya pengalaman organisasi, 6) sikap perempuan yang kurang \ntegas. kecenderungan gaya kepemimpinan perempuan adalah transformatif, \ndemokratis, dan partisipatif. Sehingga dengan gaya kepemimpinan tersebut \nperempuan cenderung menggunakan gaya kolaboratif, kerjasama, dan kompromi \ndalam pengelolaan konflik. Selain itu perempuan cenderung lebih reaktif dalam \nmenyikapi peran gandanya.","author":[{"dropping-particle":"","family":"Setyoningrum","given":"Muthia Umi","non-dropping-particle":"","parse-names":false,"suffix":""}],"container-title":"Borneo Journal of Islamic Education","id":"ITEM-1","issue":"2","issued":{"date-parts":[["2021"]]},"page":"2021","title":"Cara Pemimpin Perempuan Dalam Mengelola Konflik Di Organisasi Kemahasiswaan","type":"article-journal","volume":"I"},"uris":["http://www.mendeley.com/documents/?uuid=acf4e25f-8312-4377-8da0-59538dc0fc28"]}],"mendeley":{"formattedCitation":"[34]","plainTextFormattedCitation":"[34]","previouslyFormattedCitation":"[34]"},"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[34]</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and (c) previous research </w:t>
      </w:r>
      <w:r w:rsidRPr="00F64A8D">
        <w:rPr>
          <w:rFonts w:ascii="Calibri Light" w:hAnsi="Calibri Light" w:cs="Calibri Light"/>
          <w:sz w:val="20"/>
          <w:szCs w:val="20"/>
        </w:rPr>
        <w:fldChar w:fldCharType="begin" w:fldLock="1"/>
      </w:r>
      <w:r w:rsidRPr="00F64A8D">
        <w:rPr>
          <w:rFonts w:ascii="Calibri Light" w:hAnsi="Calibri Light" w:cs="Calibri Light"/>
          <w:sz w:val="20"/>
          <w:szCs w:val="20"/>
        </w:rPr>
        <w:instrText>ADDIN CSL_CITATION {"citationItems":[{"id":"ITEM-1","itemData":{"DOI":"10.1016/j.apergo.2021.103410","ISSN":"18729126","PMID":"33714727","abstract":"People visiting different Government Hospitals at Jabalpur in central India, were facing problems in comprehending different symbols. One of such hospital authority approached the research team for developing new symbols which could be easily comprehended by the users. Based on this, the current study was conducted, which included two experiments. The first experiment dealt with the ergonomic evaluation and identification of problems associated with the existing symbols. New concepts were then developed based on Ergonomic principles and users’ feedback. The second experiment focused upon testing of the new concepts on the target users. Results of Experiment 1 indicated that the mean comprehension level was 22.3% for all the existing symbols (n = 41). Low scores (on a scale of 1–10) were found for the existing symbol for ergonomic principles (mean value was 1.9 for Compatibility, 2.1 for Familiarity, and 2.0 for Standardisation). Redesigned concepts of the symbols were tested on the target users, the result indicated an improvement in comprehensibility of newly designed symbols. The mean comprehension level for 53 new/redesigned symbols was 70.2%, which included redesign of 41 orignal and inclusion of 12 new symbols. High scores (on a scale of 1–10) were received for all the new symbols for ergonomic principles (the mean value was 8.4 for Compatibility, 8.5 for Familiarity, and 8.5 for Standardisation). Findings of this study may be helpful for the researchers working in the domain of information ergonomics in space related to healthcare sector or similar areas.","author":[{"dropping-particle":"","family":"Patel","given":"Gaurav","non-dropping-particle":"","parse-names":false,"suffix":""},{"dropping-particle":"","family":"Mukhopadhyay","given":"Prabir","non-dropping-particle":"","parse-names":false,"suffix":""}],"container-title":"Applied Ergonomics","id":"ITEM-1","issue":"November 2019","issued":{"date-parts":[["2021"]]},"page":"103410","publisher":"Elsevier Ltd","title":"Ergonomic analysis and design intervention in symbols used in hospitals in central India","type":"article-journal","volume":"94"},"uris":["http://www.mendeley.com/documents/?uuid=6eabc034-11f2-44d1-aa8b-ce4f2e3cae24"]}],"mendeley":{"formattedCitation":"[8]","plainTextFormattedCitation":"[8]","previouslyFormattedCitation":"[8]"},"properties":{"noteIndex":0},"schema":"https://github.com/citation-style-language/schema/raw/master/csl-citation.json"}</w:instrText>
      </w:r>
      <w:r w:rsidRPr="00F64A8D">
        <w:rPr>
          <w:rFonts w:ascii="Calibri Light" w:hAnsi="Calibri Light" w:cs="Calibri Light"/>
          <w:sz w:val="20"/>
          <w:szCs w:val="20"/>
        </w:rPr>
        <w:fldChar w:fldCharType="separate"/>
      </w:r>
      <w:r w:rsidRPr="00F64A8D">
        <w:rPr>
          <w:rFonts w:ascii="Calibri Light" w:hAnsi="Calibri Light" w:cs="Calibri Light"/>
          <w:sz w:val="20"/>
          <w:szCs w:val="20"/>
        </w:rPr>
        <w:t>[8]</w:t>
      </w:r>
      <w:r w:rsidRPr="00F64A8D">
        <w:rPr>
          <w:rFonts w:ascii="Calibri Light" w:hAnsi="Calibri Light" w:cs="Calibri Light"/>
          <w:sz w:val="20"/>
          <w:szCs w:val="20"/>
        </w:rPr>
        <w:fldChar w:fldCharType="end"/>
      </w:r>
      <w:r w:rsidRPr="00F64A8D">
        <w:rPr>
          <w:rFonts w:ascii="Calibri Light" w:hAnsi="Calibri Light" w:cs="Calibri Light"/>
          <w:sz w:val="20"/>
          <w:szCs w:val="20"/>
        </w:rPr>
        <w:t xml:space="preserve"> underrepresenting female participants. Sixty percent of the respondents were aged 39–48 years, 27% were aged 49–59 years, and 13% were aged 19–28 years. The junior high school (SMP) level accounted for the largest share of respondents' education levels (47%). Thirty-three percent were high school graduates, and 20% were elementary school graduates. Respondent criteria testing was conducted alternately. The visual acuity test results showed that all respondents had a minimum visual acuity of 20/30. 20% of respondents had a visual acuity of 20/15 feet, 20% had a visual acuity of 20/20 feet, 47% had a visual acuity of 20/25 feet, and 13% had a visual acuity of 20/30 feet. The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blindness test results showed that all respondents passed, with an average correct answer of 10.2 plates and an average response time of 1.89 seconds. Therefore, the 15 respondents who were tested were eligible to participate in the next experiment</w:t>
      </w:r>
      <w:r>
        <w:rPr>
          <w:rFonts w:ascii="Calibri Light" w:hAnsi="Calibri Light" w:cs="Calibri Light"/>
          <w:sz w:val="20"/>
          <w:szCs w:val="20"/>
        </w:rPr>
        <w:t>.</w:t>
      </w:r>
    </w:p>
    <w:p w14:paraId="596A74CE" w14:textId="45245A63" w:rsidR="00F64A8D" w:rsidRDefault="00F64A8D" w:rsidP="00F64A8D">
      <w:pPr>
        <w:pStyle w:val="Heading2"/>
        <w:numPr>
          <w:ilvl w:val="0"/>
          <w:numId w:val="4"/>
        </w:numPr>
        <w:ind w:left="284" w:hanging="284"/>
      </w:pPr>
      <w:r w:rsidRPr="00F64A8D">
        <w:t>SIGNAGE LEGIBILITY TEST RESULT</w:t>
      </w:r>
    </w:p>
    <w:p w14:paraId="15341FFD" w14:textId="77777777" w:rsidR="00F64A8D" w:rsidRDefault="00F64A8D" w:rsidP="00F64A8D">
      <w:pPr>
        <w:ind w:firstLine="284"/>
        <w:jc w:val="both"/>
        <w:rPr>
          <w:rFonts w:ascii="Calibri Light" w:hAnsi="Calibri Light" w:cs="Calibri Light"/>
          <w:sz w:val="20"/>
          <w:szCs w:val="20"/>
        </w:rPr>
      </w:pPr>
      <w:r w:rsidRPr="00F64A8D">
        <w:rPr>
          <w:rFonts w:ascii="Calibri Light" w:hAnsi="Calibri Light" w:cs="Calibri Light"/>
          <w:sz w:val="20"/>
          <w:szCs w:val="20"/>
        </w:rPr>
        <w:t xml:space="preserve">The test results showed that the scenario with a 5 cm font size, a serif font, and an achromatic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combination had the highest average TCA (3.00) among the scenarios. The lowest average TCA (1.53) was observed in the scenario with a 2 cm font size, serif typeface, and chromatic </w:t>
      </w:r>
      <w:proofErr w:type="spellStart"/>
      <w:r w:rsidRPr="00F64A8D">
        <w:rPr>
          <w:rFonts w:ascii="Calibri Light" w:hAnsi="Calibri Light" w:cs="Calibri Light"/>
          <w:sz w:val="20"/>
          <w:szCs w:val="20"/>
        </w:rPr>
        <w:t>color</w:t>
      </w:r>
      <w:proofErr w:type="spellEnd"/>
      <w:r w:rsidRPr="00F64A8D">
        <w:rPr>
          <w:rFonts w:ascii="Calibri Light" w:hAnsi="Calibri Light" w:cs="Calibri Light"/>
          <w:sz w:val="20"/>
          <w:szCs w:val="20"/>
        </w:rPr>
        <w:t xml:space="preserve"> scheme. Table 1 shows the results of the signage legibility test</w:t>
      </w:r>
      <w:r>
        <w:rPr>
          <w:rFonts w:ascii="Calibri Light" w:hAnsi="Calibri Light" w:cs="Calibri Light"/>
          <w:sz w:val="20"/>
          <w:szCs w:val="20"/>
        </w:rPr>
        <w:t>.</w:t>
      </w:r>
    </w:p>
    <w:p w14:paraId="5C8E7965" w14:textId="77777777" w:rsidR="008223AE" w:rsidRPr="008223AE" w:rsidRDefault="008223AE" w:rsidP="008223AE">
      <w:pPr>
        <w:ind w:firstLine="284"/>
        <w:jc w:val="both"/>
        <w:rPr>
          <w:rFonts w:asciiTheme="majorHAnsi" w:hAnsiTheme="majorHAnsi" w:cstheme="majorHAnsi"/>
          <w:color w:val="000000" w:themeColor="text1"/>
          <w:sz w:val="16"/>
          <w:szCs w:val="16"/>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1"/>
        <w:gridCol w:w="1128"/>
        <w:gridCol w:w="1355"/>
        <w:gridCol w:w="1606"/>
        <w:gridCol w:w="1352"/>
      </w:tblGrid>
      <w:tr w:rsidR="008223AE" w:rsidRPr="008223AE" w14:paraId="3D3947D7" w14:textId="77777777">
        <w:trPr>
          <w:jc w:val="center"/>
        </w:trPr>
        <w:tc>
          <w:tcPr>
            <w:tcW w:w="0" w:type="auto"/>
            <w:gridSpan w:val="5"/>
            <w:tcBorders>
              <w:top w:val="nil"/>
              <w:left w:val="nil"/>
              <w:bottom w:val="single" w:sz="4" w:space="0" w:color="auto"/>
              <w:right w:val="nil"/>
            </w:tcBorders>
            <w:hideMark/>
          </w:tcPr>
          <w:p w14:paraId="60D3ED08"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Table1. Sign Legibility Test Result</w:t>
            </w:r>
          </w:p>
        </w:tc>
      </w:tr>
      <w:tr w:rsidR="008223AE" w:rsidRPr="008223AE" w14:paraId="1575D812" w14:textId="77777777">
        <w:trPr>
          <w:jc w:val="center"/>
        </w:trPr>
        <w:tc>
          <w:tcPr>
            <w:tcW w:w="0" w:type="auto"/>
            <w:tcBorders>
              <w:top w:val="single" w:sz="4" w:space="0" w:color="auto"/>
              <w:left w:val="nil"/>
              <w:bottom w:val="single" w:sz="4" w:space="0" w:color="auto"/>
              <w:right w:val="nil"/>
            </w:tcBorders>
            <w:hideMark/>
          </w:tcPr>
          <w:p w14:paraId="5985C737" w14:textId="77777777" w:rsidR="008223AE" w:rsidRPr="008223AE" w:rsidRDefault="008223AE" w:rsidP="008223AE">
            <w:pPr>
              <w:ind w:firstLine="284"/>
              <w:jc w:val="both"/>
              <w:rPr>
                <w:rFonts w:asciiTheme="majorHAnsi" w:hAnsiTheme="majorHAnsi" w:cstheme="majorHAnsi"/>
                <w:color w:val="000000" w:themeColor="text1"/>
                <w:sz w:val="16"/>
                <w:szCs w:val="16"/>
              </w:rPr>
            </w:pPr>
            <w:proofErr w:type="spellStart"/>
            <w:r w:rsidRPr="008223AE">
              <w:rPr>
                <w:rFonts w:asciiTheme="majorHAnsi" w:hAnsiTheme="majorHAnsi" w:cstheme="majorHAnsi"/>
                <w:color w:val="000000" w:themeColor="text1"/>
                <w:sz w:val="16"/>
                <w:szCs w:val="16"/>
              </w:rPr>
              <w:t>Color</w:t>
            </w:r>
            <w:proofErr w:type="spellEnd"/>
            <w:r w:rsidRPr="008223AE">
              <w:rPr>
                <w:rFonts w:asciiTheme="majorHAnsi" w:hAnsiTheme="majorHAnsi" w:cstheme="majorHAnsi"/>
                <w:color w:val="000000" w:themeColor="text1"/>
                <w:sz w:val="16"/>
                <w:szCs w:val="16"/>
              </w:rPr>
              <w:t xml:space="preserve"> Combination</w:t>
            </w:r>
          </w:p>
        </w:tc>
        <w:tc>
          <w:tcPr>
            <w:tcW w:w="0" w:type="auto"/>
            <w:tcBorders>
              <w:top w:val="single" w:sz="4" w:space="0" w:color="auto"/>
              <w:left w:val="nil"/>
              <w:bottom w:val="single" w:sz="4" w:space="0" w:color="auto"/>
              <w:right w:val="nil"/>
            </w:tcBorders>
            <w:hideMark/>
          </w:tcPr>
          <w:p w14:paraId="7C386716"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Typeface</w:t>
            </w:r>
          </w:p>
        </w:tc>
        <w:tc>
          <w:tcPr>
            <w:tcW w:w="0" w:type="auto"/>
            <w:tcBorders>
              <w:top w:val="single" w:sz="4" w:space="0" w:color="auto"/>
              <w:left w:val="nil"/>
              <w:bottom w:val="single" w:sz="4" w:space="0" w:color="auto"/>
              <w:right w:val="nil"/>
            </w:tcBorders>
            <w:hideMark/>
          </w:tcPr>
          <w:p w14:paraId="1AD7BC98"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Letter Height</w:t>
            </w:r>
          </w:p>
        </w:tc>
        <w:tc>
          <w:tcPr>
            <w:tcW w:w="0" w:type="auto"/>
            <w:tcBorders>
              <w:top w:val="single" w:sz="4" w:space="0" w:color="auto"/>
              <w:left w:val="nil"/>
              <w:bottom w:val="single" w:sz="4" w:space="0" w:color="auto"/>
              <w:right w:val="nil"/>
            </w:tcBorders>
            <w:hideMark/>
          </w:tcPr>
          <w:p w14:paraId="616AC199"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Mean TJB (point)</w:t>
            </w:r>
          </w:p>
        </w:tc>
        <w:tc>
          <w:tcPr>
            <w:tcW w:w="0" w:type="auto"/>
            <w:tcBorders>
              <w:top w:val="single" w:sz="4" w:space="0" w:color="auto"/>
              <w:left w:val="nil"/>
              <w:bottom w:val="single" w:sz="4" w:space="0" w:color="auto"/>
              <w:right w:val="nil"/>
            </w:tcBorders>
            <w:hideMark/>
          </w:tcPr>
          <w:p w14:paraId="5791F521"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Mean TRT (s)</w:t>
            </w:r>
          </w:p>
        </w:tc>
      </w:tr>
      <w:tr w:rsidR="008223AE" w:rsidRPr="008223AE" w14:paraId="730FBFFC" w14:textId="77777777">
        <w:trPr>
          <w:jc w:val="center"/>
        </w:trPr>
        <w:tc>
          <w:tcPr>
            <w:tcW w:w="0" w:type="auto"/>
            <w:tcBorders>
              <w:top w:val="single" w:sz="4" w:space="0" w:color="auto"/>
              <w:left w:val="nil"/>
              <w:bottom w:val="nil"/>
              <w:right w:val="nil"/>
            </w:tcBorders>
            <w:hideMark/>
          </w:tcPr>
          <w:p w14:paraId="64EEDF49"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Chromatic</w:t>
            </w:r>
          </w:p>
        </w:tc>
        <w:tc>
          <w:tcPr>
            <w:tcW w:w="0" w:type="auto"/>
            <w:tcBorders>
              <w:top w:val="single" w:sz="4" w:space="0" w:color="auto"/>
              <w:left w:val="nil"/>
              <w:bottom w:val="nil"/>
              <w:right w:val="nil"/>
            </w:tcBorders>
            <w:hideMark/>
          </w:tcPr>
          <w:p w14:paraId="3AF8EEED"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Serif</w:t>
            </w:r>
          </w:p>
        </w:tc>
        <w:tc>
          <w:tcPr>
            <w:tcW w:w="0" w:type="auto"/>
            <w:tcBorders>
              <w:top w:val="single" w:sz="4" w:space="0" w:color="auto"/>
              <w:left w:val="nil"/>
              <w:bottom w:val="nil"/>
              <w:right w:val="nil"/>
            </w:tcBorders>
            <w:hideMark/>
          </w:tcPr>
          <w:p w14:paraId="7AF2DA27"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 cm</w:t>
            </w:r>
          </w:p>
        </w:tc>
        <w:tc>
          <w:tcPr>
            <w:tcW w:w="0" w:type="auto"/>
            <w:tcBorders>
              <w:top w:val="single" w:sz="4" w:space="0" w:color="auto"/>
              <w:left w:val="nil"/>
              <w:bottom w:val="nil"/>
              <w:right w:val="nil"/>
            </w:tcBorders>
            <w:hideMark/>
          </w:tcPr>
          <w:p w14:paraId="51A80520"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1,53</w:t>
            </w:r>
          </w:p>
        </w:tc>
        <w:tc>
          <w:tcPr>
            <w:tcW w:w="0" w:type="auto"/>
            <w:tcBorders>
              <w:top w:val="single" w:sz="4" w:space="0" w:color="auto"/>
              <w:left w:val="nil"/>
              <w:bottom w:val="nil"/>
              <w:right w:val="nil"/>
            </w:tcBorders>
            <w:hideMark/>
          </w:tcPr>
          <w:p w14:paraId="35D97950"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3,60</w:t>
            </w:r>
          </w:p>
        </w:tc>
      </w:tr>
      <w:tr w:rsidR="008223AE" w:rsidRPr="008223AE" w14:paraId="3256F466" w14:textId="77777777">
        <w:trPr>
          <w:jc w:val="center"/>
        </w:trPr>
        <w:tc>
          <w:tcPr>
            <w:tcW w:w="0" w:type="auto"/>
          </w:tcPr>
          <w:p w14:paraId="3E452327"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Pr>
          <w:p w14:paraId="7D626BB3"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hideMark/>
          </w:tcPr>
          <w:p w14:paraId="43CABEBE"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 cm</w:t>
            </w:r>
          </w:p>
        </w:tc>
        <w:tc>
          <w:tcPr>
            <w:tcW w:w="0" w:type="auto"/>
            <w:hideMark/>
          </w:tcPr>
          <w:p w14:paraId="54045DA8"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2,33</w:t>
            </w:r>
          </w:p>
        </w:tc>
        <w:tc>
          <w:tcPr>
            <w:tcW w:w="0" w:type="auto"/>
            <w:hideMark/>
          </w:tcPr>
          <w:p w14:paraId="4689DFAE"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3,51</w:t>
            </w:r>
          </w:p>
        </w:tc>
      </w:tr>
      <w:tr w:rsidR="008223AE" w:rsidRPr="008223AE" w14:paraId="2ED2726C" w14:textId="77777777">
        <w:trPr>
          <w:jc w:val="center"/>
        </w:trPr>
        <w:tc>
          <w:tcPr>
            <w:tcW w:w="0" w:type="auto"/>
          </w:tcPr>
          <w:p w14:paraId="4CEAACE5"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Pr>
          <w:p w14:paraId="61F79DBD"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hideMark/>
          </w:tcPr>
          <w:p w14:paraId="736B3F9D"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4 cm</w:t>
            </w:r>
          </w:p>
        </w:tc>
        <w:tc>
          <w:tcPr>
            <w:tcW w:w="0" w:type="auto"/>
            <w:hideMark/>
          </w:tcPr>
          <w:p w14:paraId="74744FB6"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2,80</w:t>
            </w:r>
          </w:p>
        </w:tc>
        <w:tc>
          <w:tcPr>
            <w:tcW w:w="0" w:type="auto"/>
            <w:hideMark/>
          </w:tcPr>
          <w:p w14:paraId="2D22E5B1"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3,48</w:t>
            </w:r>
          </w:p>
        </w:tc>
      </w:tr>
      <w:tr w:rsidR="008223AE" w:rsidRPr="008223AE" w14:paraId="29558938" w14:textId="77777777">
        <w:trPr>
          <w:jc w:val="center"/>
        </w:trPr>
        <w:tc>
          <w:tcPr>
            <w:tcW w:w="0" w:type="auto"/>
            <w:tcBorders>
              <w:top w:val="nil"/>
              <w:left w:val="nil"/>
              <w:bottom w:val="single" w:sz="4" w:space="0" w:color="auto"/>
              <w:right w:val="nil"/>
            </w:tcBorders>
          </w:tcPr>
          <w:p w14:paraId="5A7C58C6"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Borders>
              <w:top w:val="nil"/>
              <w:left w:val="nil"/>
              <w:bottom w:val="single" w:sz="4" w:space="0" w:color="auto"/>
              <w:right w:val="nil"/>
            </w:tcBorders>
          </w:tcPr>
          <w:p w14:paraId="6F667EF7"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Borders>
              <w:top w:val="nil"/>
              <w:left w:val="nil"/>
              <w:bottom w:val="single" w:sz="4" w:space="0" w:color="auto"/>
              <w:right w:val="nil"/>
            </w:tcBorders>
            <w:hideMark/>
          </w:tcPr>
          <w:p w14:paraId="4A21BE2B"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5 cm</w:t>
            </w:r>
          </w:p>
        </w:tc>
        <w:tc>
          <w:tcPr>
            <w:tcW w:w="0" w:type="auto"/>
            <w:tcBorders>
              <w:top w:val="nil"/>
              <w:left w:val="nil"/>
              <w:bottom w:val="single" w:sz="4" w:space="0" w:color="auto"/>
              <w:right w:val="nil"/>
            </w:tcBorders>
            <w:hideMark/>
          </w:tcPr>
          <w:p w14:paraId="0B895BF4"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2,80</w:t>
            </w:r>
          </w:p>
        </w:tc>
        <w:tc>
          <w:tcPr>
            <w:tcW w:w="0" w:type="auto"/>
            <w:tcBorders>
              <w:top w:val="nil"/>
              <w:left w:val="nil"/>
              <w:bottom w:val="single" w:sz="4" w:space="0" w:color="auto"/>
              <w:right w:val="nil"/>
            </w:tcBorders>
            <w:hideMark/>
          </w:tcPr>
          <w:p w14:paraId="2F995B6F"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3,43</w:t>
            </w:r>
          </w:p>
        </w:tc>
      </w:tr>
      <w:tr w:rsidR="008223AE" w:rsidRPr="008223AE" w14:paraId="7AF63B54" w14:textId="77777777">
        <w:trPr>
          <w:jc w:val="center"/>
        </w:trPr>
        <w:tc>
          <w:tcPr>
            <w:tcW w:w="0" w:type="auto"/>
            <w:tcBorders>
              <w:top w:val="single" w:sz="4" w:space="0" w:color="auto"/>
              <w:left w:val="nil"/>
              <w:bottom w:val="nil"/>
              <w:right w:val="nil"/>
            </w:tcBorders>
            <w:hideMark/>
          </w:tcPr>
          <w:p w14:paraId="517DDF4B"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Chromatic</w:t>
            </w:r>
          </w:p>
        </w:tc>
        <w:tc>
          <w:tcPr>
            <w:tcW w:w="0" w:type="auto"/>
            <w:tcBorders>
              <w:top w:val="single" w:sz="4" w:space="0" w:color="auto"/>
              <w:left w:val="nil"/>
              <w:bottom w:val="nil"/>
              <w:right w:val="nil"/>
            </w:tcBorders>
            <w:hideMark/>
          </w:tcPr>
          <w:p w14:paraId="64EC11B1"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Sans Serif</w:t>
            </w:r>
          </w:p>
        </w:tc>
        <w:tc>
          <w:tcPr>
            <w:tcW w:w="0" w:type="auto"/>
            <w:tcBorders>
              <w:top w:val="single" w:sz="4" w:space="0" w:color="auto"/>
              <w:left w:val="nil"/>
              <w:bottom w:val="nil"/>
              <w:right w:val="nil"/>
            </w:tcBorders>
            <w:hideMark/>
          </w:tcPr>
          <w:p w14:paraId="4F6F9E26"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 cm</w:t>
            </w:r>
          </w:p>
        </w:tc>
        <w:tc>
          <w:tcPr>
            <w:tcW w:w="0" w:type="auto"/>
            <w:tcBorders>
              <w:top w:val="single" w:sz="4" w:space="0" w:color="auto"/>
              <w:left w:val="nil"/>
              <w:bottom w:val="nil"/>
              <w:right w:val="nil"/>
            </w:tcBorders>
            <w:hideMark/>
          </w:tcPr>
          <w:p w14:paraId="0812F266"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1,60</w:t>
            </w:r>
          </w:p>
        </w:tc>
        <w:tc>
          <w:tcPr>
            <w:tcW w:w="0" w:type="auto"/>
            <w:tcBorders>
              <w:top w:val="single" w:sz="4" w:space="0" w:color="auto"/>
              <w:left w:val="nil"/>
              <w:bottom w:val="nil"/>
              <w:right w:val="nil"/>
            </w:tcBorders>
            <w:hideMark/>
          </w:tcPr>
          <w:p w14:paraId="59E9D752"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3,73</w:t>
            </w:r>
          </w:p>
        </w:tc>
      </w:tr>
      <w:tr w:rsidR="008223AE" w:rsidRPr="008223AE" w14:paraId="7C179DE8" w14:textId="77777777">
        <w:trPr>
          <w:jc w:val="center"/>
        </w:trPr>
        <w:tc>
          <w:tcPr>
            <w:tcW w:w="0" w:type="auto"/>
          </w:tcPr>
          <w:p w14:paraId="534EFDDA"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Pr>
          <w:p w14:paraId="186D633F"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hideMark/>
          </w:tcPr>
          <w:p w14:paraId="37853391"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 cm</w:t>
            </w:r>
          </w:p>
        </w:tc>
        <w:tc>
          <w:tcPr>
            <w:tcW w:w="0" w:type="auto"/>
            <w:hideMark/>
          </w:tcPr>
          <w:p w14:paraId="0C1806B0"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2,40</w:t>
            </w:r>
          </w:p>
        </w:tc>
        <w:tc>
          <w:tcPr>
            <w:tcW w:w="0" w:type="auto"/>
            <w:hideMark/>
          </w:tcPr>
          <w:p w14:paraId="10C54C95"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3,80</w:t>
            </w:r>
          </w:p>
        </w:tc>
      </w:tr>
      <w:tr w:rsidR="008223AE" w:rsidRPr="008223AE" w14:paraId="05AF9563" w14:textId="77777777">
        <w:trPr>
          <w:jc w:val="center"/>
        </w:trPr>
        <w:tc>
          <w:tcPr>
            <w:tcW w:w="0" w:type="auto"/>
          </w:tcPr>
          <w:p w14:paraId="3111CCCF"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Pr>
          <w:p w14:paraId="12EB0109"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hideMark/>
          </w:tcPr>
          <w:p w14:paraId="5C9375F5"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4 cm</w:t>
            </w:r>
          </w:p>
        </w:tc>
        <w:tc>
          <w:tcPr>
            <w:tcW w:w="0" w:type="auto"/>
            <w:hideMark/>
          </w:tcPr>
          <w:p w14:paraId="202120FB"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2,67</w:t>
            </w:r>
          </w:p>
        </w:tc>
        <w:tc>
          <w:tcPr>
            <w:tcW w:w="0" w:type="auto"/>
            <w:hideMark/>
          </w:tcPr>
          <w:p w14:paraId="31FB0305"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3,70</w:t>
            </w:r>
          </w:p>
        </w:tc>
      </w:tr>
      <w:tr w:rsidR="008223AE" w:rsidRPr="008223AE" w14:paraId="1F4D704D" w14:textId="77777777">
        <w:trPr>
          <w:jc w:val="center"/>
        </w:trPr>
        <w:tc>
          <w:tcPr>
            <w:tcW w:w="0" w:type="auto"/>
            <w:tcBorders>
              <w:top w:val="nil"/>
              <w:left w:val="nil"/>
              <w:bottom w:val="single" w:sz="4" w:space="0" w:color="auto"/>
              <w:right w:val="nil"/>
            </w:tcBorders>
          </w:tcPr>
          <w:p w14:paraId="3C029DC7"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Borders>
              <w:top w:val="nil"/>
              <w:left w:val="nil"/>
              <w:bottom w:val="single" w:sz="4" w:space="0" w:color="auto"/>
              <w:right w:val="nil"/>
            </w:tcBorders>
          </w:tcPr>
          <w:p w14:paraId="4B6BB894"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Borders>
              <w:top w:val="nil"/>
              <w:left w:val="nil"/>
              <w:bottom w:val="single" w:sz="4" w:space="0" w:color="auto"/>
              <w:right w:val="nil"/>
            </w:tcBorders>
            <w:hideMark/>
          </w:tcPr>
          <w:p w14:paraId="7E94E512"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5 cm</w:t>
            </w:r>
          </w:p>
        </w:tc>
        <w:tc>
          <w:tcPr>
            <w:tcW w:w="0" w:type="auto"/>
            <w:tcBorders>
              <w:top w:val="nil"/>
              <w:left w:val="nil"/>
              <w:bottom w:val="single" w:sz="4" w:space="0" w:color="auto"/>
              <w:right w:val="nil"/>
            </w:tcBorders>
            <w:hideMark/>
          </w:tcPr>
          <w:p w14:paraId="3124E58A"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2,87</w:t>
            </w:r>
          </w:p>
        </w:tc>
        <w:tc>
          <w:tcPr>
            <w:tcW w:w="0" w:type="auto"/>
            <w:tcBorders>
              <w:top w:val="nil"/>
              <w:left w:val="nil"/>
              <w:bottom w:val="single" w:sz="4" w:space="0" w:color="auto"/>
              <w:right w:val="nil"/>
            </w:tcBorders>
            <w:hideMark/>
          </w:tcPr>
          <w:p w14:paraId="6F86BEAA"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3,59</w:t>
            </w:r>
          </w:p>
        </w:tc>
      </w:tr>
      <w:tr w:rsidR="008223AE" w:rsidRPr="008223AE" w14:paraId="509EAD35" w14:textId="77777777">
        <w:trPr>
          <w:jc w:val="center"/>
        </w:trPr>
        <w:tc>
          <w:tcPr>
            <w:tcW w:w="0" w:type="auto"/>
            <w:tcBorders>
              <w:top w:val="single" w:sz="4" w:space="0" w:color="auto"/>
              <w:left w:val="nil"/>
              <w:bottom w:val="nil"/>
              <w:right w:val="nil"/>
            </w:tcBorders>
            <w:hideMark/>
          </w:tcPr>
          <w:p w14:paraId="78DA0D37"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Achromatic</w:t>
            </w:r>
          </w:p>
        </w:tc>
        <w:tc>
          <w:tcPr>
            <w:tcW w:w="0" w:type="auto"/>
            <w:tcBorders>
              <w:top w:val="single" w:sz="4" w:space="0" w:color="auto"/>
              <w:left w:val="nil"/>
              <w:bottom w:val="nil"/>
              <w:right w:val="nil"/>
            </w:tcBorders>
            <w:hideMark/>
          </w:tcPr>
          <w:p w14:paraId="6039EF9D"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Serif</w:t>
            </w:r>
          </w:p>
        </w:tc>
        <w:tc>
          <w:tcPr>
            <w:tcW w:w="0" w:type="auto"/>
            <w:tcBorders>
              <w:top w:val="single" w:sz="4" w:space="0" w:color="auto"/>
              <w:left w:val="nil"/>
              <w:bottom w:val="nil"/>
              <w:right w:val="nil"/>
            </w:tcBorders>
            <w:hideMark/>
          </w:tcPr>
          <w:p w14:paraId="29AA44F6"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 cm</w:t>
            </w:r>
          </w:p>
        </w:tc>
        <w:tc>
          <w:tcPr>
            <w:tcW w:w="0" w:type="auto"/>
            <w:tcBorders>
              <w:top w:val="single" w:sz="4" w:space="0" w:color="auto"/>
              <w:left w:val="nil"/>
              <w:bottom w:val="nil"/>
              <w:right w:val="nil"/>
            </w:tcBorders>
            <w:hideMark/>
          </w:tcPr>
          <w:p w14:paraId="04244C91"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1,60</w:t>
            </w:r>
          </w:p>
        </w:tc>
        <w:tc>
          <w:tcPr>
            <w:tcW w:w="0" w:type="auto"/>
            <w:tcBorders>
              <w:top w:val="single" w:sz="4" w:space="0" w:color="auto"/>
              <w:left w:val="nil"/>
              <w:bottom w:val="nil"/>
              <w:right w:val="nil"/>
            </w:tcBorders>
            <w:hideMark/>
          </w:tcPr>
          <w:p w14:paraId="7F99F6D1"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3,52</w:t>
            </w:r>
          </w:p>
        </w:tc>
      </w:tr>
      <w:tr w:rsidR="008223AE" w:rsidRPr="008223AE" w14:paraId="0E0165EE" w14:textId="77777777">
        <w:trPr>
          <w:jc w:val="center"/>
        </w:trPr>
        <w:tc>
          <w:tcPr>
            <w:tcW w:w="0" w:type="auto"/>
          </w:tcPr>
          <w:p w14:paraId="726798B3"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Pr>
          <w:p w14:paraId="0B5A120D"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hideMark/>
          </w:tcPr>
          <w:p w14:paraId="19733C7D"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 cm</w:t>
            </w:r>
          </w:p>
        </w:tc>
        <w:tc>
          <w:tcPr>
            <w:tcW w:w="0" w:type="auto"/>
            <w:hideMark/>
          </w:tcPr>
          <w:p w14:paraId="74E450FD"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2,33</w:t>
            </w:r>
          </w:p>
        </w:tc>
        <w:tc>
          <w:tcPr>
            <w:tcW w:w="0" w:type="auto"/>
            <w:hideMark/>
          </w:tcPr>
          <w:p w14:paraId="7603E1FC"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3,44</w:t>
            </w:r>
          </w:p>
        </w:tc>
      </w:tr>
      <w:tr w:rsidR="008223AE" w:rsidRPr="008223AE" w14:paraId="4FB6269B" w14:textId="77777777">
        <w:trPr>
          <w:jc w:val="center"/>
        </w:trPr>
        <w:tc>
          <w:tcPr>
            <w:tcW w:w="0" w:type="auto"/>
          </w:tcPr>
          <w:p w14:paraId="66B005CB"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Pr>
          <w:p w14:paraId="09DB2EA4"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hideMark/>
          </w:tcPr>
          <w:p w14:paraId="389900A7"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4 cm</w:t>
            </w:r>
          </w:p>
        </w:tc>
        <w:tc>
          <w:tcPr>
            <w:tcW w:w="0" w:type="auto"/>
            <w:hideMark/>
          </w:tcPr>
          <w:p w14:paraId="60BACD8C"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2,73</w:t>
            </w:r>
          </w:p>
        </w:tc>
        <w:tc>
          <w:tcPr>
            <w:tcW w:w="0" w:type="auto"/>
            <w:hideMark/>
          </w:tcPr>
          <w:p w14:paraId="796C6D9D"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3,42</w:t>
            </w:r>
          </w:p>
        </w:tc>
      </w:tr>
      <w:tr w:rsidR="008223AE" w:rsidRPr="008223AE" w14:paraId="28628B55" w14:textId="77777777">
        <w:trPr>
          <w:jc w:val="center"/>
        </w:trPr>
        <w:tc>
          <w:tcPr>
            <w:tcW w:w="0" w:type="auto"/>
            <w:tcBorders>
              <w:top w:val="nil"/>
              <w:left w:val="nil"/>
              <w:bottom w:val="single" w:sz="4" w:space="0" w:color="auto"/>
              <w:right w:val="nil"/>
            </w:tcBorders>
          </w:tcPr>
          <w:p w14:paraId="19F3EAD8"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Borders>
              <w:top w:val="nil"/>
              <w:left w:val="nil"/>
              <w:bottom w:val="single" w:sz="4" w:space="0" w:color="auto"/>
              <w:right w:val="nil"/>
            </w:tcBorders>
          </w:tcPr>
          <w:p w14:paraId="3D850E7A"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Borders>
              <w:top w:val="nil"/>
              <w:left w:val="nil"/>
              <w:bottom w:val="single" w:sz="4" w:space="0" w:color="auto"/>
              <w:right w:val="nil"/>
            </w:tcBorders>
            <w:hideMark/>
          </w:tcPr>
          <w:p w14:paraId="34892607"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5 cm</w:t>
            </w:r>
          </w:p>
        </w:tc>
        <w:tc>
          <w:tcPr>
            <w:tcW w:w="0" w:type="auto"/>
            <w:tcBorders>
              <w:top w:val="nil"/>
              <w:left w:val="nil"/>
              <w:bottom w:val="single" w:sz="4" w:space="0" w:color="auto"/>
              <w:right w:val="nil"/>
            </w:tcBorders>
            <w:hideMark/>
          </w:tcPr>
          <w:p w14:paraId="0C84ADDE"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3,00</w:t>
            </w:r>
          </w:p>
        </w:tc>
        <w:tc>
          <w:tcPr>
            <w:tcW w:w="0" w:type="auto"/>
            <w:tcBorders>
              <w:top w:val="nil"/>
              <w:left w:val="nil"/>
              <w:bottom w:val="single" w:sz="4" w:space="0" w:color="auto"/>
              <w:right w:val="nil"/>
            </w:tcBorders>
            <w:hideMark/>
          </w:tcPr>
          <w:p w14:paraId="590ED086"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3,35</w:t>
            </w:r>
          </w:p>
        </w:tc>
      </w:tr>
      <w:tr w:rsidR="008223AE" w:rsidRPr="008223AE" w14:paraId="1232CDA6" w14:textId="77777777">
        <w:trPr>
          <w:jc w:val="center"/>
        </w:trPr>
        <w:tc>
          <w:tcPr>
            <w:tcW w:w="0" w:type="auto"/>
            <w:tcBorders>
              <w:top w:val="single" w:sz="4" w:space="0" w:color="auto"/>
              <w:left w:val="nil"/>
              <w:bottom w:val="nil"/>
              <w:right w:val="nil"/>
            </w:tcBorders>
            <w:hideMark/>
          </w:tcPr>
          <w:p w14:paraId="67880FDF"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Achromatic</w:t>
            </w:r>
          </w:p>
        </w:tc>
        <w:tc>
          <w:tcPr>
            <w:tcW w:w="0" w:type="auto"/>
            <w:tcBorders>
              <w:top w:val="single" w:sz="4" w:space="0" w:color="auto"/>
              <w:left w:val="nil"/>
              <w:bottom w:val="nil"/>
              <w:right w:val="nil"/>
            </w:tcBorders>
            <w:hideMark/>
          </w:tcPr>
          <w:p w14:paraId="69D5CF9A"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Sans Serif</w:t>
            </w:r>
          </w:p>
        </w:tc>
        <w:tc>
          <w:tcPr>
            <w:tcW w:w="0" w:type="auto"/>
            <w:tcBorders>
              <w:top w:val="single" w:sz="4" w:space="0" w:color="auto"/>
              <w:left w:val="nil"/>
              <w:bottom w:val="nil"/>
              <w:right w:val="nil"/>
            </w:tcBorders>
            <w:hideMark/>
          </w:tcPr>
          <w:p w14:paraId="4A8A2EDF"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 cm</w:t>
            </w:r>
          </w:p>
        </w:tc>
        <w:tc>
          <w:tcPr>
            <w:tcW w:w="0" w:type="auto"/>
            <w:tcBorders>
              <w:top w:val="single" w:sz="4" w:space="0" w:color="auto"/>
              <w:left w:val="nil"/>
              <w:bottom w:val="nil"/>
              <w:right w:val="nil"/>
            </w:tcBorders>
            <w:hideMark/>
          </w:tcPr>
          <w:p w14:paraId="3234F861"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1,60</w:t>
            </w:r>
          </w:p>
        </w:tc>
        <w:tc>
          <w:tcPr>
            <w:tcW w:w="0" w:type="auto"/>
            <w:tcBorders>
              <w:top w:val="single" w:sz="4" w:space="0" w:color="auto"/>
              <w:left w:val="nil"/>
              <w:bottom w:val="nil"/>
              <w:right w:val="nil"/>
            </w:tcBorders>
            <w:hideMark/>
          </w:tcPr>
          <w:p w14:paraId="35297323"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3,62</w:t>
            </w:r>
          </w:p>
        </w:tc>
      </w:tr>
      <w:tr w:rsidR="008223AE" w:rsidRPr="008223AE" w14:paraId="2CD4D833" w14:textId="77777777">
        <w:trPr>
          <w:jc w:val="center"/>
        </w:trPr>
        <w:tc>
          <w:tcPr>
            <w:tcW w:w="0" w:type="auto"/>
          </w:tcPr>
          <w:p w14:paraId="42081B2B"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Pr>
          <w:p w14:paraId="4C070D7F"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hideMark/>
          </w:tcPr>
          <w:p w14:paraId="459DA8EA"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 cm</w:t>
            </w:r>
          </w:p>
        </w:tc>
        <w:tc>
          <w:tcPr>
            <w:tcW w:w="0" w:type="auto"/>
            <w:hideMark/>
          </w:tcPr>
          <w:p w14:paraId="4C65E270"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2,40</w:t>
            </w:r>
          </w:p>
        </w:tc>
        <w:tc>
          <w:tcPr>
            <w:tcW w:w="0" w:type="auto"/>
            <w:hideMark/>
          </w:tcPr>
          <w:p w14:paraId="7BACBCD3"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3,65</w:t>
            </w:r>
          </w:p>
        </w:tc>
      </w:tr>
      <w:tr w:rsidR="008223AE" w:rsidRPr="008223AE" w14:paraId="61B39148" w14:textId="77777777">
        <w:trPr>
          <w:jc w:val="center"/>
        </w:trPr>
        <w:tc>
          <w:tcPr>
            <w:tcW w:w="0" w:type="auto"/>
          </w:tcPr>
          <w:p w14:paraId="7C76E594"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Pr>
          <w:p w14:paraId="785262C9"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hideMark/>
          </w:tcPr>
          <w:p w14:paraId="0BA4BB53"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4 cm</w:t>
            </w:r>
          </w:p>
        </w:tc>
        <w:tc>
          <w:tcPr>
            <w:tcW w:w="0" w:type="auto"/>
            <w:hideMark/>
          </w:tcPr>
          <w:p w14:paraId="49B30DD5"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2,67</w:t>
            </w:r>
          </w:p>
        </w:tc>
        <w:tc>
          <w:tcPr>
            <w:tcW w:w="0" w:type="auto"/>
            <w:hideMark/>
          </w:tcPr>
          <w:p w14:paraId="7526846F"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3,57</w:t>
            </w:r>
          </w:p>
        </w:tc>
      </w:tr>
      <w:tr w:rsidR="008223AE" w:rsidRPr="008223AE" w14:paraId="77D06D48" w14:textId="77777777">
        <w:trPr>
          <w:jc w:val="center"/>
        </w:trPr>
        <w:tc>
          <w:tcPr>
            <w:tcW w:w="0" w:type="auto"/>
            <w:tcBorders>
              <w:top w:val="nil"/>
              <w:left w:val="nil"/>
              <w:bottom w:val="single" w:sz="4" w:space="0" w:color="auto"/>
              <w:right w:val="nil"/>
            </w:tcBorders>
          </w:tcPr>
          <w:p w14:paraId="40D953D8"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Borders>
              <w:top w:val="nil"/>
              <w:left w:val="nil"/>
              <w:bottom w:val="single" w:sz="4" w:space="0" w:color="auto"/>
              <w:right w:val="nil"/>
            </w:tcBorders>
          </w:tcPr>
          <w:p w14:paraId="6C725364" w14:textId="77777777" w:rsidR="008223AE" w:rsidRPr="008223AE" w:rsidRDefault="008223AE" w:rsidP="008223AE">
            <w:pPr>
              <w:ind w:firstLine="284"/>
              <w:jc w:val="both"/>
              <w:rPr>
                <w:rFonts w:asciiTheme="majorHAnsi" w:hAnsiTheme="majorHAnsi" w:cstheme="majorHAnsi"/>
                <w:color w:val="000000" w:themeColor="text1"/>
                <w:sz w:val="16"/>
                <w:szCs w:val="16"/>
              </w:rPr>
            </w:pPr>
          </w:p>
        </w:tc>
        <w:tc>
          <w:tcPr>
            <w:tcW w:w="0" w:type="auto"/>
            <w:tcBorders>
              <w:top w:val="nil"/>
              <w:left w:val="nil"/>
              <w:bottom w:val="single" w:sz="4" w:space="0" w:color="auto"/>
              <w:right w:val="nil"/>
            </w:tcBorders>
            <w:hideMark/>
          </w:tcPr>
          <w:p w14:paraId="78F61FEE"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5 cm</w:t>
            </w:r>
          </w:p>
        </w:tc>
        <w:tc>
          <w:tcPr>
            <w:tcW w:w="0" w:type="auto"/>
            <w:tcBorders>
              <w:top w:val="nil"/>
              <w:left w:val="nil"/>
              <w:bottom w:val="single" w:sz="4" w:space="0" w:color="auto"/>
              <w:right w:val="nil"/>
            </w:tcBorders>
            <w:hideMark/>
          </w:tcPr>
          <w:p w14:paraId="1533F05D"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2,87</w:t>
            </w:r>
          </w:p>
        </w:tc>
        <w:tc>
          <w:tcPr>
            <w:tcW w:w="0" w:type="auto"/>
            <w:tcBorders>
              <w:top w:val="nil"/>
              <w:left w:val="nil"/>
              <w:bottom w:val="single" w:sz="4" w:space="0" w:color="auto"/>
              <w:right w:val="nil"/>
            </w:tcBorders>
            <w:hideMark/>
          </w:tcPr>
          <w:p w14:paraId="0498DFDA" w14:textId="77777777" w:rsidR="008223AE" w:rsidRPr="008223AE" w:rsidRDefault="008223AE" w:rsidP="008223AE">
            <w:pPr>
              <w:ind w:firstLine="284"/>
              <w:jc w:val="both"/>
              <w:rPr>
                <w:rFonts w:asciiTheme="majorHAnsi" w:hAnsiTheme="majorHAnsi" w:cstheme="majorHAnsi"/>
                <w:color w:val="000000" w:themeColor="text1"/>
                <w:sz w:val="16"/>
                <w:szCs w:val="16"/>
              </w:rPr>
            </w:pPr>
            <w:r w:rsidRPr="008223AE">
              <w:rPr>
                <w:rFonts w:asciiTheme="majorHAnsi" w:hAnsiTheme="majorHAnsi" w:cstheme="majorHAnsi"/>
                <w:color w:val="000000" w:themeColor="text1"/>
                <w:sz w:val="16"/>
                <w:szCs w:val="16"/>
              </w:rPr>
              <w:t>3,51</w:t>
            </w:r>
          </w:p>
        </w:tc>
      </w:tr>
    </w:tbl>
    <w:p w14:paraId="267080E4" w14:textId="77777777" w:rsidR="00F64A8D" w:rsidRPr="008223AE" w:rsidRDefault="00F64A8D" w:rsidP="00F64A8D">
      <w:pPr>
        <w:ind w:firstLine="284"/>
        <w:jc w:val="both"/>
        <w:rPr>
          <w:rFonts w:asciiTheme="majorHAnsi" w:hAnsiTheme="majorHAnsi" w:cstheme="majorHAnsi"/>
          <w:color w:val="000000" w:themeColor="text1"/>
          <w:sz w:val="16"/>
          <w:szCs w:val="16"/>
        </w:rPr>
      </w:pPr>
    </w:p>
    <w:p w14:paraId="2FBC076B" w14:textId="77777777" w:rsidR="00F64A8D" w:rsidRDefault="00F64A8D" w:rsidP="00F64A8D">
      <w:pPr>
        <w:ind w:firstLine="284"/>
        <w:jc w:val="both"/>
        <w:rPr>
          <w:rFonts w:ascii="Calibri Light" w:hAnsi="Calibri Light" w:cs="Calibri Light"/>
          <w:sz w:val="20"/>
          <w:szCs w:val="20"/>
        </w:rPr>
      </w:pPr>
    </w:p>
    <w:p w14:paraId="26969C55" w14:textId="0D6FE5A0" w:rsidR="008223AE" w:rsidRDefault="008223AE" w:rsidP="00F64A8D">
      <w:pPr>
        <w:ind w:firstLine="284"/>
        <w:jc w:val="both"/>
        <w:rPr>
          <w:rFonts w:ascii="Calibri Light" w:hAnsi="Calibri Light" w:cs="Calibri Light"/>
          <w:sz w:val="20"/>
          <w:szCs w:val="20"/>
        </w:rPr>
      </w:pPr>
      <w:r w:rsidRPr="008223AE">
        <w:rPr>
          <w:rFonts w:ascii="Calibri Light" w:hAnsi="Calibri Light" w:cs="Calibri Light"/>
          <w:sz w:val="20"/>
          <w:szCs w:val="20"/>
          <w:lang w:val="id-ID"/>
        </w:rPr>
        <w:t xml:space="preserve">The following is a visualization of the distribution of the signage legibility test data. </w:t>
      </w:r>
      <w:r w:rsidRPr="008223AE">
        <w:rPr>
          <w:rFonts w:ascii="Calibri Light" w:hAnsi="Calibri Light" w:cs="Calibri Light"/>
          <w:sz w:val="20"/>
          <w:szCs w:val="20"/>
        </w:rPr>
        <w:t>The relationship between font size and total correct answers (TCA) is illustrated in Figure 1. The box plot shows that larger font sizes tend to produce higher TCA values, indicating better legibility performance. The relationship between font size and total correct answers (TCA) is illustrated in Figure 1. The box plot shows that larger font sizes tend to produce higher TCA values, indicating better legibility performance.</w:t>
      </w:r>
    </w:p>
    <w:p w14:paraId="6BCBBA3B" w14:textId="77777777" w:rsidR="008223AE" w:rsidRDefault="008223AE" w:rsidP="00F64A8D">
      <w:pPr>
        <w:ind w:firstLine="284"/>
        <w:jc w:val="both"/>
        <w:rPr>
          <w:rFonts w:ascii="Calibri Light" w:hAnsi="Calibri Light" w:cs="Calibri Light"/>
          <w:sz w:val="20"/>
          <w:szCs w:val="20"/>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8223AE" w14:paraId="3CA411A1" w14:textId="77777777" w:rsidTr="008223AE">
        <w:tc>
          <w:tcPr>
            <w:tcW w:w="9060" w:type="dxa"/>
          </w:tcPr>
          <w:p w14:paraId="534827D5" w14:textId="77777777" w:rsidR="008223AE" w:rsidRDefault="008223AE" w:rsidP="008223AE">
            <w:pPr>
              <w:jc w:val="center"/>
              <w:rPr>
                <w:rFonts w:cs="Calibri Light"/>
                <w:sz w:val="20"/>
                <w:szCs w:val="20"/>
              </w:rPr>
            </w:pPr>
            <w:r>
              <w:rPr>
                <w:noProof/>
              </w:rPr>
              <w:drawing>
                <wp:inline distT="0" distB="0" distL="0" distR="0" wp14:anchorId="243C3025" wp14:editId="2B9437EF">
                  <wp:extent cx="2584213" cy="1474088"/>
                  <wp:effectExtent l="19050" t="19050" r="26035" b="12065"/>
                  <wp:docPr id="1693034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034572"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3540" cy="1496521"/>
                          </a:xfrm>
                          <a:prstGeom prst="rect">
                            <a:avLst/>
                          </a:prstGeom>
                          <a:noFill/>
                          <a:ln>
                            <a:solidFill>
                              <a:schemeClr val="tx1"/>
                            </a:solidFill>
                          </a:ln>
                        </pic:spPr>
                      </pic:pic>
                    </a:graphicData>
                  </a:graphic>
                </wp:inline>
              </w:drawing>
            </w:r>
          </w:p>
          <w:p w14:paraId="31B9B6BC" w14:textId="0BE9D279" w:rsidR="008223AE" w:rsidRDefault="008223AE" w:rsidP="008223AE">
            <w:pPr>
              <w:jc w:val="center"/>
              <w:rPr>
                <w:rFonts w:cs="Calibri Light"/>
                <w:sz w:val="20"/>
                <w:szCs w:val="20"/>
              </w:rPr>
            </w:pPr>
          </w:p>
        </w:tc>
      </w:tr>
      <w:tr w:rsidR="008223AE" w:rsidRPr="008223AE" w14:paraId="608F985C" w14:textId="77777777" w:rsidTr="008223AE">
        <w:tc>
          <w:tcPr>
            <w:tcW w:w="9060" w:type="dxa"/>
          </w:tcPr>
          <w:p w14:paraId="7D452454" w14:textId="3529D3A6" w:rsidR="008223AE" w:rsidRPr="008223AE" w:rsidRDefault="008223AE" w:rsidP="008223AE">
            <w:pPr>
              <w:jc w:val="center"/>
              <w:rPr>
                <w:rFonts w:asciiTheme="majorHAnsi" w:hAnsiTheme="majorHAnsi" w:cstheme="majorHAnsi"/>
                <w:sz w:val="16"/>
                <w:szCs w:val="16"/>
              </w:rPr>
            </w:pPr>
            <w:r w:rsidRPr="008223AE">
              <w:rPr>
                <w:rFonts w:asciiTheme="majorHAnsi" w:hAnsiTheme="majorHAnsi" w:cstheme="majorHAnsi"/>
                <w:bCs/>
                <w:sz w:val="16"/>
                <w:szCs w:val="16"/>
              </w:rPr>
              <w:t>Figure 1. Box Plot of TCA Against Font Size</w:t>
            </w:r>
          </w:p>
        </w:tc>
      </w:tr>
    </w:tbl>
    <w:p w14:paraId="4893545A" w14:textId="77777777" w:rsidR="008223AE" w:rsidRPr="008223AE" w:rsidRDefault="008223AE" w:rsidP="008223AE">
      <w:pPr>
        <w:ind w:firstLine="284"/>
        <w:jc w:val="both"/>
        <w:rPr>
          <w:rFonts w:ascii="Calibri Light" w:hAnsi="Calibri Light" w:cs="Calibri Light"/>
          <w:bCs/>
          <w:sz w:val="20"/>
          <w:szCs w:val="20"/>
        </w:rPr>
      </w:pPr>
      <w:r w:rsidRPr="008223AE">
        <w:rPr>
          <w:rFonts w:asciiTheme="majorHAnsi" w:hAnsiTheme="majorHAnsi" w:cstheme="majorHAnsi"/>
          <w:bCs/>
          <w:sz w:val="16"/>
          <w:szCs w:val="16"/>
        </w:rPr>
        <w:lastRenderedPageBreak/>
        <w:t xml:space="preserve"> </w:t>
      </w:r>
      <w:r w:rsidRPr="008223AE">
        <w:rPr>
          <w:rFonts w:ascii="Calibri Light" w:hAnsi="Calibri Light" w:cs="Calibri Light"/>
          <w:bCs/>
          <w:sz w:val="20"/>
          <w:szCs w:val="20"/>
        </w:rPr>
        <w:t xml:space="preserve">   The comparison between serif and sans-serif typefaces in relation to TCA is presented in Figure 2. The distribution indicates that both typefaces produce results that are relatively similar. Figure 3 shows the distribution of TCA across chromatic and achromatic </w:t>
      </w:r>
      <w:proofErr w:type="spellStart"/>
      <w:r w:rsidRPr="008223AE">
        <w:rPr>
          <w:rFonts w:ascii="Calibri Light" w:hAnsi="Calibri Light" w:cs="Calibri Light"/>
          <w:bCs/>
          <w:sz w:val="20"/>
          <w:szCs w:val="20"/>
        </w:rPr>
        <w:t>color</w:t>
      </w:r>
      <w:proofErr w:type="spellEnd"/>
      <w:r w:rsidRPr="008223AE">
        <w:rPr>
          <w:rFonts w:ascii="Calibri Light" w:hAnsi="Calibri Light" w:cs="Calibri Light"/>
          <w:bCs/>
          <w:sz w:val="20"/>
          <w:szCs w:val="20"/>
        </w:rPr>
        <w:t xml:space="preserve"> combinations. The difference between the </w:t>
      </w:r>
      <w:proofErr w:type="gramStart"/>
      <w:r w:rsidRPr="008223AE">
        <w:rPr>
          <w:rFonts w:ascii="Calibri Light" w:hAnsi="Calibri Light" w:cs="Calibri Light"/>
          <w:bCs/>
          <w:sz w:val="20"/>
          <w:szCs w:val="20"/>
        </w:rPr>
        <w:t xml:space="preserve">two </w:t>
      </w:r>
      <w:proofErr w:type="spellStart"/>
      <w:r w:rsidRPr="008223AE">
        <w:rPr>
          <w:rFonts w:ascii="Calibri Light" w:hAnsi="Calibri Light" w:cs="Calibri Light"/>
          <w:bCs/>
          <w:sz w:val="20"/>
          <w:szCs w:val="20"/>
        </w:rPr>
        <w:t>color</w:t>
      </w:r>
      <w:proofErr w:type="spellEnd"/>
      <w:proofErr w:type="gramEnd"/>
      <w:r w:rsidRPr="008223AE">
        <w:rPr>
          <w:rFonts w:ascii="Calibri Light" w:hAnsi="Calibri Light" w:cs="Calibri Light"/>
          <w:bCs/>
          <w:sz w:val="20"/>
          <w:szCs w:val="20"/>
        </w:rPr>
        <w:t xml:space="preserve"> schemes </w:t>
      </w:r>
      <w:proofErr w:type="gramStart"/>
      <w:r w:rsidRPr="008223AE">
        <w:rPr>
          <w:rFonts w:ascii="Calibri Light" w:hAnsi="Calibri Light" w:cs="Calibri Light"/>
          <w:bCs/>
          <w:sz w:val="20"/>
          <w:szCs w:val="20"/>
        </w:rPr>
        <w:t>appears</w:t>
      </w:r>
      <w:proofErr w:type="gramEnd"/>
      <w:r w:rsidRPr="008223AE">
        <w:rPr>
          <w:rFonts w:ascii="Calibri Light" w:hAnsi="Calibri Light" w:cs="Calibri Light"/>
          <w:bCs/>
          <w:sz w:val="20"/>
          <w:szCs w:val="20"/>
        </w:rPr>
        <w:t xml:space="preserve"> relatively small.</w:t>
      </w:r>
    </w:p>
    <w:p w14:paraId="4B861027" w14:textId="77777777" w:rsidR="008223AE" w:rsidRPr="008223AE" w:rsidRDefault="008223AE" w:rsidP="008223AE">
      <w:pPr>
        <w:jc w:val="both"/>
        <w:rPr>
          <w:rFonts w:ascii="Calibri Light" w:hAnsi="Calibri Light" w:cs="Calibri Light"/>
          <w:bCs/>
          <w:sz w:val="20"/>
          <w:szCs w:val="20"/>
        </w:rPr>
      </w:pPr>
    </w:p>
    <w:p w14:paraId="71268E5E" w14:textId="065EA4D8" w:rsidR="008223AE" w:rsidRPr="008223AE" w:rsidRDefault="008223AE" w:rsidP="008223AE">
      <w:pPr>
        <w:ind w:firstLine="284"/>
        <w:jc w:val="center"/>
        <w:rPr>
          <w:rFonts w:ascii="Calibri Light" w:hAnsi="Calibri Light" w:cs="Calibri Light"/>
          <w:bCs/>
          <w:sz w:val="16"/>
          <w:szCs w:val="16"/>
          <w:lang w:val="id-ID"/>
        </w:rPr>
      </w:pPr>
      <w:r w:rsidRPr="008223AE">
        <w:rPr>
          <w:rFonts w:ascii="Calibri Light" w:hAnsi="Calibri Light" w:cs="Calibri Light"/>
          <w:noProof/>
          <w:sz w:val="16"/>
          <w:szCs w:val="16"/>
        </w:rPr>
        <w:drawing>
          <wp:inline distT="0" distB="0" distL="0" distR="0" wp14:anchorId="4FBA35A8" wp14:editId="52C2630C">
            <wp:extent cx="2743200" cy="1571625"/>
            <wp:effectExtent l="19050" t="19050" r="19050" b="28575"/>
            <wp:docPr id="7722701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1571625"/>
                    </a:xfrm>
                    <a:prstGeom prst="rect">
                      <a:avLst/>
                    </a:prstGeom>
                    <a:noFill/>
                    <a:ln w="9525" cmpd="sng">
                      <a:solidFill>
                        <a:srgbClr val="000000"/>
                      </a:solidFill>
                      <a:miter lim="800000"/>
                      <a:headEnd/>
                      <a:tailEnd/>
                    </a:ln>
                    <a:effectLst/>
                  </pic:spPr>
                </pic:pic>
              </a:graphicData>
            </a:graphic>
          </wp:inline>
        </w:drawing>
      </w:r>
    </w:p>
    <w:p w14:paraId="6F30A30F" w14:textId="77777777" w:rsidR="008223AE" w:rsidRPr="008223AE" w:rsidRDefault="008223AE" w:rsidP="008223AE">
      <w:pPr>
        <w:ind w:firstLine="284"/>
        <w:jc w:val="center"/>
        <w:rPr>
          <w:rFonts w:ascii="Calibri Light" w:hAnsi="Calibri Light" w:cs="Calibri Light"/>
          <w:bCs/>
          <w:sz w:val="16"/>
          <w:szCs w:val="16"/>
          <w:lang w:val="id-ID"/>
        </w:rPr>
      </w:pPr>
    </w:p>
    <w:p w14:paraId="37EC5A7B" w14:textId="77777777" w:rsidR="008223AE" w:rsidRPr="00315C9E" w:rsidRDefault="008223AE" w:rsidP="008223AE">
      <w:pPr>
        <w:ind w:firstLine="284"/>
        <w:jc w:val="center"/>
        <w:rPr>
          <w:rFonts w:asciiTheme="majorHAnsi" w:hAnsiTheme="majorHAnsi" w:cstheme="majorHAnsi"/>
          <w:bCs/>
          <w:sz w:val="16"/>
          <w:szCs w:val="16"/>
        </w:rPr>
      </w:pPr>
      <w:r w:rsidRPr="00315C9E">
        <w:rPr>
          <w:rFonts w:asciiTheme="majorHAnsi" w:hAnsiTheme="majorHAnsi" w:cstheme="majorHAnsi"/>
          <w:bCs/>
          <w:sz w:val="16"/>
          <w:szCs w:val="16"/>
        </w:rPr>
        <w:t>Figure 2. Box Plot of TCA Against Typeface</w:t>
      </w:r>
    </w:p>
    <w:p w14:paraId="244759FA" w14:textId="77777777" w:rsidR="008223AE" w:rsidRPr="008223AE" w:rsidRDefault="008223AE" w:rsidP="008223AE">
      <w:pPr>
        <w:rPr>
          <w:rFonts w:ascii="Calibri Light" w:hAnsi="Calibri Light" w:cs="Calibri Light"/>
          <w:bCs/>
          <w:sz w:val="16"/>
          <w:szCs w:val="16"/>
        </w:rPr>
      </w:pPr>
    </w:p>
    <w:p w14:paraId="6053A283" w14:textId="7A10EBA6" w:rsidR="008223AE" w:rsidRPr="008223AE" w:rsidRDefault="008223AE" w:rsidP="008223AE">
      <w:pPr>
        <w:ind w:firstLine="284"/>
        <w:jc w:val="center"/>
        <w:rPr>
          <w:rFonts w:ascii="Calibri Light" w:hAnsi="Calibri Light" w:cs="Calibri Light"/>
          <w:bCs/>
          <w:sz w:val="16"/>
          <w:szCs w:val="16"/>
          <w:lang w:val="id-ID"/>
        </w:rPr>
      </w:pPr>
      <w:r w:rsidRPr="008223AE">
        <w:rPr>
          <w:rFonts w:ascii="Calibri Light" w:hAnsi="Calibri Light" w:cs="Calibri Light"/>
          <w:noProof/>
          <w:sz w:val="16"/>
          <w:szCs w:val="16"/>
        </w:rPr>
        <w:drawing>
          <wp:inline distT="0" distB="0" distL="0" distR="0" wp14:anchorId="35A95BE1" wp14:editId="751D2492">
            <wp:extent cx="2714625" cy="1552575"/>
            <wp:effectExtent l="19050" t="19050" r="28575" b="28575"/>
            <wp:docPr id="16268807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14625" cy="1552575"/>
                    </a:xfrm>
                    <a:prstGeom prst="rect">
                      <a:avLst/>
                    </a:prstGeom>
                    <a:noFill/>
                    <a:ln w="9525" cmpd="sng">
                      <a:solidFill>
                        <a:srgbClr val="000000"/>
                      </a:solidFill>
                      <a:miter lim="800000"/>
                      <a:headEnd/>
                      <a:tailEnd/>
                    </a:ln>
                    <a:effectLst/>
                  </pic:spPr>
                </pic:pic>
              </a:graphicData>
            </a:graphic>
          </wp:inline>
        </w:drawing>
      </w:r>
    </w:p>
    <w:p w14:paraId="038E6701" w14:textId="77777777" w:rsidR="008223AE" w:rsidRPr="008223AE" w:rsidRDefault="008223AE" w:rsidP="008223AE">
      <w:pPr>
        <w:ind w:firstLine="284"/>
        <w:jc w:val="center"/>
        <w:rPr>
          <w:rFonts w:ascii="Calibri Light" w:hAnsi="Calibri Light" w:cs="Calibri Light"/>
          <w:bCs/>
          <w:sz w:val="16"/>
          <w:szCs w:val="16"/>
          <w:lang w:val="id-ID"/>
        </w:rPr>
      </w:pPr>
    </w:p>
    <w:p w14:paraId="09124046" w14:textId="77777777" w:rsidR="008223AE" w:rsidRPr="008223AE" w:rsidRDefault="008223AE" w:rsidP="008223AE">
      <w:pPr>
        <w:ind w:firstLine="284"/>
        <w:jc w:val="center"/>
        <w:rPr>
          <w:rFonts w:asciiTheme="majorHAnsi" w:hAnsiTheme="majorHAnsi" w:cstheme="majorHAnsi"/>
          <w:bCs/>
          <w:sz w:val="16"/>
          <w:szCs w:val="16"/>
        </w:rPr>
      </w:pPr>
      <w:r w:rsidRPr="008223AE">
        <w:rPr>
          <w:rFonts w:asciiTheme="majorHAnsi" w:hAnsiTheme="majorHAnsi" w:cstheme="majorHAnsi"/>
          <w:bCs/>
          <w:sz w:val="16"/>
          <w:szCs w:val="16"/>
        </w:rPr>
        <w:t xml:space="preserve">Figure 3. Box Plot of TCA Against </w:t>
      </w:r>
      <w:proofErr w:type="spellStart"/>
      <w:r w:rsidRPr="008223AE">
        <w:rPr>
          <w:rFonts w:asciiTheme="majorHAnsi" w:hAnsiTheme="majorHAnsi" w:cstheme="majorHAnsi"/>
          <w:bCs/>
          <w:sz w:val="16"/>
          <w:szCs w:val="16"/>
        </w:rPr>
        <w:t>Color</w:t>
      </w:r>
      <w:proofErr w:type="spellEnd"/>
      <w:r w:rsidRPr="008223AE">
        <w:rPr>
          <w:rFonts w:asciiTheme="majorHAnsi" w:hAnsiTheme="majorHAnsi" w:cstheme="majorHAnsi"/>
          <w:bCs/>
          <w:sz w:val="16"/>
          <w:szCs w:val="16"/>
        </w:rPr>
        <w:t xml:space="preserve"> Combination</w:t>
      </w:r>
    </w:p>
    <w:p w14:paraId="1C3865AB" w14:textId="77777777" w:rsidR="008223AE" w:rsidRPr="008223AE" w:rsidRDefault="008223AE" w:rsidP="008223AE">
      <w:pPr>
        <w:ind w:firstLine="284"/>
        <w:jc w:val="both"/>
        <w:rPr>
          <w:rFonts w:ascii="Calibri Light" w:hAnsi="Calibri Light" w:cs="Calibri Light"/>
          <w:bCs/>
          <w:sz w:val="20"/>
          <w:szCs w:val="20"/>
        </w:rPr>
      </w:pPr>
    </w:p>
    <w:p w14:paraId="3AA1195A" w14:textId="77777777" w:rsidR="008223AE" w:rsidRPr="008223AE" w:rsidRDefault="008223AE" w:rsidP="008223AE">
      <w:pPr>
        <w:ind w:firstLine="284"/>
        <w:jc w:val="both"/>
        <w:rPr>
          <w:rFonts w:ascii="Calibri Light" w:hAnsi="Calibri Light" w:cs="Calibri Light"/>
          <w:bCs/>
          <w:sz w:val="20"/>
          <w:szCs w:val="20"/>
        </w:rPr>
      </w:pPr>
      <w:r w:rsidRPr="008223AE">
        <w:rPr>
          <w:rFonts w:ascii="Calibri Light" w:hAnsi="Calibri Light" w:cs="Calibri Light"/>
          <w:sz w:val="20"/>
          <w:szCs w:val="20"/>
        </w:rPr>
        <w:t xml:space="preserve">The average TCA for font sizes of 2 cm, 3 cm, 4 cm, and 5 cm were (1.58), (2.37), (2.72), and (2.88), respectively. The average TJB for serif fonts was (2.39), and for sans serif fonts, it was (2.38). The average TCA for chromatic </w:t>
      </w:r>
      <w:proofErr w:type="spellStart"/>
      <w:r w:rsidRPr="008223AE">
        <w:rPr>
          <w:rFonts w:ascii="Calibri Light" w:hAnsi="Calibri Light" w:cs="Calibri Light"/>
          <w:sz w:val="20"/>
          <w:szCs w:val="20"/>
        </w:rPr>
        <w:t>color</w:t>
      </w:r>
      <w:proofErr w:type="spellEnd"/>
      <w:r w:rsidRPr="008223AE">
        <w:rPr>
          <w:rFonts w:ascii="Calibri Light" w:hAnsi="Calibri Light" w:cs="Calibri Light"/>
          <w:sz w:val="20"/>
          <w:szCs w:val="20"/>
        </w:rPr>
        <w:t xml:space="preserve"> combinations was 2.38, and for achromatic </w:t>
      </w:r>
      <w:proofErr w:type="spellStart"/>
      <w:r w:rsidRPr="008223AE">
        <w:rPr>
          <w:rFonts w:ascii="Calibri Light" w:hAnsi="Calibri Light" w:cs="Calibri Light"/>
          <w:sz w:val="20"/>
          <w:szCs w:val="20"/>
        </w:rPr>
        <w:t>color</w:t>
      </w:r>
      <w:proofErr w:type="spellEnd"/>
      <w:r w:rsidRPr="008223AE">
        <w:rPr>
          <w:rFonts w:ascii="Calibri Light" w:hAnsi="Calibri Light" w:cs="Calibri Light"/>
          <w:sz w:val="20"/>
          <w:szCs w:val="20"/>
        </w:rPr>
        <w:t xml:space="preserve"> combinations was 2.40. TCA is a maximization function, meaning that the higher the average, the greater the legibility. Figure 4 illustrates the relationship between font size and total response time (TRT). The results indicate that larger font sizes tend to reduce response time.</w:t>
      </w:r>
      <w:r w:rsidRPr="008223AE">
        <w:rPr>
          <w:rFonts w:ascii="Calibri Light" w:hAnsi="Calibri Light" w:cs="Calibri Light"/>
          <w:bCs/>
          <w:sz w:val="20"/>
          <w:szCs w:val="20"/>
        </w:rPr>
        <w:t xml:space="preserve"> The comparison of TRT values between serif and sans-serif typefaces is shown in Figure 5. Meanwhile, Figure 6 presents the distribution of TRT values for chromatic and achromatic </w:t>
      </w:r>
      <w:proofErr w:type="spellStart"/>
      <w:r w:rsidRPr="008223AE">
        <w:rPr>
          <w:rFonts w:ascii="Calibri Light" w:hAnsi="Calibri Light" w:cs="Calibri Light"/>
          <w:bCs/>
          <w:sz w:val="20"/>
          <w:szCs w:val="20"/>
        </w:rPr>
        <w:t>color</w:t>
      </w:r>
      <w:proofErr w:type="spellEnd"/>
      <w:r w:rsidRPr="008223AE">
        <w:rPr>
          <w:rFonts w:ascii="Calibri Light" w:hAnsi="Calibri Light" w:cs="Calibri Light"/>
          <w:bCs/>
          <w:sz w:val="20"/>
          <w:szCs w:val="20"/>
        </w:rPr>
        <w:t xml:space="preserve"> combinations.</w:t>
      </w:r>
    </w:p>
    <w:p w14:paraId="51566F6E" w14:textId="77777777" w:rsidR="008223AE" w:rsidRPr="008223AE" w:rsidRDefault="008223AE" w:rsidP="008223AE">
      <w:pPr>
        <w:ind w:firstLine="284"/>
        <w:jc w:val="both"/>
        <w:rPr>
          <w:rFonts w:ascii="Calibri Light" w:hAnsi="Calibri Light" w:cs="Calibri Light"/>
          <w:sz w:val="20"/>
          <w:szCs w:val="20"/>
        </w:rPr>
      </w:pPr>
    </w:p>
    <w:p w14:paraId="7BFDB1B7" w14:textId="37F620F4" w:rsidR="008223AE" w:rsidRPr="008223AE" w:rsidRDefault="008223AE" w:rsidP="008223AE">
      <w:pPr>
        <w:ind w:firstLine="284"/>
        <w:jc w:val="center"/>
        <w:rPr>
          <w:rFonts w:ascii="Calibri Light" w:hAnsi="Calibri Light" w:cs="Calibri Light"/>
          <w:bCs/>
          <w:sz w:val="20"/>
          <w:szCs w:val="20"/>
        </w:rPr>
      </w:pPr>
      <w:r w:rsidRPr="008223AE">
        <w:rPr>
          <w:rFonts w:ascii="Calibri Light" w:hAnsi="Calibri Light" w:cs="Calibri Light"/>
          <w:noProof/>
          <w:sz w:val="20"/>
          <w:szCs w:val="20"/>
        </w:rPr>
        <w:drawing>
          <wp:inline distT="0" distB="0" distL="0" distR="0" wp14:anchorId="3D368527" wp14:editId="2D8A9154">
            <wp:extent cx="3028950" cy="1724025"/>
            <wp:effectExtent l="19050" t="19050" r="19050" b="28575"/>
            <wp:docPr id="17134066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8950" cy="1724025"/>
                    </a:xfrm>
                    <a:prstGeom prst="rect">
                      <a:avLst/>
                    </a:prstGeom>
                    <a:noFill/>
                    <a:ln w="9525" cmpd="sng">
                      <a:solidFill>
                        <a:srgbClr val="000000"/>
                      </a:solidFill>
                      <a:miter lim="800000"/>
                      <a:headEnd/>
                      <a:tailEnd/>
                    </a:ln>
                    <a:effectLst/>
                  </pic:spPr>
                </pic:pic>
              </a:graphicData>
            </a:graphic>
          </wp:inline>
        </w:drawing>
      </w:r>
    </w:p>
    <w:p w14:paraId="4E97A2C1" w14:textId="77777777" w:rsidR="008223AE" w:rsidRPr="008223AE" w:rsidRDefault="008223AE" w:rsidP="008223AE">
      <w:pPr>
        <w:ind w:firstLine="284"/>
        <w:jc w:val="both"/>
        <w:rPr>
          <w:rFonts w:ascii="Calibri Light" w:hAnsi="Calibri Light" w:cs="Calibri Light"/>
          <w:bCs/>
          <w:sz w:val="20"/>
          <w:szCs w:val="20"/>
        </w:rPr>
      </w:pPr>
    </w:p>
    <w:p w14:paraId="2A4BA7E5" w14:textId="77777777" w:rsidR="008223AE" w:rsidRPr="008223AE" w:rsidRDefault="008223AE" w:rsidP="008223AE">
      <w:pPr>
        <w:ind w:firstLine="284"/>
        <w:jc w:val="center"/>
        <w:rPr>
          <w:rFonts w:asciiTheme="majorHAnsi" w:hAnsiTheme="majorHAnsi" w:cstheme="majorHAnsi"/>
          <w:bCs/>
          <w:sz w:val="16"/>
          <w:szCs w:val="16"/>
        </w:rPr>
      </w:pPr>
      <w:r w:rsidRPr="008223AE">
        <w:rPr>
          <w:rFonts w:asciiTheme="majorHAnsi" w:hAnsiTheme="majorHAnsi" w:cstheme="majorHAnsi"/>
          <w:bCs/>
          <w:sz w:val="16"/>
          <w:szCs w:val="16"/>
        </w:rPr>
        <w:t>Figure 4. Box Plot of TRT Against Font Size</w:t>
      </w:r>
    </w:p>
    <w:p w14:paraId="3374D79B" w14:textId="77777777" w:rsidR="008223AE" w:rsidRPr="008223AE" w:rsidRDefault="008223AE" w:rsidP="008223AE">
      <w:pPr>
        <w:ind w:firstLine="284"/>
        <w:jc w:val="both"/>
        <w:rPr>
          <w:rFonts w:ascii="Calibri Light" w:hAnsi="Calibri Light" w:cs="Calibri Light"/>
          <w:bCs/>
          <w:sz w:val="20"/>
          <w:szCs w:val="20"/>
        </w:rPr>
      </w:pPr>
    </w:p>
    <w:p w14:paraId="24801FDD" w14:textId="77777777" w:rsidR="008223AE" w:rsidRPr="008223AE" w:rsidRDefault="008223AE" w:rsidP="008223AE">
      <w:pPr>
        <w:ind w:firstLine="284"/>
        <w:jc w:val="both"/>
        <w:rPr>
          <w:rFonts w:ascii="Calibri Light" w:hAnsi="Calibri Light" w:cs="Calibri Light"/>
          <w:bCs/>
          <w:sz w:val="20"/>
          <w:szCs w:val="20"/>
        </w:rPr>
      </w:pPr>
      <w:r w:rsidRPr="008223AE">
        <w:rPr>
          <w:rFonts w:ascii="Calibri Light" w:hAnsi="Calibri Light" w:cs="Calibri Light"/>
          <w:bCs/>
          <w:sz w:val="20"/>
          <w:szCs w:val="20"/>
        </w:rPr>
        <w:t xml:space="preserve">      </w:t>
      </w:r>
      <w:r w:rsidRPr="008223AE">
        <w:rPr>
          <w:rFonts w:ascii="Calibri Light" w:hAnsi="Calibri Light" w:cs="Calibri Light"/>
          <w:sz w:val="20"/>
          <w:szCs w:val="20"/>
        </w:rPr>
        <w:br/>
      </w:r>
    </w:p>
    <w:p w14:paraId="625330DB" w14:textId="77777777" w:rsidR="008223AE" w:rsidRPr="008223AE" w:rsidRDefault="008223AE" w:rsidP="008223AE">
      <w:pPr>
        <w:ind w:firstLine="284"/>
        <w:jc w:val="both"/>
        <w:rPr>
          <w:rFonts w:ascii="Calibri Light" w:hAnsi="Calibri Light" w:cs="Calibri Light"/>
          <w:bCs/>
          <w:sz w:val="20"/>
          <w:szCs w:val="20"/>
        </w:rPr>
      </w:pPr>
    </w:p>
    <w:p w14:paraId="2C863E04" w14:textId="5C50B443" w:rsidR="008223AE" w:rsidRPr="008223AE" w:rsidRDefault="008223AE" w:rsidP="008223AE">
      <w:pPr>
        <w:ind w:firstLine="284"/>
        <w:jc w:val="center"/>
        <w:rPr>
          <w:rFonts w:ascii="Calibri Light" w:hAnsi="Calibri Light" w:cs="Calibri Light"/>
          <w:bCs/>
          <w:sz w:val="20"/>
          <w:szCs w:val="20"/>
        </w:rPr>
      </w:pPr>
      <w:r w:rsidRPr="008223AE">
        <w:rPr>
          <w:rFonts w:ascii="Calibri Light" w:hAnsi="Calibri Light" w:cs="Calibri Light"/>
          <w:noProof/>
          <w:sz w:val="20"/>
          <w:szCs w:val="20"/>
        </w:rPr>
        <w:lastRenderedPageBreak/>
        <w:drawing>
          <wp:inline distT="0" distB="0" distL="0" distR="0" wp14:anchorId="6F9F0EC5" wp14:editId="6E19514C">
            <wp:extent cx="2724150" cy="1552575"/>
            <wp:effectExtent l="19050" t="19050" r="19050" b="28575"/>
            <wp:docPr id="19312180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24150" cy="1552575"/>
                    </a:xfrm>
                    <a:prstGeom prst="rect">
                      <a:avLst/>
                    </a:prstGeom>
                    <a:noFill/>
                    <a:ln w="9525" cmpd="sng">
                      <a:solidFill>
                        <a:srgbClr val="000000"/>
                      </a:solidFill>
                      <a:miter lim="800000"/>
                      <a:headEnd/>
                      <a:tailEnd/>
                    </a:ln>
                    <a:effectLst/>
                  </pic:spPr>
                </pic:pic>
              </a:graphicData>
            </a:graphic>
          </wp:inline>
        </w:drawing>
      </w:r>
    </w:p>
    <w:p w14:paraId="3505EDFB" w14:textId="77777777" w:rsidR="008223AE" w:rsidRPr="008223AE" w:rsidRDefault="008223AE" w:rsidP="008223AE">
      <w:pPr>
        <w:ind w:firstLine="284"/>
        <w:jc w:val="both"/>
        <w:rPr>
          <w:rFonts w:ascii="Calibri Light" w:hAnsi="Calibri Light" w:cs="Calibri Light"/>
          <w:bCs/>
          <w:sz w:val="20"/>
          <w:szCs w:val="20"/>
        </w:rPr>
      </w:pPr>
    </w:p>
    <w:p w14:paraId="3F877772" w14:textId="77777777" w:rsidR="008223AE" w:rsidRPr="008223AE" w:rsidRDefault="008223AE" w:rsidP="008223AE">
      <w:pPr>
        <w:ind w:firstLine="284"/>
        <w:jc w:val="center"/>
        <w:rPr>
          <w:rFonts w:asciiTheme="majorHAnsi" w:hAnsiTheme="majorHAnsi" w:cstheme="majorHAnsi"/>
          <w:bCs/>
          <w:sz w:val="16"/>
          <w:szCs w:val="16"/>
        </w:rPr>
      </w:pPr>
      <w:r w:rsidRPr="008223AE">
        <w:rPr>
          <w:rFonts w:asciiTheme="majorHAnsi" w:hAnsiTheme="majorHAnsi" w:cstheme="majorHAnsi"/>
          <w:bCs/>
          <w:sz w:val="16"/>
          <w:szCs w:val="16"/>
        </w:rPr>
        <w:t>Figure 5. Box Plot of TRT Against Typeface</w:t>
      </w:r>
    </w:p>
    <w:p w14:paraId="4AFE3245" w14:textId="77777777" w:rsidR="008223AE" w:rsidRPr="008223AE" w:rsidRDefault="008223AE" w:rsidP="008223AE">
      <w:pPr>
        <w:ind w:firstLine="284"/>
        <w:jc w:val="both"/>
        <w:rPr>
          <w:rFonts w:ascii="Calibri Light" w:hAnsi="Calibri Light" w:cs="Calibri Light"/>
          <w:bCs/>
          <w:sz w:val="20"/>
          <w:szCs w:val="20"/>
        </w:rPr>
      </w:pPr>
    </w:p>
    <w:p w14:paraId="14DB6373" w14:textId="47F2F465" w:rsidR="008223AE" w:rsidRPr="008223AE" w:rsidRDefault="008223AE" w:rsidP="008223AE">
      <w:pPr>
        <w:ind w:firstLine="284"/>
        <w:jc w:val="center"/>
        <w:rPr>
          <w:rFonts w:ascii="Calibri Light" w:hAnsi="Calibri Light" w:cs="Calibri Light"/>
          <w:bCs/>
          <w:sz w:val="20"/>
          <w:szCs w:val="20"/>
        </w:rPr>
      </w:pPr>
      <w:r w:rsidRPr="008223AE">
        <w:rPr>
          <w:rFonts w:ascii="Calibri Light" w:hAnsi="Calibri Light" w:cs="Calibri Light"/>
          <w:b/>
          <w:noProof/>
          <w:sz w:val="20"/>
          <w:szCs w:val="20"/>
        </w:rPr>
        <w:drawing>
          <wp:inline distT="0" distB="0" distL="0" distR="0" wp14:anchorId="44068118" wp14:editId="0642B3A8">
            <wp:extent cx="2695575" cy="1543050"/>
            <wp:effectExtent l="19050" t="19050" r="28575" b="19050"/>
            <wp:docPr id="16135485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95575" cy="1543050"/>
                    </a:xfrm>
                    <a:prstGeom prst="rect">
                      <a:avLst/>
                    </a:prstGeom>
                    <a:noFill/>
                    <a:ln w="9525" cmpd="sng">
                      <a:solidFill>
                        <a:srgbClr val="000000"/>
                      </a:solidFill>
                      <a:miter lim="800000"/>
                      <a:headEnd/>
                      <a:tailEnd/>
                    </a:ln>
                    <a:effectLst/>
                  </pic:spPr>
                </pic:pic>
              </a:graphicData>
            </a:graphic>
          </wp:inline>
        </w:drawing>
      </w:r>
    </w:p>
    <w:p w14:paraId="3F82F936" w14:textId="77777777" w:rsidR="008223AE" w:rsidRPr="008223AE" w:rsidRDefault="008223AE" w:rsidP="008223AE">
      <w:pPr>
        <w:ind w:firstLine="284"/>
        <w:jc w:val="both"/>
        <w:rPr>
          <w:rFonts w:ascii="Calibri Light" w:hAnsi="Calibri Light" w:cs="Calibri Light"/>
          <w:bCs/>
          <w:sz w:val="20"/>
          <w:szCs w:val="20"/>
        </w:rPr>
      </w:pPr>
    </w:p>
    <w:p w14:paraId="1E9F5C91" w14:textId="77777777" w:rsidR="008223AE" w:rsidRPr="008223AE" w:rsidRDefault="008223AE" w:rsidP="008223AE">
      <w:pPr>
        <w:ind w:firstLine="284"/>
        <w:jc w:val="center"/>
        <w:rPr>
          <w:rFonts w:asciiTheme="majorHAnsi" w:hAnsiTheme="majorHAnsi" w:cstheme="majorHAnsi"/>
          <w:bCs/>
          <w:sz w:val="16"/>
          <w:szCs w:val="16"/>
        </w:rPr>
      </w:pPr>
      <w:r w:rsidRPr="008223AE">
        <w:rPr>
          <w:rFonts w:asciiTheme="majorHAnsi" w:hAnsiTheme="majorHAnsi" w:cstheme="majorHAnsi"/>
          <w:bCs/>
          <w:sz w:val="16"/>
          <w:szCs w:val="16"/>
        </w:rPr>
        <w:t xml:space="preserve">Figure 6. Box Plot of TRT Against </w:t>
      </w:r>
      <w:proofErr w:type="spellStart"/>
      <w:r w:rsidRPr="008223AE">
        <w:rPr>
          <w:rFonts w:asciiTheme="majorHAnsi" w:hAnsiTheme="majorHAnsi" w:cstheme="majorHAnsi"/>
          <w:bCs/>
          <w:sz w:val="16"/>
          <w:szCs w:val="16"/>
        </w:rPr>
        <w:t>Color</w:t>
      </w:r>
      <w:proofErr w:type="spellEnd"/>
      <w:r w:rsidRPr="008223AE">
        <w:rPr>
          <w:rFonts w:asciiTheme="majorHAnsi" w:hAnsiTheme="majorHAnsi" w:cstheme="majorHAnsi"/>
          <w:bCs/>
          <w:sz w:val="16"/>
          <w:szCs w:val="16"/>
        </w:rPr>
        <w:t xml:space="preserve"> Combination</w:t>
      </w:r>
    </w:p>
    <w:p w14:paraId="5EFBEA07" w14:textId="77777777" w:rsidR="008223AE" w:rsidRPr="008223AE" w:rsidRDefault="008223AE" w:rsidP="00F64A8D">
      <w:pPr>
        <w:ind w:firstLine="284"/>
        <w:jc w:val="both"/>
        <w:rPr>
          <w:rFonts w:asciiTheme="majorHAnsi" w:hAnsiTheme="majorHAnsi" w:cstheme="majorHAnsi"/>
          <w:sz w:val="16"/>
          <w:szCs w:val="16"/>
        </w:rPr>
      </w:pPr>
    </w:p>
    <w:p w14:paraId="4982F4C9" w14:textId="77777777" w:rsidR="00E303DF" w:rsidRPr="00E303DF" w:rsidRDefault="00E303DF" w:rsidP="00E303DF">
      <w:pPr>
        <w:ind w:firstLine="284"/>
        <w:jc w:val="both"/>
        <w:rPr>
          <w:rFonts w:ascii="Calibri Light" w:hAnsi="Calibri Light" w:cs="Calibri Light"/>
          <w:bCs/>
          <w:sz w:val="20"/>
          <w:szCs w:val="20"/>
          <w:lang w:val="id-ID"/>
        </w:rPr>
      </w:pPr>
      <w:r w:rsidRPr="00E303DF">
        <w:rPr>
          <w:rFonts w:ascii="Calibri Light" w:hAnsi="Calibri Light" w:cs="Calibri Light"/>
          <w:bCs/>
          <w:sz w:val="20"/>
          <w:szCs w:val="20"/>
          <w:lang w:val="id-ID"/>
        </w:rPr>
        <w:t>The average TRT for font sizes of 2 cm, 3 cm, 4 cm, and 5 cm were (3.61), (3.60), (3.54), and (3.49), respectively. The average TRT for serif was (3.47), and for sans serif it was (3.63). The average TRT for chromatic was (3.61), and for achromatic it was (3.50). TRT is a minimization function, meaning that the lower the average value, the higher the legibility.</w:t>
      </w:r>
    </w:p>
    <w:p w14:paraId="3FF5B07D" w14:textId="77777777" w:rsidR="00E303DF" w:rsidRPr="00E303DF" w:rsidRDefault="00E303DF" w:rsidP="00E303DF">
      <w:pPr>
        <w:ind w:firstLine="284"/>
        <w:jc w:val="both"/>
        <w:rPr>
          <w:rFonts w:ascii="Calibri Light" w:hAnsi="Calibri Light" w:cs="Calibri Light"/>
          <w:bCs/>
          <w:sz w:val="20"/>
          <w:szCs w:val="20"/>
          <w:lang w:val="id-ID"/>
        </w:rPr>
      </w:pPr>
      <w:r w:rsidRPr="00E303DF">
        <w:rPr>
          <w:rFonts w:ascii="Calibri Light" w:hAnsi="Calibri Light" w:cs="Calibri Light"/>
          <w:bCs/>
          <w:sz w:val="20"/>
          <w:szCs w:val="20"/>
          <w:lang w:val="id-ID"/>
        </w:rPr>
        <w:t>The Friedman test results showed that the significance value for font size on TCA was 0.000 (&lt;0.05), indicating a significant effect. H1 was accepted. The significance value for typeface on TCA was 0.637 (&gt;0.05), so H2 was rejected, indicating no significant effect. The significance value for the color combination on TCA was 0.405 (&gt;0.05), so H3 was rejected, indicating no significant effect.</w:t>
      </w:r>
    </w:p>
    <w:p w14:paraId="4F8093B6" w14:textId="77777777" w:rsidR="00E303DF" w:rsidRPr="00E303DF" w:rsidRDefault="00E303DF" w:rsidP="00E303DF">
      <w:pPr>
        <w:ind w:firstLine="284"/>
        <w:jc w:val="both"/>
        <w:rPr>
          <w:rFonts w:ascii="Calibri Light" w:hAnsi="Calibri Light" w:cs="Calibri Light"/>
          <w:bCs/>
          <w:sz w:val="20"/>
          <w:szCs w:val="20"/>
          <w:lang w:val="id-ID"/>
        </w:rPr>
      </w:pPr>
      <w:r w:rsidRPr="00E303DF">
        <w:rPr>
          <w:rFonts w:ascii="Calibri Light" w:hAnsi="Calibri Light" w:cs="Calibri Light"/>
          <w:bCs/>
          <w:sz w:val="20"/>
          <w:szCs w:val="20"/>
          <w:lang w:val="id-ID"/>
        </w:rPr>
        <w:t>The Friedman test results only show differences between groups without specific identification. Further analysis using a post-hoc test is needed to identify specific inter-sample groups that differ significantly. According to the Friedman test results, only font size was significant; therefore, it was tested using a post hoc test. The post-hoc results obtained from pairwise comparisons showed significant differences between groups 2 cm - 4 cm (sig. 0.002) and 2 cm - 5 cm (sig 0.001). There were no significant differences between groups 2 cm - 3 cm (sig 0.142), 3 cm - 4 cm (sig 1.000), 3 cm - 5 cm (sig 0.623), and 4 cm - 5 cm (sig 1.000). The pairwise comparison results of font size groups are presented in Figure 7. The analysis indicates significant differences between the 2 cm – 4 cm and 2 cm – 5 cm groups.</w:t>
      </w:r>
    </w:p>
    <w:p w14:paraId="12AF80F7" w14:textId="77777777" w:rsidR="00E303DF" w:rsidRPr="00E303DF" w:rsidRDefault="00E303DF" w:rsidP="00E303DF">
      <w:pPr>
        <w:ind w:firstLine="284"/>
        <w:jc w:val="both"/>
        <w:rPr>
          <w:rFonts w:ascii="Calibri Light" w:hAnsi="Calibri Light" w:cs="Calibri Light"/>
          <w:bCs/>
          <w:sz w:val="20"/>
          <w:szCs w:val="20"/>
          <w:lang w:val="id-ID"/>
        </w:rPr>
      </w:pPr>
    </w:p>
    <w:p w14:paraId="71F34105" w14:textId="1B39D970" w:rsidR="00E303DF" w:rsidRPr="00E303DF" w:rsidRDefault="00E303DF" w:rsidP="00E303DF">
      <w:pPr>
        <w:ind w:firstLine="284"/>
        <w:jc w:val="center"/>
        <w:rPr>
          <w:rFonts w:ascii="Calibri Light" w:hAnsi="Calibri Light" w:cs="Calibri Light"/>
          <w:bCs/>
          <w:sz w:val="20"/>
          <w:szCs w:val="20"/>
          <w:lang w:val="id-ID"/>
        </w:rPr>
      </w:pPr>
      <w:r w:rsidRPr="00E303DF">
        <w:rPr>
          <w:rFonts w:ascii="Calibri Light" w:hAnsi="Calibri Light" w:cs="Calibri Light"/>
          <w:noProof/>
          <w:sz w:val="20"/>
          <w:szCs w:val="20"/>
        </w:rPr>
        <w:drawing>
          <wp:inline distT="0" distB="0" distL="0" distR="0" wp14:anchorId="006743A6" wp14:editId="7482D0B1">
            <wp:extent cx="1762963" cy="1751365"/>
            <wp:effectExtent l="0" t="0" r="8890" b="1270"/>
            <wp:docPr id="40478080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7336" cy="1755709"/>
                    </a:xfrm>
                    <a:prstGeom prst="rect">
                      <a:avLst/>
                    </a:prstGeom>
                    <a:noFill/>
                    <a:ln>
                      <a:noFill/>
                    </a:ln>
                  </pic:spPr>
                </pic:pic>
              </a:graphicData>
            </a:graphic>
          </wp:inline>
        </w:drawing>
      </w:r>
    </w:p>
    <w:p w14:paraId="1C124CFD" w14:textId="77777777" w:rsidR="00E303DF" w:rsidRPr="00E303DF" w:rsidRDefault="00E303DF" w:rsidP="00E303DF">
      <w:pPr>
        <w:ind w:firstLine="284"/>
        <w:jc w:val="both"/>
        <w:rPr>
          <w:rFonts w:ascii="Calibri Light" w:hAnsi="Calibri Light" w:cs="Calibri Light"/>
          <w:bCs/>
          <w:sz w:val="20"/>
          <w:szCs w:val="20"/>
          <w:lang w:val="id-ID"/>
        </w:rPr>
      </w:pPr>
    </w:p>
    <w:p w14:paraId="0520363E" w14:textId="77777777" w:rsidR="00E303DF" w:rsidRPr="00E303DF" w:rsidRDefault="00E303DF" w:rsidP="00E303DF">
      <w:pPr>
        <w:ind w:firstLine="284"/>
        <w:jc w:val="center"/>
        <w:rPr>
          <w:rFonts w:asciiTheme="majorHAnsi" w:hAnsiTheme="majorHAnsi" w:cstheme="majorHAnsi"/>
          <w:bCs/>
          <w:sz w:val="16"/>
          <w:szCs w:val="16"/>
        </w:rPr>
      </w:pPr>
      <w:r w:rsidRPr="00E303DF">
        <w:rPr>
          <w:rFonts w:asciiTheme="majorHAnsi" w:hAnsiTheme="majorHAnsi" w:cstheme="majorHAnsi"/>
          <w:bCs/>
          <w:sz w:val="16"/>
          <w:szCs w:val="16"/>
        </w:rPr>
        <w:t>Figure 7. Pairwise Comparison of Font Size</w:t>
      </w:r>
    </w:p>
    <w:p w14:paraId="3FCDA212" w14:textId="77777777" w:rsidR="00E303DF" w:rsidRPr="00E303DF" w:rsidRDefault="00E303DF" w:rsidP="00E303DF">
      <w:pPr>
        <w:ind w:firstLine="284"/>
        <w:jc w:val="both"/>
        <w:rPr>
          <w:rFonts w:ascii="Calibri Light" w:hAnsi="Calibri Light" w:cs="Calibri Light"/>
          <w:b/>
          <w:bCs/>
          <w:sz w:val="20"/>
          <w:szCs w:val="20"/>
        </w:rPr>
      </w:pPr>
    </w:p>
    <w:p w14:paraId="4ECF5332" w14:textId="26905052" w:rsidR="00E303DF" w:rsidRPr="00E303DF" w:rsidRDefault="00E303DF" w:rsidP="00E303DF">
      <w:pPr>
        <w:jc w:val="both"/>
        <w:rPr>
          <w:rFonts w:asciiTheme="majorHAnsi" w:hAnsiTheme="majorHAnsi" w:cstheme="majorHAnsi"/>
          <w:b/>
          <w:bCs/>
          <w:sz w:val="18"/>
          <w:szCs w:val="18"/>
        </w:rPr>
      </w:pPr>
      <w:r w:rsidRPr="00E303DF">
        <w:rPr>
          <w:rFonts w:asciiTheme="majorHAnsi" w:hAnsiTheme="majorHAnsi" w:cstheme="majorHAnsi"/>
          <w:b/>
          <w:bCs/>
          <w:sz w:val="18"/>
          <w:szCs w:val="18"/>
        </w:rPr>
        <w:lastRenderedPageBreak/>
        <w:t>3.3 SYMBOL COMPREHENSION TEST RESULT</w:t>
      </w:r>
    </w:p>
    <w:p w14:paraId="02B78A06"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The results indicate a 29.78% increase in respondent comprehension levels after the introduction of new symbols. A comparison of respondent comprehension levels between existing and proposed symbols is presented in Table 2.</w:t>
      </w:r>
    </w:p>
    <w:tbl>
      <w:tblPr>
        <w:tblW w:w="0" w:type="auto"/>
        <w:jc w:val="center"/>
        <w:tblLook w:val="04A0" w:firstRow="1" w:lastRow="0" w:firstColumn="1" w:lastColumn="0" w:noHBand="0" w:noVBand="1"/>
      </w:tblPr>
      <w:tblGrid>
        <w:gridCol w:w="1794"/>
        <w:gridCol w:w="795"/>
        <w:gridCol w:w="790"/>
        <w:gridCol w:w="787"/>
        <w:gridCol w:w="864"/>
        <w:gridCol w:w="795"/>
        <w:gridCol w:w="790"/>
        <w:gridCol w:w="787"/>
        <w:gridCol w:w="864"/>
      </w:tblGrid>
      <w:tr w:rsidR="00E303DF" w:rsidRPr="00E303DF" w14:paraId="5DA0A36E" w14:textId="77777777">
        <w:trPr>
          <w:trHeight w:val="284"/>
          <w:jc w:val="center"/>
        </w:trPr>
        <w:tc>
          <w:tcPr>
            <w:tcW w:w="0" w:type="auto"/>
            <w:gridSpan w:val="9"/>
          </w:tcPr>
          <w:p w14:paraId="5636A806" w14:textId="77777777" w:rsidR="00E303DF" w:rsidRPr="00E303DF" w:rsidRDefault="00E303DF" w:rsidP="00E303DF">
            <w:pPr>
              <w:ind w:firstLine="284"/>
              <w:jc w:val="both"/>
              <w:rPr>
                <w:rFonts w:asciiTheme="majorHAnsi" w:hAnsiTheme="majorHAnsi" w:cstheme="majorHAnsi"/>
                <w:bCs/>
                <w:sz w:val="16"/>
                <w:szCs w:val="16"/>
                <w:lang w:val="id-ID"/>
              </w:rPr>
            </w:pPr>
          </w:p>
          <w:p w14:paraId="09D8CF98" w14:textId="77777777" w:rsidR="00E303DF" w:rsidRPr="00E303DF" w:rsidRDefault="00E303DF" w:rsidP="00E303DF">
            <w:pPr>
              <w:ind w:firstLine="284"/>
              <w:jc w:val="both"/>
              <w:rPr>
                <w:rFonts w:asciiTheme="majorHAnsi" w:hAnsiTheme="majorHAnsi" w:cstheme="majorHAnsi"/>
                <w:bCs/>
                <w:sz w:val="16"/>
                <w:szCs w:val="16"/>
                <w:lang w:val="id-ID"/>
              </w:rPr>
            </w:pPr>
            <w:r w:rsidRPr="00E303DF">
              <w:rPr>
                <w:rFonts w:asciiTheme="majorHAnsi" w:hAnsiTheme="majorHAnsi" w:cstheme="majorHAnsi"/>
                <w:bCs/>
                <w:sz w:val="16"/>
                <w:szCs w:val="16"/>
                <w:lang w:val="en-US"/>
              </w:rPr>
              <w:t>Table 2. Comparison of Symbols Comprehension Levels</w:t>
            </w:r>
          </w:p>
        </w:tc>
      </w:tr>
      <w:tr w:rsidR="00E303DF" w:rsidRPr="00E303DF" w14:paraId="69917977" w14:textId="77777777">
        <w:trPr>
          <w:trHeight w:val="85"/>
          <w:jc w:val="center"/>
        </w:trPr>
        <w:tc>
          <w:tcPr>
            <w:tcW w:w="0" w:type="auto"/>
            <w:tcBorders>
              <w:top w:val="single" w:sz="4" w:space="0" w:color="auto"/>
              <w:left w:val="nil"/>
              <w:bottom w:val="nil"/>
              <w:right w:val="nil"/>
            </w:tcBorders>
            <w:hideMark/>
          </w:tcPr>
          <w:p w14:paraId="76AA890D"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Signage</w:t>
            </w:r>
          </w:p>
        </w:tc>
        <w:tc>
          <w:tcPr>
            <w:tcW w:w="0" w:type="auto"/>
            <w:gridSpan w:val="4"/>
            <w:tcBorders>
              <w:top w:val="single" w:sz="4" w:space="0" w:color="auto"/>
              <w:left w:val="nil"/>
              <w:bottom w:val="nil"/>
              <w:right w:val="nil"/>
            </w:tcBorders>
            <w:hideMark/>
          </w:tcPr>
          <w:p w14:paraId="0758AC9D"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Existing Symbol</w:t>
            </w:r>
          </w:p>
        </w:tc>
        <w:tc>
          <w:tcPr>
            <w:tcW w:w="0" w:type="auto"/>
            <w:gridSpan w:val="4"/>
            <w:tcBorders>
              <w:top w:val="single" w:sz="4" w:space="0" w:color="auto"/>
              <w:left w:val="nil"/>
              <w:bottom w:val="nil"/>
              <w:right w:val="nil"/>
            </w:tcBorders>
            <w:hideMark/>
          </w:tcPr>
          <w:p w14:paraId="6FE2C44C"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Purposed Symbol</w:t>
            </w:r>
          </w:p>
        </w:tc>
      </w:tr>
      <w:tr w:rsidR="00E303DF" w:rsidRPr="00E303DF" w14:paraId="7370C89C" w14:textId="77777777">
        <w:trPr>
          <w:cantSplit/>
          <w:jc w:val="center"/>
        </w:trPr>
        <w:tc>
          <w:tcPr>
            <w:tcW w:w="0" w:type="auto"/>
            <w:tcBorders>
              <w:top w:val="single" w:sz="4" w:space="0" w:color="auto"/>
              <w:left w:val="nil"/>
              <w:bottom w:val="nil"/>
              <w:right w:val="nil"/>
            </w:tcBorders>
          </w:tcPr>
          <w:p w14:paraId="0CEDACC4" w14:textId="77777777" w:rsidR="00E303DF" w:rsidRPr="00E303DF" w:rsidRDefault="00E303DF" w:rsidP="00E303DF">
            <w:pPr>
              <w:ind w:firstLine="284"/>
              <w:jc w:val="both"/>
              <w:rPr>
                <w:rFonts w:asciiTheme="majorHAnsi" w:hAnsiTheme="majorHAnsi" w:cstheme="majorHAnsi"/>
                <w:bCs/>
                <w:sz w:val="16"/>
                <w:szCs w:val="16"/>
              </w:rPr>
            </w:pPr>
          </w:p>
        </w:tc>
        <w:tc>
          <w:tcPr>
            <w:tcW w:w="0" w:type="auto"/>
            <w:tcBorders>
              <w:top w:val="single" w:sz="4" w:space="0" w:color="auto"/>
              <w:left w:val="nil"/>
              <w:bottom w:val="nil"/>
              <w:right w:val="nil"/>
            </w:tcBorders>
            <w:hideMark/>
          </w:tcPr>
          <w:p w14:paraId="15098936" w14:textId="77777777" w:rsidR="00E303DF" w:rsidRPr="00E303DF" w:rsidRDefault="00E303DF" w:rsidP="00E303DF">
            <w:pPr>
              <w:ind w:firstLine="284"/>
              <w:jc w:val="both"/>
              <w:rPr>
                <w:rFonts w:asciiTheme="majorHAnsi" w:hAnsiTheme="majorHAnsi" w:cstheme="majorHAnsi"/>
                <w:bCs/>
                <w:sz w:val="16"/>
                <w:szCs w:val="16"/>
              </w:rPr>
            </w:pPr>
            <w:proofErr w:type="gramStart"/>
            <w:r w:rsidRPr="00E303DF">
              <w:rPr>
                <w:rFonts w:asciiTheme="majorHAnsi" w:hAnsiTheme="majorHAnsi" w:cstheme="majorHAnsi"/>
                <w:bCs/>
                <w:sz w:val="16"/>
                <w:szCs w:val="16"/>
              </w:rPr>
              <w:t>X(</w:t>
            </w:r>
            <w:proofErr w:type="gramEnd"/>
            <w:r w:rsidRPr="00E303DF">
              <w:rPr>
                <w:rFonts w:asciiTheme="majorHAnsi" w:hAnsiTheme="majorHAnsi" w:cstheme="majorHAnsi"/>
                <w:bCs/>
                <w:sz w:val="16"/>
                <w:szCs w:val="16"/>
              </w:rPr>
              <w:t>%)</w:t>
            </w:r>
          </w:p>
        </w:tc>
        <w:tc>
          <w:tcPr>
            <w:tcW w:w="0" w:type="auto"/>
            <w:tcBorders>
              <w:top w:val="single" w:sz="4" w:space="0" w:color="auto"/>
              <w:left w:val="nil"/>
              <w:bottom w:val="nil"/>
              <w:right w:val="nil"/>
            </w:tcBorders>
            <w:hideMark/>
          </w:tcPr>
          <w:p w14:paraId="29E1A453" w14:textId="77777777" w:rsidR="00E303DF" w:rsidRPr="00E303DF" w:rsidRDefault="00E303DF" w:rsidP="00E303DF">
            <w:pPr>
              <w:ind w:firstLine="284"/>
              <w:jc w:val="both"/>
              <w:rPr>
                <w:rFonts w:asciiTheme="majorHAnsi" w:hAnsiTheme="majorHAnsi" w:cstheme="majorHAnsi"/>
                <w:bCs/>
                <w:sz w:val="16"/>
                <w:szCs w:val="16"/>
              </w:rPr>
            </w:pPr>
            <w:proofErr w:type="gramStart"/>
            <w:r w:rsidRPr="00E303DF">
              <w:rPr>
                <w:rFonts w:asciiTheme="majorHAnsi" w:hAnsiTheme="majorHAnsi" w:cstheme="majorHAnsi"/>
                <w:bCs/>
                <w:sz w:val="16"/>
                <w:szCs w:val="16"/>
              </w:rPr>
              <w:t>Y(</w:t>
            </w:r>
            <w:proofErr w:type="gramEnd"/>
            <w:r w:rsidRPr="00E303DF">
              <w:rPr>
                <w:rFonts w:asciiTheme="majorHAnsi" w:hAnsiTheme="majorHAnsi" w:cstheme="majorHAnsi"/>
                <w:bCs/>
                <w:sz w:val="16"/>
                <w:szCs w:val="16"/>
              </w:rPr>
              <w:t>%)</w:t>
            </w:r>
          </w:p>
        </w:tc>
        <w:tc>
          <w:tcPr>
            <w:tcW w:w="0" w:type="auto"/>
            <w:tcBorders>
              <w:top w:val="single" w:sz="4" w:space="0" w:color="auto"/>
              <w:left w:val="nil"/>
              <w:bottom w:val="nil"/>
              <w:right w:val="nil"/>
            </w:tcBorders>
            <w:hideMark/>
          </w:tcPr>
          <w:p w14:paraId="5069D779" w14:textId="77777777" w:rsidR="00E303DF" w:rsidRPr="00E303DF" w:rsidRDefault="00E303DF" w:rsidP="00E303DF">
            <w:pPr>
              <w:ind w:firstLine="284"/>
              <w:jc w:val="both"/>
              <w:rPr>
                <w:rFonts w:asciiTheme="majorHAnsi" w:hAnsiTheme="majorHAnsi" w:cstheme="majorHAnsi"/>
                <w:bCs/>
                <w:sz w:val="16"/>
                <w:szCs w:val="16"/>
              </w:rPr>
            </w:pPr>
            <w:proofErr w:type="gramStart"/>
            <w:r w:rsidRPr="00E303DF">
              <w:rPr>
                <w:rFonts w:asciiTheme="majorHAnsi" w:hAnsiTheme="majorHAnsi" w:cstheme="majorHAnsi"/>
                <w:bCs/>
                <w:sz w:val="16"/>
                <w:szCs w:val="16"/>
              </w:rPr>
              <w:t>Z(</w:t>
            </w:r>
            <w:proofErr w:type="gramEnd"/>
            <w:r w:rsidRPr="00E303DF">
              <w:rPr>
                <w:rFonts w:asciiTheme="majorHAnsi" w:hAnsiTheme="majorHAnsi" w:cstheme="majorHAnsi"/>
                <w:bCs/>
                <w:sz w:val="16"/>
                <w:szCs w:val="16"/>
              </w:rPr>
              <w:t>%)</w:t>
            </w:r>
          </w:p>
        </w:tc>
        <w:tc>
          <w:tcPr>
            <w:tcW w:w="0" w:type="auto"/>
            <w:tcBorders>
              <w:top w:val="single" w:sz="4" w:space="0" w:color="auto"/>
              <w:left w:val="nil"/>
              <w:bottom w:val="nil"/>
              <w:right w:val="nil"/>
            </w:tcBorders>
            <w:hideMark/>
          </w:tcPr>
          <w:p w14:paraId="077C1633" w14:textId="77777777" w:rsidR="00E303DF" w:rsidRPr="00E303DF" w:rsidRDefault="00E303DF" w:rsidP="00E303DF">
            <w:pPr>
              <w:ind w:firstLine="284"/>
              <w:jc w:val="both"/>
              <w:rPr>
                <w:rFonts w:asciiTheme="majorHAnsi" w:hAnsiTheme="majorHAnsi" w:cstheme="majorHAnsi"/>
                <w:bCs/>
                <w:sz w:val="16"/>
                <w:szCs w:val="16"/>
              </w:rPr>
            </w:pPr>
            <w:proofErr w:type="gramStart"/>
            <w:r w:rsidRPr="00E303DF">
              <w:rPr>
                <w:rFonts w:asciiTheme="majorHAnsi" w:hAnsiTheme="majorHAnsi" w:cstheme="majorHAnsi"/>
                <w:bCs/>
                <w:sz w:val="16"/>
                <w:szCs w:val="16"/>
              </w:rPr>
              <w:t>CL(</w:t>
            </w:r>
            <w:proofErr w:type="gramEnd"/>
            <w:r w:rsidRPr="00E303DF">
              <w:rPr>
                <w:rFonts w:asciiTheme="majorHAnsi" w:hAnsiTheme="majorHAnsi" w:cstheme="majorHAnsi"/>
                <w:bCs/>
                <w:sz w:val="16"/>
                <w:szCs w:val="16"/>
              </w:rPr>
              <w:t>%)</w:t>
            </w:r>
          </w:p>
        </w:tc>
        <w:tc>
          <w:tcPr>
            <w:tcW w:w="0" w:type="auto"/>
            <w:tcBorders>
              <w:top w:val="single" w:sz="4" w:space="0" w:color="auto"/>
              <w:left w:val="nil"/>
              <w:bottom w:val="nil"/>
              <w:right w:val="nil"/>
            </w:tcBorders>
            <w:hideMark/>
          </w:tcPr>
          <w:p w14:paraId="3E6C62D1" w14:textId="77777777" w:rsidR="00E303DF" w:rsidRPr="00E303DF" w:rsidRDefault="00E303DF" w:rsidP="00E303DF">
            <w:pPr>
              <w:ind w:firstLine="284"/>
              <w:jc w:val="both"/>
              <w:rPr>
                <w:rFonts w:asciiTheme="majorHAnsi" w:hAnsiTheme="majorHAnsi" w:cstheme="majorHAnsi"/>
                <w:bCs/>
                <w:sz w:val="16"/>
                <w:szCs w:val="16"/>
              </w:rPr>
            </w:pPr>
            <w:proofErr w:type="gramStart"/>
            <w:r w:rsidRPr="00E303DF">
              <w:rPr>
                <w:rFonts w:asciiTheme="majorHAnsi" w:hAnsiTheme="majorHAnsi" w:cstheme="majorHAnsi"/>
                <w:bCs/>
                <w:sz w:val="16"/>
                <w:szCs w:val="16"/>
              </w:rPr>
              <w:t>X(</w:t>
            </w:r>
            <w:proofErr w:type="gramEnd"/>
            <w:r w:rsidRPr="00E303DF">
              <w:rPr>
                <w:rFonts w:asciiTheme="majorHAnsi" w:hAnsiTheme="majorHAnsi" w:cstheme="majorHAnsi"/>
                <w:bCs/>
                <w:sz w:val="16"/>
                <w:szCs w:val="16"/>
              </w:rPr>
              <w:t>%)</w:t>
            </w:r>
          </w:p>
        </w:tc>
        <w:tc>
          <w:tcPr>
            <w:tcW w:w="0" w:type="auto"/>
            <w:tcBorders>
              <w:top w:val="single" w:sz="4" w:space="0" w:color="auto"/>
              <w:left w:val="nil"/>
              <w:bottom w:val="nil"/>
              <w:right w:val="nil"/>
            </w:tcBorders>
            <w:hideMark/>
          </w:tcPr>
          <w:p w14:paraId="5F17BFEB" w14:textId="77777777" w:rsidR="00E303DF" w:rsidRPr="00E303DF" w:rsidRDefault="00E303DF" w:rsidP="00E303DF">
            <w:pPr>
              <w:ind w:firstLine="284"/>
              <w:jc w:val="both"/>
              <w:rPr>
                <w:rFonts w:asciiTheme="majorHAnsi" w:hAnsiTheme="majorHAnsi" w:cstheme="majorHAnsi"/>
                <w:bCs/>
                <w:sz w:val="16"/>
                <w:szCs w:val="16"/>
              </w:rPr>
            </w:pPr>
            <w:proofErr w:type="gramStart"/>
            <w:r w:rsidRPr="00E303DF">
              <w:rPr>
                <w:rFonts w:asciiTheme="majorHAnsi" w:hAnsiTheme="majorHAnsi" w:cstheme="majorHAnsi"/>
                <w:bCs/>
                <w:sz w:val="16"/>
                <w:szCs w:val="16"/>
              </w:rPr>
              <w:t>Y(</w:t>
            </w:r>
            <w:proofErr w:type="gramEnd"/>
            <w:r w:rsidRPr="00E303DF">
              <w:rPr>
                <w:rFonts w:asciiTheme="majorHAnsi" w:hAnsiTheme="majorHAnsi" w:cstheme="majorHAnsi"/>
                <w:bCs/>
                <w:sz w:val="16"/>
                <w:szCs w:val="16"/>
              </w:rPr>
              <w:t>%)</w:t>
            </w:r>
          </w:p>
        </w:tc>
        <w:tc>
          <w:tcPr>
            <w:tcW w:w="0" w:type="auto"/>
            <w:tcBorders>
              <w:top w:val="single" w:sz="4" w:space="0" w:color="auto"/>
              <w:left w:val="nil"/>
              <w:bottom w:val="nil"/>
              <w:right w:val="nil"/>
            </w:tcBorders>
            <w:hideMark/>
          </w:tcPr>
          <w:p w14:paraId="2D2A8BF7" w14:textId="77777777" w:rsidR="00E303DF" w:rsidRPr="00E303DF" w:rsidRDefault="00E303DF" w:rsidP="00E303DF">
            <w:pPr>
              <w:ind w:firstLine="284"/>
              <w:jc w:val="both"/>
              <w:rPr>
                <w:rFonts w:asciiTheme="majorHAnsi" w:hAnsiTheme="majorHAnsi" w:cstheme="majorHAnsi"/>
                <w:bCs/>
                <w:sz w:val="16"/>
                <w:szCs w:val="16"/>
              </w:rPr>
            </w:pPr>
            <w:proofErr w:type="gramStart"/>
            <w:r w:rsidRPr="00E303DF">
              <w:rPr>
                <w:rFonts w:asciiTheme="majorHAnsi" w:hAnsiTheme="majorHAnsi" w:cstheme="majorHAnsi"/>
                <w:bCs/>
                <w:sz w:val="16"/>
                <w:szCs w:val="16"/>
              </w:rPr>
              <w:t>Z(</w:t>
            </w:r>
            <w:proofErr w:type="gramEnd"/>
            <w:r w:rsidRPr="00E303DF">
              <w:rPr>
                <w:rFonts w:asciiTheme="majorHAnsi" w:hAnsiTheme="majorHAnsi" w:cstheme="majorHAnsi"/>
                <w:bCs/>
                <w:sz w:val="16"/>
                <w:szCs w:val="16"/>
              </w:rPr>
              <w:t>%)</w:t>
            </w:r>
          </w:p>
        </w:tc>
        <w:tc>
          <w:tcPr>
            <w:tcW w:w="0" w:type="auto"/>
            <w:tcBorders>
              <w:top w:val="single" w:sz="4" w:space="0" w:color="auto"/>
              <w:left w:val="nil"/>
              <w:bottom w:val="nil"/>
              <w:right w:val="nil"/>
            </w:tcBorders>
            <w:hideMark/>
          </w:tcPr>
          <w:p w14:paraId="5448444B" w14:textId="77777777" w:rsidR="00E303DF" w:rsidRPr="00E303DF" w:rsidRDefault="00E303DF" w:rsidP="00E303DF">
            <w:pPr>
              <w:ind w:firstLine="284"/>
              <w:jc w:val="both"/>
              <w:rPr>
                <w:rFonts w:asciiTheme="majorHAnsi" w:hAnsiTheme="majorHAnsi" w:cstheme="majorHAnsi"/>
                <w:bCs/>
                <w:sz w:val="16"/>
                <w:szCs w:val="16"/>
              </w:rPr>
            </w:pPr>
            <w:proofErr w:type="gramStart"/>
            <w:r w:rsidRPr="00E303DF">
              <w:rPr>
                <w:rFonts w:asciiTheme="majorHAnsi" w:hAnsiTheme="majorHAnsi" w:cstheme="majorHAnsi"/>
                <w:bCs/>
                <w:sz w:val="16"/>
                <w:szCs w:val="16"/>
              </w:rPr>
              <w:t>CL(</w:t>
            </w:r>
            <w:proofErr w:type="gramEnd"/>
            <w:r w:rsidRPr="00E303DF">
              <w:rPr>
                <w:rFonts w:asciiTheme="majorHAnsi" w:hAnsiTheme="majorHAnsi" w:cstheme="majorHAnsi"/>
                <w:bCs/>
                <w:sz w:val="16"/>
                <w:szCs w:val="16"/>
              </w:rPr>
              <w:t>%)</w:t>
            </w:r>
          </w:p>
        </w:tc>
      </w:tr>
      <w:tr w:rsidR="00E303DF" w:rsidRPr="00E303DF" w14:paraId="207AE575" w14:textId="77777777">
        <w:trPr>
          <w:jc w:val="center"/>
        </w:trPr>
        <w:tc>
          <w:tcPr>
            <w:tcW w:w="0" w:type="auto"/>
            <w:hideMark/>
          </w:tcPr>
          <w:p w14:paraId="48CD00EE"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Toilet</w:t>
            </w:r>
          </w:p>
        </w:tc>
        <w:tc>
          <w:tcPr>
            <w:tcW w:w="0" w:type="auto"/>
            <w:hideMark/>
          </w:tcPr>
          <w:p w14:paraId="7BA998D4"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13,3</w:t>
            </w:r>
          </w:p>
        </w:tc>
        <w:tc>
          <w:tcPr>
            <w:tcW w:w="0" w:type="auto"/>
            <w:hideMark/>
          </w:tcPr>
          <w:p w14:paraId="3458EC36"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526A9C5F"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86,7</w:t>
            </w:r>
          </w:p>
        </w:tc>
        <w:tc>
          <w:tcPr>
            <w:tcW w:w="0" w:type="auto"/>
            <w:hideMark/>
          </w:tcPr>
          <w:p w14:paraId="5EFDD0A9"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13,3</w:t>
            </w:r>
          </w:p>
        </w:tc>
        <w:tc>
          <w:tcPr>
            <w:tcW w:w="0" w:type="auto"/>
            <w:hideMark/>
          </w:tcPr>
          <w:p w14:paraId="4A3ACFAA"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46,7</w:t>
            </w:r>
          </w:p>
        </w:tc>
        <w:tc>
          <w:tcPr>
            <w:tcW w:w="0" w:type="auto"/>
            <w:hideMark/>
          </w:tcPr>
          <w:p w14:paraId="4D3D98A7"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4F162E16"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13,3</w:t>
            </w:r>
          </w:p>
        </w:tc>
        <w:tc>
          <w:tcPr>
            <w:tcW w:w="0" w:type="auto"/>
            <w:hideMark/>
          </w:tcPr>
          <w:p w14:paraId="20F2DFA8"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66,7</w:t>
            </w:r>
          </w:p>
        </w:tc>
      </w:tr>
      <w:tr w:rsidR="00E303DF" w:rsidRPr="00E303DF" w14:paraId="0A12B81E" w14:textId="77777777">
        <w:trPr>
          <w:jc w:val="center"/>
        </w:trPr>
        <w:tc>
          <w:tcPr>
            <w:tcW w:w="0" w:type="auto"/>
            <w:hideMark/>
          </w:tcPr>
          <w:p w14:paraId="25C1808A"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Toilet Disabilities</w:t>
            </w:r>
          </w:p>
        </w:tc>
        <w:tc>
          <w:tcPr>
            <w:tcW w:w="0" w:type="auto"/>
            <w:hideMark/>
          </w:tcPr>
          <w:p w14:paraId="0B6CE91B"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13,3</w:t>
            </w:r>
          </w:p>
        </w:tc>
        <w:tc>
          <w:tcPr>
            <w:tcW w:w="0" w:type="auto"/>
            <w:hideMark/>
          </w:tcPr>
          <w:p w14:paraId="6C376269"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23C7396D"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86,7</w:t>
            </w:r>
          </w:p>
        </w:tc>
        <w:tc>
          <w:tcPr>
            <w:tcW w:w="0" w:type="auto"/>
            <w:hideMark/>
          </w:tcPr>
          <w:p w14:paraId="2CF2D800"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13,3</w:t>
            </w:r>
          </w:p>
        </w:tc>
        <w:tc>
          <w:tcPr>
            <w:tcW w:w="0" w:type="auto"/>
            <w:hideMark/>
          </w:tcPr>
          <w:p w14:paraId="7B5543D3"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40,0</w:t>
            </w:r>
          </w:p>
        </w:tc>
        <w:tc>
          <w:tcPr>
            <w:tcW w:w="0" w:type="auto"/>
            <w:hideMark/>
          </w:tcPr>
          <w:p w14:paraId="1117EEF7"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46,7</w:t>
            </w:r>
          </w:p>
        </w:tc>
        <w:tc>
          <w:tcPr>
            <w:tcW w:w="0" w:type="auto"/>
            <w:hideMark/>
          </w:tcPr>
          <w:p w14:paraId="5E373034"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13,3</w:t>
            </w:r>
          </w:p>
        </w:tc>
        <w:tc>
          <w:tcPr>
            <w:tcW w:w="0" w:type="auto"/>
            <w:hideMark/>
          </w:tcPr>
          <w:p w14:paraId="064116C2"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63,3</w:t>
            </w:r>
          </w:p>
        </w:tc>
      </w:tr>
      <w:tr w:rsidR="00E303DF" w:rsidRPr="00E303DF" w14:paraId="0FC8ED77" w14:textId="77777777">
        <w:trPr>
          <w:jc w:val="center"/>
        </w:trPr>
        <w:tc>
          <w:tcPr>
            <w:tcW w:w="0" w:type="auto"/>
            <w:hideMark/>
          </w:tcPr>
          <w:p w14:paraId="0B2E0DC0"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Ablution</w:t>
            </w:r>
          </w:p>
        </w:tc>
        <w:tc>
          <w:tcPr>
            <w:tcW w:w="0" w:type="auto"/>
            <w:hideMark/>
          </w:tcPr>
          <w:p w14:paraId="00D230BB"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66,7</w:t>
            </w:r>
          </w:p>
        </w:tc>
        <w:tc>
          <w:tcPr>
            <w:tcW w:w="0" w:type="auto"/>
            <w:hideMark/>
          </w:tcPr>
          <w:p w14:paraId="1AA42F55"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6,7</w:t>
            </w:r>
          </w:p>
        </w:tc>
        <w:tc>
          <w:tcPr>
            <w:tcW w:w="0" w:type="auto"/>
            <w:hideMark/>
          </w:tcPr>
          <w:p w14:paraId="27B8889A"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26,7</w:t>
            </w:r>
          </w:p>
        </w:tc>
        <w:tc>
          <w:tcPr>
            <w:tcW w:w="0" w:type="auto"/>
            <w:hideMark/>
          </w:tcPr>
          <w:p w14:paraId="6D5D4E2D"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100</w:t>
            </w:r>
          </w:p>
        </w:tc>
        <w:tc>
          <w:tcPr>
            <w:tcW w:w="0" w:type="auto"/>
            <w:hideMark/>
          </w:tcPr>
          <w:p w14:paraId="2F8D0ED2"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100</w:t>
            </w:r>
          </w:p>
        </w:tc>
        <w:tc>
          <w:tcPr>
            <w:tcW w:w="0" w:type="auto"/>
            <w:hideMark/>
          </w:tcPr>
          <w:p w14:paraId="517E50E6"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75F273C0"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714F71AD"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100</w:t>
            </w:r>
          </w:p>
        </w:tc>
      </w:tr>
      <w:tr w:rsidR="00E303DF" w:rsidRPr="00E303DF" w14:paraId="484D949D" w14:textId="77777777">
        <w:trPr>
          <w:jc w:val="center"/>
        </w:trPr>
        <w:tc>
          <w:tcPr>
            <w:tcW w:w="0" w:type="auto"/>
            <w:hideMark/>
          </w:tcPr>
          <w:p w14:paraId="2A4AAC33"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Ablution Disabilities</w:t>
            </w:r>
          </w:p>
        </w:tc>
        <w:tc>
          <w:tcPr>
            <w:tcW w:w="0" w:type="auto"/>
            <w:hideMark/>
          </w:tcPr>
          <w:p w14:paraId="0DBCDC53"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NA</w:t>
            </w:r>
          </w:p>
        </w:tc>
        <w:tc>
          <w:tcPr>
            <w:tcW w:w="0" w:type="auto"/>
            <w:hideMark/>
          </w:tcPr>
          <w:p w14:paraId="215D0DAF"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NA</w:t>
            </w:r>
          </w:p>
        </w:tc>
        <w:tc>
          <w:tcPr>
            <w:tcW w:w="0" w:type="auto"/>
            <w:hideMark/>
          </w:tcPr>
          <w:p w14:paraId="09E2A887"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NA</w:t>
            </w:r>
          </w:p>
        </w:tc>
        <w:tc>
          <w:tcPr>
            <w:tcW w:w="0" w:type="auto"/>
            <w:hideMark/>
          </w:tcPr>
          <w:p w14:paraId="5767EE20"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NA</w:t>
            </w:r>
          </w:p>
        </w:tc>
        <w:tc>
          <w:tcPr>
            <w:tcW w:w="0" w:type="auto"/>
            <w:hideMark/>
          </w:tcPr>
          <w:p w14:paraId="49272C79"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100</w:t>
            </w:r>
          </w:p>
        </w:tc>
        <w:tc>
          <w:tcPr>
            <w:tcW w:w="0" w:type="auto"/>
            <w:hideMark/>
          </w:tcPr>
          <w:p w14:paraId="7EE1F88B"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3E08DD7D"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7525DAF3"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100</w:t>
            </w:r>
          </w:p>
        </w:tc>
      </w:tr>
      <w:tr w:rsidR="00E303DF" w:rsidRPr="00E303DF" w14:paraId="39B15198" w14:textId="77777777">
        <w:trPr>
          <w:jc w:val="center"/>
        </w:trPr>
        <w:tc>
          <w:tcPr>
            <w:tcW w:w="0" w:type="auto"/>
            <w:hideMark/>
          </w:tcPr>
          <w:p w14:paraId="634B1A15"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Prayer Hall</w:t>
            </w:r>
          </w:p>
        </w:tc>
        <w:tc>
          <w:tcPr>
            <w:tcW w:w="0" w:type="auto"/>
            <w:hideMark/>
          </w:tcPr>
          <w:p w14:paraId="533489AB"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100</w:t>
            </w:r>
          </w:p>
        </w:tc>
        <w:tc>
          <w:tcPr>
            <w:tcW w:w="0" w:type="auto"/>
            <w:hideMark/>
          </w:tcPr>
          <w:p w14:paraId="2192507F"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0526D6C8"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3E0A6470"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100</w:t>
            </w:r>
          </w:p>
        </w:tc>
        <w:tc>
          <w:tcPr>
            <w:tcW w:w="0" w:type="auto"/>
            <w:hideMark/>
          </w:tcPr>
          <w:p w14:paraId="2FBBF5DA"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100</w:t>
            </w:r>
          </w:p>
        </w:tc>
        <w:tc>
          <w:tcPr>
            <w:tcW w:w="0" w:type="auto"/>
            <w:hideMark/>
          </w:tcPr>
          <w:p w14:paraId="58D38BE1"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46AA0EDB"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0,0</w:t>
            </w:r>
          </w:p>
        </w:tc>
        <w:tc>
          <w:tcPr>
            <w:tcW w:w="0" w:type="auto"/>
            <w:hideMark/>
          </w:tcPr>
          <w:p w14:paraId="0508B26A"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100</w:t>
            </w:r>
          </w:p>
        </w:tc>
      </w:tr>
      <w:tr w:rsidR="00E303DF" w:rsidRPr="00E303DF" w14:paraId="63D571A3" w14:textId="77777777">
        <w:trPr>
          <w:jc w:val="center"/>
        </w:trPr>
        <w:tc>
          <w:tcPr>
            <w:tcW w:w="0" w:type="auto"/>
            <w:tcBorders>
              <w:top w:val="nil"/>
              <w:left w:val="nil"/>
              <w:bottom w:val="single" w:sz="4" w:space="0" w:color="auto"/>
              <w:right w:val="nil"/>
            </w:tcBorders>
            <w:hideMark/>
          </w:tcPr>
          <w:p w14:paraId="6293F9D3"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Purity Boundaries</w:t>
            </w:r>
          </w:p>
        </w:tc>
        <w:tc>
          <w:tcPr>
            <w:tcW w:w="0" w:type="auto"/>
            <w:tcBorders>
              <w:top w:val="nil"/>
              <w:left w:val="nil"/>
              <w:bottom w:val="single" w:sz="4" w:space="0" w:color="auto"/>
              <w:right w:val="nil"/>
            </w:tcBorders>
            <w:hideMark/>
          </w:tcPr>
          <w:p w14:paraId="61E40A0A"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60,0</w:t>
            </w:r>
          </w:p>
        </w:tc>
        <w:tc>
          <w:tcPr>
            <w:tcW w:w="0" w:type="auto"/>
            <w:tcBorders>
              <w:top w:val="nil"/>
              <w:left w:val="nil"/>
              <w:bottom w:val="single" w:sz="4" w:space="0" w:color="auto"/>
              <w:right w:val="nil"/>
            </w:tcBorders>
            <w:hideMark/>
          </w:tcPr>
          <w:p w14:paraId="0461FB2D"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33,3</w:t>
            </w:r>
          </w:p>
        </w:tc>
        <w:tc>
          <w:tcPr>
            <w:tcW w:w="0" w:type="auto"/>
            <w:tcBorders>
              <w:top w:val="nil"/>
              <w:left w:val="nil"/>
              <w:bottom w:val="single" w:sz="4" w:space="0" w:color="auto"/>
              <w:right w:val="nil"/>
            </w:tcBorders>
            <w:hideMark/>
          </w:tcPr>
          <w:p w14:paraId="3DEDA326"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6,7</w:t>
            </w:r>
          </w:p>
        </w:tc>
        <w:tc>
          <w:tcPr>
            <w:tcW w:w="0" w:type="auto"/>
            <w:tcBorders>
              <w:top w:val="nil"/>
              <w:left w:val="nil"/>
              <w:bottom w:val="single" w:sz="4" w:space="0" w:color="auto"/>
              <w:right w:val="nil"/>
            </w:tcBorders>
            <w:hideMark/>
          </w:tcPr>
          <w:p w14:paraId="6098AC50"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76,7</w:t>
            </w:r>
          </w:p>
        </w:tc>
        <w:tc>
          <w:tcPr>
            <w:tcW w:w="0" w:type="auto"/>
            <w:tcBorders>
              <w:top w:val="nil"/>
              <w:left w:val="nil"/>
              <w:bottom w:val="single" w:sz="4" w:space="0" w:color="auto"/>
              <w:right w:val="nil"/>
            </w:tcBorders>
            <w:hideMark/>
          </w:tcPr>
          <w:p w14:paraId="5C176C27"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73,3</w:t>
            </w:r>
          </w:p>
        </w:tc>
        <w:tc>
          <w:tcPr>
            <w:tcW w:w="0" w:type="auto"/>
            <w:tcBorders>
              <w:top w:val="nil"/>
              <w:left w:val="nil"/>
              <w:bottom w:val="single" w:sz="4" w:space="0" w:color="auto"/>
              <w:right w:val="nil"/>
            </w:tcBorders>
            <w:hideMark/>
          </w:tcPr>
          <w:p w14:paraId="099CEE03"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6,7</w:t>
            </w:r>
          </w:p>
        </w:tc>
        <w:tc>
          <w:tcPr>
            <w:tcW w:w="0" w:type="auto"/>
            <w:tcBorders>
              <w:top w:val="nil"/>
              <w:left w:val="nil"/>
              <w:bottom w:val="single" w:sz="4" w:space="0" w:color="auto"/>
              <w:right w:val="nil"/>
            </w:tcBorders>
            <w:hideMark/>
          </w:tcPr>
          <w:p w14:paraId="64639466"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20,0</w:t>
            </w:r>
          </w:p>
        </w:tc>
        <w:tc>
          <w:tcPr>
            <w:tcW w:w="0" w:type="auto"/>
            <w:tcBorders>
              <w:top w:val="nil"/>
              <w:left w:val="nil"/>
              <w:bottom w:val="single" w:sz="4" w:space="0" w:color="auto"/>
              <w:right w:val="nil"/>
            </w:tcBorders>
            <w:hideMark/>
          </w:tcPr>
          <w:p w14:paraId="5B40E671" w14:textId="77777777" w:rsidR="00E303DF" w:rsidRPr="00E303DF" w:rsidRDefault="00E303DF" w:rsidP="00E303DF">
            <w:pPr>
              <w:ind w:firstLine="284"/>
              <w:jc w:val="both"/>
              <w:rPr>
                <w:rFonts w:asciiTheme="majorHAnsi" w:hAnsiTheme="majorHAnsi" w:cstheme="majorHAnsi"/>
                <w:bCs/>
                <w:sz w:val="16"/>
                <w:szCs w:val="16"/>
              </w:rPr>
            </w:pPr>
            <w:r w:rsidRPr="00E303DF">
              <w:rPr>
                <w:rFonts w:asciiTheme="majorHAnsi" w:hAnsiTheme="majorHAnsi" w:cstheme="majorHAnsi"/>
                <w:bCs/>
                <w:sz w:val="16"/>
                <w:szCs w:val="16"/>
              </w:rPr>
              <w:t>76,7</w:t>
            </w:r>
          </w:p>
        </w:tc>
      </w:tr>
    </w:tbl>
    <w:p w14:paraId="0E756C55"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 xml:space="preserve">* </w:t>
      </w:r>
      <w:proofErr w:type="gramStart"/>
      <w:r w:rsidRPr="00E303DF">
        <w:rPr>
          <w:rFonts w:asciiTheme="majorHAnsi" w:hAnsiTheme="majorHAnsi" w:cstheme="majorHAnsi"/>
          <w:sz w:val="16"/>
          <w:szCs w:val="16"/>
        </w:rPr>
        <w:t>X(</w:t>
      </w:r>
      <w:proofErr w:type="gramEnd"/>
      <w:r w:rsidRPr="00E303DF">
        <w:rPr>
          <w:rFonts w:asciiTheme="majorHAnsi" w:hAnsiTheme="majorHAnsi" w:cstheme="majorHAnsi"/>
          <w:sz w:val="16"/>
          <w:szCs w:val="16"/>
        </w:rPr>
        <w:t xml:space="preserve">Correct Answer), </w:t>
      </w:r>
      <w:proofErr w:type="gramStart"/>
      <w:r w:rsidRPr="00E303DF">
        <w:rPr>
          <w:rFonts w:asciiTheme="majorHAnsi" w:hAnsiTheme="majorHAnsi" w:cstheme="majorHAnsi"/>
          <w:sz w:val="16"/>
          <w:szCs w:val="16"/>
        </w:rPr>
        <w:t>Y(</w:t>
      </w:r>
      <w:proofErr w:type="gramEnd"/>
      <w:r w:rsidRPr="00E303DF">
        <w:rPr>
          <w:rFonts w:asciiTheme="majorHAnsi" w:hAnsiTheme="majorHAnsi" w:cstheme="majorHAnsi"/>
          <w:sz w:val="16"/>
          <w:szCs w:val="16"/>
        </w:rPr>
        <w:t xml:space="preserve">Partially Correct), </w:t>
      </w:r>
      <w:proofErr w:type="gramStart"/>
      <w:r w:rsidRPr="00E303DF">
        <w:rPr>
          <w:rFonts w:asciiTheme="majorHAnsi" w:hAnsiTheme="majorHAnsi" w:cstheme="majorHAnsi"/>
          <w:sz w:val="16"/>
          <w:szCs w:val="16"/>
        </w:rPr>
        <w:t>Z(</w:t>
      </w:r>
      <w:proofErr w:type="gramEnd"/>
      <w:r w:rsidRPr="00E303DF">
        <w:rPr>
          <w:rFonts w:asciiTheme="majorHAnsi" w:hAnsiTheme="majorHAnsi" w:cstheme="majorHAnsi"/>
          <w:sz w:val="16"/>
          <w:szCs w:val="16"/>
        </w:rPr>
        <w:t xml:space="preserve">False Answer), </w:t>
      </w:r>
      <w:proofErr w:type="gramStart"/>
      <w:r w:rsidRPr="00E303DF">
        <w:rPr>
          <w:rFonts w:asciiTheme="majorHAnsi" w:hAnsiTheme="majorHAnsi" w:cstheme="majorHAnsi"/>
          <w:sz w:val="16"/>
          <w:szCs w:val="16"/>
        </w:rPr>
        <w:t>CL(</w:t>
      </w:r>
      <w:proofErr w:type="gramEnd"/>
      <w:r w:rsidRPr="00E303DF">
        <w:rPr>
          <w:rFonts w:asciiTheme="majorHAnsi" w:hAnsiTheme="majorHAnsi" w:cstheme="majorHAnsi"/>
          <w:sz w:val="16"/>
          <w:szCs w:val="16"/>
        </w:rPr>
        <w:t>Comprehension Level)</w:t>
      </w:r>
    </w:p>
    <w:p w14:paraId="49C9C4DB"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b/>
          <w:bCs/>
          <w:sz w:val="16"/>
          <w:szCs w:val="16"/>
        </w:rPr>
        <w:t>*</w:t>
      </w:r>
      <w:r w:rsidRPr="00E303DF">
        <w:rPr>
          <w:rFonts w:asciiTheme="majorHAnsi" w:hAnsiTheme="majorHAnsi" w:cstheme="majorHAnsi"/>
          <w:sz w:val="16"/>
          <w:szCs w:val="16"/>
        </w:rPr>
        <w:t xml:space="preserve"> NA (No Symbol Available)</w:t>
      </w:r>
    </w:p>
    <w:p w14:paraId="5C91E671" w14:textId="77777777" w:rsidR="00E303DF" w:rsidRPr="00E303DF" w:rsidRDefault="00E303DF" w:rsidP="00E303DF">
      <w:pPr>
        <w:ind w:firstLine="284"/>
        <w:jc w:val="both"/>
        <w:rPr>
          <w:rFonts w:ascii="Calibri Light" w:hAnsi="Calibri Light" w:cs="Calibri Light"/>
          <w:sz w:val="20"/>
          <w:szCs w:val="20"/>
        </w:rPr>
      </w:pPr>
    </w:p>
    <w:p w14:paraId="64425191"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 xml:space="preserve">The results of the familiarity, compatibility, and standardization tests indicate a positive correlation between comprehension level and the application of ergonomic principles in signage design. The more symbols are designed with ergonomic principles in mind, the more likely they are to improve user comprehension </w:t>
      </w:r>
      <w:r w:rsidRPr="00E303DF">
        <w:rPr>
          <w:rFonts w:ascii="Calibri Light" w:hAnsi="Calibri Light" w:cs="Calibri Light"/>
          <w:sz w:val="20"/>
          <w:szCs w:val="20"/>
        </w:rPr>
        <w:fldChar w:fldCharType="begin" w:fldLock="1"/>
      </w:r>
      <w:r w:rsidRPr="00E303DF">
        <w:rPr>
          <w:rFonts w:ascii="Calibri Light" w:hAnsi="Calibri Light" w:cs="Calibri Light"/>
          <w:sz w:val="20"/>
          <w:szCs w:val="20"/>
        </w:rPr>
        <w:instrText>ADDIN CSL_CITATION {"citationItems":[{"id":"ITEM-1","itemData":{"DOI":"10.1016/j.apergo.2021.103410","ISSN":"18729126","PMID":"33714727","abstract":"People visiting different Government Hospitals at Jabalpur in central India, were facing problems in comprehending different symbols. One of such hospital authority approached the research team for developing new symbols which could be easily comprehended by the users. Based on this, the current study was conducted, which included two experiments. The first experiment dealt with the ergonomic evaluation and identification of problems associated with the existing symbols. New concepts were then developed based on Ergonomic principles and users’ feedback. The second experiment focused upon testing of the new concepts on the target users. Results of Experiment 1 indicated that the mean comprehension level was 22.3% for all the existing symbols (n = 41). Low scores (on a scale of 1–10) were found for the existing symbol for ergonomic principles (mean value was 1.9 for Compatibility, 2.1 for Familiarity, and 2.0 for Standardisation). Redesigned concepts of the symbols were tested on the target users, the result indicated an improvement in comprehensibility of newly designed symbols. The mean comprehension level for 53 new/redesigned symbols was 70.2%, which included redesign of 41 orignal and inclusion of 12 new symbols. High scores (on a scale of 1–10) were received for all the new symbols for ergonomic principles (the mean value was 8.4 for Compatibility, 8.5 for Familiarity, and 8.5 for Standardisation). Findings of this study may be helpful for the researchers working in the domain of information ergonomics in space related to healthcare sector or similar areas.","author":[{"dropping-particle":"","family":"Patel","given":"Gaurav","non-dropping-particle":"","parse-names":false,"suffix":""},{"dropping-particle":"","family":"Mukhopadhyay","given":"Prabir","non-dropping-particle":"","parse-names":false,"suffix":""}],"container-title":"Applied Ergonomics","id":"ITEM-1","issue":"November 2019","issued":{"date-parts":[["2021"]]},"page":"103410","publisher":"Elsevier Ltd","title":"Ergonomic analysis and design intervention in symbols used in hospitals in central India","type":"article-journal","volume":"94"},"uris":["http://www.mendeley.com/documents/?uuid=6eabc034-11f2-44d1-aa8b-ce4f2e3cae24"]}],"mendeley":{"formattedCitation":"[8]","plainTextFormattedCitation":"[8]","previouslyFormattedCitation":"[8]"},"properties":{"noteIndex":0},"schema":"https://github.com/citation-style-language/schema/raw/master/csl-citation.json"}</w:instrText>
      </w:r>
      <w:r w:rsidRPr="00E303DF">
        <w:rPr>
          <w:rFonts w:ascii="Calibri Light" w:hAnsi="Calibri Light" w:cs="Calibri Light"/>
          <w:sz w:val="20"/>
          <w:szCs w:val="20"/>
        </w:rPr>
        <w:fldChar w:fldCharType="separate"/>
      </w:r>
      <w:r w:rsidRPr="00E303DF">
        <w:rPr>
          <w:rFonts w:ascii="Calibri Light" w:hAnsi="Calibri Light" w:cs="Calibri Light"/>
          <w:sz w:val="20"/>
          <w:szCs w:val="20"/>
        </w:rPr>
        <w:t>[8]</w:t>
      </w:r>
      <w:r w:rsidRPr="00E303DF">
        <w:rPr>
          <w:rFonts w:ascii="Calibri Light" w:hAnsi="Calibri Light" w:cs="Calibri Light"/>
          <w:sz w:val="20"/>
          <w:szCs w:val="20"/>
        </w:rPr>
        <w:fldChar w:fldCharType="end"/>
      </w:r>
      <w:r w:rsidRPr="00E303DF">
        <w:rPr>
          <w:rFonts w:ascii="Calibri Light" w:hAnsi="Calibri Light" w:cs="Calibri Light"/>
          <w:sz w:val="20"/>
          <w:szCs w:val="20"/>
        </w:rPr>
        <w:t>. The relationship between comprehension level and ergonomic principles is illustrated in Figure 8.</w:t>
      </w:r>
    </w:p>
    <w:p w14:paraId="5F4023AE" w14:textId="77777777" w:rsidR="00E303DF" w:rsidRPr="00E303DF" w:rsidRDefault="00E303DF" w:rsidP="00E303DF">
      <w:pPr>
        <w:ind w:firstLine="284"/>
        <w:jc w:val="both"/>
        <w:rPr>
          <w:rFonts w:ascii="Calibri Light" w:hAnsi="Calibri Light" w:cs="Calibri Light"/>
          <w:sz w:val="20"/>
          <w:szCs w:val="20"/>
        </w:rPr>
      </w:pPr>
    </w:p>
    <w:p w14:paraId="3AA5BBA7" w14:textId="2444F38B" w:rsidR="00E303DF" w:rsidRPr="00E303DF" w:rsidRDefault="00E303DF" w:rsidP="00E303DF">
      <w:pPr>
        <w:ind w:firstLine="284"/>
        <w:jc w:val="center"/>
        <w:rPr>
          <w:rFonts w:ascii="Calibri Light" w:hAnsi="Calibri Light" w:cs="Calibri Light"/>
          <w:sz w:val="20"/>
          <w:szCs w:val="20"/>
        </w:rPr>
      </w:pPr>
      <w:r w:rsidRPr="00E303DF">
        <w:rPr>
          <w:rFonts w:ascii="Calibri Light" w:hAnsi="Calibri Light" w:cs="Calibri Light"/>
          <w:noProof/>
          <w:sz w:val="20"/>
          <w:szCs w:val="20"/>
        </w:rPr>
        <w:drawing>
          <wp:inline distT="0" distB="0" distL="0" distR="0" wp14:anchorId="149AE90F" wp14:editId="66E2C24D">
            <wp:extent cx="4648200" cy="2552700"/>
            <wp:effectExtent l="19050" t="19050" r="19050" b="19050"/>
            <wp:docPr id="2087935432"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48200" cy="2552700"/>
                    </a:xfrm>
                    <a:prstGeom prst="rect">
                      <a:avLst/>
                    </a:prstGeom>
                    <a:noFill/>
                    <a:ln w="9525" cmpd="sng">
                      <a:solidFill>
                        <a:srgbClr val="000000"/>
                      </a:solidFill>
                      <a:miter lim="800000"/>
                      <a:headEnd/>
                      <a:tailEnd/>
                    </a:ln>
                    <a:effectLst/>
                  </pic:spPr>
                </pic:pic>
              </a:graphicData>
            </a:graphic>
          </wp:inline>
        </w:drawing>
      </w:r>
    </w:p>
    <w:p w14:paraId="1778270A" w14:textId="77777777" w:rsidR="00933A64" w:rsidRDefault="00933A64" w:rsidP="00E303DF">
      <w:pPr>
        <w:ind w:firstLine="284"/>
        <w:jc w:val="center"/>
        <w:rPr>
          <w:rFonts w:asciiTheme="majorHAnsi" w:hAnsiTheme="majorHAnsi" w:cstheme="majorHAnsi"/>
          <w:bCs/>
          <w:sz w:val="16"/>
          <w:szCs w:val="16"/>
        </w:rPr>
      </w:pPr>
    </w:p>
    <w:p w14:paraId="031CCFA9" w14:textId="4CACAD10" w:rsidR="00E303DF" w:rsidRPr="00E303DF" w:rsidRDefault="00E303DF" w:rsidP="00E303DF">
      <w:pPr>
        <w:ind w:firstLine="284"/>
        <w:jc w:val="center"/>
        <w:rPr>
          <w:rFonts w:asciiTheme="majorHAnsi" w:hAnsiTheme="majorHAnsi" w:cstheme="majorHAnsi"/>
          <w:bCs/>
          <w:sz w:val="16"/>
          <w:szCs w:val="16"/>
        </w:rPr>
      </w:pPr>
      <w:r w:rsidRPr="00E303DF">
        <w:rPr>
          <w:rFonts w:asciiTheme="majorHAnsi" w:hAnsiTheme="majorHAnsi" w:cstheme="majorHAnsi"/>
          <w:bCs/>
          <w:sz w:val="16"/>
          <w:szCs w:val="16"/>
        </w:rPr>
        <w:t>Figure 8. Relationship between Comprehension Level and Ergonomic Principles</w:t>
      </w:r>
    </w:p>
    <w:p w14:paraId="03573FA5" w14:textId="77777777" w:rsidR="00E303DF" w:rsidRPr="00E303DF" w:rsidRDefault="00E303DF" w:rsidP="00E303DF">
      <w:pPr>
        <w:ind w:firstLine="284"/>
        <w:jc w:val="both"/>
        <w:rPr>
          <w:rFonts w:ascii="Calibri Light" w:hAnsi="Calibri Light" w:cs="Calibri Light"/>
          <w:sz w:val="20"/>
          <w:szCs w:val="20"/>
        </w:rPr>
      </w:pPr>
    </w:p>
    <w:p w14:paraId="453147BA"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Spearman's correlation test results indicate a positive correlation between the three ergonomic principles of familiarity, compatibility, and standardization for both the pre- and post-improvement conditions of wayfinding signage symbols. The results of the Spearman correlation test for familiarity, compatibility, and standardization are presented in Table 3.</w:t>
      </w:r>
    </w:p>
    <w:p w14:paraId="0E99908B" w14:textId="77777777" w:rsidR="00E303DF" w:rsidRPr="00E303DF" w:rsidRDefault="00E303DF" w:rsidP="00E303DF">
      <w:pPr>
        <w:ind w:firstLine="284"/>
        <w:jc w:val="both"/>
        <w:rPr>
          <w:rFonts w:ascii="Calibri Light" w:hAnsi="Calibri Light" w:cs="Calibri Light"/>
          <w:sz w:val="20"/>
          <w:szCs w:val="20"/>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
        <w:gridCol w:w="726"/>
        <w:gridCol w:w="865"/>
        <w:gridCol w:w="865"/>
        <w:gridCol w:w="865"/>
        <w:gridCol w:w="865"/>
        <w:gridCol w:w="865"/>
        <w:gridCol w:w="865"/>
      </w:tblGrid>
      <w:tr w:rsidR="00E303DF" w:rsidRPr="00E303DF" w14:paraId="353B296A" w14:textId="77777777">
        <w:trPr>
          <w:jc w:val="center"/>
        </w:trPr>
        <w:tc>
          <w:tcPr>
            <w:tcW w:w="0" w:type="auto"/>
            <w:gridSpan w:val="8"/>
            <w:vAlign w:val="center"/>
            <w:hideMark/>
          </w:tcPr>
          <w:p w14:paraId="344AD0DB" w14:textId="0DC0A1A8" w:rsidR="00E303DF" w:rsidRPr="00E303DF" w:rsidRDefault="00E303DF" w:rsidP="00933A64">
            <w:pPr>
              <w:spacing w:line="360" w:lineRule="auto"/>
              <w:ind w:firstLine="284"/>
              <w:jc w:val="both"/>
              <w:rPr>
                <w:rFonts w:asciiTheme="majorHAnsi" w:hAnsiTheme="majorHAnsi" w:cstheme="majorHAnsi"/>
                <w:sz w:val="16"/>
                <w:szCs w:val="16"/>
              </w:rPr>
            </w:pPr>
            <w:r w:rsidRPr="00E303DF">
              <w:rPr>
                <w:rFonts w:asciiTheme="majorHAnsi" w:hAnsiTheme="majorHAnsi" w:cstheme="majorHAnsi"/>
                <w:sz w:val="16"/>
                <w:szCs w:val="16"/>
              </w:rPr>
              <w:t>Table 3. Comparison of Spearman’s Correlation Test Results</w:t>
            </w:r>
          </w:p>
        </w:tc>
      </w:tr>
      <w:tr w:rsidR="00E303DF" w:rsidRPr="00E303DF" w14:paraId="0A4620E4" w14:textId="77777777">
        <w:trPr>
          <w:jc w:val="center"/>
        </w:trPr>
        <w:tc>
          <w:tcPr>
            <w:tcW w:w="0" w:type="auto"/>
            <w:vAlign w:val="center"/>
          </w:tcPr>
          <w:p w14:paraId="39B0A8C4" w14:textId="77777777" w:rsidR="00E303DF" w:rsidRPr="00E303DF" w:rsidRDefault="00E303DF" w:rsidP="00E303DF">
            <w:pPr>
              <w:ind w:firstLine="284"/>
              <w:jc w:val="both"/>
              <w:rPr>
                <w:rFonts w:asciiTheme="majorHAnsi" w:hAnsiTheme="majorHAnsi" w:cstheme="majorHAnsi"/>
                <w:sz w:val="16"/>
                <w:szCs w:val="16"/>
              </w:rPr>
            </w:pPr>
          </w:p>
        </w:tc>
        <w:tc>
          <w:tcPr>
            <w:tcW w:w="0" w:type="auto"/>
            <w:vAlign w:val="center"/>
          </w:tcPr>
          <w:p w14:paraId="49473833" w14:textId="77777777" w:rsidR="00E303DF" w:rsidRPr="00E303DF" w:rsidRDefault="00E303DF" w:rsidP="00E303DF">
            <w:pPr>
              <w:ind w:firstLine="284"/>
              <w:jc w:val="both"/>
              <w:rPr>
                <w:rFonts w:asciiTheme="majorHAnsi" w:hAnsiTheme="majorHAnsi" w:cstheme="majorHAnsi"/>
                <w:sz w:val="16"/>
                <w:szCs w:val="16"/>
              </w:rPr>
            </w:pPr>
          </w:p>
        </w:tc>
        <w:tc>
          <w:tcPr>
            <w:tcW w:w="0" w:type="auto"/>
            <w:gridSpan w:val="3"/>
            <w:tcBorders>
              <w:top w:val="nil"/>
              <w:left w:val="nil"/>
              <w:bottom w:val="single" w:sz="8" w:space="0" w:color="auto"/>
              <w:right w:val="nil"/>
            </w:tcBorders>
            <w:vAlign w:val="center"/>
            <w:hideMark/>
          </w:tcPr>
          <w:p w14:paraId="4C43E3EE"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Existing Symbol</w:t>
            </w:r>
          </w:p>
        </w:tc>
        <w:tc>
          <w:tcPr>
            <w:tcW w:w="0" w:type="auto"/>
            <w:gridSpan w:val="3"/>
            <w:tcBorders>
              <w:top w:val="nil"/>
              <w:left w:val="nil"/>
              <w:bottom w:val="single" w:sz="8" w:space="0" w:color="auto"/>
              <w:right w:val="nil"/>
            </w:tcBorders>
            <w:vAlign w:val="center"/>
            <w:hideMark/>
          </w:tcPr>
          <w:p w14:paraId="638BEE69"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Purposed Symbol</w:t>
            </w:r>
          </w:p>
        </w:tc>
      </w:tr>
      <w:tr w:rsidR="00E303DF" w:rsidRPr="00E303DF" w14:paraId="7ACFA782" w14:textId="77777777">
        <w:trPr>
          <w:jc w:val="center"/>
        </w:trPr>
        <w:tc>
          <w:tcPr>
            <w:tcW w:w="0" w:type="auto"/>
            <w:vAlign w:val="center"/>
          </w:tcPr>
          <w:p w14:paraId="3F689023" w14:textId="77777777" w:rsidR="00E303DF" w:rsidRPr="00E303DF" w:rsidRDefault="00E303DF" w:rsidP="00E303DF">
            <w:pPr>
              <w:ind w:firstLine="284"/>
              <w:jc w:val="both"/>
              <w:rPr>
                <w:rFonts w:asciiTheme="majorHAnsi" w:hAnsiTheme="majorHAnsi" w:cstheme="majorHAnsi"/>
                <w:sz w:val="16"/>
                <w:szCs w:val="16"/>
              </w:rPr>
            </w:pPr>
          </w:p>
        </w:tc>
        <w:tc>
          <w:tcPr>
            <w:tcW w:w="0" w:type="auto"/>
            <w:vAlign w:val="center"/>
          </w:tcPr>
          <w:p w14:paraId="296E693B" w14:textId="77777777" w:rsidR="00E303DF" w:rsidRPr="00E303DF" w:rsidRDefault="00E303DF" w:rsidP="00E303DF">
            <w:pPr>
              <w:ind w:firstLine="284"/>
              <w:jc w:val="both"/>
              <w:rPr>
                <w:rFonts w:asciiTheme="majorHAnsi" w:hAnsiTheme="majorHAnsi" w:cstheme="majorHAnsi"/>
                <w:sz w:val="16"/>
                <w:szCs w:val="16"/>
              </w:rPr>
            </w:pPr>
          </w:p>
        </w:tc>
        <w:tc>
          <w:tcPr>
            <w:tcW w:w="0" w:type="auto"/>
            <w:tcBorders>
              <w:top w:val="single" w:sz="8" w:space="0" w:color="auto"/>
              <w:left w:val="nil"/>
              <w:bottom w:val="single" w:sz="8" w:space="0" w:color="auto"/>
              <w:right w:val="nil"/>
            </w:tcBorders>
            <w:vAlign w:val="center"/>
            <w:hideMark/>
          </w:tcPr>
          <w:p w14:paraId="0BC7C019"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X</w:t>
            </w:r>
          </w:p>
        </w:tc>
        <w:tc>
          <w:tcPr>
            <w:tcW w:w="0" w:type="auto"/>
            <w:tcBorders>
              <w:top w:val="single" w:sz="8" w:space="0" w:color="auto"/>
              <w:left w:val="nil"/>
              <w:bottom w:val="single" w:sz="8" w:space="0" w:color="auto"/>
              <w:right w:val="nil"/>
            </w:tcBorders>
            <w:vAlign w:val="center"/>
            <w:hideMark/>
          </w:tcPr>
          <w:p w14:paraId="09213363"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Y</w:t>
            </w:r>
          </w:p>
        </w:tc>
        <w:tc>
          <w:tcPr>
            <w:tcW w:w="0" w:type="auto"/>
            <w:tcBorders>
              <w:top w:val="single" w:sz="8" w:space="0" w:color="auto"/>
              <w:left w:val="nil"/>
              <w:bottom w:val="single" w:sz="8" w:space="0" w:color="auto"/>
              <w:right w:val="nil"/>
            </w:tcBorders>
            <w:vAlign w:val="center"/>
            <w:hideMark/>
          </w:tcPr>
          <w:p w14:paraId="59BD0832"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Z</w:t>
            </w:r>
          </w:p>
        </w:tc>
        <w:tc>
          <w:tcPr>
            <w:tcW w:w="0" w:type="auto"/>
            <w:tcBorders>
              <w:top w:val="single" w:sz="8" w:space="0" w:color="auto"/>
              <w:left w:val="nil"/>
              <w:bottom w:val="single" w:sz="8" w:space="0" w:color="auto"/>
              <w:right w:val="nil"/>
            </w:tcBorders>
            <w:vAlign w:val="center"/>
            <w:hideMark/>
          </w:tcPr>
          <w:p w14:paraId="43F05EF3"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X</w:t>
            </w:r>
          </w:p>
        </w:tc>
        <w:tc>
          <w:tcPr>
            <w:tcW w:w="0" w:type="auto"/>
            <w:tcBorders>
              <w:top w:val="single" w:sz="8" w:space="0" w:color="auto"/>
              <w:left w:val="nil"/>
              <w:bottom w:val="single" w:sz="8" w:space="0" w:color="auto"/>
              <w:right w:val="nil"/>
            </w:tcBorders>
            <w:vAlign w:val="center"/>
            <w:hideMark/>
          </w:tcPr>
          <w:p w14:paraId="7777629F"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Y</w:t>
            </w:r>
          </w:p>
        </w:tc>
        <w:tc>
          <w:tcPr>
            <w:tcW w:w="0" w:type="auto"/>
            <w:tcBorders>
              <w:top w:val="single" w:sz="8" w:space="0" w:color="auto"/>
              <w:left w:val="nil"/>
              <w:bottom w:val="single" w:sz="8" w:space="0" w:color="auto"/>
              <w:right w:val="nil"/>
            </w:tcBorders>
            <w:vAlign w:val="center"/>
            <w:hideMark/>
          </w:tcPr>
          <w:p w14:paraId="3A0F5F81"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Z</w:t>
            </w:r>
          </w:p>
        </w:tc>
      </w:tr>
      <w:tr w:rsidR="00E303DF" w:rsidRPr="00E303DF" w14:paraId="7E21B2C1" w14:textId="77777777">
        <w:trPr>
          <w:jc w:val="center"/>
        </w:trPr>
        <w:tc>
          <w:tcPr>
            <w:tcW w:w="0" w:type="auto"/>
            <w:tcBorders>
              <w:top w:val="nil"/>
              <w:left w:val="nil"/>
              <w:bottom w:val="single" w:sz="4" w:space="0" w:color="auto"/>
              <w:right w:val="nil"/>
            </w:tcBorders>
            <w:vAlign w:val="center"/>
            <w:hideMark/>
          </w:tcPr>
          <w:p w14:paraId="0B5A29A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X</w:t>
            </w:r>
          </w:p>
        </w:tc>
        <w:tc>
          <w:tcPr>
            <w:tcW w:w="0" w:type="auto"/>
            <w:tcBorders>
              <w:top w:val="nil"/>
              <w:left w:val="nil"/>
              <w:bottom w:val="single" w:sz="4" w:space="0" w:color="auto"/>
              <w:right w:val="nil"/>
            </w:tcBorders>
            <w:vAlign w:val="center"/>
            <w:hideMark/>
          </w:tcPr>
          <w:p w14:paraId="1CFCB639"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r</w:t>
            </w:r>
          </w:p>
        </w:tc>
        <w:tc>
          <w:tcPr>
            <w:tcW w:w="0" w:type="auto"/>
            <w:tcBorders>
              <w:top w:val="single" w:sz="8" w:space="0" w:color="auto"/>
              <w:left w:val="nil"/>
              <w:bottom w:val="single" w:sz="4" w:space="0" w:color="auto"/>
              <w:right w:val="nil"/>
            </w:tcBorders>
            <w:vAlign w:val="center"/>
            <w:hideMark/>
          </w:tcPr>
          <w:p w14:paraId="25E7784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1,000</w:t>
            </w:r>
          </w:p>
        </w:tc>
        <w:tc>
          <w:tcPr>
            <w:tcW w:w="0" w:type="auto"/>
            <w:tcBorders>
              <w:top w:val="single" w:sz="8" w:space="0" w:color="auto"/>
              <w:left w:val="nil"/>
              <w:bottom w:val="single" w:sz="4" w:space="0" w:color="auto"/>
              <w:right w:val="nil"/>
            </w:tcBorders>
            <w:vAlign w:val="center"/>
            <w:hideMark/>
          </w:tcPr>
          <w:p w14:paraId="3BFE3840"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0,621</w:t>
            </w:r>
          </w:p>
        </w:tc>
        <w:tc>
          <w:tcPr>
            <w:tcW w:w="0" w:type="auto"/>
            <w:tcBorders>
              <w:top w:val="single" w:sz="8" w:space="0" w:color="auto"/>
              <w:left w:val="nil"/>
              <w:bottom w:val="single" w:sz="4" w:space="0" w:color="auto"/>
              <w:right w:val="nil"/>
            </w:tcBorders>
            <w:vAlign w:val="center"/>
            <w:hideMark/>
          </w:tcPr>
          <w:p w14:paraId="22C0BDC7"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0,703</w:t>
            </w:r>
          </w:p>
        </w:tc>
        <w:tc>
          <w:tcPr>
            <w:tcW w:w="0" w:type="auto"/>
            <w:tcBorders>
              <w:top w:val="single" w:sz="8" w:space="0" w:color="auto"/>
              <w:left w:val="nil"/>
              <w:bottom w:val="single" w:sz="4" w:space="0" w:color="auto"/>
              <w:right w:val="nil"/>
            </w:tcBorders>
            <w:vAlign w:val="center"/>
            <w:hideMark/>
          </w:tcPr>
          <w:p w14:paraId="573D3C8E"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1,000</w:t>
            </w:r>
          </w:p>
        </w:tc>
        <w:tc>
          <w:tcPr>
            <w:tcW w:w="0" w:type="auto"/>
            <w:tcBorders>
              <w:top w:val="single" w:sz="8" w:space="0" w:color="auto"/>
              <w:left w:val="nil"/>
              <w:bottom w:val="single" w:sz="4" w:space="0" w:color="auto"/>
              <w:right w:val="nil"/>
            </w:tcBorders>
            <w:vAlign w:val="center"/>
            <w:hideMark/>
          </w:tcPr>
          <w:p w14:paraId="6348F571"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0,972</w:t>
            </w:r>
          </w:p>
        </w:tc>
        <w:tc>
          <w:tcPr>
            <w:tcW w:w="0" w:type="auto"/>
            <w:tcBorders>
              <w:top w:val="single" w:sz="8" w:space="0" w:color="auto"/>
              <w:left w:val="nil"/>
              <w:bottom w:val="single" w:sz="4" w:space="0" w:color="auto"/>
              <w:right w:val="nil"/>
            </w:tcBorders>
            <w:vAlign w:val="center"/>
            <w:hideMark/>
          </w:tcPr>
          <w:p w14:paraId="00FCD270"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0,899</w:t>
            </w:r>
          </w:p>
        </w:tc>
      </w:tr>
      <w:tr w:rsidR="00E303DF" w:rsidRPr="00E303DF" w14:paraId="52526F11" w14:textId="77777777">
        <w:trPr>
          <w:jc w:val="center"/>
        </w:trPr>
        <w:tc>
          <w:tcPr>
            <w:tcW w:w="0" w:type="auto"/>
            <w:tcBorders>
              <w:top w:val="single" w:sz="4" w:space="0" w:color="auto"/>
              <w:left w:val="nil"/>
              <w:bottom w:val="nil"/>
              <w:right w:val="nil"/>
            </w:tcBorders>
            <w:vAlign w:val="center"/>
          </w:tcPr>
          <w:p w14:paraId="6DD38C6C" w14:textId="77777777" w:rsidR="00E303DF" w:rsidRPr="00E303DF" w:rsidRDefault="00E303DF" w:rsidP="00E303DF">
            <w:pPr>
              <w:ind w:firstLine="284"/>
              <w:jc w:val="both"/>
              <w:rPr>
                <w:rFonts w:asciiTheme="majorHAnsi" w:hAnsiTheme="majorHAnsi" w:cstheme="majorHAnsi"/>
                <w:sz w:val="16"/>
                <w:szCs w:val="16"/>
              </w:rPr>
            </w:pPr>
          </w:p>
        </w:tc>
        <w:tc>
          <w:tcPr>
            <w:tcW w:w="0" w:type="auto"/>
            <w:tcBorders>
              <w:top w:val="single" w:sz="4" w:space="0" w:color="auto"/>
              <w:left w:val="nil"/>
              <w:bottom w:val="single" w:sz="4" w:space="0" w:color="auto"/>
              <w:right w:val="nil"/>
            </w:tcBorders>
            <w:vAlign w:val="center"/>
            <w:hideMark/>
          </w:tcPr>
          <w:p w14:paraId="67BF0FC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Sig.</w:t>
            </w:r>
          </w:p>
        </w:tc>
        <w:tc>
          <w:tcPr>
            <w:tcW w:w="0" w:type="auto"/>
            <w:tcBorders>
              <w:top w:val="single" w:sz="4" w:space="0" w:color="auto"/>
              <w:left w:val="nil"/>
              <w:bottom w:val="single" w:sz="4" w:space="0" w:color="auto"/>
              <w:right w:val="nil"/>
            </w:tcBorders>
            <w:vAlign w:val="center"/>
          </w:tcPr>
          <w:p w14:paraId="27CD51EF" w14:textId="77777777" w:rsidR="00E303DF" w:rsidRPr="00E303DF" w:rsidRDefault="00E303DF" w:rsidP="00E303DF">
            <w:pPr>
              <w:ind w:firstLine="284"/>
              <w:jc w:val="both"/>
              <w:rPr>
                <w:rFonts w:asciiTheme="majorHAnsi" w:hAnsiTheme="majorHAnsi" w:cstheme="majorHAnsi"/>
                <w:sz w:val="16"/>
                <w:szCs w:val="16"/>
              </w:rPr>
            </w:pPr>
          </w:p>
        </w:tc>
        <w:tc>
          <w:tcPr>
            <w:tcW w:w="0" w:type="auto"/>
            <w:tcBorders>
              <w:top w:val="single" w:sz="4" w:space="0" w:color="auto"/>
              <w:left w:val="nil"/>
              <w:bottom w:val="single" w:sz="4" w:space="0" w:color="auto"/>
              <w:right w:val="nil"/>
            </w:tcBorders>
            <w:vAlign w:val="center"/>
            <w:hideMark/>
          </w:tcPr>
          <w:p w14:paraId="0ACD155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0,041</w:t>
            </w:r>
          </w:p>
        </w:tc>
        <w:tc>
          <w:tcPr>
            <w:tcW w:w="0" w:type="auto"/>
            <w:tcBorders>
              <w:top w:val="single" w:sz="4" w:space="0" w:color="auto"/>
              <w:left w:val="nil"/>
              <w:bottom w:val="single" w:sz="4" w:space="0" w:color="auto"/>
              <w:right w:val="nil"/>
            </w:tcBorders>
            <w:vAlign w:val="center"/>
            <w:hideMark/>
          </w:tcPr>
          <w:p w14:paraId="78B88A70"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0,016</w:t>
            </w:r>
          </w:p>
        </w:tc>
        <w:tc>
          <w:tcPr>
            <w:tcW w:w="0" w:type="auto"/>
            <w:tcBorders>
              <w:top w:val="single" w:sz="4" w:space="0" w:color="auto"/>
              <w:left w:val="nil"/>
              <w:bottom w:val="single" w:sz="4" w:space="0" w:color="auto"/>
              <w:right w:val="nil"/>
            </w:tcBorders>
            <w:vAlign w:val="center"/>
          </w:tcPr>
          <w:p w14:paraId="5AA3D0BD" w14:textId="77777777" w:rsidR="00E303DF" w:rsidRPr="00E303DF" w:rsidRDefault="00E303DF" w:rsidP="00E303DF">
            <w:pPr>
              <w:ind w:firstLine="284"/>
              <w:jc w:val="both"/>
              <w:rPr>
                <w:rFonts w:asciiTheme="majorHAnsi" w:hAnsiTheme="majorHAnsi" w:cstheme="majorHAnsi"/>
                <w:sz w:val="16"/>
                <w:szCs w:val="16"/>
              </w:rPr>
            </w:pPr>
          </w:p>
        </w:tc>
        <w:tc>
          <w:tcPr>
            <w:tcW w:w="0" w:type="auto"/>
            <w:tcBorders>
              <w:top w:val="single" w:sz="4" w:space="0" w:color="auto"/>
              <w:left w:val="nil"/>
              <w:bottom w:val="single" w:sz="4" w:space="0" w:color="auto"/>
              <w:right w:val="nil"/>
            </w:tcBorders>
            <w:vAlign w:val="center"/>
            <w:hideMark/>
          </w:tcPr>
          <w:p w14:paraId="598BCBC9"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0,000</w:t>
            </w:r>
          </w:p>
        </w:tc>
        <w:tc>
          <w:tcPr>
            <w:tcW w:w="0" w:type="auto"/>
            <w:tcBorders>
              <w:top w:val="single" w:sz="4" w:space="0" w:color="auto"/>
              <w:left w:val="nil"/>
              <w:bottom w:val="single" w:sz="4" w:space="0" w:color="auto"/>
              <w:right w:val="nil"/>
            </w:tcBorders>
            <w:vAlign w:val="center"/>
            <w:hideMark/>
          </w:tcPr>
          <w:p w14:paraId="6315B1CA"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0,000</w:t>
            </w:r>
          </w:p>
        </w:tc>
      </w:tr>
      <w:tr w:rsidR="00E303DF" w:rsidRPr="00E303DF" w14:paraId="25725EA6" w14:textId="77777777">
        <w:trPr>
          <w:jc w:val="center"/>
        </w:trPr>
        <w:tc>
          <w:tcPr>
            <w:tcW w:w="0" w:type="auto"/>
            <w:tcBorders>
              <w:top w:val="nil"/>
              <w:left w:val="nil"/>
              <w:bottom w:val="single" w:sz="4" w:space="0" w:color="auto"/>
              <w:right w:val="nil"/>
            </w:tcBorders>
            <w:vAlign w:val="center"/>
            <w:hideMark/>
          </w:tcPr>
          <w:p w14:paraId="3F7BD377"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Y</w:t>
            </w:r>
          </w:p>
        </w:tc>
        <w:tc>
          <w:tcPr>
            <w:tcW w:w="0" w:type="auto"/>
            <w:tcBorders>
              <w:top w:val="single" w:sz="4" w:space="0" w:color="auto"/>
              <w:left w:val="nil"/>
              <w:bottom w:val="single" w:sz="4" w:space="0" w:color="auto"/>
              <w:right w:val="nil"/>
            </w:tcBorders>
            <w:vAlign w:val="center"/>
            <w:hideMark/>
          </w:tcPr>
          <w:p w14:paraId="0C6C527A"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r</w:t>
            </w:r>
          </w:p>
        </w:tc>
        <w:tc>
          <w:tcPr>
            <w:tcW w:w="0" w:type="auto"/>
            <w:tcBorders>
              <w:top w:val="single" w:sz="4" w:space="0" w:color="auto"/>
              <w:left w:val="nil"/>
              <w:bottom w:val="single" w:sz="4" w:space="0" w:color="auto"/>
              <w:right w:val="nil"/>
            </w:tcBorders>
            <w:vAlign w:val="center"/>
            <w:hideMark/>
          </w:tcPr>
          <w:p w14:paraId="32A4C86B"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0,621</w:t>
            </w:r>
          </w:p>
        </w:tc>
        <w:tc>
          <w:tcPr>
            <w:tcW w:w="0" w:type="auto"/>
            <w:tcBorders>
              <w:top w:val="single" w:sz="4" w:space="0" w:color="auto"/>
              <w:left w:val="nil"/>
              <w:bottom w:val="single" w:sz="4" w:space="0" w:color="auto"/>
              <w:right w:val="nil"/>
            </w:tcBorders>
            <w:vAlign w:val="center"/>
            <w:hideMark/>
          </w:tcPr>
          <w:p w14:paraId="76A99040"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1,000</w:t>
            </w:r>
          </w:p>
        </w:tc>
        <w:tc>
          <w:tcPr>
            <w:tcW w:w="0" w:type="auto"/>
            <w:tcBorders>
              <w:top w:val="single" w:sz="4" w:space="0" w:color="auto"/>
              <w:left w:val="nil"/>
              <w:bottom w:val="single" w:sz="4" w:space="0" w:color="auto"/>
              <w:right w:val="nil"/>
            </w:tcBorders>
            <w:vAlign w:val="center"/>
            <w:hideMark/>
          </w:tcPr>
          <w:p w14:paraId="620FF03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0,605</w:t>
            </w:r>
          </w:p>
        </w:tc>
        <w:tc>
          <w:tcPr>
            <w:tcW w:w="0" w:type="auto"/>
            <w:tcBorders>
              <w:top w:val="single" w:sz="4" w:space="0" w:color="auto"/>
              <w:left w:val="nil"/>
              <w:bottom w:val="single" w:sz="4" w:space="0" w:color="auto"/>
              <w:right w:val="nil"/>
            </w:tcBorders>
            <w:vAlign w:val="center"/>
            <w:hideMark/>
          </w:tcPr>
          <w:p w14:paraId="187F6FAF"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0,972</w:t>
            </w:r>
          </w:p>
        </w:tc>
        <w:tc>
          <w:tcPr>
            <w:tcW w:w="0" w:type="auto"/>
            <w:tcBorders>
              <w:top w:val="single" w:sz="4" w:space="0" w:color="auto"/>
              <w:left w:val="nil"/>
              <w:bottom w:val="single" w:sz="4" w:space="0" w:color="auto"/>
              <w:right w:val="nil"/>
            </w:tcBorders>
            <w:vAlign w:val="center"/>
            <w:hideMark/>
          </w:tcPr>
          <w:p w14:paraId="6BEC502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1,000</w:t>
            </w:r>
          </w:p>
        </w:tc>
        <w:tc>
          <w:tcPr>
            <w:tcW w:w="0" w:type="auto"/>
            <w:tcBorders>
              <w:top w:val="single" w:sz="4" w:space="0" w:color="auto"/>
              <w:left w:val="nil"/>
              <w:bottom w:val="single" w:sz="4" w:space="0" w:color="auto"/>
              <w:right w:val="nil"/>
            </w:tcBorders>
            <w:vAlign w:val="center"/>
            <w:hideMark/>
          </w:tcPr>
          <w:p w14:paraId="63CC0896"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0,933</w:t>
            </w:r>
          </w:p>
        </w:tc>
      </w:tr>
      <w:tr w:rsidR="00E303DF" w:rsidRPr="00E303DF" w14:paraId="3CFECB28" w14:textId="77777777">
        <w:trPr>
          <w:jc w:val="center"/>
        </w:trPr>
        <w:tc>
          <w:tcPr>
            <w:tcW w:w="0" w:type="auto"/>
            <w:tcBorders>
              <w:top w:val="single" w:sz="4" w:space="0" w:color="auto"/>
              <w:left w:val="nil"/>
              <w:bottom w:val="nil"/>
              <w:right w:val="nil"/>
            </w:tcBorders>
            <w:vAlign w:val="center"/>
          </w:tcPr>
          <w:p w14:paraId="2FA5DF52" w14:textId="77777777" w:rsidR="00E303DF" w:rsidRPr="00E303DF" w:rsidRDefault="00E303DF" w:rsidP="00E303DF">
            <w:pPr>
              <w:ind w:firstLine="284"/>
              <w:jc w:val="both"/>
              <w:rPr>
                <w:rFonts w:asciiTheme="majorHAnsi" w:hAnsiTheme="majorHAnsi" w:cstheme="majorHAnsi"/>
                <w:sz w:val="16"/>
                <w:szCs w:val="16"/>
              </w:rPr>
            </w:pPr>
          </w:p>
        </w:tc>
        <w:tc>
          <w:tcPr>
            <w:tcW w:w="0" w:type="auto"/>
            <w:tcBorders>
              <w:top w:val="single" w:sz="4" w:space="0" w:color="auto"/>
              <w:left w:val="nil"/>
              <w:bottom w:val="single" w:sz="4" w:space="0" w:color="auto"/>
              <w:right w:val="nil"/>
            </w:tcBorders>
            <w:vAlign w:val="center"/>
            <w:hideMark/>
          </w:tcPr>
          <w:p w14:paraId="09751E8A"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Sig.</w:t>
            </w:r>
          </w:p>
        </w:tc>
        <w:tc>
          <w:tcPr>
            <w:tcW w:w="0" w:type="auto"/>
            <w:tcBorders>
              <w:top w:val="single" w:sz="4" w:space="0" w:color="auto"/>
              <w:left w:val="nil"/>
              <w:bottom w:val="single" w:sz="4" w:space="0" w:color="auto"/>
              <w:right w:val="nil"/>
            </w:tcBorders>
            <w:vAlign w:val="center"/>
            <w:hideMark/>
          </w:tcPr>
          <w:p w14:paraId="6D214E20"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0,041</w:t>
            </w:r>
          </w:p>
        </w:tc>
        <w:tc>
          <w:tcPr>
            <w:tcW w:w="0" w:type="auto"/>
            <w:tcBorders>
              <w:top w:val="single" w:sz="4" w:space="0" w:color="auto"/>
              <w:left w:val="nil"/>
              <w:bottom w:val="single" w:sz="4" w:space="0" w:color="auto"/>
              <w:right w:val="nil"/>
            </w:tcBorders>
            <w:vAlign w:val="center"/>
          </w:tcPr>
          <w:p w14:paraId="31BF1218" w14:textId="77777777" w:rsidR="00E303DF" w:rsidRPr="00E303DF" w:rsidRDefault="00E303DF" w:rsidP="00E303DF">
            <w:pPr>
              <w:ind w:firstLine="284"/>
              <w:jc w:val="both"/>
              <w:rPr>
                <w:rFonts w:asciiTheme="majorHAnsi" w:hAnsiTheme="majorHAnsi" w:cstheme="majorHAnsi"/>
                <w:sz w:val="16"/>
                <w:szCs w:val="16"/>
              </w:rPr>
            </w:pPr>
          </w:p>
        </w:tc>
        <w:tc>
          <w:tcPr>
            <w:tcW w:w="0" w:type="auto"/>
            <w:tcBorders>
              <w:top w:val="single" w:sz="4" w:space="0" w:color="auto"/>
              <w:left w:val="nil"/>
              <w:bottom w:val="single" w:sz="4" w:space="0" w:color="auto"/>
              <w:right w:val="nil"/>
            </w:tcBorders>
            <w:vAlign w:val="center"/>
            <w:hideMark/>
          </w:tcPr>
          <w:p w14:paraId="0A25EEED"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0,049</w:t>
            </w:r>
          </w:p>
        </w:tc>
        <w:tc>
          <w:tcPr>
            <w:tcW w:w="0" w:type="auto"/>
            <w:tcBorders>
              <w:top w:val="single" w:sz="4" w:space="0" w:color="auto"/>
              <w:left w:val="nil"/>
              <w:bottom w:val="single" w:sz="4" w:space="0" w:color="auto"/>
              <w:right w:val="nil"/>
            </w:tcBorders>
            <w:vAlign w:val="center"/>
            <w:hideMark/>
          </w:tcPr>
          <w:p w14:paraId="6C4BA32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0,000</w:t>
            </w:r>
          </w:p>
        </w:tc>
        <w:tc>
          <w:tcPr>
            <w:tcW w:w="0" w:type="auto"/>
            <w:tcBorders>
              <w:top w:val="single" w:sz="4" w:space="0" w:color="auto"/>
              <w:left w:val="nil"/>
              <w:bottom w:val="single" w:sz="4" w:space="0" w:color="auto"/>
              <w:right w:val="nil"/>
            </w:tcBorders>
            <w:vAlign w:val="center"/>
          </w:tcPr>
          <w:p w14:paraId="2CBF240D" w14:textId="77777777" w:rsidR="00E303DF" w:rsidRPr="00E303DF" w:rsidRDefault="00E303DF" w:rsidP="00E303DF">
            <w:pPr>
              <w:ind w:firstLine="284"/>
              <w:jc w:val="both"/>
              <w:rPr>
                <w:rFonts w:asciiTheme="majorHAnsi" w:hAnsiTheme="majorHAnsi" w:cstheme="majorHAnsi"/>
                <w:sz w:val="16"/>
                <w:szCs w:val="16"/>
              </w:rPr>
            </w:pPr>
          </w:p>
        </w:tc>
        <w:tc>
          <w:tcPr>
            <w:tcW w:w="0" w:type="auto"/>
            <w:tcBorders>
              <w:top w:val="single" w:sz="4" w:space="0" w:color="auto"/>
              <w:left w:val="nil"/>
              <w:bottom w:val="single" w:sz="4" w:space="0" w:color="auto"/>
              <w:right w:val="nil"/>
            </w:tcBorders>
            <w:vAlign w:val="center"/>
            <w:hideMark/>
          </w:tcPr>
          <w:p w14:paraId="3BD6DD91"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0,000</w:t>
            </w:r>
          </w:p>
        </w:tc>
      </w:tr>
      <w:tr w:rsidR="00E303DF" w:rsidRPr="00E303DF" w14:paraId="07B47DDC" w14:textId="77777777">
        <w:trPr>
          <w:jc w:val="center"/>
        </w:trPr>
        <w:tc>
          <w:tcPr>
            <w:tcW w:w="0" w:type="auto"/>
            <w:tcBorders>
              <w:top w:val="nil"/>
              <w:left w:val="nil"/>
              <w:bottom w:val="single" w:sz="4" w:space="0" w:color="auto"/>
              <w:right w:val="nil"/>
            </w:tcBorders>
            <w:vAlign w:val="center"/>
            <w:hideMark/>
          </w:tcPr>
          <w:p w14:paraId="15C4A250"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Z</w:t>
            </w:r>
          </w:p>
        </w:tc>
        <w:tc>
          <w:tcPr>
            <w:tcW w:w="0" w:type="auto"/>
            <w:tcBorders>
              <w:top w:val="single" w:sz="4" w:space="0" w:color="auto"/>
              <w:left w:val="nil"/>
              <w:bottom w:val="single" w:sz="4" w:space="0" w:color="auto"/>
              <w:right w:val="nil"/>
            </w:tcBorders>
            <w:vAlign w:val="center"/>
            <w:hideMark/>
          </w:tcPr>
          <w:p w14:paraId="3393964E"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r</w:t>
            </w:r>
          </w:p>
        </w:tc>
        <w:tc>
          <w:tcPr>
            <w:tcW w:w="0" w:type="auto"/>
            <w:tcBorders>
              <w:top w:val="single" w:sz="4" w:space="0" w:color="auto"/>
              <w:left w:val="nil"/>
              <w:bottom w:val="single" w:sz="4" w:space="0" w:color="auto"/>
              <w:right w:val="nil"/>
            </w:tcBorders>
            <w:vAlign w:val="center"/>
            <w:hideMark/>
          </w:tcPr>
          <w:p w14:paraId="3FF9ED80"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0,703</w:t>
            </w:r>
          </w:p>
        </w:tc>
        <w:tc>
          <w:tcPr>
            <w:tcW w:w="0" w:type="auto"/>
            <w:tcBorders>
              <w:top w:val="single" w:sz="4" w:space="0" w:color="auto"/>
              <w:left w:val="nil"/>
              <w:bottom w:val="single" w:sz="4" w:space="0" w:color="auto"/>
              <w:right w:val="nil"/>
            </w:tcBorders>
            <w:vAlign w:val="center"/>
            <w:hideMark/>
          </w:tcPr>
          <w:p w14:paraId="7219260F"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0,605</w:t>
            </w:r>
          </w:p>
        </w:tc>
        <w:tc>
          <w:tcPr>
            <w:tcW w:w="0" w:type="auto"/>
            <w:tcBorders>
              <w:top w:val="single" w:sz="4" w:space="0" w:color="auto"/>
              <w:left w:val="nil"/>
              <w:bottom w:val="single" w:sz="4" w:space="0" w:color="auto"/>
              <w:right w:val="nil"/>
            </w:tcBorders>
            <w:vAlign w:val="center"/>
            <w:hideMark/>
          </w:tcPr>
          <w:p w14:paraId="49D5F021"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1,000</w:t>
            </w:r>
          </w:p>
        </w:tc>
        <w:tc>
          <w:tcPr>
            <w:tcW w:w="0" w:type="auto"/>
            <w:tcBorders>
              <w:top w:val="single" w:sz="4" w:space="0" w:color="auto"/>
              <w:left w:val="nil"/>
              <w:bottom w:val="single" w:sz="4" w:space="0" w:color="auto"/>
              <w:right w:val="nil"/>
            </w:tcBorders>
            <w:vAlign w:val="center"/>
            <w:hideMark/>
          </w:tcPr>
          <w:p w14:paraId="2F6A045F"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0,899</w:t>
            </w:r>
          </w:p>
        </w:tc>
        <w:tc>
          <w:tcPr>
            <w:tcW w:w="0" w:type="auto"/>
            <w:tcBorders>
              <w:top w:val="single" w:sz="4" w:space="0" w:color="auto"/>
              <w:left w:val="nil"/>
              <w:bottom w:val="single" w:sz="4" w:space="0" w:color="auto"/>
              <w:right w:val="nil"/>
            </w:tcBorders>
            <w:vAlign w:val="center"/>
            <w:hideMark/>
          </w:tcPr>
          <w:p w14:paraId="113676F3"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0,933</w:t>
            </w:r>
          </w:p>
        </w:tc>
        <w:tc>
          <w:tcPr>
            <w:tcW w:w="0" w:type="auto"/>
            <w:tcBorders>
              <w:top w:val="single" w:sz="4" w:space="0" w:color="auto"/>
              <w:left w:val="nil"/>
              <w:bottom w:val="single" w:sz="4" w:space="0" w:color="auto"/>
              <w:right w:val="nil"/>
            </w:tcBorders>
            <w:vAlign w:val="center"/>
            <w:hideMark/>
          </w:tcPr>
          <w:p w14:paraId="717DF1DC"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1,000</w:t>
            </w:r>
          </w:p>
        </w:tc>
      </w:tr>
      <w:tr w:rsidR="00E303DF" w:rsidRPr="00E303DF" w14:paraId="6B1FA6C8" w14:textId="77777777">
        <w:trPr>
          <w:jc w:val="center"/>
        </w:trPr>
        <w:tc>
          <w:tcPr>
            <w:tcW w:w="0" w:type="auto"/>
            <w:tcBorders>
              <w:top w:val="single" w:sz="4" w:space="0" w:color="auto"/>
              <w:left w:val="nil"/>
              <w:bottom w:val="nil"/>
              <w:right w:val="nil"/>
            </w:tcBorders>
            <w:vAlign w:val="center"/>
          </w:tcPr>
          <w:p w14:paraId="324D1AFE" w14:textId="77777777" w:rsidR="00E303DF" w:rsidRPr="00E303DF" w:rsidRDefault="00E303DF" w:rsidP="00E303DF">
            <w:pPr>
              <w:ind w:firstLine="284"/>
              <w:jc w:val="both"/>
              <w:rPr>
                <w:rFonts w:asciiTheme="majorHAnsi" w:hAnsiTheme="majorHAnsi" w:cstheme="majorHAnsi"/>
                <w:sz w:val="16"/>
                <w:szCs w:val="16"/>
              </w:rPr>
            </w:pPr>
          </w:p>
        </w:tc>
        <w:tc>
          <w:tcPr>
            <w:tcW w:w="0" w:type="auto"/>
            <w:tcBorders>
              <w:top w:val="single" w:sz="4" w:space="0" w:color="auto"/>
              <w:left w:val="nil"/>
              <w:bottom w:val="single" w:sz="4" w:space="0" w:color="auto"/>
              <w:right w:val="nil"/>
            </w:tcBorders>
            <w:vAlign w:val="center"/>
            <w:hideMark/>
          </w:tcPr>
          <w:p w14:paraId="5311535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Sig.</w:t>
            </w:r>
          </w:p>
        </w:tc>
        <w:tc>
          <w:tcPr>
            <w:tcW w:w="0" w:type="auto"/>
            <w:tcBorders>
              <w:top w:val="single" w:sz="4" w:space="0" w:color="auto"/>
              <w:left w:val="nil"/>
              <w:bottom w:val="single" w:sz="4" w:space="0" w:color="auto"/>
              <w:right w:val="nil"/>
            </w:tcBorders>
            <w:vAlign w:val="center"/>
            <w:hideMark/>
          </w:tcPr>
          <w:p w14:paraId="5AB74556"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0,016</w:t>
            </w:r>
          </w:p>
        </w:tc>
        <w:tc>
          <w:tcPr>
            <w:tcW w:w="0" w:type="auto"/>
            <w:tcBorders>
              <w:top w:val="single" w:sz="4" w:space="0" w:color="auto"/>
              <w:left w:val="nil"/>
              <w:bottom w:val="single" w:sz="4" w:space="0" w:color="auto"/>
              <w:right w:val="nil"/>
            </w:tcBorders>
            <w:vAlign w:val="center"/>
            <w:hideMark/>
          </w:tcPr>
          <w:p w14:paraId="43EBE370"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0,049</w:t>
            </w:r>
          </w:p>
        </w:tc>
        <w:tc>
          <w:tcPr>
            <w:tcW w:w="0" w:type="auto"/>
            <w:tcBorders>
              <w:top w:val="single" w:sz="4" w:space="0" w:color="auto"/>
              <w:left w:val="nil"/>
              <w:bottom w:val="single" w:sz="4" w:space="0" w:color="auto"/>
              <w:right w:val="nil"/>
            </w:tcBorders>
            <w:vAlign w:val="center"/>
          </w:tcPr>
          <w:p w14:paraId="4B810871" w14:textId="77777777" w:rsidR="00E303DF" w:rsidRPr="00E303DF" w:rsidRDefault="00E303DF" w:rsidP="00E303DF">
            <w:pPr>
              <w:ind w:firstLine="284"/>
              <w:jc w:val="both"/>
              <w:rPr>
                <w:rFonts w:asciiTheme="majorHAnsi" w:hAnsiTheme="majorHAnsi" w:cstheme="majorHAnsi"/>
                <w:sz w:val="16"/>
                <w:szCs w:val="16"/>
              </w:rPr>
            </w:pPr>
          </w:p>
        </w:tc>
        <w:tc>
          <w:tcPr>
            <w:tcW w:w="0" w:type="auto"/>
            <w:tcBorders>
              <w:top w:val="single" w:sz="4" w:space="0" w:color="auto"/>
              <w:left w:val="nil"/>
              <w:bottom w:val="single" w:sz="4" w:space="0" w:color="auto"/>
              <w:right w:val="nil"/>
            </w:tcBorders>
            <w:vAlign w:val="center"/>
            <w:hideMark/>
          </w:tcPr>
          <w:p w14:paraId="302DBF34"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0,000</w:t>
            </w:r>
          </w:p>
        </w:tc>
        <w:tc>
          <w:tcPr>
            <w:tcW w:w="0" w:type="auto"/>
            <w:tcBorders>
              <w:top w:val="single" w:sz="4" w:space="0" w:color="auto"/>
              <w:left w:val="nil"/>
              <w:bottom w:val="single" w:sz="4" w:space="0" w:color="auto"/>
              <w:right w:val="nil"/>
            </w:tcBorders>
            <w:vAlign w:val="center"/>
            <w:hideMark/>
          </w:tcPr>
          <w:p w14:paraId="660CF3CC"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0,000</w:t>
            </w:r>
          </w:p>
        </w:tc>
        <w:tc>
          <w:tcPr>
            <w:tcW w:w="0" w:type="auto"/>
            <w:tcBorders>
              <w:top w:val="single" w:sz="4" w:space="0" w:color="auto"/>
              <w:left w:val="nil"/>
              <w:bottom w:val="single" w:sz="4" w:space="0" w:color="auto"/>
              <w:right w:val="nil"/>
            </w:tcBorders>
            <w:vAlign w:val="center"/>
          </w:tcPr>
          <w:p w14:paraId="19F1C502" w14:textId="77777777" w:rsidR="00E303DF" w:rsidRPr="00E303DF" w:rsidRDefault="00E303DF" w:rsidP="00E303DF">
            <w:pPr>
              <w:ind w:firstLine="284"/>
              <w:jc w:val="both"/>
              <w:rPr>
                <w:rFonts w:asciiTheme="majorHAnsi" w:hAnsiTheme="majorHAnsi" w:cstheme="majorHAnsi"/>
                <w:sz w:val="16"/>
                <w:szCs w:val="16"/>
              </w:rPr>
            </w:pPr>
          </w:p>
        </w:tc>
      </w:tr>
    </w:tbl>
    <w:p w14:paraId="384E2451"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 X (Familiarity), Y (Compatibility), Z (Standardization), r (Correlation Coefficient)</w:t>
      </w:r>
    </w:p>
    <w:p w14:paraId="28D4135D" w14:textId="77777777" w:rsidR="00E303DF" w:rsidRDefault="00E303DF" w:rsidP="00E303DF">
      <w:pPr>
        <w:ind w:firstLine="284"/>
        <w:jc w:val="both"/>
        <w:rPr>
          <w:rFonts w:ascii="Calibri Light" w:hAnsi="Calibri Light" w:cs="Calibri Light"/>
          <w:sz w:val="20"/>
          <w:szCs w:val="20"/>
        </w:rPr>
      </w:pPr>
    </w:p>
    <w:p w14:paraId="0609D462" w14:textId="77777777" w:rsidR="00315C9E" w:rsidRDefault="00315C9E" w:rsidP="00315C9E">
      <w:pPr>
        <w:ind w:firstLine="284"/>
        <w:jc w:val="both"/>
        <w:rPr>
          <w:rFonts w:ascii="Calibri Light" w:hAnsi="Calibri Light" w:cs="Calibri Light"/>
          <w:sz w:val="20"/>
          <w:szCs w:val="20"/>
        </w:rPr>
      </w:pPr>
      <w:r w:rsidRPr="00E303DF">
        <w:rPr>
          <w:rFonts w:ascii="Calibri Light" w:hAnsi="Calibri Light" w:cs="Calibri Light"/>
          <w:sz w:val="20"/>
          <w:szCs w:val="20"/>
        </w:rPr>
        <w:t xml:space="preserve">The prototype wayfinding signage display employs a 5 cm font size, a serif typeface, and an achromatic </w:t>
      </w:r>
      <w:proofErr w:type="spellStart"/>
      <w:r w:rsidRPr="00E303DF">
        <w:rPr>
          <w:rFonts w:ascii="Calibri Light" w:hAnsi="Calibri Light" w:cs="Calibri Light"/>
          <w:sz w:val="20"/>
          <w:szCs w:val="20"/>
        </w:rPr>
        <w:t>color</w:t>
      </w:r>
      <w:proofErr w:type="spellEnd"/>
      <w:r w:rsidRPr="00E303DF">
        <w:rPr>
          <w:rFonts w:ascii="Calibri Light" w:hAnsi="Calibri Light" w:cs="Calibri Light"/>
          <w:sz w:val="20"/>
          <w:szCs w:val="20"/>
        </w:rPr>
        <w:t xml:space="preserve"> scheme. The calculation of letter width, spacing, kerning, and leading is based on Grandjean's recommendations.</w:t>
      </w:r>
    </w:p>
    <w:p w14:paraId="2C2BFB02" w14:textId="77777777" w:rsidR="00315C9E" w:rsidRDefault="00315C9E" w:rsidP="00E303DF">
      <w:pPr>
        <w:ind w:firstLine="284"/>
        <w:jc w:val="both"/>
        <w:rPr>
          <w:rFonts w:ascii="Calibri Light" w:hAnsi="Calibri Light" w:cs="Calibri Light"/>
          <w:sz w:val="20"/>
          <w:szCs w:val="20"/>
        </w:rPr>
        <w:sectPr w:rsidR="00315C9E" w:rsidSect="00933A64">
          <w:headerReference w:type="even" r:id="rId19"/>
          <w:headerReference w:type="default" r:id="rId20"/>
          <w:footerReference w:type="even" r:id="rId21"/>
          <w:footerReference w:type="default" r:id="rId22"/>
          <w:footerReference w:type="first" r:id="rId23"/>
          <w:pgSz w:w="11906" w:h="16838"/>
          <w:pgMar w:top="1418" w:right="1418" w:bottom="1418" w:left="1418" w:header="709" w:footer="709" w:gutter="0"/>
          <w:pgNumType w:start="81"/>
          <w:cols w:space="720"/>
          <w:titlePg/>
        </w:sectPr>
      </w:pPr>
    </w:p>
    <w:p w14:paraId="58D68778" w14:textId="77777777" w:rsidR="00E303DF" w:rsidRDefault="00E303DF" w:rsidP="00E303DF">
      <w:pPr>
        <w:ind w:firstLine="284"/>
        <w:jc w:val="both"/>
        <w:rPr>
          <w:rFonts w:ascii="Calibri Light" w:hAnsi="Calibri Light" w:cs="Calibri Light"/>
          <w:sz w:val="20"/>
          <w:szCs w:val="20"/>
        </w:rPr>
      </w:pPr>
    </w:p>
    <w:p w14:paraId="0B9B5A36" w14:textId="77777777" w:rsidR="00315C9E" w:rsidRDefault="00315C9E" w:rsidP="00E303DF">
      <w:pPr>
        <w:ind w:firstLine="284"/>
        <w:jc w:val="both"/>
        <w:rPr>
          <w:rFonts w:ascii="Calibri Light" w:hAnsi="Calibri Light" w:cs="Calibri Light"/>
          <w:sz w:val="20"/>
          <w:szCs w:val="20"/>
        </w:rPr>
        <w:sectPr w:rsidR="00315C9E" w:rsidSect="00315C9E">
          <w:headerReference w:type="first" r:id="rId24"/>
          <w:footerReference w:type="first" r:id="rId25"/>
          <w:pgSz w:w="16838" w:h="11906" w:orient="landscape"/>
          <w:pgMar w:top="1418" w:right="1418" w:bottom="1418" w:left="1418" w:header="709" w:footer="709" w:gutter="0"/>
          <w:pgNumType w:start="88"/>
          <w:cols w:space="720"/>
          <w:titlePg/>
          <w:docGrid w:linePitch="299"/>
        </w:sectPr>
      </w:pPr>
    </w:p>
    <w:p w14:paraId="59DCE177" w14:textId="77777777" w:rsidR="00315C9E" w:rsidRDefault="00315C9E" w:rsidP="00E303DF">
      <w:pPr>
        <w:ind w:firstLine="284"/>
        <w:jc w:val="both"/>
        <w:rPr>
          <w:rFonts w:ascii="Calibri Light" w:hAnsi="Calibri Light" w:cs="Calibri Light"/>
          <w:sz w:val="20"/>
          <w:szCs w:val="20"/>
        </w:rPr>
      </w:pPr>
    </w:p>
    <w:p w14:paraId="043CCEC2" w14:textId="77777777" w:rsidR="00315C9E" w:rsidRPr="00E303DF" w:rsidRDefault="00315C9E" w:rsidP="00E303DF">
      <w:pPr>
        <w:ind w:firstLine="284"/>
        <w:jc w:val="both"/>
        <w:rPr>
          <w:rFonts w:ascii="Calibri Light" w:hAnsi="Calibri Light" w:cs="Calibri Light"/>
          <w:sz w:val="20"/>
          <w:szCs w:val="20"/>
        </w:rPr>
      </w:pPr>
    </w:p>
    <w:p w14:paraId="3A84E434" w14:textId="2F0340C2" w:rsidR="00E303DF" w:rsidRPr="00315C9E" w:rsidRDefault="00E303DF" w:rsidP="00315C9E">
      <w:pPr>
        <w:ind w:left="4253" w:firstLine="284"/>
        <w:jc w:val="both"/>
        <w:rPr>
          <w:rFonts w:asciiTheme="majorHAnsi" w:hAnsiTheme="majorHAnsi" w:cstheme="majorHAnsi"/>
          <w:sz w:val="20"/>
          <w:szCs w:val="20"/>
        </w:rPr>
      </w:pPr>
      <m:oMathPara>
        <m:oMathParaPr>
          <m:jc m:val="left"/>
        </m:oMathParaPr>
        <m:oMath>
          <m:r>
            <m:rPr>
              <m:sty m:val="p"/>
            </m:rPr>
            <w:rPr>
              <w:rFonts w:ascii="Cambria Math" w:hAnsi="Cambria Math" w:cstheme="majorHAnsi"/>
              <w:sz w:val="20"/>
              <w:szCs w:val="20"/>
              <w:lang w:val="id-ID"/>
            </w:rPr>
            <m:t>Letter Width</m:t>
          </m:r>
          <m:r>
            <w:rPr>
              <w:rFonts w:ascii="Cambria Math" w:hAnsi="Cambria Math" w:cstheme="majorHAnsi"/>
              <w:sz w:val="20"/>
              <w:szCs w:val="20"/>
            </w:rPr>
            <m:t>=</m:t>
          </m:r>
          <m:f>
            <m:fPr>
              <m:ctrlPr>
                <w:rPr>
                  <w:rFonts w:ascii="Cambria Math" w:hAnsi="Cambria Math" w:cstheme="majorHAnsi"/>
                  <w:i/>
                  <w:sz w:val="20"/>
                  <w:szCs w:val="20"/>
                </w:rPr>
              </m:ctrlPr>
            </m:fPr>
            <m:num>
              <m:r>
                <w:rPr>
                  <w:rFonts w:ascii="Cambria Math" w:hAnsi="Cambria Math" w:cstheme="majorHAnsi"/>
                  <w:sz w:val="20"/>
                  <w:szCs w:val="20"/>
                </w:rPr>
                <m:t>2 (</m:t>
              </m:r>
              <m:r>
                <m:rPr>
                  <m:sty m:val="p"/>
                </m:rPr>
                <w:rPr>
                  <w:rFonts w:ascii="Cambria Math" w:hAnsi="Cambria Math" w:cstheme="majorHAnsi"/>
                  <w:sz w:val="20"/>
                  <w:szCs w:val="20"/>
                  <w:lang w:val="id-ID"/>
                </w:rPr>
                <m:t>Letter Height)</m:t>
              </m:r>
            </m:num>
            <m:den>
              <m:r>
                <w:rPr>
                  <w:rFonts w:ascii="Cambria Math" w:hAnsi="Cambria Math" w:cstheme="majorHAnsi"/>
                  <w:sz w:val="20"/>
                  <w:szCs w:val="20"/>
                </w:rPr>
                <m:t>3</m:t>
              </m:r>
            </m:den>
          </m:f>
          <m:r>
            <w:rPr>
              <w:rFonts w:ascii="Cambria Math" w:hAnsi="Cambria Math" w:cstheme="majorHAnsi"/>
              <w:sz w:val="20"/>
              <w:szCs w:val="20"/>
            </w:rPr>
            <m:t xml:space="preserve">= </m:t>
          </m:r>
          <m:f>
            <m:fPr>
              <m:ctrlPr>
                <w:rPr>
                  <w:rFonts w:ascii="Cambria Math" w:hAnsi="Cambria Math" w:cstheme="majorHAnsi"/>
                  <w:i/>
                  <w:sz w:val="20"/>
                  <w:szCs w:val="20"/>
                </w:rPr>
              </m:ctrlPr>
            </m:fPr>
            <m:num>
              <m:r>
                <w:rPr>
                  <w:rFonts w:ascii="Cambria Math" w:hAnsi="Cambria Math" w:cstheme="majorHAnsi"/>
                  <w:sz w:val="20"/>
                  <w:szCs w:val="20"/>
                </w:rPr>
                <m:t>2 (5 cm)</m:t>
              </m:r>
            </m:num>
            <m:den>
              <m:r>
                <w:rPr>
                  <w:rFonts w:ascii="Cambria Math" w:hAnsi="Cambria Math" w:cstheme="majorHAnsi"/>
                  <w:sz w:val="20"/>
                  <w:szCs w:val="20"/>
                </w:rPr>
                <m:t>3</m:t>
              </m:r>
            </m:den>
          </m:f>
          <m:r>
            <w:rPr>
              <w:rFonts w:ascii="Cambria Math" w:hAnsi="Cambria Math" w:cstheme="majorHAnsi"/>
              <w:sz w:val="20"/>
              <w:szCs w:val="20"/>
            </w:rPr>
            <m:t>=3,33 cm</m:t>
          </m:r>
        </m:oMath>
      </m:oMathPara>
    </w:p>
    <w:p w14:paraId="173377AF" w14:textId="571302EA" w:rsidR="00E303DF" w:rsidRPr="00315C9E" w:rsidRDefault="00E303DF" w:rsidP="00315C9E">
      <w:pPr>
        <w:ind w:left="4253" w:firstLine="284"/>
        <w:jc w:val="both"/>
        <w:rPr>
          <w:rFonts w:asciiTheme="majorHAnsi" w:hAnsiTheme="majorHAnsi" w:cstheme="majorHAnsi"/>
          <w:sz w:val="20"/>
          <w:szCs w:val="20"/>
        </w:rPr>
      </w:pPr>
      <m:oMathPara>
        <m:oMathParaPr>
          <m:jc m:val="left"/>
        </m:oMathParaPr>
        <m:oMath>
          <m:r>
            <m:rPr>
              <m:sty m:val="p"/>
            </m:rPr>
            <w:rPr>
              <w:rFonts w:ascii="Cambria Math" w:hAnsi="Cambria Math" w:cstheme="majorHAnsi"/>
              <w:sz w:val="20"/>
              <w:szCs w:val="20"/>
              <w:lang w:val="id-ID"/>
            </w:rPr>
            <m:t>Stroke Width</m:t>
          </m:r>
          <m:r>
            <w:rPr>
              <w:rFonts w:ascii="Cambria Math" w:hAnsi="Cambria Math" w:cstheme="majorHAnsi"/>
              <w:sz w:val="20"/>
              <w:szCs w:val="20"/>
            </w:rPr>
            <m:t>=</m:t>
          </m:r>
          <m:f>
            <m:fPr>
              <m:ctrlPr>
                <w:rPr>
                  <w:rFonts w:ascii="Cambria Math" w:hAnsi="Cambria Math" w:cstheme="majorHAnsi"/>
                  <w:i/>
                  <w:sz w:val="20"/>
                  <w:szCs w:val="20"/>
                </w:rPr>
              </m:ctrlPr>
            </m:fPr>
            <m:num>
              <m:r>
                <w:rPr>
                  <w:rFonts w:ascii="Cambria Math" w:hAnsi="Cambria Math" w:cstheme="majorHAnsi"/>
                  <w:sz w:val="20"/>
                  <w:szCs w:val="20"/>
                </w:rPr>
                <m:t>(</m:t>
              </m:r>
              <m:r>
                <m:rPr>
                  <m:sty m:val="p"/>
                </m:rPr>
                <w:rPr>
                  <w:rFonts w:ascii="Cambria Math" w:hAnsi="Cambria Math" w:cstheme="majorHAnsi"/>
                  <w:sz w:val="20"/>
                  <w:szCs w:val="20"/>
                  <w:lang w:val="id-ID"/>
                </w:rPr>
                <m:t>Letter Height)</m:t>
              </m:r>
            </m:num>
            <m:den>
              <m:r>
                <w:rPr>
                  <w:rFonts w:ascii="Cambria Math" w:hAnsi="Cambria Math" w:cstheme="majorHAnsi"/>
                  <w:sz w:val="20"/>
                  <w:szCs w:val="20"/>
                </w:rPr>
                <m:t>6</m:t>
              </m:r>
            </m:den>
          </m:f>
          <m:r>
            <w:rPr>
              <w:rFonts w:ascii="Cambria Math" w:hAnsi="Cambria Math" w:cstheme="majorHAnsi"/>
              <w:sz w:val="20"/>
              <w:szCs w:val="20"/>
            </w:rPr>
            <m:t xml:space="preserve">= </m:t>
          </m:r>
          <m:f>
            <m:fPr>
              <m:ctrlPr>
                <w:rPr>
                  <w:rFonts w:ascii="Cambria Math" w:hAnsi="Cambria Math" w:cstheme="majorHAnsi"/>
                  <w:i/>
                  <w:sz w:val="20"/>
                  <w:szCs w:val="20"/>
                </w:rPr>
              </m:ctrlPr>
            </m:fPr>
            <m:num>
              <m:r>
                <w:rPr>
                  <w:rFonts w:ascii="Cambria Math" w:hAnsi="Cambria Math" w:cstheme="majorHAnsi"/>
                  <w:sz w:val="20"/>
                  <w:szCs w:val="20"/>
                </w:rPr>
                <m:t>(5 cm)</m:t>
              </m:r>
            </m:num>
            <m:den>
              <m:r>
                <w:rPr>
                  <w:rFonts w:ascii="Cambria Math" w:hAnsi="Cambria Math" w:cstheme="majorHAnsi"/>
                  <w:sz w:val="20"/>
                  <w:szCs w:val="20"/>
                </w:rPr>
                <m:t>6</m:t>
              </m:r>
            </m:den>
          </m:f>
          <m:r>
            <w:rPr>
              <w:rFonts w:ascii="Cambria Math" w:hAnsi="Cambria Math" w:cstheme="majorHAnsi"/>
              <w:sz w:val="20"/>
              <w:szCs w:val="20"/>
            </w:rPr>
            <m:t>=0,83 cm</m:t>
          </m:r>
        </m:oMath>
      </m:oMathPara>
    </w:p>
    <w:p w14:paraId="2C83316B" w14:textId="64BC1F65" w:rsidR="00E303DF" w:rsidRPr="00315C9E" w:rsidRDefault="00E303DF" w:rsidP="00315C9E">
      <w:pPr>
        <w:ind w:left="4253" w:firstLine="284"/>
        <w:jc w:val="both"/>
        <w:rPr>
          <w:rFonts w:asciiTheme="majorHAnsi" w:hAnsiTheme="majorHAnsi" w:cstheme="majorHAnsi"/>
          <w:sz w:val="20"/>
          <w:szCs w:val="20"/>
        </w:rPr>
      </w:pPr>
      <m:oMathPara>
        <m:oMathParaPr>
          <m:jc m:val="left"/>
        </m:oMathParaPr>
        <m:oMath>
          <m:r>
            <m:rPr>
              <m:sty m:val="p"/>
            </m:rPr>
            <w:rPr>
              <w:rFonts w:ascii="Cambria Math" w:hAnsi="Cambria Math" w:cstheme="majorHAnsi"/>
              <w:sz w:val="20"/>
              <w:szCs w:val="20"/>
              <w:lang w:val="id-ID"/>
            </w:rPr>
            <m:t>Spacing</m:t>
          </m:r>
          <m:r>
            <w:rPr>
              <w:rFonts w:ascii="Cambria Math" w:hAnsi="Cambria Math" w:cstheme="majorHAnsi"/>
              <w:sz w:val="20"/>
              <w:szCs w:val="20"/>
            </w:rPr>
            <m:t>=</m:t>
          </m:r>
          <m:f>
            <m:fPr>
              <m:ctrlPr>
                <w:rPr>
                  <w:rFonts w:ascii="Cambria Math" w:hAnsi="Cambria Math" w:cstheme="majorHAnsi"/>
                  <w:i/>
                  <w:sz w:val="20"/>
                  <w:szCs w:val="20"/>
                </w:rPr>
              </m:ctrlPr>
            </m:fPr>
            <m:num>
              <m:r>
                <w:rPr>
                  <w:rFonts w:ascii="Cambria Math" w:hAnsi="Cambria Math" w:cstheme="majorHAnsi"/>
                  <w:sz w:val="20"/>
                  <w:szCs w:val="20"/>
                </w:rPr>
                <m:t>2 (</m:t>
              </m:r>
              <m:r>
                <m:rPr>
                  <m:sty m:val="p"/>
                </m:rPr>
                <w:rPr>
                  <w:rFonts w:ascii="Cambria Math" w:hAnsi="Cambria Math" w:cstheme="majorHAnsi"/>
                  <w:sz w:val="20"/>
                  <w:szCs w:val="20"/>
                  <w:lang w:val="id-ID"/>
                </w:rPr>
                <m:t>Letter Height)</m:t>
              </m:r>
            </m:num>
            <m:den>
              <m:r>
                <w:rPr>
                  <w:rFonts w:ascii="Cambria Math" w:hAnsi="Cambria Math" w:cstheme="majorHAnsi"/>
                  <w:sz w:val="20"/>
                  <w:szCs w:val="20"/>
                </w:rPr>
                <m:t>3</m:t>
              </m:r>
            </m:den>
          </m:f>
          <m:r>
            <w:rPr>
              <w:rFonts w:ascii="Cambria Math" w:hAnsi="Cambria Math" w:cstheme="majorHAnsi"/>
              <w:sz w:val="20"/>
              <w:szCs w:val="20"/>
            </w:rPr>
            <m:t xml:space="preserve">= </m:t>
          </m:r>
          <m:f>
            <m:fPr>
              <m:ctrlPr>
                <w:rPr>
                  <w:rFonts w:ascii="Cambria Math" w:hAnsi="Cambria Math" w:cstheme="majorHAnsi"/>
                  <w:i/>
                  <w:sz w:val="20"/>
                  <w:szCs w:val="20"/>
                </w:rPr>
              </m:ctrlPr>
            </m:fPr>
            <m:num>
              <m:r>
                <w:rPr>
                  <w:rFonts w:ascii="Cambria Math" w:hAnsi="Cambria Math" w:cstheme="majorHAnsi"/>
                  <w:sz w:val="20"/>
                  <w:szCs w:val="20"/>
                </w:rPr>
                <m:t>2 (5 cm)</m:t>
              </m:r>
            </m:num>
            <m:den>
              <m:r>
                <w:rPr>
                  <w:rFonts w:ascii="Cambria Math" w:hAnsi="Cambria Math" w:cstheme="majorHAnsi"/>
                  <w:sz w:val="20"/>
                  <w:szCs w:val="20"/>
                </w:rPr>
                <m:t>3</m:t>
              </m:r>
            </m:den>
          </m:f>
          <m:r>
            <w:rPr>
              <w:rFonts w:ascii="Cambria Math" w:hAnsi="Cambria Math" w:cstheme="majorHAnsi"/>
              <w:sz w:val="20"/>
              <w:szCs w:val="20"/>
            </w:rPr>
            <m:t>=3,33 cm</m:t>
          </m:r>
        </m:oMath>
      </m:oMathPara>
    </w:p>
    <w:p w14:paraId="400B9C3B" w14:textId="6CFDB0AB" w:rsidR="00E303DF" w:rsidRPr="00315C9E" w:rsidRDefault="00E303DF" w:rsidP="00315C9E">
      <w:pPr>
        <w:ind w:left="4253" w:firstLine="284"/>
        <w:jc w:val="both"/>
        <w:rPr>
          <w:rFonts w:asciiTheme="majorHAnsi" w:hAnsiTheme="majorHAnsi" w:cstheme="majorHAnsi"/>
          <w:sz w:val="20"/>
          <w:szCs w:val="20"/>
        </w:rPr>
      </w:pPr>
      <m:oMathPara>
        <m:oMathParaPr>
          <m:jc m:val="left"/>
        </m:oMathParaPr>
        <m:oMath>
          <m:r>
            <m:rPr>
              <m:sty m:val="p"/>
            </m:rPr>
            <w:rPr>
              <w:rFonts w:ascii="Cambria Math" w:hAnsi="Cambria Math" w:cstheme="majorHAnsi"/>
              <w:sz w:val="20"/>
              <w:szCs w:val="20"/>
              <w:lang w:val="id-ID"/>
            </w:rPr>
            <m:t>Kerning</m:t>
          </m:r>
          <m:r>
            <w:rPr>
              <w:rFonts w:ascii="Cambria Math" w:hAnsi="Cambria Math" w:cstheme="majorHAnsi"/>
              <w:sz w:val="20"/>
              <w:szCs w:val="20"/>
            </w:rPr>
            <m:t>=</m:t>
          </m:r>
          <m:f>
            <m:fPr>
              <m:ctrlPr>
                <w:rPr>
                  <w:rFonts w:ascii="Cambria Math" w:hAnsi="Cambria Math" w:cstheme="majorHAnsi"/>
                  <w:i/>
                  <w:sz w:val="20"/>
                  <w:szCs w:val="20"/>
                </w:rPr>
              </m:ctrlPr>
            </m:fPr>
            <m:num>
              <m:r>
                <w:rPr>
                  <w:rFonts w:ascii="Cambria Math" w:hAnsi="Cambria Math" w:cstheme="majorHAnsi"/>
                  <w:sz w:val="20"/>
                  <w:szCs w:val="20"/>
                </w:rPr>
                <m:t>(</m:t>
              </m:r>
              <m:r>
                <m:rPr>
                  <m:sty m:val="p"/>
                </m:rPr>
                <w:rPr>
                  <w:rFonts w:ascii="Cambria Math" w:hAnsi="Cambria Math" w:cstheme="majorHAnsi"/>
                  <w:sz w:val="20"/>
                  <w:szCs w:val="20"/>
                  <w:lang w:val="id-ID"/>
                </w:rPr>
                <m:t>Letter Height)</m:t>
              </m:r>
            </m:num>
            <m:den>
              <m:r>
                <w:rPr>
                  <w:rFonts w:ascii="Cambria Math" w:hAnsi="Cambria Math" w:cstheme="majorHAnsi"/>
                  <w:sz w:val="20"/>
                  <w:szCs w:val="20"/>
                </w:rPr>
                <m:t>5</m:t>
              </m:r>
            </m:den>
          </m:f>
          <m:r>
            <w:rPr>
              <w:rFonts w:ascii="Cambria Math" w:hAnsi="Cambria Math" w:cstheme="majorHAnsi"/>
              <w:sz w:val="20"/>
              <w:szCs w:val="20"/>
            </w:rPr>
            <m:t xml:space="preserve">= </m:t>
          </m:r>
          <m:f>
            <m:fPr>
              <m:ctrlPr>
                <w:rPr>
                  <w:rFonts w:ascii="Cambria Math" w:hAnsi="Cambria Math" w:cstheme="majorHAnsi"/>
                  <w:i/>
                  <w:sz w:val="20"/>
                  <w:szCs w:val="20"/>
                </w:rPr>
              </m:ctrlPr>
            </m:fPr>
            <m:num>
              <m:r>
                <w:rPr>
                  <w:rFonts w:ascii="Cambria Math" w:hAnsi="Cambria Math" w:cstheme="majorHAnsi"/>
                  <w:sz w:val="20"/>
                  <w:szCs w:val="20"/>
                </w:rPr>
                <m:t>(5 cm)</m:t>
              </m:r>
            </m:num>
            <m:den>
              <m:r>
                <w:rPr>
                  <w:rFonts w:ascii="Cambria Math" w:hAnsi="Cambria Math" w:cstheme="majorHAnsi"/>
                  <w:sz w:val="20"/>
                  <w:szCs w:val="20"/>
                </w:rPr>
                <m:t>5</m:t>
              </m:r>
            </m:den>
          </m:f>
          <m:r>
            <w:rPr>
              <w:rFonts w:ascii="Cambria Math" w:hAnsi="Cambria Math" w:cstheme="majorHAnsi"/>
              <w:sz w:val="20"/>
              <w:szCs w:val="20"/>
            </w:rPr>
            <m:t>=1 cm</m:t>
          </m:r>
        </m:oMath>
      </m:oMathPara>
    </w:p>
    <w:p w14:paraId="18754C6B" w14:textId="77777777" w:rsidR="00E303DF" w:rsidRPr="00315C9E" w:rsidRDefault="00E303DF" w:rsidP="00315C9E">
      <w:pPr>
        <w:ind w:left="4253" w:firstLine="284"/>
        <w:jc w:val="both"/>
        <w:rPr>
          <w:rFonts w:asciiTheme="majorHAnsi" w:hAnsiTheme="majorHAnsi" w:cstheme="majorHAnsi"/>
          <w:sz w:val="20"/>
          <w:szCs w:val="20"/>
        </w:rPr>
      </w:pPr>
    </w:p>
    <w:p w14:paraId="67015533"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 xml:space="preserve">Margin sizes of 2.5% and 5% are found to be more legible, image block sizes of 30% and 40% are more easily visible, and horizontal arrangements are considered more legible than vertical </w:t>
      </w:r>
      <w:r w:rsidRPr="00315C9E">
        <w:rPr>
          <w:rFonts w:ascii="Calibri Light" w:hAnsi="Calibri Light" w:cs="Calibri Light"/>
          <w:sz w:val="20"/>
          <w:szCs w:val="20"/>
        </w:rPr>
        <w:t xml:space="preserve">arrangements </w:t>
      </w:r>
      <w:hyperlink r:id="rId26" w:anchor="Kurushima" w:history="1">
        <w:r w:rsidRPr="00315C9E">
          <w:rPr>
            <w:rStyle w:val="Hyperlink"/>
            <w:rFonts w:ascii="Calibri Light" w:hAnsi="Calibri Light" w:cs="Calibri Light"/>
            <w:color w:val="auto"/>
            <w:sz w:val="20"/>
            <w:szCs w:val="20"/>
            <w:u w:val="none"/>
          </w:rPr>
          <w:fldChar w:fldCharType="begin" w:fldLock="1"/>
        </w:r>
        <w:r w:rsidRPr="00315C9E">
          <w:rPr>
            <w:rStyle w:val="Hyperlink"/>
            <w:rFonts w:ascii="Calibri Light" w:hAnsi="Calibri Light" w:cs="Calibri Light"/>
            <w:color w:val="auto"/>
            <w:sz w:val="20"/>
            <w:szCs w:val="20"/>
            <w:u w:val="none"/>
          </w:rPr>
          <w:instrText>ADDIN CSL_CITATION {"citationItems":[{"id":"ITEM-1","itemData":{"DOI":"10.5220/0008162101120119","ISBN":"9789897583766","abstract":"Recently, digital signages are widely utilized to provide information for tourists in plural languages, but it takes longer time to offer information in each language separately. Although simultaneous multilingual display is expected to reduce the time for presentation, there is no guideline for simultaneous multilingual display to keep its legibility. In order to estimate the effect of layout on legibility, the authors prepared contents which have different layout factors and conducted evaluated the legibility of contents with Thurstone's pairwise comparison. Since the number of combinations in layout factors increases exponentially, the number of stimuli was reduced using an orthogonal table. As a result, significant differences were found in some layout factors and it was found that horizontal arrangement of images and sentences, left alignment in sentences, middle margin from screen edge and medium-sized images made contents more legible.","author":[{"dropping-particle":"","family":"Kurushima","given":"Takashi","non-dropping-particle":"","parse-names":false,"suffix":""},{"dropping-particle":"","family":"Sakamoto","given":"Yoshiki","non-dropping-particle":"","parse-names":false,"suffix":""},{"dropping-particle":"","family":"Ueda","given":"Kimi","non-dropping-particle":"","parse-names":false,"suffix":""},{"dropping-particle":"","family":"Ishii","given":"Hirotake","non-dropping-particle":"","parse-names":false,"suffix":""},{"dropping-particle":"","family":"Shimoda","given":"Hiroshi","non-dropping-particle":"","parse-names":false,"suffix":""},{"dropping-particle":"","family":"Mochizuki","given":"Rika","non-dropping-particle":"","parse-names":false,"suffix":""},{"dropping-particle":"","family":"Watanabe","given":"Masahiro","non-dropping-particle":"","parse-names":false,"suffix":""}],"container-title":"CHIRA 2019 - Proceedings of the 3rd International Conference on Computer-Human Interaction Research and Applications","id":"ITEM-1","issue":"Chira","issued":{"date-parts":[["2019"]]},"page":"112-119","title":"A study on legibility with pairwise comparison in simultaneous multilingual display on digital signage","type":"article-journal"},"uris":["http://www.mendeley.com/documents/?uuid=ff452e03-4abd-4c66-88a0-786eb40c989b"]}],"mendeley":{"formattedCitation":"[35]","plainTextFormattedCitation":"[35]","previouslyFormattedCitation":"[35]"},"properties":{"noteIndex":0},"schema":"https://github.com/citation-style-language/schema/raw/master/csl-citation.json"}</w:instrText>
        </w:r>
        <w:r w:rsidRPr="00315C9E">
          <w:rPr>
            <w:rStyle w:val="Hyperlink"/>
            <w:rFonts w:ascii="Calibri Light" w:hAnsi="Calibri Light" w:cs="Calibri Light"/>
            <w:color w:val="auto"/>
            <w:sz w:val="20"/>
            <w:szCs w:val="20"/>
            <w:u w:val="none"/>
          </w:rPr>
          <w:fldChar w:fldCharType="separate"/>
        </w:r>
        <w:r w:rsidRPr="00315C9E">
          <w:rPr>
            <w:rStyle w:val="Hyperlink"/>
            <w:rFonts w:ascii="Calibri Light" w:hAnsi="Calibri Light" w:cs="Calibri Light"/>
            <w:color w:val="auto"/>
            <w:sz w:val="20"/>
            <w:szCs w:val="20"/>
            <w:u w:val="none"/>
          </w:rPr>
          <w:t>[35]</w:t>
        </w:r>
        <w:r w:rsidRPr="00315C9E">
          <w:rPr>
            <w:rStyle w:val="Hyperlink"/>
            <w:rFonts w:ascii="Calibri Light" w:hAnsi="Calibri Light" w:cs="Calibri Light"/>
            <w:color w:val="auto"/>
            <w:sz w:val="20"/>
            <w:szCs w:val="20"/>
            <w:u w:val="none"/>
          </w:rPr>
          <w:fldChar w:fldCharType="end"/>
        </w:r>
        <w:r w:rsidRPr="00315C9E">
          <w:rPr>
            <w:rStyle w:val="Hyperlink"/>
            <w:rFonts w:ascii="Calibri Light" w:hAnsi="Calibri Light" w:cs="Calibri Light"/>
            <w:color w:val="auto"/>
            <w:sz w:val="20"/>
            <w:szCs w:val="20"/>
            <w:u w:val="none"/>
          </w:rPr>
          <w:t>.</w:t>
        </w:r>
      </w:hyperlink>
      <w:r w:rsidRPr="00315C9E">
        <w:rPr>
          <w:rFonts w:ascii="Calibri Light" w:hAnsi="Calibri Light" w:cs="Calibri Light"/>
          <w:sz w:val="20"/>
          <w:szCs w:val="20"/>
        </w:rPr>
        <w:t xml:space="preserve"> Location and evacuation route signs should display their information visually using raised letters and Braille </w:t>
      </w:r>
      <w:r w:rsidRPr="00315C9E">
        <w:rPr>
          <w:rFonts w:ascii="Calibri Light" w:hAnsi="Calibri Light" w:cs="Calibri Light"/>
          <w:sz w:val="20"/>
          <w:szCs w:val="20"/>
        </w:rPr>
        <w:fldChar w:fldCharType="begin" w:fldLock="1"/>
      </w:r>
      <w:r w:rsidRPr="00315C9E">
        <w:rPr>
          <w:rFonts w:ascii="Calibri Light" w:hAnsi="Calibri Light" w:cs="Calibri Light"/>
          <w:sz w:val="20"/>
          <w:szCs w:val="20"/>
        </w:rPr>
        <w:instrText>ADDIN CSL_CITATION {"citationItems":[{"id":"ITEM-1","itemData":{"DOI":"10.1167/17.5.8","ISSN":"15347362","PMID":"28510625","abstract":"Americans With Disabilities Act (ADA) and International Code Council (ICC) standards for accessible buildings and facilities affect design and construction of all new and renovated buildings throughout the United States, and form the basis for compliance with the ADA. While these standards may result in acceptable accessibility for people who are fully blind, they fall far short of what they could and should accomplish for those with low vision. In this article I critique the standards, detailing their lack of evidence base and other shortcomings. I suggest that simply making existing requirements stricter (e.g., by mandating larger letter size or higher contrasts) will not ensure visual accessibility and therefore cannot act as a valid basis for compliance with the law. I propose two remedies. First, requirements for visual characteristics of signs intended to improve access for those with low vision should be expressed not in terms of physical features, such as character height and contrast, but rather in terms of the distance at which a sign can be read by someone with nominally normal (20/ 20) visual acuity under expected lighting conditions for the installed environment. This would give sign designers greater choice in design parameters but place on them the burden of ensuring legibility. Second, mounting of directional signs, which are critical for effective and efficient wayfinding, should be required to be in consistent and approachable locations so that those with reduced acuity may view them at close distance.","author":[{"dropping-particle":"","family":"Arditi","given":"Aries","non-dropping-particle":"","parse-names":false,"suffix":""}],"container-title":"Journal of Vision","id":"ITEM-1","issue":"5","issued":{"date-parts":[["2017"]]},"page":"1-20","title":"Rethinking ADA signage standards for low-vision accessibility","type":"article-journal","volume":"17"},"uris":["http://www.mendeley.com/documents/?uuid=f182d069-8cc0-4483-a202-a37cb2494827"]}],"mendeley":{"formattedCitation":"[36]","plainTextFormattedCitation":"[36]","previouslyFormattedCitation":"[36]"},"properties":{"noteIndex":0},"schema":"https://github.com/citation-style-language/schema/raw/master/csl-citation.json"}</w:instrText>
      </w:r>
      <w:r w:rsidRPr="00315C9E">
        <w:rPr>
          <w:rFonts w:ascii="Calibri Light" w:hAnsi="Calibri Light" w:cs="Calibri Light"/>
          <w:sz w:val="20"/>
          <w:szCs w:val="20"/>
        </w:rPr>
        <w:fldChar w:fldCharType="separate"/>
      </w:r>
      <w:r w:rsidRPr="00315C9E">
        <w:rPr>
          <w:rFonts w:ascii="Calibri Light" w:hAnsi="Calibri Light" w:cs="Calibri Light"/>
          <w:sz w:val="20"/>
          <w:szCs w:val="20"/>
        </w:rPr>
        <w:t>[36]</w:t>
      </w:r>
      <w:r w:rsidRPr="00315C9E">
        <w:rPr>
          <w:rFonts w:ascii="Calibri Light" w:hAnsi="Calibri Light" w:cs="Calibri Light"/>
          <w:sz w:val="20"/>
          <w:szCs w:val="20"/>
        </w:rPr>
        <w:fldChar w:fldCharType="end"/>
      </w:r>
      <w:r w:rsidRPr="00315C9E">
        <w:rPr>
          <w:rFonts w:ascii="Calibri Light" w:hAnsi="Calibri Light" w:cs="Calibri Light"/>
          <w:sz w:val="20"/>
          <w:szCs w:val="20"/>
        </w:rPr>
        <w:t xml:space="preserve">. The use of Braille is intended to create an inclusive design. The proposed </w:t>
      </w:r>
      <w:r w:rsidRPr="00E303DF">
        <w:rPr>
          <w:rFonts w:ascii="Calibri Light" w:hAnsi="Calibri Light" w:cs="Calibri Light"/>
          <w:sz w:val="20"/>
          <w:szCs w:val="20"/>
        </w:rPr>
        <w:t>sign display design is presented in Figure 9. A comparison between current signage symbols and the proposed symbols is presented in Table 4.</w:t>
      </w:r>
    </w:p>
    <w:p w14:paraId="43F64058" w14:textId="77777777" w:rsidR="00E303DF" w:rsidRDefault="00E303DF" w:rsidP="00315C9E">
      <w:pPr>
        <w:jc w:val="both"/>
        <w:rPr>
          <w:rFonts w:ascii="Calibri Light" w:hAnsi="Calibri Light" w:cs="Calibri Light"/>
          <w:sz w:val="20"/>
          <w:szCs w:val="20"/>
        </w:rPr>
      </w:pPr>
    </w:p>
    <w:p w14:paraId="137BB354" w14:textId="77777777" w:rsidR="00315C9E" w:rsidRPr="00E303DF" w:rsidRDefault="00315C9E" w:rsidP="00315C9E">
      <w:pPr>
        <w:jc w:val="both"/>
        <w:rPr>
          <w:rFonts w:ascii="Calibri Light" w:hAnsi="Calibri Light" w:cs="Calibri Light"/>
          <w:sz w:val="20"/>
          <w:szCs w:val="20"/>
        </w:rPr>
      </w:pPr>
    </w:p>
    <w:p w14:paraId="590F54D2" w14:textId="6E95ECA4" w:rsidR="00E303DF" w:rsidRDefault="00E303DF" w:rsidP="00315C9E">
      <w:pPr>
        <w:ind w:firstLine="284"/>
        <w:jc w:val="center"/>
        <w:rPr>
          <w:rFonts w:ascii="Calibri Light" w:hAnsi="Calibri Light" w:cs="Calibri Light"/>
          <w:sz w:val="20"/>
          <w:szCs w:val="20"/>
        </w:rPr>
      </w:pPr>
      <w:r w:rsidRPr="00E303DF">
        <w:rPr>
          <w:rFonts w:ascii="Calibri Light" w:hAnsi="Calibri Light" w:cs="Calibri Light"/>
          <w:noProof/>
          <w:sz w:val="20"/>
          <w:szCs w:val="20"/>
        </w:rPr>
        <w:drawing>
          <wp:inline distT="0" distB="0" distL="0" distR="0" wp14:anchorId="15EBAF4F" wp14:editId="72D8291D">
            <wp:extent cx="6821081" cy="1584251"/>
            <wp:effectExtent l="0" t="0" r="0" b="0"/>
            <wp:docPr id="173356773"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37230" cy="1588002"/>
                    </a:xfrm>
                    <a:prstGeom prst="rect">
                      <a:avLst/>
                    </a:prstGeom>
                    <a:noFill/>
                    <a:ln>
                      <a:noFill/>
                    </a:ln>
                  </pic:spPr>
                </pic:pic>
              </a:graphicData>
            </a:graphic>
          </wp:inline>
        </w:drawing>
      </w:r>
    </w:p>
    <w:p w14:paraId="1E32641E" w14:textId="77777777" w:rsidR="00E303DF" w:rsidRPr="00E303DF" w:rsidRDefault="00E303DF" w:rsidP="00E303DF">
      <w:pPr>
        <w:ind w:firstLine="284"/>
        <w:jc w:val="both"/>
        <w:rPr>
          <w:rFonts w:ascii="Calibri Light" w:hAnsi="Calibri Light" w:cs="Calibri Light"/>
          <w:sz w:val="20"/>
          <w:szCs w:val="20"/>
        </w:rPr>
      </w:pPr>
    </w:p>
    <w:p w14:paraId="3C35E8DC" w14:textId="77777777" w:rsidR="00E303DF" w:rsidRPr="00E303DF" w:rsidRDefault="00E303DF" w:rsidP="00E303DF">
      <w:pPr>
        <w:ind w:firstLine="284"/>
        <w:jc w:val="center"/>
        <w:rPr>
          <w:rFonts w:ascii="Calibri Light" w:hAnsi="Calibri Light" w:cs="Calibri Light"/>
          <w:bCs/>
          <w:sz w:val="16"/>
          <w:szCs w:val="16"/>
        </w:rPr>
      </w:pPr>
      <w:r w:rsidRPr="00E303DF">
        <w:rPr>
          <w:rFonts w:ascii="Calibri Light" w:hAnsi="Calibri Light" w:cs="Calibri Light"/>
          <w:bCs/>
          <w:sz w:val="16"/>
          <w:szCs w:val="16"/>
        </w:rPr>
        <w:t xml:space="preserve">Figure 9. </w:t>
      </w:r>
      <w:bookmarkStart w:id="0" w:name="Proposed"/>
      <w:r w:rsidRPr="00E303DF">
        <w:rPr>
          <w:rFonts w:ascii="Calibri Light" w:hAnsi="Calibri Light" w:cs="Calibri Light"/>
          <w:bCs/>
          <w:sz w:val="16"/>
          <w:szCs w:val="16"/>
        </w:rPr>
        <w:t>Proposed</w:t>
      </w:r>
      <w:bookmarkEnd w:id="0"/>
      <w:r w:rsidRPr="00E303DF">
        <w:rPr>
          <w:rFonts w:ascii="Calibri Light" w:hAnsi="Calibri Light" w:cs="Calibri Light"/>
          <w:bCs/>
          <w:sz w:val="16"/>
          <w:szCs w:val="16"/>
        </w:rPr>
        <w:t xml:space="preserve"> Wayfinding Signage Display Design</w:t>
      </w:r>
    </w:p>
    <w:p w14:paraId="7B332153" w14:textId="77777777" w:rsidR="00E303DF" w:rsidRDefault="00E303DF" w:rsidP="00E303DF">
      <w:pPr>
        <w:ind w:firstLine="284"/>
        <w:jc w:val="both"/>
        <w:rPr>
          <w:rFonts w:ascii="Calibri Light" w:hAnsi="Calibri Light" w:cs="Calibri Light"/>
          <w:sz w:val="20"/>
          <w:szCs w:val="20"/>
        </w:rPr>
      </w:pPr>
    </w:p>
    <w:p w14:paraId="23C3DD88" w14:textId="77777777" w:rsidR="00315C9E" w:rsidRDefault="00315C9E" w:rsidP="00E303DF">
      <w:pPr>
        <w:ind w:firstLine="284"/>
        <w:jc w:val="both"/>
        <w:rPr>
          <w:rFonts w:ascii="Calibri Light" w:hAnsi="Calibri Light" w:cs="Calibri Light"/>
          <w:sz w:val="20"/>
          <w:szCs w:val="20"/>
        </w:rPr>
      </w:pPr>
    </w:p>
    <w:p w14:paraId="70FCDA31" w14:textId="77777777" w:rsidR="00315C9E" w:rsidRDefault="00315C9E" w:rsidP="00E303DF">
      <w:pPr>
        <w:ind w:firstLine="284"/>
        <w:jc w:val="both"/>
        <w:rPr>
          <w:rFonts w:ascii="Calibri Light" w:hAnsi="Calibri Light" w:cs="Calibri Light"/>
          <w:sz w:val="20"/>
          <w:szCs w:val="20"/>
        </w:rPr>
      </w:pPr>
    </w:p>
    <w:p w14:paraId="00F42EF0" w14:textId="77777777" w:rsidR="00315C9E" w:rsidRDefault="00315C9E" w:rsidP="00E303DF">
      <w:pPr>
        <w:ind w:firstLine="284"/>
        <w:jc w:val="both"/>
        <w:rPr>
          <w:rFonts w:ascii="Calibri Light" w:hAnsi="Calibri Light" w:cs="Calibri Light"/>
          <w:sz w:val="20"/>
          <w:szCs w:val="20"/>
        </w:rPr>
      </w:pPr>
    </w:p>
    <w:p w14:paraId="0CC6CB0C" w14:textId="77777777" w:rsidR="00315C9E" w:rsidRDefault="00315C9E" w:rsidP="00E303DF">
      <w:pPr>
        <w:ind w:firstLine="284"/>
        <w:jc w:val="both"/>
        <w:rPr>
          <w:rFonts w:ascii="Calibri Light" w:hAnsi="Calibri Light" w:cs="Calibri Light"/>
          <w:sz w:val="20"/>
          <w:szCs w:val="20"/>
        </w:rPr>
      </w:pPr>
    </w:p>
    <w:p w14:paraId="570D1BAD" w14:textId="77777777" w:rsidR="00315C9E" w:rsidRDefault="00315C9E" w:rsidP="00E303DF">
      <w:pPr>
        <w:ind w:firstLine="284"/>
        <w:jc w:val="both"/>
        <w:rPr>
          <w:rFonts w:ascii="Calibri Light" w:hAnsi="Calibri Light" w:cs="Calibri Light"/>
          <w:sz w:val="20"/>
          <w:szCs w:val="20"/>
        </w:rPr>
      </w:pPr>
    </w:p>
    <w:p w14:paraId="66F99A2A" w14:textId="77777777" w:rsidR="00315C9E" w:rsidRDefault="00315C9E" w:rsidP="00E303DF">
      <w:pPr>
        <w:ind w:firstLine="284"/>
        <w:jc w:val="both"/>
        <w:rPr>
          <w:rFonts w:ascii="Calibri Light" w:hAnsi="Calibri Light" w:cs="Calibri Light"/>
          <w:sz w:val="20"/>
          <w:szCs w:val="20"/>
        </w:rPr>
      </w:pPr>
    </w:p>
    <w:tbl>
      <w:tblPr>
        <w:tblStyle w:val="TableGrid"/>
        <w:tblW w:w="12623"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gridCol w:w="1310"/>
        <w:gridCol w:w="1310"/>
        <w:gridCol w:w="1310"/>
        <w:gridCol w:w="1250"/>
        <w:gridCol w:w="1250"/>
        <w:gridCol w:w="1250"/>
        <w:gridCol w:w="1386"/>
        <w:gridCol w:w="1250"/>
        <w:gridCol w:w="1250"/>
      </w:tblGrid>
      <w:tr w:rsidR="00E303DF" w:rsidRPr="00E303DF" w14:paraId="543D8503" w14:textId="77777777" w:rsidTr="00315C9E">
        <w:trPr>
          <w:trHeight w:val="397"/>
          <w:jc w:val="center"/>
        </w:trPr>
        <w:tc>
          <w:tcPr>
            <w:tcW w:w="12623" w:type="dxa"/>
            <w:gridSpan w:val="10"/>
            <w:vAlign w:val="center"/>
            <w:hideMark/>
          </w:tcPr>
          <w:p w14:paraId="73927272"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lastRenderedPageBreak/>
              <w:t>Table 4. Comparison of Current and Proposed Wayfinding Signage Symbols</w:t>
            </w:r>
          </w:p>
        </w:tc>
      </w:tr>
      <w:tr w:rsidR="00E303DF" w:rsidRPr="00E303DF" w14:paraId="7A0B222C" w14:textId="77777777" w:rsidTr="00315C9E">
        <w:trPr>
          <w:trHeight w:val="397"/>
          <w:jc w:val="center"/>
        </w:trPr>
        <w:tc>
          <w:tcPr>
            <w:tcW w:w="10123" w:type="dxa"/>
            <w:gridSpan w:val="8"/>
            <w:tcBorders>
              <w:top w:val="single" w:sz="8" w:space="0" w:color="auto"/>
              <w:left w:val="nil"/>
              <w:bottom w:val="nil"/>
              <w:right w:val="nil"/>
            </w:tcBorders>
            <w:vAlign w:val="center"/>
            <w:hideMark/>
          </w:tcPr>
          <w:p w14:paraId="572498D5"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Current Wayfinding Signage Symbols</w:t>
            </w:r>
          </w:p>
        </w:tc>
        <w:tc>
          <w:tcPr>
            <w:tcW w:w="2500" w:type="dxa"/>
            <w:gridSpan w:val="2"/>
            <w:tcBorders>
              <w:top w:val="single" w:sz="8" w:space="0" w:color="auto"/>
              <w:left w:val="nil"/>
              <w:bottom w:val="single" w:sz="8" w:space="0" w:color="auto"/>
              <w:right w:val="nil"/>
            </w:tcBorders>
            <w:vAlign w:val="center"/>
            <w:hideMark/>
          </w:tcPr>
          <w:p w14:paraId="32080DEE"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Proposed Wayfinding Signage Symbols</w:t>
            </w:r>
          </w:p>
        </w:tc>
      </w:tr>
      <w:tr w:rsidR="00E303DF" w:rsidRPr="00E303DF" w14:paraId="0B28F436" w14:textId="77777777" w:rsidTr="00315C9E">
        <w:trPr>
          <w:trHeight w:val="397"/>
          <w:jc w:val="center"/>
        </w:trPr>
        <w:tc>
          <w:tcPr>
            <w:tcW w:w="1057" w:type="dxa"/>
            <w:vMerge w:val="restart"/>
            <w:tcBorders>
              <w:top w:val="single" w:sz="8" w:space="0" w:color="auto"/>
              <w:left w:val="nil"/>
              <w:bottom w:val="single" w:sz="8" w:space="0" w:color="auto"/>
              <w:right w:val="nil"/>
            </w:tcBorders>
            <w:vAlign w:val="center"/>
            <w:hideMark/>
          </w:tcPr>
          <w:p w14:paraId="182AF377"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Signage</w:t>
            </w:r>
          </w:p>
        </w:tc>
        <w:tc>
          <w:tcPr>
            <w:tcW w:w="1310" w:type="dxa"/>
            <w:vMerge w:val="restart"/>
            <w:tcBorders>
              <w:top w:val="single" w:sz="8" w:space="0" w:color="auto"/>
              <w:left w:val="nil"/>
              <w:bottom w:val="single" w:sz="8" w:space="0" w:color="auto"/>
              <w:right w:val="nil"/>
            </w:tcBorders>
            <w:vAlign w:val="center"/>
            <w:hideMark/>
          </w:tcPr>
          <w:p w14:paraId="42CACAE9" w14:textId="77777777" w:rsidR="00E303DF" w:rsidRPr="00E303DF" w:rsidRDefault="00E303DF" w:rsidP="00315C9E">
            <w:pPr>
              <w:ind w:firstLine="284"/>
              <w:jc w:val="center"/>
              <w:rPr>
                <w:rFonts w:asciiTheme="majorHAnsi" w:hAnsiTheme="majorHAnsi" w:cstheme="majorHAnsi"/>
                <w:sz w:val="16"/>
                <w:szCs w:val="16"/>
              </w:rPr>
            </w:pPr>
            <w:r w:rsidRPr="00E303DF">
              <w:rPr>
                <w:rFonts w:asciiTheme="majorHAnsi" w:hAnsiTheme="majorHAnsi" w:cstheme="majorHAnsi"/>
                <w:sz w:val="16"/>
                <w:szCs w:val="16"/>
              </w:rPr>
              <w:t>Grand Mosque of Sheikh Zayed Surakarta</w:t>
            </w:r>
          </w:p>
        </w:tc>
        <w:tc>
          <w:tcPr>
            <w:tcW w:w="1310" w:type="dxa"/>
            <w:vMerge w:val="restart"/>
            <w:tcBorders>
              <w:top w:val="single" w:sz="8" w:space="0" w:color="auto"/>
              <w:left w:val="nil"/>
              <w:bottom w:val="single" w:sz="8" w:space="0" w:color="auto"/>
              <w:right w:val="nil"/>
            </w:tcBorders>
            <w:vAlign w:val="center"/>
            <w:hideMark/>
          </w:tcPr>
          <w:p w14:paraId="78D72CB3" w14:textId="77777777" w:rsidR="00E303DF" w:rsidRPr="00E303DF" w:rsidRDefault="00E303DF" w:rsidP="00315C9E">
            <w:pPr>
              <w:ind w:firstLine="284"/>
              <w:jc w:val="center"/>
              <w:rPr>
                <w:rFonts w:asciiTheme="majorHAnsi" w:hAnsiTheme="majorHAnsi" w:cstheme="majorHAnsi"/>
                <w:sz w:val="16"/>
                <w:szCs w:val="16"/>
              </w:rPr>
            </w:pPr>
            <w:r w:rsidRPr="00E303DF">
              <w:rPr>
                <w:rFonts w:asciiTheme="majorHAnsi" w:hAnsiTheme="majorHAnsi" w:cstheme="majorHAnsi"/>
                <w:sz w:val="16"/>
                <w:szCs w:val="16"/>
              </w:rPr>
              <w:t>Great Mosque of Al-</w:t>
            </w:r>
            <w:proofErr w:type="spellStart"/>
            <w:r w:rsidRPr="00E303DF">
              <w:rPr>
                <w:rFonts w:asciiTheme="majorHAnsi" w:hAnsiTheme="majorHAnsi" w:cstheme="majorHAnsi"/>
                <w:sz w:val="16"/>
                <w:szCs w:val="16"/>
              </w:rPr>
              <w:t>Aqsha</w:t>
            </w:r>
            <w:proofErr w:type="spellEnd"/>
            <w:r w:rsidRPr="00E303DF">
              <w:rPr>
                <w:rFonts w:asciiTheme="majorHAnsi" w:hAnsiTheme="majorHAnsi" w:cstheme="majorHAnsi"/>
                <w:sz w:val="16"/>
                <w:szCs w:val="16"/>
              </w:rPr>
              <w:t xml:space="preserve"> </w:t>
            </w:r>
            <w:proofErr w:type="spellStart"/>
            <w:r w:rsidRPr="00E303DF">
              <w:rPr>
                <w:rFonts w:asciiTheme="majorHAnsi" w:hAnsiTheme="majorHAnsi" w:cstheme="majorHAnsi"/>
                <w:sz w:val="16"/>
                <w:szCs w:val="16"/>
              </w:rPr>
              <w:t>Klaten</w:t>
            </w:r>
            <w:proofErr w:type="spellEnd"/>
          </w:p>
        </w:tc>
        <w:tc>
          <w:tcPr>
            <w:tcW w:w="1310" w:type="dxa"/>
            <w:vMerge w:val="restart"/>
            <w:tcBorders>
              <w:top w:val="single" w:sz="8" w:space="0" w:color="auto"/>
              <w:left w:val="nil"/>
              <w:bottom w:val="single" w:sz="8" w:space="0" w:color="auto"/>
              <w:right w:val="nil"/>
            </w:tcBorders>
            <w:vAlign w:val="center"/>
            <w:hideMark/>
          </w:tcPr>
          <w:p w14:paraId="71DAC9FB" w14:textId="77777777" w:rsidR="00E303DF" w:rsidRPr="00E303DF" w:rsidRDefault="00E303DF" w:rsidP="00315C9E">
            <w:pPr>
              <w:ind w:firstLine="284"/>
              <w:jc w:val="center"/>
              <w:rPr>
                <w:rFonts w:asciiTheme="majorHAnsi" w:hAnsiTheme="majorHAnsi" w:cstheme="majorHAnsi"/>
                <w:sz w:val="16"/>
                <w:szCs w:val="16"/>
              </w:rPr>
            </w:pPr>
            <w:r w:rsidRPr="00E303DF">
              <w:rPr>
                <w:rFonts w:asciiTheme="majorHAnsi" w:hAnsiTheme="majorHAnsi" w:cstheme="majorHAnsi"/>
                <w:sz w:val="16"/>
                <w:szCs w:val="16"/>
              </w:rPr>
              <w:t>Great Mosque of Madaniyah Karanganyar</w:t>
            </w:r>
          </w:p>
        </w:tc>
        <w:tc>
          <w:tcPr>
            <w:tcW w:w="1250" w:type="dxa"/>
            <w:vMerge w:val="restart"/>
            <w:tcBorders>
              <w:top w:val="single" w:sz="8" w:space="0" w:color="auto"/>
              <w:left w:val="nil"/>
              <w:bottom w:val="single" w:sz="8" w:space="0" w:color="auto"/>
              <w:right w:val="nil"/>
            </w:tcBorders>
            <w:vAlign w:val="center"/>
            <w:hideMark/>
          </w:tcPr>
          <w:p w14:paraId="7183A53B" w14:textId="77777777" w:rsidR="00E303DF" w:rsidRPr="00E303DF" w:rsidRDefault="00E303DF" w:rsidP="00315C9E">
            <w:pPr>
              <w:ind w:firstLine="284"/>
              <w:jc w:val="center"/>
              <w:rPr>
                <w:rFonts w:asciiTheme="majorHAnsi" w:hAnsiTheme="majorHAnsi" w:cstheme="majorHAnsi"/>
                <w:sz w:val="16"/>
                <w:szCs w:val="16"/>
              </w:rPr>
            </w:pPr>
            <w:r w:rsidRPr="00E303DF">
              <w:rPr>
                <w:rFonts w:asciiTheme="majorHAnsi" w:hAnsiTheme="majorHAnsi" w:cstheme="majorHAnsi"/>
                <w:sz w:val="16"/>
                <w:szCs w:val="16"/>
              </w:rPr>
              <w:t xml:space="preserve">Great Mosque of </w:t>
            </w:r>
            <w:proofErr w:type="spellStart"/>
            <w:r w:rsidRPr="00E303DF">
              <w:rPr>
                <w:rFonts w:asciiTheme="majorHAnsi" w:hAnsiTheme="majorHAnsi" w:cstheme="majorHAnsi"/>
                <w:sz w:val="16"/>
                <w:szCs w:val="16"/>
              </w:rPr>
              <w:t>Baiturrahmah</w:t>
            </w:r>
            <w:proofErr w:type="spellEnd"/>
            <w:r w:rsidRPr="00E303DF">
              <w:rPr>
                <w:rFonts w:asciiTheme="majorHAnsi" w:hAnsiTheme="majorHAnsi" w:cstheme="majorHAnsi"/>
                <w:sz w:val="16"/>
                <w:szCs w:val="16"/>
              </w:rPr>
              <w:t xml:space="preserve"> </w:t>
            </w:r>
            <w:proofErr w:type="spellStart"/>
            <w:r w:rsidRPr="00E303DF">
              <w:rPr>
                <w:rFonts w:asciiTheme="majorHAnsi" w:hAnsiTheme="majorHAnsi" w:cstheme="majorHAnsi"/>
                <w:sz w:val="16"/>
                <w:szCs w:val="16"/>
              </w:rPr>
              <w:t>Sukoharjo</w:t>
            </w:r>
            <w:proofErr w:type="spellEnd"/>
          </w:p>
        </w:tc>
        <w:tc>
          <w:tcPr>
            <w:tcW w:w="1250" w:type="dxa"/>
            <w:vMerge w:val="restart"/>
            <w:tcBorders>
              <w:top w:val="single" w:sz="8" w:space="0" w:color="auto"/>
              <w:left w:val="nil"/>
              <w:bottom w:val="single" w:sz="8" w:space="0" w:color="auto"/>
              <w:right w:val="nil"/>
            </w:tcBorders>
            <w:vAlign w:val="center"/>
            <w:hideMark/>
          </w:tcPr>
          <w:p w14:paraId="6266BCCC" w14:textId="77777777" w:rsidR="00E303DF" w:rsidRPr="00E303DF" w:rsidRDefault="00E303DF" w:rsidP="00315C9E">
            <w:pPr>
              <w:ind w:firstLine="284"/>
              <w:jc w:val="center"/>
              <w:rPr>
                <w:rFonts w:asciiTheme="majorHAnsi" w:hAnsiTheme="majorHAnsi" w:cstheme="majorHAnsi"/>
                <w:sz w:val="16"/>
                <w:szCs w:val="16"/>
              </w:rPr>
            </w:pPr>
            <w:r w:rsidRPr="00E303DF">
              <w:rPr>
                <w:rFonts w:asciiTheme="majorHAnsi" w:hAnsiTheme="majorHAnsi" w:cstheme="majorHAnsi"/>
                <w:sz w:val="16"/>
                <w:szCs w:val="16"/>
              </w:rPr>
              <w:t>Mosque of Siti Aisyah Surakarta</w:t>
            </w:r>
          </w:p>
        </w:tc>
        <w:tc>
          <w:tcPr>
            <w:tcW w:w="1250" w:type="dxa"/>
            <w:vMerge w:val="restart"/>
            <w:tcBorders>
              <w:top w:val="single" w:sz="8" w:space="0" w:color="auto"/>
              <w:left w:val="nil"/>
              <w:bottom w:val="single" w:sz="8" w:space="0" w:color="auto"/>
              <w:right w:val="nil"/>
            </w:tcBorders>
            <w:vAlign w:val="center"/>
            <w:hideMark/>
          </w:tcPr>
          <w:p w14:paraId="1A65BB66" w14:textId="77777777" w:rsidR="00E303DF" w:rsidRPr="00E303DF" w:rsidRDefault="00E303DF" w:rsidP="00315C9E">
            <w:pPr>
              <w:ind w:firstLine="284"/>
              <w:jc w:val="center"/>
              <w:rPr>
                <w:rFonts w:asciiTheme="majorHAnsi" w:hAnsiTheme="majorHAnsi" w:cstheme="majorHAnsi"/>
                <w:sz w:val="16"/>
                <w:szCs w:val="16"/>
              </w:rPr>
            </w:pPr>
            <w:r w:rsidRPr="00E303DF">
              <w:rPr>
                <w:rFonts w:asciiTheme="majorHAnsi" w:hAnsiTheme="majorHAnsi" w:cstheme="majorHAnsi"/>
                <w:sz w:val="16"/>
                <w:szCs w:val="16"/>
              </w:rPr>
              <w:t xml:space="preserve">Mosque of </w:t>
            </w:r>
            <w:proofErr w:type="spellStart"/>
            <w:r w:rsidRPr="00E303DF">
              <w:rPr>
                <w:rFonts w:asciiTheme="majorHAnsi" w:hAnsiTheme="majorHAnsi" w:cstheme="majorHAnsi"/>
                <w:sz w:val="16"/>
                <w:szCs w:val="16"/>
              </w:rPr>
              <w:t>Miftahul</w:t>
            </w:r>
            <w:proofErr w:type="spellEnd"/>
            <w:r w:rsidRPr="00E303DF">
              <w:rPr>
                <w:rFonts w:asciiTheme="majorHAnsi" w:hAnsiTheme="majorHAnsi" w:cstheme="majorHAnsi"/>
                <w:sz w:val="16"/>
                <w:szCs w:val="16"/>
              </w:rPr>
              <w:t xml:space="preserve"> Jannah </w:t>
            </w:r>
            <w:proofErr w:type="spellStart"/>
            <w:r w:rsidRPr="00E303DF">
              <w:rPr>
                <w:rFonts w:asciiTheme="majorHAnsi" w:hAnsiTheme="majorHAnsi" w:cstheme="majorHAnsi"/>
                <w:sz w:val="16"/>
                <w:szCs w:val="16"/>
              </w:rPr>
              <w:t>Sukoharjo</w:t>
            </w:r>
            <w:proofErr w:type="spellEnd"/>
          </w:p>
        </w:tc>
        <w:tc>
          <w:tcPr>
            <w:tcW w:w="1386" w:type="dxa"/>
            <w:vMerge w:val="restart"/>
            <w:tcBorders>
              <w:top w:val="single" w:sz="8" w:space="0" w:color="auto"/>
              <w:left w:val="nil"/>
              <w:bottom w:val="single" w:sz="8" w:space="0" w:color="auto"/>
              <w:right w:val="nil"/>
            </w:tcBorders>
            <w:vAlign w:val="center"/>
            <w:hideMark/>
          </w:tcPr>
          <w:p w14:paraId="4BD2F100" w14:textId="77777777" w:rsidR="00E303DF" w:rsidRPr="00E303DF" w:rsidRDefault="00E303DF" w:rsidP="00315C9E">
            <w:pPr>
              <w:ind w:firstLine="284"/>
              <w:jc w:val="center"/>
              <w:rPr>
                <w:rFonts w:asciiTheme="majorHAnsi" w:hAnsiTheme="majorHAnsi" w:cstheme="majorHAnsi"/>
                <w:sz w:val="16"/>
                <w:szCs w:val="16"/>
              </w:rPr>
            </w:pPr>
            <w:r w:rsidRPr="00E303DF">
              <w:rPr>
                <w:rFonts w:asciiTheme="majorHAnsi" w:hAnsiTheme="majorHAnsi" w:cstheme="majorHAnsi"/>
                <w:sz w:val="16"/>
                <w:szCs w:val="16"/>
              </w:rPr>
              <w:t>Respondent’s</w:t>
            </w:r>
          </w:p>
          <w:p w14:paraId="767468A2" w14:textId="77777777" w:rsidR="00E303DF" w:rsidRPr="00E303DF" w:rsidRDefault="00E303DF" w:rsidP="00315C9E">
            <w:pPr>
              <w:ind w:firstLine="284"/>
              <w:jc w:val="center"/>
              <w:rPr>
                <w:rFonts w:asciiTheme="majorHAnsi" w:hAnsiTheme="majorHAnsi" w:cstheme="majorHAnsi"/>
                <w:sz w:val="16"/>
                <w:szCs w:val="16"/>
              </w:rPr>
            </w:pPr>
            <w:r w:rsidRPr="00E303DF">
              <w:rPr>
                <w:rFonts w:asciiTheme="majorHAnsi" w:hAnsiTheme="majorHAnsi" w:cstheme="majorHAnsi"/>
                <w:sz w:val="16"/>
                <w:szCs w:val="16"/>
              </w:rPr>
              <w:t>Suggestion</w:t>
            </w:r>
          </w:p>
        </w:tc>
        <w:tc>
          <w:tcPr>
            <w:tcW w:w="2500" w:type="dxa"/>
            <w:gridSpan w:val="2"/>
            <w:tcBorders>
              <w:top w:val="single" w:sz="8" w:space="0" w:color="auto"/>
              <w:left w:val="nil"/>
              <w:bottom w:val="single" w:sz="8" w:space="0" w:color="auto"/>
              <w:right w:val="nil"/>
            </w:tcBorders>
            <w:vAlign w:val="center"/>
            <w:hideMark/>
          </w:tcPr>
          <w:p w14:paraId="6ADF14AC"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Purposed Symbol</w:t>
            </w:r>
          </w:p>
        </w:tc>
      </w:tr>
      <w:tr w:rsidR="00E303DF" w:rsidRPr="00E303DF" w14:paraId="784AE571" w14:textId="77777777" w:rsidTr="00315C9E">
        <w:trPr>
          <w:trHeight w:val="274"/>
          <w:jc w:val="center"/>
        </w:trPr>
        <w:tc>
          <w:tcPr>
            <w:tcW w:w="0" w:type="auto"/>
            <w:vMerge/>
            <w:tcBorders>
              <w:top w:val="single" w:sz="8" w:space="0" w:color="auto"/>
              <w:left w:val="nil"/>
              <w:bottom w:val="single" w:sz="8" w:space="0" w:color="auto"/>
              <w:right w:val="nil"/>
            </w:tcBorders>
            <w:vAlign w:val="center"/>
            <w:hideMark/>
          </w:tcPr>
          <w:p w14:paraId="3D2D7A7C" w14:textId="77777777" w:rsidR="00E303DF" w:rsidRPr="00E303DF" w:rsidRDefault="00E303DF" w:rsidP="00E303DF">
            <w:pPr>
              <w:ind w:firstLine="284"/>
              <w:jc w:val="both"/>
              <w:rPr>
                <w:rFonts w:asciiTheme="majorHAnsi" w:hAnsiTheme="majorHAnsi" w:cstheme="majorHAnsi"/>
                <w:sz w:val="16"/>
                <w:szCs w:val="16"/>
              </w:rPr>
            </w:pPr>
          </w:p>
        </w:tc>
        <w:tc>
          <w:tcPr>
            <w:tcW w:w="0" w:type="auto"/>
            <w:vMerge/>
            <w:tcBorders>
              <w:top w:val="single" w:sz="8" w:space="0" w:color="auto"/>
              <w:left w:val="nil"/>
              <w:bottom w:val="single" w:sz="8" w:space="0" w:color="auto"/>
              <w:right w:val="nil"/>
            </w:tcBorders>
            <w:vAlign w:val="center"/>
            <w:hideMark/>
          </w:tcPr>
          <w:p w14:paraId="14C0A9BC" w14:textId="77777777" w:rsidR="00E303DF" w:rsidRPr="00E303DF" w:rsidRDefault="00E303DF" w:rsidP="00E303DF">
            <w:pPr>
              <w:ind w:firstLine="284"/>
              <w:jc w:val="both"/>
              <w:rPr>
                <w:rFonts w:asciiTheme="majorHAnsi" w:hAnsiTheme="majorHAnsi" w:cstheme="majorHAnsi"/>
                <w:sz w:val="16"/>
                <w:szCs w:val="16"/>
              </w:rPr>
            </w:pPr>
          </w:p>
        </w:tc>
        <w:tc>
          <w:tcPr>
            <w:tcW w:w="0" w:type="auto"/>
            <w:vMerge/>
            <w:tcBorders>
              <w:top w:val="single" w:sz="8" w:space="0" w:color="auto"/>
              <w:left w:val="nil"/>
              <w:bottom w:val="single" w:sz="8" w:space="0" w:color="auto"/>
              <w:right w:val="nil"/>
            </w:tcBorders>
            <w:vAlign w:val="center"/>
            <w:hideMark/>
          </w:tcPr>
          <w:p w14:paraId="3E3C5E19" w14:textId="77777777" w:rsidR="00E303DF" w:rsidRPr="00E303DF" w:rsidRDefault="00E303DF" w:rsidP="00E303DF">
            <w:pPr>
              <w:ind w:firstLine="284"/>
              <w:jc w:val="both"/>
              <w:rPr>
                <w:rFonts w:asciiTheme="majorHAnsi" w:hAnsiTheme="majorHAnsi" w:cstheme="majorHAnsi"/>
                <w:sz w:val="16"/>
                <w:szCs w:val="16"/>
              </w:rPr>
            </w:pPr>
          </w:p>
        </w:tc>
        <w:tc>
          <w:tcPr>
            <w:tcW w:w="0" w:type="auto"/>
            <w:vMerge/>
            <w:tcBorders>
              <w:top w:val="single" w:sz="8" w:space="0" w:color="auto"/>
              <w:left w:val="nil"/>
              <w:bottom w:val="single" w:sz="8" w:space="0" w:color="auto"/>
              <w:right w:val="nil"/>
            </w:tcBorders>
            <w:vAlign w:val="center"/>
            <w:hideMark/>
          </w:tcPr>
          <w:p w14:paraId="2CF2C5E4" w14:textId="77777777" w:rsidR="00E303DF" w:rsidRPr="00E303DF" w:rsidRDefault="00E303DF" w:rsidP="00E303DF">
            <w:pPr>
              <w:ind w:firstLine="284"/>
              <w:jc w:val="both"/>
              <w:rPr>
                <w:rFonts w:asciiTheme="majorHAnsi" w:hAnsiTheme="majorHAnsi" w:cstheme="majorHAnsi"/>
                <w:sz w:val="16"/>
                <w:szCs w:val="16"/>
              </w:rPr>
            </w:pPr>
          </w:p>
        </w:tc>
        <w:tc>
          <w:tcPr>
            <w:tcW w:w="0" w:type="auto"/>
            <w:vMerge/>
            <w:tcBorders>
              <w:top w:val="single" w:sz="8" w:space="0" w:color="auto"/>
              <w:left w:val="nil"/>
              <w:bottom w:val="single" w:sz="8" w:space="0" w:color="auto"/>
              <w:right w:val="nil"/>
            </w:tcBorders>
            <w:vAlign w:val="center"/>
            <w:hideMark/>
          </w:tcPr>
          <w:p w14:paraId="789E8960" w14:textId="77777777" w:rsidR="00E303DF" w:rsidRPr="00E303DF" w:rsidRDefault="00E303DF" w:rsidP="00E303DF">
            <w:pPr>
              <w:ind w:firstLine="284"/>
              <w:jc w:val="both"/>
              <w:rPr>
                <w:rFonts w:asciiTheme="majorHAnsi" w:hAnsiTheme="majorHAnsi" w:cstheme="majorHAnsi"/>
                <w:sz w:val="16"/>
                <w:szCs w:val="16"/>
              </w:rPr>
            </w:pPr>
          </w:p>
        </w:tc>
        <w:tc>
          <w:tcPr>
            <w:tcW w:w="0" w:type="auto"/>
            <w:vMerge/>
            <w:tcBorders>
              <w:top w:val="single" w:sz="8" w:space="0" w:color="auto"/>
              <w:left w:val="nil"/>
              <w:bottom w:val="single" w:sz="8" w:space="0" w:color="auto"/>
              <w:right w:val="nil"/>
            </w:tcBorders>
            <w:vAlign w:val="center"/>
            <w:hideMark/>
          </w:tcPr>
          <w:p w14:paraId="75092800" w14:textId="77777777" w:rsidR="00E303DF" w:rsidRPr="00E303DF" w:rsidRDefault="00E303DF" w:rsidP="00E303DF">
            <w:pPr>
              <w:ind w:firstLine="284"/>
              <w:jc w:val="both"/>
              <w:rPr>
                <w:rFonts w:asciiTheme="majorHAnsi" w:hAnsiTheme="majorHAnsi" w:cstheme="majorHAnsi"/>
                <w:sz w:val="16"/>
                <w:szCs w:val="16"/>
              </w:rPr>
            </w:pPr>
          </w:p>
        </w:tc>
        <w:tc>
          <w:tcPr>
            <w:tcW w:w="0" w:type="auto"/>
            <w:vMerge/>
            <w:tcBorders>
              <w:top w:val="single" w:sz="8" w:space="0" w:color="auto"/>
              <w:left w:val="nil"/>
              <w:bottom w:val="single" w:sz="8" w:space="0" w:color="auto"/>
              <w:right w:val="nil"/>
            </w:tcBorders>
            <w:vAlign w:val="center"/>
            <w:hideMark/>
          </w:tcPr>
          <w:p w14:paraId="7B507937" w14:textId="77777777" w:rsidR="00E303DF" w:rsidRPr="00E303DF" w:rsidRDefault="00E303DF" w:rsidP="00E303DF">
            <w:pPr>
              <w:ind w:firstLine="284"/>
              <w:jc w:val="both"/>
              <w:rPr>
                <w:rFonts w:asciiTheme="majorHAnsi" w:hAnsiTheme="majorHAnsi" w:cstheme="majorHAnsi"/>
                <w:sz w:val="16"/>
                <w:szCs w:val="16"/>
              </w:rPr>
            </w:pPr>
          </w:p>
        </w:tc>
        <w:tc>
          <w:tcPr>
            <w:tcW w:w="0" w:type="auto"/>
            <w:vMerge/>
            <w:tcBorders>
              <w:top w:val="single" w:sz="8" w:space="0" w:color="auto"/>
              <w:left w:val="nil"/>
              <w:bottom w:val="single" w:sz="8" w:space="0" w:color="auto"/>
              <w:right w:val="nil"/>
            </w:tcBorders>
            <w:vAlign w:val="center"/>
            <w:hideMark/>
          </w:tcPr>
          <w:p w14:paraId="59471E80" w14:textId="77777777" w:rsidR="00E303DF" w:rsidRPr="00E303DF" w:rsidRDefault="00E303DF" w:rsidP="00E303DF">
            <w:pPr>
              <w:ind w:firstLine="284"/>
              <w:jc w:val="both"/>
              <w:rPr>
                <w:rFonts w:asciiTheme="majorHAnsi" w:hAnsiTheme="majorHAnsi" w:cstheme="majorHAnsi"/>
                <w:sz w:val="16"/>
                <w:szCs w:val="16"/>
              </w:rPr>
            </w:pPr>
          </w:p>
        </w:tc>
        <w:tc>
          <w:tcPr>
            <w:tcW w:w="1250" w:type="dxa"/>
            <w:tcBorders>
              <w:top w:val="single" w:sz="8" w:space="0" w:color="auto"/>
              <w:left w:val="nil"/>
              <w:bottom w:val="single" w:sz="8" w:space="0" w:color="auto"/>
              <w:right w:val="nil"/>
            </w:tcBorders>
            <w:vAlign w:val="center"/>
            <w:hideMark/>
          </w:tcPr>
          <w:p w14:paraId="186A0785"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Male</w:t>
            </w:r>
          </w:p>
        </w:tc>
        <w:tc>
          <w:tcPr>
            <w:tcW w:w="1250" w:type="dxa"/>
            <w:tcBorders>
              <w:top w:val="single" w:sz="8" w:space="0" w:color="auto"/>
              <w:left w:val="nil"/>
              <w:bottom w:val="single" w:sz="8" w:space="0" w:color="auto"/>
              <w:right w:val="nil"/>
            </w:tcBorders>
            <w:vAlign w:val="center"/>
            <w:hideMark/>
          </w:tcPr>
          <w:p w14:paraId="36AF25D3"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Female</w:t>
            </w:r>
          </w:p>
        </w:tc>
      </w:tr>
      <w:tr w:rsidR="00E303DF" w:rsidRPr="00E303DF" w14:paraId="0B9D620B" w14:textId="77777777" w:rsidTr="00315C9E">
        <w:trPr>
          <w:trHeight w:val="794"/>
          <w:jc w:val="center"/>
        </w:trPr>
        <w:tc>
          <w:tcPr>
            <w:tcW w:w="1057" w:type="dxa"/>
            <w:tcBorders>
              <w:top w:val="single" w:sz="8" w:space="0" w:color="auto"/>
              <w:left w:val="nil"/>
              <w:bottom w:val="nil"/>
              <w:right w:val="nil"/>
            </w:tcBorders>
            <w:vAlign w:val="center"/>
            <w:hideMark/>
          </w:tcPr>
          <w:p w14:paraId="6C511F6D"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Toilet</w:t>
            </w:r>
          </w:p>
        </w:tc>
        <w:tc>
          <w:tcPr>
            <w:tcW w:w="1310" w:type="dxa"/>
            <w:tcBorders>
              <w:top w:val="single" w:sz="8" w:space="0" w:color="auto"/>
              <w:left w:val="nil"/>
              <w:bottom w:val="nil"/>
              <w:right w:val="nil"/>
            </w:tcBorders>
            <w:vAlign w:val="center"/>
            <w:hideMark/>
          </w:tcPr>
          <w:p w14:paraId="7F2F90B4" w14:textId="3CCCB24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0DB116CA" wp14:editId="5724E0B0">
                  <wp:extent cx="466725" cy="476250"/>
                  <wp:effectExtent l="19050" t="19050" r="28575" b="19050"/>
                  <wp:docPr id="1938302795"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l="64352" t="44865" r="26009" b="47905"/>
                          <a:stretch>
                            <a:fillRect/>
                          </a:stretch>
                        </pic:blipFill>
                        <pic:spPr bwMode="auto">
                          <a:xfrm>
                            <a:off x="0" y="0"/>
                            <a:ext cx="466725" cy="476250"/>
                          </a:xfrm>
                          <a:prstGeom prst="rect">
                            <a:avLst/>
                          </a:prstGeom>
                          <a:noFill/>
                          <a:ln w="9525" cmpd="sng">
                            <a:solidFill>
                              <a:srgbClr val="000000"/>
                            </a:solidFill>
                            <a:miter lim="800000"/>
                            <a:headEnd/>
                            <a:tailEnd/>
                          </a:ln>
                          <a:effectLst/>
                        </pic:spPr>
                      </pic:pic>
                    </a:graphicData>
                  </a:graphic>
                </wp:inline>
              </w:drawing>
            </w:r>
          </w:p>
        </w:tc>
        <w:tc>
          <w:tcPr>
            <w:tcW w:w="1310" w:type="dxa"/>
            <w:tcBorders>
              <w:top w:val="single" w:sz="8" w:space="0" w:color="auto"/>
              <w:left w:val="nil"/>
              <w:bottom w:val="nil"/>
              <w:right w:val="nil"/>
            </w:tcBorders>
            <w:vAlign w:val="center"/>
            <w:hideMark/>
          </w:tcPr>
          <w:p w14:paraId="5ECF502F" w14:textId="4FB6112B"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5DC40C0B" wp14:editId="4BF6A21D">
                  <wp:extent cx="466725" cy="466725"/>
                  <wp:effectExtent l="19050" t="19050" r="28575" b="28575"/>
                  <wp:docPr id="101111623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l="59496" t="55875" r="3157" b="16115"/>
                          <a:stretch>
                            <a:fillRect/>
                          </a:stretch>
                        </pic:blipFill>
                        <pic:spPr bwMode="auto">
                          <a:xfrm>
                            <a:off x="0" y="0"/>
                            <a:ext cx="466725" cy="466725"/>
                          </a:xfrm>
                          <a:prstGeom prst="rect">
                            <a:avLst/>
                          </a:prstGeom>
                          <a:noFill/>
                          <a:ln w="9525" cmpd="sng">
                            <a:solidFill>
                              <a:srgbClr val="000000"/>
                            </a:solidFill>
                            <a:miter lim="800000"/>
                            <a:headEnd/>
                            <a:tailEnd/>
                          </a:ln>
                          <a:effectLst/>
                        </pic:spPr>
                      </pic:pic>
                    </a:graphicData>
                  </a:graphic>
                </wp:inline>
              </w:drawing>
            </w:r>
          </w:p>
        </w:tc>
        <w:tc>
          <w:tcPr>
            <w:tcW w:w="1310" w:type="dxa"/>
            <w:tcBorders>
              <w:top w:val="single" w:sz="8" w:space="0" w:color="auto"/>
              <w:left w:val="nil"/>
              <w:bottom w:val="nil"/>
              <w:right w:val="nil"/>
            </w:tcBorders>
            <w:vAlign w:val="center"/>
            <w:hideMark/>
          </w:tcPr>
          <w:p w14:paraId="52441296" w14:textId="23B29E4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450EEB07" wp14:editId="29C03A53">
                  <wp:extent cx="466725" cy="466725"/>
                  <wp:effectExtent l="19050" t="19050" r="28575" b="28575"/>
                  <wp:docPr id="1837251047"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l="19183" t="47005" r="64104" b="40460"/>
                          <a:stretch>
                            <a:fillRect/>
                          </a:stretch>
                        </pic:blipFill>
                        <pic:spPr bwMode="auto">
                          <a:xfrm>
                            <a:off x="0" y="0"/>
                            <a:ext cx="466725" cy="466725"/>
                          </a:xfrm>
                          <a:prstGeom prst="rect">
                            <a:avLst/>
                          </a:prstGeom>
                          <a:noFill/>
                          <a:ln w="9525" cmpd="sng">
                            <a:solidFill>
                              <a:srgbClr val="000000"/>
                            </a:solidFill>
                            <a:miter lim="800000"/>
                            <a:headEnd/>
                            <a:tailEnd/>
                          </a:ln>
                          <a:effectLst/>
                        </pic:spPr>
                      </pic:pic>
                    </a:graphicData>
                  </a:graphic>
                </wp:inline>
              </w:drawing>
            </w:r>
          </w:p>
        </w:tc>
        <w:tc>
          <w:tcPr>
            <w:tcW w:w="1250" w:type="dxa"/>
            <w:tcBorders>
              <w:top w:val="single" w:sz="8" w:space="0" w:color="auto"/>
              <w:left w:val="nil"/>
              <w:bottom w:val="nil"/>
              <w:right w:val="nil"/>
            </w:tcBorders>
            <w:vAlign w:val="center"/>
            <w:hideMark/>
          </w:tcPr>
          <w:p w14:paraId="1889D378" w14:textId="12124FC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685B4036" wp14:editId="255ADC40">
                  <wp:extent cx="428625" cy="428625"/>
                  <wp:effectExtent l="19050" t="19050" r="28575" b="28575"/>
                  <wp:docPr id="227263904"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31" cstate="print">
                            <a:extLst>
                              <a:ext uri="{28A0092B-C50C-407E-A947-70E740481C1C}">
                                <a14:useLocalDpi xmlns:a14="http://schemas.microsoft.com/office/drawing/2010/main" val="0"/>
                              </a:ext>
                            </a:extLst>
                          </a:blip>
                          <a:srcRect l="9438" t="21004" r="68211" b="17352"/>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tcBorders>
              <w:top w:val="single" w:sz="8" w:space="0" w:color="auto"/>
              <w:left w:val="nil"/>
              <w:bottom w:val="nil"/>
              <w:right w:val="nil"/>
            </w:tcBorders>
            <w:vAlign w:val="center"/>
            <w:hideMark/>
          </w:tcPr>
          <w:p w14:paraId="7A82674D" w14:textId="2CAAB36E"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0FBB3B33" wp14:editId="3075FFD2">
                  <wp:extent cx="428625" cy="428625"/>
                  <wp:effectExtent l="19050" t="19050" r="28575" b="28575"/>
                  <wp:docPr id="1047244472"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32" cstate="print">
                            <a:extLst>
                              <a:ext uri="{28A0092B-C50C-407E-A947-70E740481C1C}">
                                <a14:useLocalDpi xmlns:a14="http://schemas.microsoft.com/office/drawing/2010/main" val="0"/>
                              </a:ext>
                            </a:extLst>
                          </a:blip>
                          <a:srcRect l="38551" t="40697" r="47169" b="48595"/>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tcBorders>
              <w:top w:val="single" w:sz="8" w:space="0" w:color="auto"/>
              <w:left w:val="nil"/>
              <w:bottom w:val="nil"/>
              <w:right w:val="nil"/>
            </w:tcBorders>
            <w:vAlign w:val="center"/>
            <w:hideMark/>
          </w:tcPr>
          <w:p w14:paraId="77C1E476" w14:textId="3AAB8506"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1CDAD65E" wp14:editId="1C95D225">
                  <wp:extent cx="428625" cy="428625"/>
                  <wp:effectExtent l="19050" t="19050" r="28575" b="28575"/>
                  <wp:docPr id="939367962"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33">
                            <a:extLst>
                              <a:ext uri="{28A0092B-C50C-407E-A947-70E740481C1C}">
                                <a14:useLocalDpi xmlns:a14="http://schemas.microsoft.com/office/drawing/2010/main" val="0"/>
                              </a:ext>
                            </a:extLst>
                          </a:blip>
                          <a:srcRect l="13042" t="45251" r="78503" b="43477"/>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386" w:type="dxa"/>
            <w:tcBorders>
              <w:top w:val="single" w:sz="8" w:space="0" w:color="auto"/>
              <w:left w:val="nil"/>
              <w:bottom w:val="nil"/>
              <w:right w:val="nil"/>
            </w:tcBorders>
            <w:vAlign w:val="center"/>
            <w:hideMark/>
          </w:tcPr>
          <w:p w14:paraId="64668DDB"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Gender (LK/PR), Toilet Facilities</w:t>
            </w:r>
          </w:p>
        </w:tc>
        <w:tc>
          <w:tcPr>
            <w:tcW w:w="1250" w:type="dxa"/>
            <w:tcBorders>
              <w:top w:val="single" w:sz="8" w:space="0" w:color="auto"/>
              <w:left w:val="nil"/>
              <w:bottom w:val="nil"/>
              <w:right w:val="nil"/>
            </w:tcBorders>
            <w:vAlign w:val="center"/>
            <w:hideMark/>
          </w:tcPr>
          <w:p w14:paraId="4D5D08AA" w14:textId="5D374638"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125E8887" wp14:editId="1E29462D">
                  <wp:extent cx="428625" cy="428625"/>
                  <wp:effectExtent l="19050" t="19050" r="28575" b="28575"/>
                  <wp:docPr id="1360575772"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34" cstate="print">
                            <a:extLst>
                              <a:ext uri="{28A0092B-C50C-407E-A947-70E740481C1C}">
                                <a14:useLocalDpi xmlns:a14="http://schemas.microsoft.com/office/drawing/2010/main" val="0"/>
                              </a:ext>
                            </a:extLst>
                          </a:blip>
                          <a:srcRect l="15021" t="12679" r="10652" b="12997"/>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tcBorders>
              <w:top w:val="single" w:sz="8" w:space="0" w:color="auto"/>
              <w:left w:val="nil"/>
              <w:bottom w:val="nil"/>
              <w:right w:val="nil"/>
            </w:tcBorders>
            <w:vAlign w:val="center"/>
            <w:hideMark/>
          </w:tcPr>
          <w:p w14:paraId="05223023" w14:textId="32F40A0C"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4FA8553F" wp14:editId="3C4EB7F5">
                  <wp:extent cx="428625" cy="428625"/>
                  <wp:effectExtent l="19050" t="19050" r="28575" b="28575"/>
                  <wp:docPr id="1907332601"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35" cstate="print">
                            <a:extLst>
                              <a:ext uri="{28A0092B-C50C-407E-A947-70E740481C1C}">
                                <a14:useLocalDpi xmlns:a14="http://schemas.microsoft.com/office/drawing/2010/main" val="0"/>
                              </a:ext>
                            </a:extLst>
                          </a:blip>
                          <a:srcRect l="9087" t="8736" r="8316" b="8665"/>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r>
      <w:tr w:rsidR="00E303DF" w:rsidRPr="00E303DF" w14:paraId="271E4C6F" w14:textId="77777777" w:rsidTr="00315C9E">
        <w:trPr>
          <w:trHeight w:val="953"/>
          <w:jc w:val="center"/>
        </w:trPr>
        <w:tc>
          <w:tcPr>
            <w:tcW w:w="1057" w:type="dxa"/>
            <w:vAlign w:val="center"/>
            <w:hideMark/>
          </w:tcPr>
          <w:p w14:paraId="2FC703BC"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Toilet Disabilities</w:t>
            </w:r>
          </w:p>
        </w:tc>
        <w:tc>
          <w:tcPr>
            <w:tcW w:w="1310" w:type="dxa"/>
            <w:vAlign w:val="center"/>
            <w:hideMark/>
          </w:tcPr>
          <w:p w14:paraId="00E6FE92" w14:textId="50D392AA"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07DB2031" wp14:editId="693E82B5">
                  <wp:extent cx="466725" cy="476250"/>
                  <wp:effectExtent l="19050" t="19050" r="28575" b="19050"/>
                  <wp:docPr id="92704899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36" cstate="print">
                            <a:extLst>
                              <a:ext uri="{28A0092B-C50C-407E-A947-70E740481C1C}">
                                <a14:useLocalDpi xmlns:a14="http://schemas.microsoft.com/office/drawing/2010/main" val="0"/>
                              </a:ext>
                            </a:extLst>
                          </a:blip>
                          <a:srcRect l="41214" t="45242" r="38179" b="39304"/>
                          <a:stretch>
                            <a:fillRect/>
                          </a:stretch>
                        </pic:blipFill>
                        <pic:spPr bwMode="auto">
                          <a:xfrm>
                            <a:off x="0" y="0"/>
                            <a:ext cx="466725" cy="476250"/>
                          </a:xfrm>
                          <a:prstGeom prst="rect">
                            <a:avLst/>
                          </a:prstGeom>
                          <a:noFill/>
                          <a:ln w="9525" cmpd="sng">
                            <a:solidFill>
                              <a:srgbClr val="000000"/>
                            </a:solidFill>
                            <a:miter lim="800000"/>
                            <a:headEnd/>
                            <a:tailEnd/>
                          </a:ln>
                          <a:effectLst/>
                        </pic:spPr>
                      </pic:pic>
                    </a:graphicData>
                  </a:graphic>
                </wp:inline>
              </w:drawing>
            </w:r>
          </w:p>
        </w:tc>
        <w:tc>
          <w:tcPr>
            <w:tcW w:w="1310" w:type="dxa"/>
            <w:vAlign w:val="center"/>
            <w:hideMark/>
          </w:tcPr>
          <w:p w14:paraId="38C0CE27"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310" w:type="dxa"/>
            <w:vAlign w:val="center"/>
            <w:hideMark/>
          </w:tcPr>
          <w:p w14:paraId="57B180F7" w14:textId="602F86BD"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7C6EA428" wp14:editId="0AFE7DDF">
                  <wp:extent cx="466725" cy="476250"/>
                  <wp:effectExtent l="19050" t="19050" r="28575" b="19050"/>
                  <wp:docPr id="562695923"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37">
                            <a:extLst>
                              <a:ext uri="{28A0092B-C50C-407E-A947-70E740481C1C}">
                                <a14:useLocalDpi xmlns:a14="http://schemas.microsoft.com/office/drawing/2010/main" val="0"/>
                              </a:ext>
                            </a:extLst>
                          </a:blip>
                          <a:srcRect l="45668" t="45467" r="44093" b="46855"/>
                          <a:stretch>
                            <a:fillRect/>
                          </a:stretch>
                        </pic:blipFill>
                        <pic:spPr bwMode="auto">
                          <a:xfrm>
                            <a:off x="0" y="0"/>
                            <a:ext cx="466725" cy="476250"/>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4FAD5E05"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250" w:type="dxa"/>
            <w:vAlign w:val="center"/>
            <w:hideMark/>
          </w:tcPr>
          <w:p w14:paraId="48FCBAEF" w14:textId="27D9447B"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3B9C80C0" wp14:editId="43748C7D">
                  <wp:extent cx="428625" cy="428625"/>
                  <wp:effectExtent l="19050" t="19050" r="28575" b="28575"/>
                  <wp:docPr id="894846122"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38" cstate="print">
                            <a:extLst>
                              <a:ext uri="{28A0092B-C50C-407E-A947-70E740481C1C}">
                                <a14:useLocalDpi xmlns:a14="http://schemas.microsoft.com/office/drawing/2010/main" val="0"/>
                              </a:ext>
                            </a:extLst>
                          </a:blip>
                          <a:srcRect l="38972" t="50272" r="39862" b="33855"/>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229C49DA"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386" w:type="dxa"/>
            <w:vAlign w:val="center"/>
            <w:hideMark/>
          </w:tcPr>
          <w:p w14:paraId="60CA00AB"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Gender (LK/PR), Toilet Facilities, Wheelchair</w:t>
            </w:r>
          </w:p>
        </w:tc>
        <w:tc>
          <w:tcPr>
            <w:tcW w:w="1250" w:type="dxa"/>
            <w:vAlign w:val="center"/>
            <w:hideMark/>
          </w:tcPr>
          <w:p w14:paraId="40887D1B" w14:textId="2C0B4F80"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7E042714" wp14:editId="00652622">
                  <wp:extent cx="428625" cy="428625"/>
                  <wp:effectExtent l="19050" t="19050" r="28575" b="28575"/>
                  <wp:docPr id="173586596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cstate="print">
                            <a:extLst>
                              <a:ext uri="{28A0092B-C50C-407E-A947-70E740481C1C}">
                                <a14:useLocalDpi xmlns:a14="http://schemas.microsoft.com/office/drawing/2010/main" val="0"/>
                              </a:ext>
                            </a:extLst>
                          </a:blip>
                          <a:srcRect l="7687" t="7339" r="6949" b="7298"/>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4F345E9B" w14:textId="5407E4DB"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005C2899" wp14:editId="4818F468">
                  <wp:extent cx="428625" cy="428625"/>
                  <wp:effectExtent l="19050" t="19050" r="28575" b="28575"/>
                  <wp:docPr id="256780467"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40" cstate="print">
                            <a:extLst>
                              <a:ext uri="{28A0092B-C50C-407E-A947-70E740481C1C}">
                                <a14:useLocalDpi xmlns:a14="http://schemas.microsoft.com/office/drawing/2010/main" val="0"/>
                              </a:ext>
                            </a:extLst>
                          </a:blip>
                          <a:srcRect l="9785" t="8739" r="7649" b="8698"/>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r>
      <w:tr w:rsidR="00E303DF" w:rsidRPr="00E303DF" w14:paraId="2E926B63" w14:textId="77777777" w:rsidTr="00315C9E">
        <w:trPr>
          <w:trHeight w:val="953"/>
          <w:jc w:val="center"/>
        </w:trPr>
        <w:tc>
          <w:tcPr>
            <w:tcW w:w="1057" w:type="dxa"/>
            <w:vAlign w:val="center"/>
            <w:hideMark/>
          </w:tcPr>
          <w:p w14:paraId="5066F5EC"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Ablution</w:t>
            </w:r>
          </w:p>
        </w:tc>
        <w:tc>
          <w:tcPr>
            <w:tcW w:w="1310" w:type="dxa"/>
            <w:vAlign w:val="center"/>
            <w:hideMark/>
          </w:tcPr>
          <w:p w14:paraId="18F53009" w14:textId="5B3854A9"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6A8E32A5" wp14:editId="35DF8684">
                  <wp:extent cx="466725" cy="476250"/>
                  <wp:effectExtent l="19050" t="19050" r="28575" b="19050"/>
                  <wp:docPr id="143216638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a:extLst>
                              <a:ext uri="{28A0092B-C50C-407E-A947-70E740481C1C}">
                                <a14:useLocalDpi xmlns:a14="http://schemas.microsoft.com/office/drawing/2010/main" val="0"/>
                              </a:ext>
                            </a:extLst>
                          </a:blip>
                          <a:srcRect l="32191" t="34668" r="57256" b="57416"/>
                          <a:stretch>
                            <a:fillRect/>
                          </a:stretch>
                        </pic:blipFill>
                        <pic:spPr bwMode="auto">
                          <a:xfrm>
                            <a:off x="0" y="0"/>
                            <a:ext cx="466725" cy="476250"/>
                          </a:xfrm>
                          <a:prstGeom prst="rect">
                            <a:avLst/>
                          </a:prstGeom>
                          <a:noFill/>
                          <a:ln w="9525" cmpd="sng">
                            <a:solidFill>
                              <a:srgbClr val="000000"/>
                            </a:solidFill>
                            <a:miter lim="800000"/>
                            <a:headEnd/>
                            <a:tailEnd/>
                          </a:ln>
                          <a:effectLst/>
                        </pic:spPr>
                      </pic:pic>
                    </a:graphicData>
                  </a:graphic>
                </wp:inline>
              </w:drawing>
            </w:r>
          </w:p>
        </w:tc>
        <w:tc>
          <w:tcPr>
            <w:tcW w:w="1310" w:type="dxa"/>
            <w:vAlign w:val="center"/>
            <w:hideMark/>
          </w:tcPr>
          <w:p w14:paraId="11407FD2" w14:textId="77167DB6"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6C39E591" wp14:editId="5A25CC2B">
                  <wp:extent cx="466725" cy="466725"/>
                  <wp:effectExtent l="19050" t="19050" r="28575" b="28575"/>
                  <wp:docPr id="497086779"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l="7811" t="49731" r="66100" b="30701"/>
                          <a:stretch>
                            <a:fillRect/>
                          </a:stretch>
                        </pic:blipFill>
                        <pic:spPr bwMode="auto">
                          <a:xfrm>
                            <a:off x="0" y="0"/>
                            <a:ext cx="466725" cy="466725"/>
                          </a:xfrm>
                          <a:prstGeom prst="rect">
                            <a:avLst/>
                          </a:prstGeom>
                          <a:noFill/>
                          <a:ln w="9525" cmpd="sng">
                            <a:solidFill>
                              <a:srgbClr val="000000"/>
                            </a:solidFill>
                            <a:miter lim="800000"/>
                            <a:headEnd/>
                            <a:tailEnd/>
                          </a:ln>
                          <a:effectLst/>
                        </pic:spPr>
                      </pic:pic>
                    </a:graphicData>
                  </a:graphic>
                </wp:inline>
              </w:drawing>
            </w:r>
          </w:p>
        </w:tc>
        <w:tc>
          <w:tcPr>
            <w:tcW w:w="1310" w:type="dxa"/>
            <w:vAlign w:val="center"/>
            <w:hideMark/>
          </w:tcPr>
          <w:p w14:paraId="727457C1" w14:textId="70FE2A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0428DD0C" wp14:editId="5248A619">
                  <wp:extent cx="466725" cy="476250"/>
                  <wp:effectExtent l="19050" t="19050" r="28575" b="19050"/>
                  <wp:docPr id="975605961"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extLst>
                              <a:ext uri="{28A0092B-C50C-407E-A947-70E740481C1C}">
                                <a14:useLocalDpi xmlns:a14="http://schemas.microsoft.com/office/drawing/2010/main" val="0"/>
                              </a:ext>
                            </a:extLst>
                          </a:blip>
                          <a:srcRect l="23114" t="52740" r="61407" b="35649"/>
                          <a:stretch>
                            <a:fillRect/>
                          </a:stretch>
                        </pic:blipFill>
                        <pic:spPr bwMode="auto">
                          <a:xfrm>
                            <a:off x="0" y="0"/>
                            <a:ext cx="466725" cy="476250"/>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7457775A" w14:textId="57879339"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2EB4C218" wp14:editId="76C08203">
                  <wp:extent cx="428625" cy="428625"/>
                  <wp:effectExtent l="19050" t="19050" r="28575" b="28575"/>
                  <wp:docPr id="1262703208"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cstate="print">
                            <a:extLst>
                              <a:ext uri="{28A0092B-C50C-407E-A947-70E740481C1C}">
                                <a14:useLocalDpi xmlns:a14="http://schemas.microsoft.com/office/drawing/2010/main" val="0"/>
                              </a:ext>
                            </a:extLst>
                          </a:blip>
                          <a:srcRect l="62930" t="63725" r="28111" b="24330"/>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5A8ABBCB" w14:textId="7BA22250"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6786D70D" wp14:editId="589C34CB">
                  <wp:extent cx="428625" cy="428625"/>
                  <wp:effectExtent l="19050" t="19050" r="28575" b="28575"/>
                  <wp:docPr id="1982629303"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l="59145" t="45564" r="34354" b="45766"/>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17533D94" w14:textId="78DB439C"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3AF500BD" wp14:editId="4F11CC66">
                  <wp:extent cx="428625" cy="428625"/>
                  <wp:effectExtent l="19050" t="19050" r="28575" b="28575"/>
                  <wp:docPr id="208614666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46">
                            <a:extLst>
                              <a:ext uri="{28A0092B-C50C-407E-A947-70E740481C1C}">
                                <a14:useLocalDpi xmlns:a14="http://schemas.microsoft.com/office/drawing/2010/main" val="0"/>
                              </a:ext>
                            </a:extLst>
                          </a:blip>
                          <a:srcRect l="23387" t="42332" r="69905" b="48721"/>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386" w:type="dxa"/>
            <w:vAlign w:val="center"/>
            <w:hideMark/>
          </w:tcPr>
          <w:p w14:paraId="6F6E20A4"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Gender (LK/PR), Water Faucet, Wudhu</w:t>
            </w:r>
          </w:p>
        </w:tc>
        <w:tc>
          <w:tcPr>
            <w:tcW w:w="1250" w:type="dxa"/>
            <w:vAlign w:val="center"/>
            <w:hideMark/>
          </w:tcPr>
          <w:p w14:paraId="6EE73786" w14:textId="2FA14D9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642A2587" wp14:editId="390C8043">
                  <wp:extent cx="428625" cy="428625"/>
                  <wp:effectExtent l="19050" t="19050" r="28575" b="28575"/>
                  <wp:docPr id="31285669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l="7687" t="7687" r="8348" b="8348"/>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374A0AF0" w14:textId="6E81B0C1"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3FEEA833" wp14:editId="07695229">
                  <wp:extent cx="428625" cy="428625"/>
                  <wp:effectExtent l="19050" t="19050" r="28575" b="28575"/>
                  <wp:docPr id="192859479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cstate="print">
                            <a:extLst>
                              <a:ext uri="{28A0092B-C50C-407E-A947-70E740481C1C}">
                                <a14:useLocalDpi xmlns:a14="http://schemas.microsoft.com/office/drawing/2010/main" val="0"/>
                              </a:ext>
                            </a:extLst>
                          </a:blip>
                          <a:srcRect l="6989" t="6989" r="7681" b="6982"/>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r>
      <w:tr w:rsidR="00E303DF" w:rsidRPr="00E303DF" w14:paraId="2AB6C04F" w14:textId="77777777" w:rsidTr="00315C9E">
        <w:trPr>
          <w:trHeight w:val="1176"/>
          <w:jc w:val="center"/>
        </w:trPr>
        <w:tc>
          <w:tcPr>
            <w:tcW w:w="1057" w:type="dxa"/>
            <w:vAlign w:val="center"/>
            <w:hideMark/>
          </w:tcPr>
          <w:p w14:paraId="422E726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Ablution Disabilities</w:t>
            </w:r>
          </w:p>
        </w:tc>
        <w:tc>
          <w:tcPr>
            <w:tcW w:w="1310" w:type="dxa"/>
            <w:vAlign w:val="center"/>
            <w:hideMark/>
          </w:tcPr>
          <w:p w14:paraId="0AE7D787" w14:textId="6E2E2148"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41B7858B" wp14:editId="0ACD0835">
                  <wp:extent cx="466725" cy="476250"/>
                  <wp:effectExtent l="19050" t="19050" r="28575" b="19050"/>
                  <wp:docPr id="861249304"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l="41214" t="45242" r="38179" b="39304"/>
                          <a:stretch>
                            <a:fillRect/>
                          </a:stretch>
                        </pic:blipFill>
                        <pic:spPr bwMode="auto">
                          <a:xfrm>
                            <a:off x="0" y="0"/>
                            <a:ext cx="466725" cy="476250"/>
                          </a:xfrm>
                          <a:prstGeom prst="rect">
                            <a:avLst/>
                          </a:prstGeom>
                          <a:noFill/>
                          <a:ln w="9525" cmpd="sng">
                            <a:solidFill>
                              <a:srgbClr val="000000"/>
                            </a:solidFill>
                            <a:miter lim="800000"/>
                            <a:headEnd/>
                            <a:tailEnd/>
                          </a:ln>
                          <a:effectLst/>
                        </pic:spPr>
                      </pic:pic>
                    </a:graphicData>
                  </a:graphic>
                </wp:inline>
              </w:drawing>
            </w:r>
          </w:p>
        </w:tc>
        <w:tc>
          <w:tcPr>
            <w:tcW w:w="1310" w:type="dxa"/>
            <w:vAlign w:val="center"/>
            <w:hideMark/>
          </w:tcPr>
          <w:p w14:paraId="7B43FE0D"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310" w:type="dxa"/>
            <w:vAlign w:val="center"/>
            <w:hideMark/>
          </w:tcPr>
          <w:p w14:paraId="7A7638C6" w14:textId="143CB7AE"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388AF73E" wp14:editId="75C7FCDE">
                  <wp:extent cx="466725" cy="476250"/>
                  <wp:effectExtent l="19050" t="19050" r="28575" b="19050"/>
                  <wp:docPr id="1021884642"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l="45668" t="45467" r="44093" b="46855"/>
                          <a:stretch>
                            <a:fillRect/>
                          </a:stretch>
                        </pic:blipFill>
                        <pic:spPr bwMode="auto">
                          <a:xfrm>
                            <a:off x="0" y="0"/>
                            <a:ext cx="466725" cy="476250"/>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246CEE1B"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250" w:type="dxa"/>
            <w:vAlign w:val="center"/>
            <w:hideMark/>
          </w:tcPr>
          <w:p w14:paraId="01F74420"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250" w:type="dxa"/>
            <w:vAlign w:val="center"/>
            <w:hideMark/>
          </w:tcPr>
          <w:p w14:paraId="05FD2997"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386" w:type="dxa"/>
            <w:vAlign w:val="center"/>
            <w:hideMark/>
          </w:tcPr>
          <w:p w14:paraId="5C312E8B"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Gender (LK/PR), Water Faucet, Wudhu, Wheelchair</w:t>
            </w:r>
          </w:p>
        </w:tc>
        <w:tc>
          <w:tcPr>
            <w:tcW w:w="1250" w:type="dxa"/>
            <w:vAlign w:val="center"/>
            <w:hideMark/>
          </w:tcPr>
          <w:p w14:paraId="65D36D2A" w14:textId="2BF7C7FA"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463BE5E2" wp14:editId="721BB4E6">
                  <wp:extent cx="428625" cy="428625"/>
                  <wp:effectExtent l="19050" t="19050" r="28575" b="28575"/>
                  <wp:docPr id="161607125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49">
                            <a:extLst>
                              <a:ext uri="{28A0092B-C50C-407E-A947-70E740481C1C}">
                                <a14:useLocalDpi xmlns:a14="http://schemas.microsoft.com/office/drawing/2010/main" val="0"/>
                              </a:ext>
                            </a:extLst>
                          </a:blip>
                          <a:srcRect l="7687" t="6989" r="6949" b="6947"/>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7B0FDDA3" w14:textId="3CF47F44"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02EED936" wp14:editId="55230E9D">
                  <wp:extent cx="428625" cy="428625"/>
                  <wp:effectExtent l="19050" t="19050" r="28575" b="28575"/>
                  <wp:docPr id="1650983964"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l="6989" t="6989" r="6982" b="6982"/>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r>
      <w:tr w:rsidR="00E303DF" w:rsidRPr="00E303DF" w14:paraId="1A44FB9C" w14:textId="77777777" w:rsidTr="00315C9E">
        <w:trPr>
          <w:trHeight w:val="938"/>
          <w:jc w:val="center"/>
        </w:trPr>
        <w:tc>
          <w:tcPr>
            <w:tcW w:w="1057" w:type="dxa"/>
            <w:vAlign w:val="center"/>
            <w:hideMark/>
          </w:tcPr>
          <w:p w14:paraId="3FFC678C"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Prayer Hall</w:t>
            </w:r>
          </w:p>
        </w:tc>
        <w:tc>
          <w:tcPr>
            <w:tcW w:w="1310" w:type="dxa"/>
            <w:vAlign w:val="center"/>
            <w:hideMark/>
          </w:tcPr>
          <w:p w14:paraId="511D3F53" w14:textId="7C91B0AB"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200F9262" wp14:editId="161DA844">
                  <wp:extent cx="466725" cy="476250"/>
                  <wp:effectExtent l="19050" t="19050" r="28575" b="19050"/>
                  <wp:docPr id="146627651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cstate="print">
                            <a:extLst>
                              <a:ext uri="{28A0092B-C50C-407E-A947-70E740481C1C}">
                                <a14:useLocalDpi xmlns:a14="http://schemas.microsoft.com/office/drawing/2010/main" val="0"/>
                              </a:ext>
                            </a:extLst>
                          </a:blip>
                          <a:srcRect l="26392" t="57487" r="60164" b="32428"/>
                          <a:stretch>
                            <a:fillRect/>
                          </a:stretch>
                        </pic:blipFill>
                        <pic:spPr bwMode="auto">
                          <a:xfrm>
                            <a:off x="0" y="0"/>
                            <a:ext cx="466725" cy="476250"/>
                          </a:xfrm>
                          <a:prstGeom prst="rect">
                            <a:avLst/>
                          </a:prstGeom>
                          <a:noFill/>
                          <a:ln w="9525" cmpd="sng">
                            <a:solidFill>
                              <a:srgbClr val="000000"/>
                            </a:solidFill>
                            <a:miter lim="800000"/>
                            <a:headEnd/>
                            <a:tailEnd/>
                          </a:ln>
                          <a:effectLst/>
                        </pic:spPr>
                      </pic:pic>
                    </a:graphicData>
                  </a:graphic>
                </wp:inline>
              </w:drawing>
            </w:r>
          </w:p>
        </w:tc>
        <w:tc>
          <w:tcPr>
            <w:tcW w:w="1310" w:type="dxa"/>
            <w:vAlign w:val="center"/>
            <w:hideMark/>
          </w:tcPr>
          <w:p w14:paraId="6A13285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310" w:type="dxa"/>
            <w:vAlign w:val="center"/>
            <w:hideMark/>
          </w:tcPr>
          <w:p w14:paraId="7BFFA5F6" w14:textId="0A600A31"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106F8210" wp14:editId="6B4327F0">
                  <wp:extent cx="466725" cy="466725"/>
                  <wp:effectExtent l="19050" t="19050" r="28575" b="28575"/>
                  <wp:docPr id="1342201334"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l="56563" t="49754" r="32985" b="42409"/>
                          <a:stretch>
                            <a:fillRect/>
                          </a:stretch>
                        </pic:blipFill>
                        <pic:spPr bwMode="auto">
                          <a:xfrm>
                            <a:off x="0" y="0"/>
                            <a:ext cx="466725" cy="466725"/>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198EC116"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250" w:type="dxa"/>
            <w:vAlign w:val="center"/>
            <w:hideMark/>
          </w:tcPr>
          <w:p w14:paraId="14922011" w14:textId="36E84DFC"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20DD5CBB" wp14:editId="20715576">
                  <wp:extent cx="428625" cy="428625"/>
                  <wp:effectExtent l="19050" t="19050" r="28575" b="28575"/>
                  <wp:docPr id="95892568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3" cstate="print">
                            <a:extLst>
                              <a:ext uri="{28A0092B-C50C-407E-A947-70E740481C1C}">
                                <a14:useLocalDpi xmlns:a14="http://schemas.microsoft.com/office/drawing/2010/main" val="0"/>
                              </a:ext>
                            </a:extLst>
                          </a:blip>
                          <a:srcRect l="38805" t="46490" r="38518" b="36501"/>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44E4F30F" w14:textId="231D4B7D"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673B3F42" wp14:editId="328B3FDA">
                  <wp:extent cx="428625" cy="428625"/>
                  <wp:effectExtent l="19050" t="19050" r="28575" b="28575"/>
                  <wp:docPr id="189278436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l="13042" t="45251" r="78503" b="43477"/>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386" w:type="dxa"/>
            <w:vAlign w:val="center"/>
            <w:hideMark/>
          </w:tcPr>
          <w:p w14:paraId="1E4D59D9"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Gender (LK/PR), Pray Activity</w:t>
            </w:r>
          </w:p>
        </w:tc>
        <w:tc>
          <w:tcPr>
            <w:tcW w:w="1250" w:type="dxa"/>
            <w:vAlign w:val="center"/>
            <w:hideMark/>
          </w:tcPr>
          <w:p w14:paraId="187C93AE" w14:textId="4B06F89D"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66F6B232" wp14:editId="1FFD1478">
                  <wp:extent cx="428625" cy="428625"/>
                  <wp:effectExtent l="19050" t="19050" r="28575" b="28575"/>
                  <wp:docPr id="172319344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a:extLst>
                              <a:ext uri="{28A0092B-C50C-407E-A947-70E740481C1C}">
                                <a14:useLocalDpi xmlns:a14="http://schemas.microsoft.com/office/drawing/2010/main" val="0"/>
                              </a:ext>
                            </a:extLst>
                          </a:blip>
                          <a:srcRect l="7687" t="8739" r="8348" b="7298"/>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250" w:type="dxa"/>
            <w:vAlign w:val="center"/>
            <w:hideMark/>
          </w:tcPr>
          <w:p w14:paraId="7E3A3660" w14:textId="75A28DB0"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211F2599" wp14:editId="7CDE424D">
                  <wp:extent cx="438150" cy="428625"/>
                  <wp:effectExtent l="19050" t="19050" r="19050" b="28575"/>
                  <wp:docPr id="510088185"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
                            <a:extLst>
                              <a:ext uri="{28A0092B-C50C-407E-A947-70E740481C1C}">
                                <a14:useLocalDpi xmlns:a14="http://schemas.microsoft.com/office/drawing/2010/main" val="0"/>
                              </a:ext>
                            </a:extLst>
                          </a:blip>
                          <a:srcRect l="6290" t="6291" r="7016" b="7713"/>
                          <a:stretch>
                            <a:fillRect/>
                          </a:stretch>
                        </pic:blipFill>
                        <pic:spPr bwMode="auto">
                          <a:xfrm>
                            <a:off x="0" y="0"/>
                            <a:ext cx="438150" cy="428625"/>
                          </a:xfrm>
                          <a:prstGeom prst="rect">
                            <a:avLst/>
                          </a:prstGeom>
                          <a:noFill/>
                          <a:ln w="9525" cmpd="sng">
                            <a:solidFill>
                              <a:srgbClr val="000000"/>
                            </a:solidFill>
                            <a:miter lim="800000"/>
                            <a:headEnd/>
                            <a:tailEnd/>
                          </a:ln>
                          <a:effectLst/>
                        </pic:spPr>
                      </pic:pic>
                    </a:graphicData>
                  </a:graphic>
                </wp:inline>
              </w:drawing>
            </w:r>
          </w:p>
        </w:tc>
      </w:tr>
      <w:tr w:rsidR="00E303DF" w:rsidRPr="00E303DF" w14:paraId="79B764B4" w14:textId="77777777" w:rsidTr="00315C9E">
        <w:trPr>
          <w:trHeight w:val="953"/>
          <w:jc w:val="center"/>
        </w:trPr>
        <w:tc>
          <w:tcPr>
            <w:tcW w:w="1057" w:type="dxa"/>
            <w:tcBorders>
              <w:top w:val="nil"/>
              <w:left w:val="nil"/>
              <w:bottom w:val="single" w:sz="8" w:space="0" w:color="auto"/>
              <w:right w:val="nil"/>
            </w:tcBorders>
            <w:vAlign w:val="center"/>
            <w:hideMark/>
          </w:tcPr>
          <w:p w14:paraId="63755787"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Purity Boundaries</w:t>
            </w:r>
          </w:p>
        </w:tc>
        <w:tc>
          <w:tcPr>
            <w:tcW w:w="1310" w:type="dxa"/>
            <w:tcBorders>
              <w:top w:val="nil"/>
              <w:left w:val="nil"/>
              <w:bottom w:val="single" w:sz="8" w:space="0" w:color="auto"/>
              <w:right w:val="nil"/>
            </w:tcBorders>
            <w:vAlign w:val="center"/>
            <w:hideMark/>
          </w:tcPr>
          <w:p w14:paraId="27ABB74D" w14:textId="0EEAB125"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42F2149B" wp14:editId="07EFA071">
                  <wp:extent cx="476250" cy="466725"/>
                  <wp:effectExtent l="23812" t="14288" r="23813" b="23812"/>
                  <wp:docPr id="649634883"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56">
                            <a:extLst>
                              <a:ext uri="{28A0092B-C50C-407E-A947-70E740481C1C}">
                                <a14:useLocalDpi xmlns:a14="http://schemas.microsoft.com/office/drawing/2010/main" val="0"/>
                              </a:ext>
                            </a:extLst>
                          </a:blip>
                          <a:srcRect l="56337" t="38016" r="34521" b="55130"/>
                          <a:stretch>
                            <a:fillRect/>
                          </a:stretch>
                        </pic:blipFill>
                        <pic:spPr bwMode="auto">
                          <a:xfrm rot="-5400000">
                            <a:off x="0" y="0"/>
                            <a:ext cx="476250" cy="466725"/>
                          </a:xfrm>
                          <a:prstGeom prst="rect">
                            <a:avLst/>
                          </a:prstGeom>
                          <a:noFill/>
                          <a:ln w="9525" cmpd="sng">
                            <a:solidFill>
                              <a:srgbClr val="000000"/>
                            </a:solidFill>
                            <a:miter lim="800000"/>
                            <a:headEnd/>
                            <a:tailEnd/>
                          </a:ln>
                          <a:effectLst/>
                        </pic:spPr>
                      </pic:pic>
                    </a:graphicData>
                  </a:graphic>
                </wp:inline>
              </w:drawing>
            </w:r>
          </w:p>
        </w:tc>
        <w:tc>
          <w:tcPr>
            <w:tcW w:w="1310" w:type="dxa"/>
            <w:tcBorders>
              <w:top w:val="nil"/>
              <w:left w:val="nil"/>
              <w:bottom w:val="single" w:sz="8" w:space="0" w:color="auto"/>
              <w:right w:val="nil"/>
            </w:tcBorders>
            <w:vAlign w:val="center"/>
            <w:hideMark/>
          </w:tcPr>
          <w:p w14:paraId="01A3D5F9"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310" w:type="dxa"/>
            <w:tcBorders>
              <w:top w:val="nil"/>
              <w:left w:val="nil"/>
              <w:bottom w:val="single" w:sz="8" w:space="0" w:color="auto"/>
              <w:right w:val="nil"/>
            </w:tcBorders>
            <w:vAlign w:val="center"/>
            <w:hideMark/>
          </w:tcPr>
          <w:p w14:paraId="05547280"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250" w:type="dxa"/>
            <w:tcBorders>
              <w:top w:val="nil"/>
              <w:left w:val="nil"/>
              <w:bottom w:val="single" w:sz="8" w:space="0" w:color="auto"/>
              <w:right w:val="nil"/>
            </w:tcBorders>
            <w:vAlign w:val="center"/>
            <w:hideMark/>
          </w:tcPr>
          <w:p w14:paraId="13B93F1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250" w:type="dxa"/>
            <w:tcBorders>
              <w:top w:val="nil"/>
              <w:left w:val="nil"/>
              <w:bottom w:val="single" w:sz="8" w:space="0" w:color="auto"/>
              <w:right w:val="nil"/>
            </w:tcBorders>
            <w:vAlign w:val="center"/>
            <w:hideMark/>
          </w:tcPr>
          <w:p w14:paraId="44B6293C"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NA</w:t>
            </w:r>
          </w:p>
        </w:tc>
        <w:tc>
          <w:tcPr>
            <w:tcW w:w="1250" w:type="dxa"/>
            <w:tcBorders>
              <w:top w:val="nil"/>
              <w:left w:val="nil"/>
              <w:bottom w:val="single" w:sz="8" w:space="0" w:color="auto"/>
              <w:right w:val="nil"/>
            </w:tcBorders>
            <w:vAlign w:val="center"/>
            <w:hideMark/>
          </w:tcPr>
          <w:p w14:paraId="1B58AF22" w14:textId="4036A439"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5C0D56B9" wp14:editId="12565C3F">
                  <wp:extent cx="428625" cy="428625"/>
                  <wp:effectExtent l="19050" t="19050" r="28575" b="28575"/>
                  <wp:docPr id="41558609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l="3667" r="3667"/>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c>
          <w:tcPr>
            <w:tcW w:w="1386" w:type="dxa"/>
            <w:tcBorders>
              <w:top w:val="nil"/>
              <w:left w:val="nil"/>
              <w:bottom w:val="single" w:sz="8" w:space="0" w:color="auto"/>
              <w:right w:val="nil"/>
            </w:tcBorders>
            <w:vAlign w:val="center"/>
            <w:hideMark/>
          </w:tcPr>
          <w:p w14:paraId="34436A38" w14:textId="77777777"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sz w:val="16"/>
                <w:szCs w:val="16"/>
              </w:rPr>
              <w:t>Sandals/ Shoes Prohibited</w:t>
            </w:r>
          </w:p>
        </w:tc>
        <w:tc>
          <w:tcPr>
            <w:tcW w:w="2500" w:type="dxa"/>
            <w:gridSpan w:val="2"/>
            <w:tcBorders>
              <w:top w:val="nil"/>
              <w:left w:val="nil"/>
              <w:bottom w:val="single" w:sz="8" w:space="0" w:color="auto"/>
              <w:right w:val="nil"/>
            </w:tcBorders>
            <w:vAlign w:val="center"/>
            <w:hideMark/>
          </w:tcPr>
          <w:p w14:paraId="194EA908" w14:textId="7B0742CE" w:rsidR="00E303DF" w:rsidRPr="00E303DF" w:rsidRDefault="00E303DF" w:rsidP="00E303DF">
            <w:pPr>
              <w:ind w:firstLine="284"/>
              <w:jc w:val="both"/>
              <w:rPr>
                <w:rFonts w:asciiTheme="majorHAnsi" w:hAnsiTheme="majorHAnsi" w:cstheme="majorHAnsi"/>
                <w:sz w:val="16"/>
                <w:szCs w:val="16"/>
              </w:rPr>
            </w:pPr>
            <w:r w:rsidRPr="00E303DF">
              <w:rPr>
                <w:rFonts w:asciiTheme="majorHAnsi" w:hAnsiTheme="majorHAnsi" w:cstheme="majorHAnsi"/>
                <w:noProof/>
                <w:sz w:val="16"/>
                <w:szCs w:val="16"/>
              </w:rPr>
              <w:drawing>
                <wp:inline distT="0" distB="0" distL="0" distR="0" wp14:anchorId="06C4DDF0" wp14:editId="7A8C7F94">
                  <wp:extent cx="428625" cy="428625"/>
                  <wp:effectExtent l="19050" t="19050" r="28575" b="28575"/>
                  <wp:docPr id="111342100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a:extLst>
                              <a:ext uri="{28A0092B-C50C-407E-A947-70E740481C1C}">
                                <a14:useLocalDpi xmlns:a14="http://schemas.microsoft.com/office/drawing/2010/main" val="0"/>
                              </a:ext>
                            </a:extLst>
                          </a:blip>
                          <a:srcRect l="6989" t="6290" r="6982" b="7681"/>
                          <a:stretch>
                            <a:fillRect/>
                          </a:stretch>
                        </pic:blipFill>
                        <pic:spPr bwMode="auto">
                          <a:xfrm>
                            <a:off x="0" y="0"/>
                            <a:ext cx="428625" cy="428625"/>
                          </a:xfrm>
                          <a:prstGeom prst="rect">
                            <a:avLst/>
                          </a:prstGeom>
                          <a:noFill/>
                          <a:ln w="9525" cmpd="sng">
                            <a:solidFill>
                              <a:srgbClr val="000000"/>
                            </a:solidFill>
                            <a:miter lim="800000"/>
                            <a:headEnd/>
                            <a:tailEnd/>
                          </a:ln>
                          <a:effectLst/>
                        </pic:spPr>
                      </pic:pic>
                    </a:graphicData>
                  </a:graphic>
                </wp:inline>
              </w:drawing>
            </w:r>
          </w:p>
        </w:tc>
      </w:tr>
    </w:tbl>
    <w:p w14:paraId="0B9F5491" w14:textId="77777777" w:rsidR="00E303DF" w:rsidRPr="00E303DF" w:rsidRDefault="00E303DF" w:rsidP="00E303DF">
      <w:pPr>
        <w:ind w:firstLine="284"/>
        <w:jc w:val="both"/>
        <w:rPr>
          <w:rFonts w:ascii="Calibri Light" w:hAnsi="Calibri Light" w:cs="Calibri Light"/>
          <w:sz w:val="20"/>
          <w:szCs w:val="20"/>
        </w:rPr>
      </w:pPr>
    </w:p>
    <w:p w14:paraId="7A7BE5DC" w14:textId="77777777" w:rsidR="00E303DF" w:rsidRDefault="00E303DF" w:rsidP="00E303DF">
      <w:pPr>
        <w:ind w:firstLine="284"/>
        <w:jc w:val="both"/>
        <w:rPr>
          <w:rFonts w:ascii="Calibri Light" w:hAnsi="Calibri Light" w:cs="Calibri Light"/>
          <w:sz w:val="20"/>
          <w:szCs w:val="20"/>
        </w:rPr>
      </w:pPr>
    </w:p>
    <w:p w14:paraId="7C1B4F44" w14:textId="77777777" w:rsidR="00315C9E" w:rsidRDefault="00315C9E" w:rsidP="00E303DF">
      <w:pPr>
        <w:ind w:firstLine="284"/>
        <w:jc w:val="both"/>
        <w:rPr>
          <w:rFonts w:ascii="Calibri Light" w:hAnsi="Calibri Light" w:cs="Calibri Light"/>
          <w:sz w:val="20"/>
          <w:szCs w:val="20"/>
        </w:rPr>
      </w:pPr>
    </w:p>
    <w:p w14:paraId="6D8BE387" w14:textId="77777777" w:rsidR="00315C9E" w:rsidRDefault="00315C9E" w:rsidP="00E303DF">
      <w:pPr>
        <w:ind w:firstLine="284"/>
        <w:jc w:val="both"/>
        <w:rPr>
          <w:rFonts w:ascii="Calibri Light" w:hAnsi="Calibri Light" w:cs="Calibri Light"/>
          <w:sz w:val="20"/>
          <w:szCs w:val="20"/>
        </w:rPr>
      </w:pPr>
    </w:p>
    <w:p w14:paraId="0A8AD5BF" w14:textId="77777777" w:rsidR="00315C9E" w:rsidRPr="00E303DF" w:rsidRDefault="00315C9E" w:rsidP="00E303DF">
      <w:pPr>
        <w:ind w:firstLine="284"/>
        <w:jc w:val="both"/>
        <w:rPr>
          <w:rFonts w:ascii="Calibri Light" w:hAnsi="Calibri Light" w:cs="Calibri Light"/>
          <w:sz w:val="20"/>
          <w:szCs w:val="20"/>
        </w:rPr>
      </w:pPr>
    </w:p>
    <w:p w14:paraId="2D4571EF" w14:textId="77777777" w:rsidR="00315C9E" w:rsidRDefault="00315C9E" w:rsidP="00E303DF">
      <w:pPr>
        <w:ind w:firstLine="284"/>
        <w:jc w:val="both"/>
        <w:rPr>
          <w:rFonts w:ascii="Calibri Light" w:hAnsi="Calibri Light" w:cs="Calibri Light"/>
          <w:sz w:val="20"/>
          <w:szCs w:val="20"/>
        </w:rPr>
      </w:pPr>
      <w:r>
        <w:rPr>
          <w:rFonts w:ascii="Calibri Light" w:hAnsi="Calibri Light" w:cs="Calibri Light"/>
          <w:sz w:val="20"/>
          <w:szCs w:val="20"/>
        </w:rPr>
        <w:br w:type="page"/>
      </w:r>
    </w:p>
    <w:p w14:paraId="5FBA05EE" w14:textId="77777777" w:rsidR="00315C9E" w:rsidRDefault="00315C9E" w:rsidP="00E303DF">
      <w:pPr>
        <w:ind w:firstLine="284"/>
        <w:jc w:val="both"/>
        <w:rPr>
          <w:rFonts w:ascii="Calibri Light" w:hAnsi="Calibri Light" w:cs="Calibri Light"/>
          <w:sz w:val="20"/>
          <w:szCs w:val="20"/>
        </w:rPr>
        <w:sectPr w:rsidR="00315C9E" w:rsidSect="00315C9E">
          <w:type w:val="continuous"/>
          <w:pgSz w:w="16838" w:h="11906" w:orient="landscape"/>
          <w:pgMar w:top="1418" w:right="1418" w:bottom="1418" w:left="1418" w:header="709" w:footer="709" w:gutter="0"/>
          <w:pgNumType w:start="88"/>
          <w:cols w:space="720"/>
          <w:titlePg/>
          <w:docGrid w:linePitch="299"/>
        </w:sectPr>
      </w:pPr>
    </w:p>
    <w:p w14:paraId="7E2E290C" w14:textId="4A68B06F"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lastRenderedPageBreak/>
        <w:t xml:space="preserve">The sink symbol visually represents the object and activity commonly associated with toilets. This symbol adheres to the public information symbols guideline </w:t>
      </w:r>
      <w:r w:rsidRPr="00E303DF">
        <w:rPr>
          <w:rFonts w:ascii="Calibri Light" w:hAnsi="Calibri Light" w:cs="Calibri Light"/>
          <w:sz w:val="20"/>
          <w:szCs w:val="20"/>
        </w:rPr>
        <w:fldChar w:fldCharType="begin" w:fldLock="1"/>
      </w:r>
      <w:r w:rsidRPr="00E303DF">
        <w:rPr>
          <w:rFonts w:ascii="Calibri Light" w:hAnsi="Calibri Light" w:cs="Calibri Light"/>
          <w:sz w:val="20"/>
          <w:szCs w:val="20"/>
        </w:rPr>
        <w:instrText>ADDIN CSL_CITATION {"citationItems":[{"id":"ITEM-1","itemData":{"author":[{"dropping-particle":"","family":"The Study Committee of Public Information Symbols","given":"","non-dropping-particle":"","parse-names":false,"suffix":""}],"id":"ITEM-1","issued":{"date-parts":[["2021"]]},"title":"Public Information Symbols Guideline 2021","type":"book"},"uris":["http://www.mendeley.com/documents/?uuid=381d46cd-65a6-4563-97a1-b3050a30f6ec"]}],"mendeley":{"formattedCitation":"[37]","plainTextFormattedCitation":"[37]","previouslyFormattedCitation":"[37]"},"properties":{"noteIndex":0},"schema":"https://github.com/citation-style-language/schema/raw/master/csl-citation.json"}</w:instrText>
      </w:r>
      <w:r w:rsidRPr="00E303DF">
        <w:rPr>
          <w:rFonts w:ascii="Calibri Light" w:hAnsi="Calibri Light" w:cs="Calibri Light"/>
          <w:sz w:val="20"/>
          <w:szCs w:val="20"/>
        </w:rPr>
        <w:fldChar w:fldCharType="separate"/>
      </w:r>
      <w:r w:rsidRPr="00E303DF">
        <w:rPr>
          <w:rFonts w:ascii="Calibri Light" w:hAnsi="Calibri Light" w:cs="Calibri Light"/>
          <w:sz w:val="20"/>
          <w:szCs w:val="20"/>
        </w:rPr>
        <w:t>[37]</w:t>
      </w:r>
      <w:r w:rsidRPr="00E303DF">
        <w:rPr>
          <w:rFonts w:ascii="Calibri Light" w:hAnsi="Calibri Light" w:cs="Calibri Light"/>
          <w:sz w:val="20"/>
          <w:szCs w:val="20"/>
        </w:rPr>
        <w:fldChar w:fldCharType="end"/>
      </w:r>
      <w:r w:rsidRPr="00E303DF">
        <w:rPr>
          <w:rFonts w:ascii="Calibri Light" w:hAnsi="Calibri Light" w:cs="Calibri Light"/>
          <w:sz w:val="20"/>
          <w:szCs w:val="20"/>
        </w:rPr>
        <w:t xml:space="preserve">, incorporating cultural adjustments such as the addition of a </w:t>
      </w:r>
      <w:proofErr w:type="spellStart"/>
      <w:r w:rsidRPr="00E303DF">
        <w:rPr>
          <w:rFonts w:ascii="Calibri Light" w:hAnsi="Calibri Light" w:cs="Calibri Light"/>
          <w:sz w:val="20"/>
          <w:szCs w:val="20"/>
        </w:rPr>
        <w:t>pecis</w:t>
      </w:r>
      <w:proofErr w:type="spellEnd"/>
      <w:r w:rsidRPr="00E303DF">
        <w:rPr>
          <w:rFonts w:ascii="Calibri Light" w:hAnsi="Calibri Light" w:cs="Calibri Light"/>
          <w:sz w:val="20"/>
          <w:szCs w:val="20"/>
        </w:rPr>
        <w:t xml:space="preserve"> (Muslim cap) and hijab (headscarf). The signs specifically for people with disabilities (toilet and ablution area signs) retain the wheelchair shape in accordance with international standards.</w:t>
      </w:r>
    </w:p>
    <w:p w14:paraId="4BE9A293"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The ablution activity depicted on the ablution area sign explicitly conveys the symbol's meaning, whereas simply presenting a water faucet and visual representations of male and female bodies would require visitors to infer its meaning.</w:t>
      </w:r>
    </w:p>
    <w:p w14:paraId="5D0ECCEC"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 xml:space="preserve">Praying in the prayer hall is associated with worship. This symbol is simpler, and the body shaping is clearer compared to the prostration movement. This symbol refers to the public information symbols guideline </w:t>
      </w:r>
      <w:r w:rsidRPr="00E303DF">
        <w:rPr>
          <w:rFonts w:ascii="Calibri Light" w:hAnsi="Calibri Light" w:cs="Calibri Light"/>
          <w:sz w:val="20"/>
          <w:szCs w:val="20"/>
        </w:rPr>
        <w:fldChar w:fldCharType="begin" w:fldLock="1"/>
      </w:r>
      <w:r w:rsidRPr="00E303DF">
        <w:rPr>
          <w:rFonts w:ascii="Calibri Light" w:hAnsi="Calibri Light" w:cs="Calibri Light"/>
          <w:sz w:val="20"/>
          <w:szCs w:val="20"/>
        </w:rPr>
        <w:instrText>ADDIN CSL_CITATION {"citationItems":[{"id":"ITEM-1","itemData":{"author":[{"dropping-particle":"","family":"The Study Committee of Public Information Symbols","given":"","non-dropping-particle":"","parse-names":false,"suffix":""}],"id":"ITEM-1","issued":{"date-parts":[["2021"]]},"title":"Public Information Symbols Guideline 2021","type":"book"},"uris":["http://www.mendeley.com/documents/?uuid=381d46cd-65a6-4563-97a1-b3050a30f6ec"]}],"mendeley":{"formattedCitation":"[37]","plainTextFormattedCitation":"[37]","previouslyFormattedCitation":"[37]"},"properties":{"noteIndex":0},"schema":"https://github.com/citation-style-language/schema/raw/master/csl-citation.json"}</w:instrText>
      </w:r>
      <w:r w:rsidRPr="00E303DF">
        <w:rPr>
          <w:rFonts w:ascii="Calibri Light" w:hAnsi="Calibri Light" w:cs="Calibri Light"/>
          <w:sz w:val="20"/>
          <w:szCs w:val="20"/>
        </w:rPr>
        <w:fldChar w:fldCharType="separate"/>
      </w:r>
      <w:r w:rsidRPr="00E303DF">
        <w:rPr>
          <w:rFonts w:ascii="Calibri Light" w:hAnsi="Calibri Light" w:cs="Calibri Light"/>
          <w:sz w:val="20"/>
          <w:szCs w:val="20"/>
        </w:rPr>
        <w:t>[37]</w:t>
      </w:r>
      <w:r w:rsidRPr="00E303DF">
        <w:rPr>
          <w:rFonts w:ascii="Calibri Light" w:hAnsi="Calibri Light" w:cs="Calibri Light"/>
          <w:sz w:val="20"/>
          <w:szCs w:val="20"/>
        </w:rPr>
        <w:fldChar w:fldCharType="end"/>
      </w:r>
      <w:r w:rsidRPr="00E303DF">
        <w:rPr>
          <w:rFonts w:ascii="Calibri Light" w:hAnsi="Calibri Light" w:cs="Calibri Light"/>
          <w:sz w:val="20"/>
          <w:szCs w:val="20"/>
        </w:rPr>
        <w:t>.</w:t>
      </w:r>
    </w:p>
    <w:p w14:paraId="1BD86CAD"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 xml:space="preserve">Sandals are chosen because there is a hadith from HR Abu Daud about wearing sandals to the prayer area </w:t>
      </w:r>
      <w:r w:rsidRPr="00E303DF">
        <w:rPr>
          <w:rFonts w:ascii="Calibri Light" w:hAnsi="Calibri Light" w:cs="Calibri Light"/>
          <w:sz w:val="20"/>
          <w:szCs w:val="20"/>
        </w:rPr>
        <w:fldChar w:fldCharType="begin" w:fldLock="1"/>
      </w:r>
      <w:r w:rsidRPr="00E303DF">
        <w:rPr>
          <w:rFonts w:ascii="Calibri Light" w:hAnsi="Calibri Light" w:cs="Calibri Light"/>
          <w:sz w:val="20"/>
          <w:szCs w:val="20"/>
        </w:rPr>
        <w:instrText>ADDIN CSL_CITATION {"citationItems":[{"id":"ITEM-1","itemData":{"DOI":"10.22515/dinika.v4i1.2060","ISSN":"2503-4219","abstract":"Perkataan Nabi Muhammad tidak bisa dipisahkan dengan konteks situasi yang dihadapinya. Konteks tersebut bisa jadi situasi sosial, politik, ekonomi dan budaya. Terdapat beberapa hadis yang harus dipahami dengan mempertimbangkan konteks sosio-kultural lokal Arab. Paper ini akan membahas tentang dialektika hadis dengan budaya lokal Arab. Dengan menggunakan pendekatan kontekstual, bisa disimpulkan bahwa terdapat hadis-hadis yang berlaku universal di samping juga terdapat hadis-hadis yang hanya berlaku temporal dan tentatif. Hadis-hadis temporal dan tentatif ini direkomendasikan untuk ditafsirkan ulang daripada langsung diterima dan digunakan sebagai sebuah aturan yang final.","author":[{"dropping-particle":"","family":"Halim","given":"Abd.","non-dropping-particle":"","parse-names":false,"suffix":""}],"container-title":"DINIKA : Academic Journal of Islamic Studies","id":"ITEM-1","issue":"1","issued":{"date-parts":[["2020"]]},"page":"65-82","title":"Dialektika Hadis Nabi dengan Budaya Lokal Arab","type":"article-journal","volume":"4"},"uris":["http://www.mendeley.com/documents/?uuid=7038d0d3-a64c-42ea-86b7-009e800817d3"]}],"mendeley":{"formattedCitation":"[38]","plainTextFormattedCitation":"[38]","previouslyFormattedCitation":"[38]"},"properties":{"noteIndex":0},"schema":"https://github.com/citation-style-language/schema/raw/master/csl-citation.json"}</w:instrText>
      </w:r>
      <w:r w:rsidRPr="00E303DF">
        <w:rPr>
          <w:rFonts w:ascii="Calibri Light" w:hAnsi="Calibri Light" w:cs="Calibri Light"/>
          <w:sz w:val="20"/>
          <w:szCs w:val="20"/>
        </w:rPr>
        <w:fldChar w:fldCharType="separate"/>
      </w:r>
      <w:r w:rsidRPr="00E303DF">
        <w:rPr>
          <w:rFonts w:ascii="Calibri Light" w:hAnsi="Calibri Light" w:cs="Calibri Light"/>
          <w:sz w:val="20"/>
          <w:szCs w:val="20"/>
        </w:rPr>
        <w:t>[38]</w:t>
      </w:r>
      <w:r w:rsidRPr="00E303DF">
        <w:rPr>
          <w:rFonts w:ascii="Calibri Light" w:hAnsi="Calibri Light" w:cs="Calibri Light"/>
          <w:sz w:val="20"/>
          <w:szCs w:val="20"/>
        </w:rPr>
        <w:fldChar w:fldCharType="end"/>
      </w:r>
      <w:r w:rsidRPr="00E303DF">
        <w:rPr>
          <w:rFonts w:ascii="Calibri Light" w:hAnsi="Calibri Light" w:cs="Calibri Light"/>
          <w:sz w:val="20"/>
          <w:szCs w:val="20"/>
        </w:rPr>
        <w:t>. Sandals are more commonly worn when entering the mosque than shoes, so the cultural context makes it easier to interpret the symbol of the sacred space boundary.</w:t>
      </w:r>
    </w:p>
    <w:p w14:paraId="58CDF4C0"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 xml:space="preserve">Recommendations for the placement of signs in mosques are based on the normative references SNI 03-6574-2001 </w:t>
      </w:r>
      <w:r w:rsidRPr="00E303DF">
        <w:rPr>
          <w:rFonts w:ascii="Calibri Light" w:hAnsi="Calibri Light" w:cs="Calibri Light"/>
          <w:sz w:val="20"/>
          <w:szCs w:val="20"/>
        </w:rPr>
        <w:fldChar w:fldCharType="begin" w:fldLock="1"/>
      </w:r>
      <w:r w:rsidRPr="00E303DF">
        <w:rPr>
          <w:rFonts w:ascii="Calibri Light" w:hAnsi="Calibri Light" w:cs="Calibri Light"/>
          <w:sz w:val="20"/>
          <w:szCs w:val="20"/>
        </w:rPr>
        <w:instrText>ADDIN CSL_CITATION {"citationItems":[{"id":"ITEM-1","itemData":{"author":[{"dropping-particle":"","family":"Badan Standardisasi Nasional","given":"","non-dropping-particle":"","parse-names":false,"suffix":""}],"container-title":"Badan Standarisasi Nasional","id":"ITEM-1","issued":{"date-parts":[["2001"]]},"page":"1-22","title":"SNI 03-6574-2001 tentang Tata Cara Perancangan Pencahayaan Darurat, Tanda arah dan Sistem Peringatan Bahaya Pada Bangunan Gedung","type":"article-journal"},"uris":["http://www.mendeley.com/documents/?uuid=9f3fef01-b094-4170-ac89-a74010ff67e8"]}],"mendeley":{"formattedCitation":"[39]","plainTextFormattedCitation":"[39]","previouslyFormattedCitation":"[39]"},"properties":{"noteIndex":0},"schema":"https://github.com/citation-style-language/schema/raw/master/csl-citation.json"}</w:instrText>
      </w:r>
      <w:r w:rsidRPr="00E303DF">
        <w:rPr>
          <w:rFonts w:ascii="Calibri Light" w:hAnsi="Calibri Light" w:cs="Calibri Light"/>
          <w:sz w:val="20"/>
          <w:szCs w:val="20"/>
        </w:rPr>
        <w:fldChar w:fldCharType="separate"/>
      </w:r>
      <w:r w:rsidRPr="00E303DF">
        <w:rPr>
          <w:rFonts w:ascii="Calibri Light" w:hAnsi="Calibri Light" w:cs="Calibri Light"/>
          <w:sz w:val="20"/>
          <w:szCs w:val="20"/>
        </w:rPr>
        <w:t>[39]</w:t>
      </w:r>
      <w:r w:rsidRPr="00E303DF">
        <w:rPr>
          <w:rFonts w:ascii="Calibri Light" w:hAnsi="Calibri Light" w:cs="Calibri Light"/>
          <w:sz w:val="20"/>
          <w:szCs w:val="20"/>
        </w:rPr>
        <w:fldChar w:fldCharType="end"/>
      </w:r>
      <w:r w:rsidRPr="00E303DF">
        <w:rPr>
          <w:rFonts w:ascii="Calibri Light" w:hAnsi="Calibri Light" w:cs="Calibri Light"/>
          <w:sz w:val="20"/>
          <w:szCs w:val="20"/>
        </w:rPr>
        <w:t xml:space="preserve"> and ANSI A117.1 (1998) </w:t>
      </w:r>
      <w:r w:rsidRPr="00E303DF">
        <w:rPr>
          <w:rFonts w:ascii="Calibri Light" w:hAnsi="Calibri Light" w:cs="Calibri Light"/>
          <w:sz w:val="20"/>
          <w:szCs w:val="20"/>
        </w:rPr>
        <w:fldChar w:fldCharType="begin" w:fldLock="1"/>
      </w:r>
      <w:r w:rsidRPr="00E303DF">
        <w:rPr>
          <w:rFonts w:ascii="Calibri Light" w:hAnsi="Calibri Light" w:cs="Calibri Light"/>
          <w:sz w:val="20"/>
          <w:szCs w:val="20"/>
        </w:rPr>
        <w:instrText>ADDIN CSL_CITATION {"citationItems":[{"id":"ITEM-1","itemData":{"ISBN":"9781580019187","abstract":"101 Purpose The technical criteria in Chapters 3 through 9, Sections I 1002, 1003 and 1006 and Chapter 11 of this standard make sites, facilities, buildings and elements accessible to and usable by people with such physical disabilities as the inability to walk, difficulty walking, reliance on walking aids, blindness and visual impairment, deaf- ness and hearing impairment, incoordination, reaching and manipulation disabilities, lack of stamina, difficulty interpreting and reacting to sensory information, and extremes of physical size. The intent of these sections is to allow a person with a physical disability to indepen- dently get to, enter, and use a site, facility, building, or element. Section 1004 of this standard provides criteria for Type B units. These criteria are intended to be consistent with the intent of the criteria of the U.S. Department of Hous- ing and Urban Development (HUD) Fair Housing Accessibility Guidelines. The Type B units are intended to supplement, not replace, Accessible units or Type A I units as specified in this standard. Section 1005 of this standard provides criteria for mini- mal accessibility features for one and two family dwell- ing units and townhouses which are not covered by the U.S. Department of Housing and Urban Development (HUD) Fair Housing Accessibility Guidelines. This standard is intended for adoption by government agencies and by organizations setting model codes to achieve uniformity in the technical design criteria in building codes and other regulations. 101.1 Applicability. Sites, facilities, buildings, and ele- ments required to be accessible shall comply with the applicable provisions of Chapters 3 through 9 and I Chapter 11. Dwelling units and sleeping units shall comply with the applicable provisions of Chapter 10. 102 Anthropometric Provisions The technical criteria in this standard are based on adult dimensions and anthropometrics. This standard also contains technical criteria based on children's dimen- sions and anthropometrics for drinking fountains, water closets, toilet compartments, lavatories and sinks, din- I ing surfaces, work surfaces and benches. 103 Compliance Alternatives Nothing in this standard is intended to prevent the use of designs, products, or technologies as alternatives to those prescribed by this standard, provided they result in equivalent or greater accessibility and such equiva- lency is approved by the administrative authority adopt- ing this standard","author":[{"dropping-particle":"","family":"American National Standard Institute","given":"","non-dropping-particle":"","parse-names":false,"suffix":""}],"container-title":"International Code Council","id":"ITEM-1","issued":{"date-parts":[["2013"]]},"title":"Accessible and Usable Buildings and Facilities","type":"book"},"uris":["http://www.mendeley.com/documents/?uuid=c4bf7c5f-cf82-47c5-aa4d-5dfdd573cceb"]}],"mendeley":{"formattedCitation":"[40]","plainTextFormattedCitation":"[40]","previouslyFormattedCitation":"[40]"},"properties":{"noteIndex":0},"schema":"https://github.com/citation-style-language/schema/raw/master/csl-citation.json"}</w:instrText>
      </w:r>
      <w:r w:rsidRPr="00E303DF">
        <w:rPr>
          <w:rFonts w:ascii="Calibri Light" w:hAnsi="Calibri Light" w:cs="Calibri Light"/>
          <w:sz w:val="20"/>
          <w:szCs w:val="20"/>
        </w:rPr>
        <w:fldChar w:fldCharType="separate"/>
      </w:r>
      <w:r w:rsidRPr="00E303DF">
        <w:rPr>
          <w:rFonts w:ascii="Calibri Light" w:hAnsi="Calibri Light" w:cs="Calibri Light"/>
          <w:sz w:val="20"/>
          <w:szCs w:val="20"/>
        </w:rPr>
        <w:t>[40]</w:t>
      </w:r>
      <w:r w:rsidRPr="00E303DF">
        <w:rPr>
          <w:rFonts w:ascii="Calibri Light" w:hAnsi="Calibri Light" w:cs="Calibri Light"/>
          <w:sz w:val="20"/>
          <w:szCs w:val="20"/>
        </w:rPr>
        <w:fldChar w:fldCharType="end"/>
      </w:r>
      <w:r w:rsidRPr="00E303DF">
        <w:rPr>
          <w:rFonts w:ascii="Calibri Light" w:hAnsi="Calibri Light" w:cs="Calibri Light"/>
          <w:sz w:val="20"/>
          <w:szCs w:val="20"/>
        </w:rPr>
        <w:t xml:space="preserve">. Sign height is determined based on anthropometric data for the Indonesian body, including body height, standing eye height, standing hand-grip height, and shoulder height. The data was obtained from </w:t>
      </w:r>
      <w:proofErr w:type="spellStart"/>
      <w:r w:rsidRPr="00E303DF">
        <w:rPr>
          <w:rFonts w:ascii="Calibri Light" w:hAnsi="Calibri Light" w:cs="Calibri Light"/>
          <w:sz w:val="20"/>
          <w:szCs w:val="20"/>
        </w:rPr>
        <w:t>Antropometri</w:t>
      </w:r>
      <w:proofErr w:type="spellEnd"/>
      <w:r w:rsidRPr="00E303DF">
        <w:rPr>
          <w:rFonts w:ascii="Calibri Light" w:hAnsi="Calibri Light" w:cs="Calibri Light"/>
          <w:sz w:val="20"/>
          <w:szCs w:val="20"/>
        </w:rPr>
        <w:t xml:space="preserve"> Indonesia's official website, with body data criteria for ages 19–47 </w:t>
      </w:r>
      <w:r w:rsidRPr="00E303DF">
        <w:rPr>
          <w:rFonts w:ascii="Calibri Light" w:hAnsi="Calibri Light" w:cs="Calibri Light"/>
          <w:sz w:val="20"/>
          <w:szCs w:val="20"/>
        </w:rPr>
        <w:fldChar w:fldCharType="begin" w:fldLock="1"/>
      </w:r>
      <w:r w:rsidRPr="00E303DF">
        <w:rPr>
          <w:rFonts w:ascii="Calibri Light" w:hAnsi="Calibri Light" w:cs="Calibri Light"/>
          <w:sz w:val="20"/>
          <w:szCs w:val="20"/>
        </w:rPr>
        <w:instrText>ADDIN CSL_CITATION {"citationItems":[{"id":"ITEM-1","itemData":{"author":[{"dropping-particle":"","family":"Norfiza","given":"","non-dropping-particle":"","parse-names":false,"suffix":""},{"dropping-particle":"","family":"Infi","given":"","non-dropping-particle":"","parse-names":false,"suffix":""}],"id":"ITEM-1","issue":"2","issued":{"date-parts":[["2011"]]},"page":"449-459","title":"Kajian Antropometri &amp; Ergonomi","type":"article-journal","volume":"5"},"uris":["http://www.mendeley.com/documents/?uuid=db7c9112-27b5-45ab-bc33-72b62d662eb0"]}],"mendeley":{"formattedCitation":"[41]","plainTextFormattedCitation":"[41]","previouslyFormattedCitation":"[41]"},"properties":{"noteIndex":0},"schema":"https://github.com/citation-style-language/schema/raw/master/csl-citation.json"}</w:instrText>
      </w:r>
      <w:r w:rsidRPr="00E303DF">
        <w:rPr>
          <w:rFonts w:ascii="Calibri Light" w:hAnsi="Calibri Light" w:cs="Calibri Light"/>
          <w:sz w:val="20"/>
          <w:szCs w:val="20"/>
        </w:rPr>
        <w:fldChar w:fldCharType="separate"/>
      </w:r>
      <w:r w:rsidRPr="00E303DF">
        <w:rPr>
          <w:rFonts w:ascii="Calibri Light" w:hAnsi="Calibri Light" w:cs="Calibri Light"/>
          <w:sz w:val="20"/>
          <w:szCs w:val="20"/>
        </w:rPr>
        <w:t>[41]</w:t>
      </w:r>
      <w:r w:rsidRPr="00E303DF">
        <w:rPr>
          <w:rFonts w:ascii="Calibri Light" w:hAnsi="Calibri Light" w:cs="Calibri Light"/>
          <w:sz w:val="20"/>
          <w:szCs w:val="20"/>
        </w:rPr>
        <w:fldChar w:fldCharType="end"/>
      </w:r>
      <w:r w:rsidRPr="00E303DF">
        <w:rPr>
          <w:rFonts w:ascii="Calibri Light" w:hAnsi="Calibri Light" w:cs="Calibri Light"/>
          <w:sz w:val="20"/>
          <w:szCs w:val="20"/>
        </w:rPr>
        <w:t>.</w:t>
      </w:r>
    </w:p>
    <w:p w14:paraId="703343A9"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The 50</w:t>
      </w:r>
      <w:r w:rsidRPr="00E303DF">
        <w:rPr>
          <w:rFonts w:ascii="Calibri Light" w:hAnsi="Calibri Light" w:cs="Calibri Light"/>
          <w:sz w:val="20"/>
          <w:szCs w:val="20"/>
          <w:vertAlign w:val="superscript"/>
        </w:rPr>
        <w:t>th</w:t>
      </w:r>
      <w:r w:rsidRPr="00E303DF">
        <w:rPr>
          <w:rFonts w:ascii="Calibri Light" w:hAnsi="Calibri Light" w:cs="Calibri Light"/>
          <w:sz w:val="20"/>
          <w:szCs w:val="20"/>
        </w:rPr>
        <w:t xml:space="preserve"> percentile is used for body height so that all groups can reach the signs. The 95</w:t>
      </w:r>
      <w:r w:rsidRPr="00E303DF">
        <w:rPr>
          <w:rFonts w:ascii="Calibri Light" w:hAnsi="Calibri Light" w:cs="Calibri Light"/>
          <w:sz w:val="20"/>
          <w:szCs w:val="20"/>
          <w:vertAlign w:val="superscript"/>
        </w:rPr>
        <w:t>th</w:t>
      </w:r>
      <w:r w:rsidRPr="00E303DF">
        <w:rPr>
          <w:rFonts w:ascii="Calibri Light" w:hAnsi="Calibri Light" w:cs="Calibri Light"/>
          <w:sz w:val="20"/>
          <w:szCs w:val="20"/>
        </w:rPr>
        <w:t xml:space="preserve"> percentile is used for eye height to ensure visitors' movement does not obstruct the signs. The 5</w:t>
      </w:r>
      <w:r w:rsidRPr="00E303DF">
        <w:rPr>
          <w:rFonts w:ascii="Calibri Light" w:hAnsi="Calibri Light" w:cs="Calibri Light"/>
          <w:sz w:val="20"/>
          <w:szCs w:val="20"/>
          <w:vertAlign w:val="superscript"/>
        </w:rPr>
        <w:t>th</w:t>
      </w:r>
      <w:r w:rsidRPr="00E303DF">
        <w:rPr>
          <w:rFonts w:ascii="Calibri Light" w:hAnsi="Calibri Light" w:cs="Calibri Light"/>
          <w:sz w:val="20"/>
          <w:szCs w:val="20"/>
        </w:rPr>
        <w:t xml:space="preserve"> percentile is used for standing hand grip height </w:t>
      </w:r>
      <w:r w:rsidRPr="00E303DF">
        <w:rPr>
          <w:rFonts w:ascii="Calibri Light" w:hAnsi="Calibri Light" w:cs="Calibri Light"/>
          <w:sz w:val="20"/>
          <w:szCs w:val="20"/>
        </w:rPr>
        <w:fldChar w:fldCharType="begin" w:fldLock="1"/>
      </w:r>
      <w:r w:rsidRPr="00E303DF">
        <w:rPr>
          <w:rFonts w:ascii="Calibri Light" w:hAnsi="Calibri Light" w:cs="Calibri Light"/>
          <w:sz w:val="20"/>
          <w:szCs w:val="20"/>
        </w:rPr>
        <w:instrText>ADDIN CSL_CITATION {"citationItems":[{"id":"ITEM-1","itemData":{"author":[{"dropping-particle":"","family":"Norfiza","given":"","non-dropping-particle":"","parse-names":false,"suffix":""},{"dropping-particle":"","family":"Infi","given":"","non-dropping-particle":"","parse-names":false,"suffix":""}],"id":"ITEM-1","issue":"2","issued":{"date-parts":[["2011"]]},"page":"449-459","title":"Kajian Antropometri &amp; Ergonomi","type":"article-journal","volume":"5"},"uris":["http://www.mendeley.com/documents/?uuid=db7c9112-27b5-45ab-bc33-72b62d662eb0"]}],"mendeley":{"formattedCitation":"[41]","plainTextFormattedCitation":"[41]","previouslyFormattedCitation":"[41]"},"properties":{"noteIndex":0},"schema":"https://github.com/citation-style-language/schema/raw/master/csl-citation.json"}</w:instrText>
      </w:r>
      <w:r w:rsidRPr="00E303DF">
        <w:rPr>
          <w:rFonts w:ascii="Calibri Light" w:hAnsi="Calibri Light" w:cs="Calibri Light"/>
          <w:sz w:val="20"/>
          <w:szCs w:val="20"/>
        </w:rPr>
        <w:fldChar w:fldCharType="separate"/>
      </w:r>
      <w:r w:rsidRPr="00E303DF">
        <w:rPr>
          <w:rFonts w:ascii="Calibri Light" w:hAnsi="Calibri Light" w:cs="Calibri Light"/>
          <w:sz w:val="20"/>
          <w:szCs w:val="20"/>
        </w:rPr>
        <w:t>[41]</w:t>
      </w:r>
      <w:r w:rsidRPr="00E303DF">
        <w:rPr>
          <w:rFonts w:ascii="Calibri Light" w:hAnsi="Calibri Light" w:cs="Calibri Light"/>
          <w:sz w:val="20"/>
          <w:szCs w:val="20"/>
        </w:rPr>
        <w:fldChar w:fldCharType="end"/>
      </w:r>
      <w:r w:rsidRPr="00E303DF">
        <w:rPr>
          <w:rFonts w:ascii="Calibri Light" w:hAnsi="Calibri Light" w:cs="Calibri Light"/>
          <w:sz w:val="20"/>
          <w:szCs w:val="20"/>
        </w:rPr>
        <w:t xml:space="preserve"> so that it can be reached by all visitors, especially for tactile Braille. For shoulder height, the 95</w:t>
      </w:r>
      <w:r w:rsidRPr="00E303DF">
        <w:rPr>
          <w:rFonts w:ascii="Calibri Light" w:hAnsi="Calibri Light" w:cs="Calibri Light"/>
          <w:sz w:val="20"/>
          <w:szCs w:val="20"/>
          <w:vertAlign w:val="superscript"/>
        </w:rPr>
        <w:t>th</w:t>
      </w:r>
      <w:r w:rsidRPr="00E303DF">
        <w:rPr>
          <w:rFonts w:ascii="Calibri Light" w:hAnsi="Calibri Light" w:cs="Calibri Light"/>
          <w:sz w:val="20"/>
          <w:szCs w:val="20"/>
        </w:rPr>
        <w:t xml:space="preserve"> percentile is used to ensure the signs are not too low. Based on the 4 dimensions above, the minimum height for installing the signs is 165 cm.</w:t>
      </w:r>
    </w:p>
    <w:p w14:paraId="79B7A965"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Based on anthropometric considerations and accessibility standards, several recommended placements for wayfinding signage in mosque environments were developed. These placement configurations are illustrated in Figures 10–14, which show examples of signage installation on different types of walls and door configurations commonly found in mosque buildings.</w:t>
      </w:r>
    </w:p>
    <w:p w14:paraId="15EA8367" w14:textId="77777777" w:rsidR="00E303DF" w:rsidRPr="00E303DF" w:rsidRDefault="00E303DF" w:rsidP="00E303DF">
      <w:pPr>
        <w:ind w:firstLine="284"/>
        <w:jc w:val="both"/>
        <w:rPr>
          <w:rFonts w:ascii="Calibri Light" w:hAnsi="Calibri Light" w:cs="Calibri Light"/>
          <w:sz w:val="20"/>
          <w:szCs w:val="20"/>
        </w:rPr>
      </w:pPr>
      <w:r w:rsidRPr="00E303DF">
        <w:rPr>
          <w:rFonts w:ascii="Calibri Light" w:hAnsi="Calibri Light" w:cs="Calibri Light"/>
          <w:sz w:val="20"/>
          <w:szCs w:val="20"/>
        </w:rPr>
        <w:t>Figure 10 shows the recommended placement of wayfinding signage on a wall in a mosque environment. The approximately 165 cm installation height from the floor is determined based on anthropometric data for the Indonesian population. This height ensures that the signage is easily visible to users while remaining accessible for tactile elements such as Braille. The placement also minimizes visual obstruction caused by pedestrian movement and improves overall signage legibility.</w:t>
      </w:r>
    </w:p>
    <w:p w14:paraId="5E85AB29" w14:textId="77777777" w:rsidR="00E303DF" w:rsidRDefault="00E303DF" w:rsidP="00F64A8D">
      <w:pPr>
        <w:ind w:firstLine="284"/>
        <w:jc w:val="both"/>
        <w:rPr>
          <w:rFonts w:ascii="Calibri Light" w:hAnsi="Calibri Light" w:cs="Calibri Light"/>
          <w:sz w:val="20"/>
          <w:szCs w:val="20"/>
        </w:rPr>
      </w:pPr>
    </w:p>
    <w:p w14:paraId="61AAA245" w14:textId="6962E22B" w:rsidR="00C34BBE" w:rsidRPr="00C34BBE" w:rsidRDefault="00C34BBE" w:rsidP="00C34BBE">
      <w:pPr>
        <w:ind w:firstLine="284"/>
        <w:jc w:val="center"/>
        <w:rPr>
          <w:rFonts w:asciiTheme="majorHAnsi" w:hAnsiTheme="majorHAnsi" w:cstheme="majorHAnsi"/>
          <w:sz w:val="16"/>
          <w:szCs w:val="16"/>
        </w:rPr>
      </w:pPr>
      <w:r w:rsidRPr="00C34BBE">
        <w:rPr>
          <w:rFonts w:asciiTheme="majorHAnsi" w:hAnsiTheme="majorHAnsi" w:cstheme="majorHAnsi"/>
          <w:sz w:val="16"/>
          <w:szCs w:val="16"/>
        </w:rPr>
        <w:object w:dxaOrig="3540" w:dyaOrig="3150" w14:anchorId="5169C4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205.05pt;height:182pt" o:ole="">
            <v:imagedata r:id="rId59" o:title=""/>
          </v:shape>
          <o:OLEObject Type="Embed" ProgID="Visio.Drawing.15" ShapeID="_x0000_i1105" DrawAspect="Content" ObjectID="_1841228430" r:id="rId60"/>
        </w:object>
      </w:r>
    </w:p>
    <w:p w14:paraId="6A201C36" w14:textId="77777777" w:rsidR="00C34BBE" w:rsidRPr="00C34BBE" w:rsidRDefault="00C34BBE" w:rsidP="00C34BBE">
      <w:pPr>
        <w:ind w:firstLine="284"/>
        <w:jc w:val="center"/>
        <w:rPr>
          <w:rFonts w:asciiTheme="majorHAnsi" w:hAnsiTheme="majorHAnsi" w:cstheme="majorHAnsi"/>
          <w:sz w:val="16"/>
          <w:szCs w:val="16"/>
        </w:rPr>
      </w:pPr>
    </w:p>
    <w:p w14:paraId="6CE73A14" w14:textId="77777777" w:rsidR="00C34BBE" w:rsidRPr="00C34BBE" w:rsidRDefault="00C34BBE" w:rsidP="00C34BBE">
      <w:pPr>
        <w:ind w:firstLine="284"/>
        <w:jc w:val="center"/>
        <w:rPr>
          <w:rFonts w:asciiTheme="majorHAnsi" w:hAnsiTheme="majorHAnsi" w:cstheme="majorHAnsi"/>
          <w:bCs/>
          <w:sz w:val="16"/>
          <w:szCs w:val="16"/>
        </w:rPr>
      </w:pPr>
      <w:r w:rsidRPr="00C34BBE">
        <w:rPr>
          <w:rFonts w:asciiTheme="majorHAnsi" w:hAnsiTheme="majorHAnsi" w:cstheme="majorHAnsi"/>
          <w:bCs/>
          <w:sz w:val="16"/>
          <w:szCs w:val="16"/>
        </w:rPr>
        <w:t>Figure 10. Placement on Walls</w:t>
      </w:r>
    </w:p>
    <w:p w14:paraId="3E967FBA" w14:textId="77777777" w:rsidR="00E303DF" w:rsidRDefault="00E303DF" w:rsidP="00F64A8D">
      <w:pPr>
        <w:ind w:firstLine="284"/>
        <w:jc w:val="both"/>
        <w:rPr>
          <w:rFonts w:ascii="Calibri Light" w:hAnsi="Calibri Light" w:cs="Calibri Light"/>
          <w:sz w:val="20"/>
          <w:szCs w:val="20"/>
        </w:rPr>
      </w:pPr>
    </w:p>
    <w:p w14:paraId="0441C809" w14:textId="77777777" w:rsidR="00C34BBE" w:rsidRPr="00C34BBE" w:rsidRDefault="00C34BBE" w:rsidP="00C34BBE">
      <w:pPr>
        <w:ind w:firstLine="284"/>
        <w:jc w:val="both"/>
        <w:rPr>
          <w:rFonts w:ascii="Calibri Light" w:hAnsi="Calibri Light" w:cs="Calibri Light"/>
          <w:bCs/>
          <w:sz w:val="20"/>
          <w:szCs w:val="20"/>
        </w:rPr>
      </w:pPr>
      <w:r w:rsidRPr="00C34BBE">
        <w:rPr>
          <w:rFonts w:ascii="Calibri Light" w:hAnsi="Calibri Light" w:cs="Calibri Light"/>
          <w:bCs/>
          <w:sz w:val="20"/>
          <w:szCs w:val="20"/>
        </w:rPr>
        <w:t>Different door and corridor configurations may influence the optimal placement of wayfinding signage in mosque environments. To address these variations, several recommended configurations for signage placement were developed. These configurations are presented in Figures 11–14.</w:t>
      </w:r>
    </w:p>
    <w:p w14:paraId="6AA3BB56" w14:textId="77777777" w:rsidR="00C34BBE" w:rsidRPr="00C34BBE" w:rsidRDefault="00C34BBE" w:rsidP="00C34BBE">
      <w:pPr>
        <w:ind w:firstLine="284"/>
        <w:jc w:val="both"/>
        <w:rPr>
          <w:rFonts w:ascii="Calibri Light" w:hAnsi="Calibri Light" w:cs="Calibri Light"/>
          <w:bCs/>
          <w:sz w:val="20"/>
          <w:szCs w:val="20"/>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1"/>
        <w:gridCol w:w="4543"/>
      </w:tblGrid>
      <w:tr w:rsidR="00C34BBE" w:rsidRPr="00C34BBE" w14:paraId="6208634E" w14:textId="77777777" w:rsidTr="00C34BBE">
        <w:trPr>
          <w:trHeight w:val="1814"/>
        </w:trPr>
        <w:tc>
          <w:tcPr>
            <w:tcW w:w="0" w:type="auto"/>
          </w:tcPr>
          <w:p w14:paraId="2656C9AE" w14:textId="77777777" w:rsidR="00C34BBE" w:rsidRPr="00C34BBE" w:rsidRDefault="00C34BBE" w:rsidP="00C34BBE">
            <w:pPr>
              <w:jc w:val="center"/>
              <w:rPr>
                <w:rFonts w:asciiTheme="majorHAnsi" w:eastAsia="Calibri" w:hAnsiTheme="majorHAnsi" w:cstheme="majorHAnsi"/>
                <w:sz w:val="16"/>
                <w:szCs w:val="16"/>
              </w:rPr>
            </w:pPr>
            <w:r w:rsidRPr="00C34BBE">
              <w:rPr>
                <w:rFonts w:asciiTheme="majorHAnsi" w:eastAsia="Calibri" w:hAnsiTheme="majorHAnsi" w:cstheme="majorHAnsi"/>
                <w:sz w:val="16"/>
                <w:szCs w:val="16"/>
              </w:rPr>
              <w:object w:dxaOrig="900" w:dyaOrig="2040" w14:anchorId="39E16310">
                <v:shape id="_x0000_i1106" type="#_x0000_t75" style="width:44.95pt;height:101.95pt" o:ole="">
                  <v:imagedata r:id="rId61" o:title=""/>
                </v:shape>
                <o:OLEObject Type="Embed" ProgID="Visio.Drawing.15" ShapeID="_x0000_i1106" DrawAspect="Content" ObjectID="_1841228431" r:id="rId62"/>
              </w:object>
            </w:r>
          </w:p>
          <w:p w14:paraId="6A83E037" w14:textId="77777777" w:rsidR="00C34BBE" w:rsidRPr="00C34BBE" w:rsidRDefault="00C34BBE" w:rsidP="00C34BBE">
            <w:pPr>
              <w:jc w:val="center"/>
              <w:rPr>
                <w:rFonts w:asciiTheme="majorHAnsi" w:eastAsia="Calibri" w:hAnsiTheme="majorHAnsi" w:cstheme="majorHAnsi"/>
                <w:sz w:val="16"/>
                <w:szCs w:val="16"/>
              </w:rPr>
            </w:pPr>
          </w:p>
          <w:p w14:paraId="603D8D2C" w14:textId="77777777" w:rsidR="00C34BBE" w:rsidRPr="00C34BBE" w:rsidRDefault="00C34BBE" w:rsidP="00C34BBE">
            <w:pPr>
              <w:jc w:val="center"/>
              <w:rPr>
                <w:rFonts w:asciiTheme="majorHAnsi" w:eastAsia="Calibri" w:hAnsiTheme="majorHAnsi" w:cstheme="majorHAnsi"/>
                <w:sz w:val="16"/>
                <w:szCs w:val="16"/>
              </w:rPr>
            </w:pPr>
            <w:r w:rsidRPr="00C34BBE">
              <w:rPr>
                <w:rFonts w:asciiTheme="majorHAnsi" w:eastAsia="Calibri" w:hAnsiTheme="majorHAnsi" w:cstheme="majorHAnsi"/>
                <w:sz w:val="16"/>
                <w:szCs w:val="16"/>
              </w:rPr>
              <w:t>Figure 11.</w:t>
            </w:r>
            <w:r w:rsidRPr="00C34BBE">
              <w:rPr>
                <w:rFonts w:asciiTheme="majorHAnsi" w:eastAsia="Calibri" w:hAnsiTheme="majorHAnsi" w:cstheme="majorHAnsi"/>
                <w:b/>
                <w:bCs/>
                <w:sz w:val="16"/>
                <w:szCs w:val="16"/>
              </w:rPr>
              <w:t xml:space="preserve"> </w:t>
            </w:r>
            <w:r w:rsidRPr="00C34BBE">
              <w:rPr>
                <w:rFonts w:asciiTheme="majorHAnsi" w:eastAsia="Calibri" w:hAnsiTheme="majorHAnsi" w:cstheme="majorHAnsi"/>
                <w:sz w:val="16"/>
                <w:szCs w:val="16"/>
              </w:rPr>
              <w:t>Placement on the Corridor Wall Single Push Door</w:t>
            </w:r>
          </w:p>
        </w:tc>
        <w:tc>
          <w:tcPr>
            <w:tcW w:w="0" w:type="auto"/>
          </w:tcPr>
          <w:p w14:paraId="345DC01B" w14:textId="77777777" w:rsidR="00C34BBE" w:rsidRPr="00C34BBE" w:rsidRDefault="00C34BBE" w:rsidP="00C34BBE">
            <w:pPr>
              <w:jc w:val="center"/>
              <w:rPr>
                <w:rFonts w:asciiTheme="majorHAnsi" w:eastAsia="Calibri" w:hAnsiTheme="majorHAnsi" w:cstheme="majorHAnsi"/>
                <w:sz w:val="16"/>
                <w:szCs w:val="16"/>
              </w:rPr>
            </w:pPr>
            <w:r w:rsidRPr="00C34BBE">
              <w:rPr>
                <w:rFonts w:asciiTheme="majorHAnsi" w:eastAsia="Calibri" w:hAnsiTheme="majorHAnsi" w:cstheme="majorHAnsi"/>
                <w:sz w:val="16"/>
                <w:szCs w:val="16"/>
              </w:rPr>
              <w:object w:dxaOrig="1035" w:dyaOrig="2055" w14:anchorId="16A2202D">
                <v:shape id="_x0000_i1107" type="#_x0000_t75" style="width:51.85pt;height:102.55pt" o:ole="">
                  <v:imagedata r:id="rId63" o:title=""/>
                </v:shape>
                <o:OLEObject Type="Embed" ProgID="Visio.Drawing.15" ShapeID="_x0000_i1107" DrawAspect="Content" ObjectID="_1841228432" r:id="rId64"/>
              </w:object>
            </w:r>
          </w:p>
          <w:p w14:paraId="0B9F8D99" w14:textId="77777777" w:rsidR="00C34BBE" w:rsidRPr="00C34BBE" w:rsidRDefault="00C34BBE" w:rsidP="00C34BBE">
            <w:pPr>
              <w:jc w:val="center"/>
              <w:rPr>
                <w:rFonts w:asciiTheme="majorHAnsi" w:eastAsia="Calibri" w:hAnsiTheme="majorHAnsi" w:cstheme="majorHAnsi"/>
                <w:sz w:val="16"/>
                <w:szCs w:val="16"/>
              </w:rPr>
            </w:pPr>
          </w:p>
          <w:p w14:paraId="0307EC7F" w14:textId="77777777" w:rsidR="00C34BBE" w:rsidRPr="00C34BBE" w:rsidRDefault="00C34BBE" w:rsidP="00C34BBE">
            <w:pPr>
              <w:jc w:val="center"/>
              <w:rPr>
                <w:rFonts w:asciiTheme="majorHAnsi" w:eastAsia="Calibri" w:hAnsiTheme="majorHAnsi" w:cstheme="majorHAnsi"/>
                <w:sz w:val="16"/>
                <w:szCs w:val="16"/>
              </w:rPr>
            </w:pPr>
            <w:r w:rsidRPr="00C34BBE">
              <w:rPr>
                <w:rFonts w:asciiTheme="majorHAnsi" w:eastAsia="Calibri" w:hAnsiTheme="majorHAnsi" w:cstheme="majorHAnsi"/>
                <w:sz w:val="16"/>
                <w:szCs w:val="16"/>
              </w:rPr>
              <w:t>Figure 12.</w:t>
            </w:r>
            <w:r w:rsidRPr="00C34BBE">
              <w:rPr>
                <w:rFonts w:asciiTheme="majorHAnsi" w:eastAsia="Calibri" w:hAnsiTheme="majorHAnsi" w:cstheme="majorHAnsi"/>
                <w:b/>
                <w:bCs/>
                <w:sz w:val="16"/>
                <w:szCs w:val="16"/>
              </w:rPr>
              <w:t xml:space="preserve"> </w:t>
            </w:r>
            <w:r w:rsidRPr="00C34BBE">
              <w:rPr>
                <w:rFonts w:asciiTheme="majorHAnsi" w:eastAsia="Calibri" w:hAnsiTheme="majorHAnsi" w:cstheme="majorHAnsi"/>
                <w:sz w:val="16"/>
                <w:szCs w:val="16"/>
              </w:rPr>
              <w:t>Placement on the Corridor Wall Single Pull Door</w:t>
            </w:r>
          </w:p>
        </w:tc>
      </w:tr>
      <w:tr w:rsidR="00C34BBE" w:rsidRPr="00C34BBE" w14:paraId="58B675C5" w14:textId="77777777" w:rsidTr="00C34BBE">
        <w:trPr>
          <w:trHeight w:val="1814"/>
        </w:trPr>
        <w:tc>
          <w:tcPr>
            <w:tcW w:w="0" w:type="auto"/>
          </w:tcPr>
          <w:p w14:paraId="76D696C1" w14:textId="77777777" w:rsidR="00C34BBE" w:rsidRPr="00C34BBE" w:rsidRDefault="00C34BBE" w:rsidP="00C34BBE">
            <w:pPr>
              <w:ind w:firstLine="29"/>
              <w:jc w:val="center"/>
              <w:rPr>
                <w:rFonts w:asciiTheme="majorHAnsi" w:eastAsia="Calibri" w:hAnsiTheme="majorHAnsi" w:cstheme="majorHAnsi"/>
                <w:sz w:val="16"/>
                <w:szCs w:val="16"/>
              </w:rPr>
            </w:pPr>
            <w:r w:rsidRPr="00C34BBE">
              <w:rPr>
                <w:rFonts w:asciiTheme="majorHAnsi" w:eastAsia="Calibri" w:hAnsiTheme="majorHAnsi" w:cstheme="majorHAnsi"/>
                <w:sz w:val="16"/>
                <w:szCs w:val="16"/>
              </w:rPr>
              <w:object w:dxaOrig="1245" w:dyaOrig="1815" w14:anchorId="64B91D23">
                <v:shape id="_x0000_i1108" type="#_x0000_t75" style="width:62.2pt;height:91pt" o:ole="">
                  <v:imagedata r:id="rId65" o:title=""/>
                </v:shape>
                <o:OLEObject Type="Embed" ProgID="Visio.Drawing.15" ShapeID="_x0000_i1108" DrawAspect="Content" ObjectID="_1841228433" r:id="rId66"/>
              </w:object>
            </w:r>
          </w:p>
          <w:p w14:paraId="21625EC7" w14:textId="77777777" w:rsidR="00C34BBE" w:rsidRPr="00C34BBE" w:rsidRDefault="00C34BBE" w:rsidP="00C34BBE">
            <w:pPr>
              <w:ind w:firstLine="29"/>
              <w:jc w:val="center"/>
              <w:rPr>
                <w:rFonts w:asciiTheme="majorHAnsi" w:eastAsia="Calibri" w:hAnsiTheme="majorHAnsi" w:cstheme="majorHAnsi"/>
                <w:sz w:val="16"/>
                <w:szCs w:val="16"/>
              </w:rPr>
            </w:pPr>
          </w:p>
          <w:p w14:paraId="55DACB16" w14:textId="77777777" w:rsidR="00C34BBE" w:rsidRPr="00C34BBE" w:rsidRDefault="00C34BBE" w:rsidP="00C34BBE">
            <w:pPr>
              <w:ind w:firstLine="29"/>
              <w:jc w:val="center"/>
              <w:rPr>
                <w:rFonts w:asciiTheme="majorHAnsi" w:eastAsia="Calibri" w:hAnsiTheme="majorHAnsi" w:cstheme="majorHAnsi"/>
                <w:sz w:val="16"/>
                <w:szCs w:val="16"/>
              </w:rPr>
            </w:pPr>
            <w:r w:rsidRPr="00C34BBE">
              <w:rPr>
                <w:rFonts w:asciiTheme="majorHAnsi" w:eastAsia="Calibri" w:hAnsiTheme="majorHAnsi" w:cstheme="majorHAnsi"/>
                <w:sz w:val="16"/>
                <w:szCs w:val="16"/>
              </w:rPr>
              <w:t>Figure 13</w:t>
            </w:r>
            <w:r w:rsidRPr="00C34BBE">
              <w:rPr>
                <w:rFonts w:asciiTheme="majorHAnsi" w:eastAsia="Calibri" w:hAnsiTheme="majorHAnsi" w:cstheme="majorHAnsi"/>
                <w:b/>
                <w:bCs/>
                <w:sz w:val="16"/>
                <w:szCs w:val="16"/>
              </w:rPr>
              <w:t xml:space="preserve">. </w:t>
            </w:r>
            <w:r w:rsidRPr="00C34BBE">
              <w:rPr>
                <w:rFonts w:asciiTheme="majorHAnsi" w:eastAsia="Calibri" w:hAnsiTheme="majorHAnsi" w:cstheme="majorHAnsi"/>
                <w:sz w:val="16"/>
                <w:szCs w:val="16"/>
              </w:rPr>
              <w:t>Placement on the Wall Double-Push Door</w:t>
            </w:r>
          </w:p>
        </w:tc>
        <w:tc>
          <w:tcPr>
            <w:tcW w:w="0" w:type="auto"/>
          </w:tcPr>
          <w:p w14:paraId="45AE002E" w14:textId="77777777" w:rsidR="00C34BBE" w:rsidRPr="00C34BBE" w:rsidRDefault="00C34BBE" w:rsidP="00C34BBE">
            <w:pPr>
              <w:ind w:firstLine="29"/>
              <w:jc w:val="center"/>
              <w:rPr>
                <w:rFonts w:asciiTheme="majorHAnsi" w:eastAsia="Calibri" w:hAnsiTheme="majorHAnsi" w:cstheme="majorHAnsi"/>
                <w:sz w:val="16"/>
                <w:szCs w:val="16"/>
              </w:rPr>
            </w:pPr>
            <w:r w:rsidRPr="00C34BBE">
              <w:rPr>
                <w:rFonts w:asciiTheme="majorHAnsi" w:eastAsia="Calibri" w:hAnsiTheme="majorHAnsi" w:cstheme="majorHAnsi"/>
                <w:sz w:val="16"/>
                <w:szCs w:val="16"/>
              </w:rPr>
              <w:object w:dxaOrig="1740" w:dyaOrig="1815" w14:anchorId="2C9FA9CC">
                <v:shape id="_x0000_i1109" type="#_x0000_t75" style="width:87pt;height:91pt" o:ole="">
                  <v:imagedata r:id="rId67" o:title=""/>
                </v:shape>
                <o:OLEObject Type="Embed" ProgID="Visio.Drawing.15" ShapeID="_x0000_i1109" DrawAspect="Content" ObjectID="_1841228434" r:id="rId68"/>
              </w:object>
            </w:r>
          </w:p>
          <w:p w14:paraId="3F49C1D9" w14:textId="77777777" w:rsidR="00C34BBE" w:rsidRPr="00C34BBE" w:rsidRDefault="00C34BBE" w:rsidP="00C34BBE">
            <w:pPr>
              <w:ind w:firstLine="29"/>
              <w:jc w:val="center"/>
              <w:rPr>
                <w:rFonts w:asciiTheme="majorHAnsi" w:eastAsia="Calibri" w:hAnsiTheme="majorHAnsi" w:cstheme="majorHAnsi"/>
                <w:sz w:val="16"/>
                <w:szCs w:val="16"/>
              </w:rPr>
            </w:pPr>
          </w:p>
          <w:p w14:paraId="0B9E7335" w14:textId="77777777" w:rsidR="00C34BBE" w:rsidRPr="00C34BBE" w:rsidRDefault="00C34BBE" w:rsidP="00C34BBE">
            <w:pPr>
              <w:ind w:firstLine="29"/>
              <w:jc w:val="center"/>
              <w:rPr>
                <w:rFonts w:asciiTheme="majorHAnsi" w:eastAsia="Calibri" w:hAnsiTheme="majorHAnsi" w:cstheme="majorHAnsi"/>
                <w:sz w:val="16"/>
                <w:szCs w:val="16"/>
              </w:rPr>
            </w:pPr>
            <w:r w:rsidRPr="00C34BBE">
              <w:rPr>
                <w:rFonts w:asciiTheme="majorHAnsi" w:eastAsia="Calibri" w:hAnsiTheme="majorHAnsi" w:cstheme="majorHAnsi"/>
                <w:sz w:val="16"/>
                <w:szCs w:val="16"/>
              </w:rPr>
              <w:t>Figure 14.</w:t>
            </w:r>
            <w:r w:rsidRPr="00C34BBE">
              <w:rPr>
                <w:rFonts w:asciiTheme="majorHAnsi" w:eastAsia="Calibri" w:hAnsiTheme="majorHAnsi" w:cstheme="majorHAnsi"/>
                <w:b/>
                <w:bCs/>
                <w:sz w:val="16"/>
                <w:szCs w:val="16"/>
              </w:rPr>
              <w:t xml:space="preserve"> </w:t>
            </w:r>
            <w:r w:rsidRPr="00C34BBE">
              <w:rPr>
                <w:rFonts w:asciiTheme="majorHAnsi" w:eastAsia="Calibri" w:hAnsiTheme="majorHAnsi" w:cstheme="majorHAnsi"/>
                <w:sz w:val="16"/>
                <w:szCs w:val="16"/>
              </w:rPr>
              <w:t>Placement on the Wall Sliding into the Single Push Door</w:t>
            </w:r>
          </w:p>
        </w:tc>
      </w:tr>
    </w:tbl>
    <w:p w14:paraId="6AD0E546" w14:textId="77777777" w:rsidR="00C34BBE" w:rsidRPr="00C34BBE" w:rsidRDefault="00C34BBE" w:rsidP="00C34BBE">
      <w:pPr>
        <w:ind w:firstLine="284"/>
        <w:jc w:val="both"/>
        <w:rPr>
          <w:rFonts w:ascii="Calibri Light" w:hAnsi="Calibri Light" w:cs="Calibri Light"/>
          <w:sz w:val="20"/>
          <w:szCs w:val="20"/>
        </w:rPr>
      </w:pPr>
    </w:p>
    <w:p w14:paraId="6AF89F0B" w14:textId="414446D2" w:rsidR="00C34BBE" w:rsidRPr="00C34BBE" w:rsidRDefault="00C34BBE" w:rsidP="00C34BBE">
      <w:pPr>
        <w:jc w:val="both"/>
        <w:rPr>
          <w:rFonts w:asciiTheme="majorHAnsi" w:hAnsiTheme="majorHAnsi" w:cstheme="majorHAnsi"/>
          <w:b/>
          <w:bCs/>
          <w:sz w:val="18"/>
          <w:szCs w:val="18"/>
        </w:rPr>
      </w:pPr>
      <w:r>
        <w:rPr>
          <w:rFonts w:asciiTheme="majorHAnsi" w:hAnsiTheme="majorHAnsi" w:cstheme="majorHAnsi"/>
          <w:b/>
          <w:bCs/>
          <w:sz w:val="18"/>
          <w:szCs w:val="18"/>
        </w:rPr>
        <w:t xml:space="preserve">3.4 </w:t>
      </w:r>
      <w:r w:rsidRPr="00C34BBE">
        <w:rPr>
          <w:rFonts w:asciiTheme="majorHAnsi" w:hAnsiTheme="majorHAnsi" w:cstheme="majorHAnsi"/>
          <w:b/>
          <w:bCs/>
          <w:sz w:val="18"/>
          <w:szCs w:val="18"/>
        </w:rPr>
        <w:t>EVALUATION OF WAYFINDING SIGNAGE LEGIBILITY IN MOSQUE</w:t>
      </w:r>
    </w:p>
    <w:p w14:paraId="5EFA697F"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Legibility is defined as the ease with which the eye can detect words or letters to obtain the information contained in them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{"citationItems":[{"id":"ITEM-1","itemData":{"DOI":"10.1016/j.sbspro.2015.01.751","ISSN":"18770428","abstract":"The purpose of the study was to analyse findings in the field of the textbooks’ legibility, readability and visual word recognition. The paper focuses on the most significant findings for comprehending the texts’ spatial characteristics during reading, word and letter recognition. The aim of the study was to analyse the factors which have induced inconsistencies between the findings acquired by scientists, as well as to compare findings which continually lead to progression in this field.","author":[{"dropping-particle":"","family":"Tarasov","given":"Dmitry A.","non-dropping-particle":"","parse-names":false,"suffix":""},{"dropping-particle":"","family":"Sergeev","given":"Alexander P.","non-dropping-particle":"","parse-names":false,"suffix":""},{"dropping-particle":"V.","family":"Filimonov","given":"Victor","non-dropping-particle":"","parse-names":false,"suffix":""}],"container-title":"Procedia - Social and Behavioral Sciences","id":"ITEM-1","issued":{"date-parts":[["2015"]]},"page":"1300-1308","publisher":"Elsevier B.V.","title":"Legibility of Textbooks: A Literature Review","type":"article-journal","volume":"174"},"uris":["http://www.mendeley.com/documents/?uuid=9badddda-4877-4686-9794-059c11f60799"]}],"mendeley":{"formattedCitation":"[6]","plainTextFormattedCitation":"[6]","previouslyFormattedCitation":"[6]"},"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[6]</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The results of interviews and observations indicate that the legibility of current wayfinding signage is relatively low. This is due to the font size being too small, the </w:t>
      </w:r>
      <w:proofErr w:type="spellStart"/>
      <w:r w:rsidRPr="00C34BBE">
        <w:rPr>
          <w:rFonts w:ascii="Calibri Light" w:hAnsi="Calibri Light" w:cs="Calibri Light"/>
          <w:sz w:val="20"/>
          <w:szCs w:val="20"/>
        </w:rPr>
        <w:t>color</w:t>
      </w:r>
      <w:proofErr w:type="spellEnd"/>
      <w:r w:rsidRPr="00C34BBE">
        <w:rPr>
          <w:rFonts w:ascii="Calibri Light" w:hAnsi="Calibri Light" w:cs="Calibri Light"/>
          <w:sz w:val="20"/>
          <w:szCs w:val="20"/>
        </w:rPr>
        <w:t xml:space="preserve"> combinations being insufficiently striking, the placement of the signs being non-strategic, and the sign material being glaring.</w:t>
      </w:r>
    </w:p>
    <w:p w14:paraId="47AE1AC2"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Smaller font sizes lead to longer observation times. Text that is too small makes it difficult for observers to identify letters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{"citationItems":[{"id":"ITEM-1","itemData":{"DOI":"10.1016/j.displa.2016.05.003","ISSN":"01419382","abstract":"Modern vehicles increasingly utilise a large display within the centre console, often with touchscreen capability, to enable access to a wide range of driving and non-driving-related functionality. The text provided on such displays can vary considerably in size, yet little is known about the effects of different text dimensions on how drivers visually sample the interface while driving and the potential implications for driving performance and user acceptance. A study is described in which sixteen people drove motorway routes in a medium-fidelity simulator and were asked to read text of varying sizes (9 mm, 8 mm, 6.5 mm, 5 mm, or 4 mm) from a central in-vehicle display. Pseudo-text was used as a stimulus to ensure that participants scanned the text in a consistent fashion that was unaffected by comprehension. There was no evidence of an effect of text size on the total time spent glancing at the display, but significant differences arose regarding how glances were distributed. Specifically, larger text sizes were associated with a high number of relatively short glances, whereas smaller text led to a smaller number of long glances. No differences were found in driving performance measures (speed, lateral lane position). Drivers overwhelmingly preferred the 'compromise' text sizes (6.5 mm and 8 mm). Results are discussed in relation to the development of large touchscreens within vehicles.","author":[{"dropping-particle":"","family":"Crundall","given":"Elizabeth","non-dropping-particle":"","parse-names":false,"suffix":""},{"dropping-particle":"","family":"Large","given":"David R.","non-dropping-particle":"","parse-names":false,"suffix":""},{"dropping-particle":"","family":"Burnett","given":"Gary","non-dropping-particle":"","parse-names":false,"suffix":""}],"container-title":"Displays","id":"ITEM-1","issued":{"date-parts":[["2016"]]},"page":"23-29","publisher":"Elsevier B.V.","title":"A driving simulator study to explore the effects of text size on the visual demand of in-vehicle displays","type":"article-journal","volume":"43"},"uris":["http://www.mendeley.com/documents/?uuid=762a904d-bf13-4969-ae47-b77b7d54a5e9"]}],"mendeley":{"formattedCitation":"[42]","plainTextFormattedCitation":"[42]","previouslyFormattedCitation":"[42]"},"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[42]</w:t>
      </w:r>
      <w:r w:rsidRPr="00C34BBE">
        <w:rPr>
          <w:rFonts w:ascii="Calibri Light" w:hAnsi="Calibri Light" w:cs="Calibri Light"/>
          <w:sz w:val="20"/>
          <w:szCs w:val="20"/>
        </w:rPr>
        <w:fldChar w:fldCharType="end"/>
      </w:r>
      <w:r w:rsidRPr="00C34BBE">
        <w:rPr>
          <w:rFonts w:ascii="Calibri Light" w:hAnsi="Calibri Light" w:cs="Calibri Light"/>
          <w:sz w:val="20"/>
          <w:szCs w:val="20"/>
        </w:rPr>
        <w:t>. The font size of current wayfinding signage is around 1.5-2 cm, which visitors consider too small.</w:t>
      </w:r>
    </w:p>
    <w:p w14:paraId="7D455459" w14:textId="77777777" w:rsidR="00C34BBE" w:rsidRPr="00C34BBE" w:rsidRDefault="00C34BBE" w:rsidP="00C34BBE">
      <w:pPr>
        <w:ind w:firstLine="284"/>
        <w:jc w:val="both"/>
        <w:rPr>
          <w:rFonts w:ascii="Calibri Light" w:hAnsi="Calibri Light" w:cs="Calibri Light"/>
          <w:sz w:val="20"/>
          <w:szCs w:val="20"/>
        </w:rPr>
      </w:pPr>
      <w:proofErr w:type="spellStart"/>
      <w:r w:rsidRPr="00C34BBE">
        <w:rPr>
          <w:rFonts w:ascii="Calibri Light" w:hAnsi="Calibri Light" w:cs="Calibri Light"/>
          <w:sz w:val="20"/>
          <w:szCs w:val="20"/>
        </w:rPr>
        <w:t>Color</w:t>
      </w:r>
      <w:proofErr w:type="spellEnd"/>
      <w:r w:rsidRPr="00C34BBE">
        <w:rPr>
          <w:rFonts w:ascii="Calibri Light" w:hAnsi="Calibri Light" w:cs="Calibri Light"/>
          <w:sz w:val="20"/>
          <w:szCs w:val="20"/>
        </w:rPr>
        <w:t xml:space="preserve"> is an important element for attracting attention, conveying meaning, and enhancing aesthetics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{"citationItems":[{"id":"ITEM-1","itemData":{"abstract":"This paper introduces a new methodology for studying sign legibility that capitalizes on the strengths of simulators, field experiments, and laboratory studies, approximating the attentional and perceptual demands of a highway environment in a controlled setting. The methodology is then applied to studying the effects of veiling glare on sign legibility. The participant is required to perform multiple tasks in a non-threatening situation (i.e., the vehicle is stationary). The test is conducted in a controlled environment where experimental parameters can be isolated. Sign sizes and distances are actual so that luminance and glare characteristics are true. Effects of age, visual acuity, and attentional characteristics are considered. Of particular concern in this study were the effects of glare on older drivers ability to correctly read highway signs and the presence (or absence) of any glare blindness that might result from highly reflective signing materials. The methodology employed was effective at isolating the effects of sign sheeting on sign legibility. The results of the study show that veiling glare is not a significant factor with respect to sign legibility under the circumstances represented in the study. Furthermore, no evidence of glare blindness was found to result from viewing highly reflective signs.","author":[{"dropping-particle":"","family":"Meyer","given":"Eric","non-dropping-particle":"","parse-names":false,"suffix":""},{"dropping-particle":"","family":"Atchley","given":"Paul","non-dropping-particle":"","parse-names":false,"suffix":""},{"dropping-particle":"","family":"Professor","given":"Assistant","non-dropping-particle":"","parse-names":false,"suffix":""},{"dropping-particle":"","family":"Hoffman","given":"Lesa","non-dropping-particle":"","parse-names":false,"suffix":""},{"dropping-particle":"","family":"Ahmed","given":"Ishtiaque","non-dropping-particle":"","parse-names":false,"suffix":""}],"id":"ITEM-1","issue":"785","issued":{"date-parts":[["2011"]]},"title":"Assessing the Effect of Glare on Sign Legibility","type":"article-journal"},"uris":["http://www.mendeley.com/documents/?uuid=35d21bb5-caba-49d7-9a93-68520abca816"]}],"mendeley":{"formattedCitation":"[43]","plainTextFormattedCitation":"[43]","previouslyFormattedCitation":"[43]"},"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[43]</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The </w:t>
      </w:r>
      <w:proofErr w:type="spellStart"/>
      <w:r w:rsidRPr="00C34BBE">
        <w:rPr>
          <w:rFonts w:ascii="Calibri Light" w:hAnsi="Calibri Light" w:cs="Calibri Light"/>
          <w:sz w:val="20"/>
          <w:szCs w:val="20"/>
        </w:rPr>
        <w:t>color</w:t>
      </w:r>
      <w:proofErr w:type="spellEnd"/>
      <w:r w:rsidRPr="00C34BBE">
        <w:rPr>
          <w:rFonts w:ascii="Calibri Light" w:hAnsi="Calibri Light" w:cs="Calibri Light"/>
          <w:sz w:val="20"/>
          <w:szCs w:val="20"/>
        </w:rPr>
        <w:t xml:space="preserve"> combinations used on current wayfinding signage are diverse and irregular. Diversity occurs not only between mosques but also within mosques themselves. The diversity of </w:t>
      </w:r>
      <w:proofErr w:type="spellStart"/>
      <w:r w:rsidRPr="00C34BBE">
        <w:rPr>
          <w:rFonts w:ascii="Calibri Light" w:hAnsi="Calibri Light" w:cs="Calibri Light"/>
          <w:sz w:val="20"/>
          <w:szCs w:val="20"/>
        </w:rPr>
        <w:t>colors</w:t>
      </w:r>
      <w:proofErr w:type="spellEnd"/>
      <w:r w:rsidRPr="00C34BBE">
        <w:rPr>
          <w:rFonts w:ascii="Calibri Light" w:hAnsi="Calibri Light" w:cs="Calibri Light"/>
          <w:sz w:val="20"/>
          <w:szCs w:val="20"/>
        </w:rPr>
        <w:t xml:space="preserve"> encourages visitors to adapt to each mosque they visit constantly.</w:t>
      </w:r>
    </w:p>
    <w:p w14:paraId="67C1CC4C"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The non-strategic placement of signs makes it difficult for visitors to find them. Yu </w:t>
      </w:r>
      <w:r w:rsidRPr="00C34BBE">
        <w:rPr>
          <w:rFonts w:ascii="Calibri Light" w:hAnsi="Calibri Light" w:cs="Calibri Light"/>
          <w:i/>
          <w:iCs/>
          <w:sz w:val="20"/>
          <w:szCs w:val="20"/>
        </w:rPr>
        <w:t>et al</w:t>
      </w:r>
      <w:r w:rsidRPr="00C34BBE">
        <w:rPr>
          <w:rFonts w:ascii="Calibri Light" w:hAnsi="Calibri Light" w:cs="Calibri Light"/>
          <w:sz w:val="20"/>
          <w:szCs w:val="20"/>
        </w:rPr>
        <w:t xml:space="preserve">. state that there is a correspondence relationship between sign height, readability distance, and font size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{"citationItems":[{"id":"ITEM-1","itemData":{"DOI":"10.1016/j.displa.2018.03.002","ISSN":"01419382","abstract":"This study examined the relationship between the ambient and surface luminances needed to obtain optimal and minimum allowable device (paper and tablet) readability in low ambient illumination environments (illuminance of less than 300 lx). In addition, the optimum and minimum allowable surface luminances were evaluated according to ambient luminance based on the tablet character contrast ratio. Experiments were conducted based on a method in which the subject directly adjusts the surface brightness of the device, and revealed that the contrast ratio does not influence the surface luminance of a tablet. In cases with a set contrast ratio of 70%, paper and tablet were found to produce different results. We propose a model for obtaining optimal and minimum allowable paper and tablet surface luminances in low ambient illuminance environments. The optimal and minimal allowable surface luminances of a tablet are respectively higher and lower than the ambient luminance. In the case of paper, if a surface luminance of at least 27 cd/m2 can be obtained, the surface luminance can be lower than the ambient luminance.","author":[{"dropping-particle":"","family":"Yu","given":"Hanui","non-dropping-particle":"","parse-names":false,"suffix":""},{"dropping-particle":"","family":"Akita","given":"Takeshi","non-dropping-particle":"","parse-names":false,"suffix":""},{"dropping-particle":"","family":"Koga","given":"Takaaki","non-dropping-particle":"","parse-names":false,"suffix":""},{"dropping-particle":"","family":"Sano","given":"Naoko","non-dropping-particle":"","parse-names":false,"suffix":""}],"container-title":"Displays","id":"ITEM-1","issue":"November 2017","issued":{"date-parts":[["2018"]]},"page":"46-54","publisher":"Elsevier","title":"Effect of character contrast ratio of tablet PC and ambient device luminance ratio on readability in low ambient illuminance","type":"article-journal","volume":"52"},"uris":["http://www.mendeley.com/documents/?uuid=9233d813-c9d1-44c8-97b6-dcf838c33919"]}],"mendeley":{"formattedCitation":"[44]","plainTextFormattedCitation":"[44]","previouslyFormattedCitation":"[44]"},"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[44]</w:t>
      </w:r>
      <w:r w:rsidRPr="00C34BBE">
        <w:rPr>
          <w:rFonts w:ascii="Calibri Light" w:hAnsi="Calibri Light" w:cs="Calibri Light"/>
          <w:sz w:val="20"/>
          <w:szCs w:val="20"/>
        </w:rPr>
        <w:fldChar w:fldCharType="end"/>
      </w:r>
      <w:r w:rsidRPr="00C34BBE">
        <w:rPr>
          <w:rFonts w:ascii="Calibri Light" w:hAnsi="Calibri Light" w:cs="Calibri Light"/>
          <w:sz w:val="20"/>
          <w:szCs w:val="20"/>
        </w:rPr>
        <w:t>. Respondents suggest installing signs separating men and women at the mosque entrance.</w:t>
      </w:r>
    </w:p>
    <w:p w14:paraId="10C76417"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The materials used for current wayfinding signage include metal plates, acrylic, and glossy-laminated stickers that reflect light. Signs with increased reflectivity will be less legible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{"citationItems":[{"id":"ITEM-1","itemData":{"abstract":"This paper introduces a new methodology for studying sign legibility that capitalizes on the strengths of simulators, field experiments, and laboratory studies, approximating the attentional and perceptual demands of a highway environment in a controlled setting. The methodology is then applied to studying the effects of veiling glare on sign legibility. The participant is required to perform multiple tasks in a non-threatening situation (i.e., the vehicle is stationary). The test is conducted in a controlled environment where experimental parameters can be isolated. Sign sizes and distances are actual so that luminance and glare characteristics are true. Effects of age, visual acuity, and attentional characteristics are considered. Of particular concern in this study were the effects of glare on older drivers ability to correctly read highway signs and the presence (or absence) of any glare blindness that might result from highly reflective signing materials. The methodology employed was effective at isolating the effects of sign sheeting on sign legibility. The results of the study show that veiling glare is not a significant factor with respect to sign legibility under the circumstances represented in the study. Furthermore, no evidence of glare blindness was found to result from viewing highly reflective signs.","author":[{"dropping-particle":"","family":"Meyer","given":"Eric","non-dropping-particle":"","parse-names":false,"suffix":""},{"dropping-particle":"","family":"Atchley","given":"Paul","non-dropping-particle":"","parse-names":false,"suffix":""},{"dropping-particle":"","family":"Professor","given":"Assistant","non-dropping-particle":"","parse-names":false,"suffix":""},{"dropping-particle":"","family":"Hoffman","given":"Lesa","non-dropping-particle":"","parse-names":false,"suffix":""},{"dropping-particle":"","family":"Ahmed","given":"Ishtiaque","non-dropping-particle":"","parse-names":false,"suffix":""}],"id":"ITEM-1","issue":"785","issued":{"date-parts":[["2011"]]},"title":"Assessing the Effect of Glare on Sign Legibility","type":"article-journal"},"uris":["http://www.mendeley.com/documents/?uuid=35d21bb5-caba-49d7-9a93-68520abca816"]}],"mendeley":{"formattedCitation":"[43]","plainTextFormattedCitation":"[43]","previouslyFormattedCitation":"[43]"},"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[43]</w:t>
      </w:r>
      <w:r w:rsidRPr="00C34BBE">
        <w:rPr>
          <w:rFonts w:ascii="Calibri Light" w:hAnsi="Calibri Light" w:cs="Calibri Light"/>
          <w:sz w:val="20"/>
          <w:szCs w:val="20"/>
        </w:rPr>
        <w:fldChar w:fldCharType="end"/>
      </w:r>
      <w:r w:rsidRPr="00C34BBE">
        <w:rPr>
          <w:rFonts w:ascii="Calibri Light" w:hAnsi="Calibri Light" w:cs="Calibri Light"/>
          <w:sz w:val="20"/>
          <w:szCs w:val="20"/>
        </w:rPr>
        <w:t>. Visitors report reduced readability due to glare from the sign material, particularly under nighttime lighting.</w:t>
      </w:r>
    </w:p>
    <w:p w14:paraId="4C579016" w14:textId="77777777" w:rsidR="00C34BBE" w:rsidRPr="00C34BBE" w:rsidRDefault="00C34BBE" w:rsidP="00C34BBE">
      <w:pPr>
        <w:ind w:firstLine="284"/>
        <w:jc w:val="both"/>
        <w:rPr>
          <w:rFonts w:ascii="Calibri Light" w:hAnsi="Calibri Light" w:cs="Calibri Light"/>
          <w:sz w:val="20"/>
          <w:szCs w:val="20"/>
        </w:rPr>
      </w:pPr>
    </w:p>
    <w:p w14:paraId="563F6BA4" w14:textId="07B4F9BE" w:rsidR="00C34BBE" w:rsidRPr="00C34BBE" w:rsidRDefault="00C34BBE" w:rsidP="00C34BBE">
      <w:pPr>
        <w:jc w:val="both"/>
        <w:rPr>
          <w:rFonts w:asciiTheme="majorHAnsi" w:hAnsiTheme="majorHAnsi" w:cstheme="majorHAnsi"/>
          <w:b/>
          <w:bCs/>
          <w:sz w:val="18"/>
          <w:szCs w:val="18"/>
        </w:rPr>
      </w:pPr>
      <w:r>
        <w:rPr>
          <w:rFonts w:asciiTheme="majorHAnsi" w:hAnsiTheme="majorHAnsi" w:cstheme="majorHAnsi"/>
          <w:b/>
          <w:bCs/>
          <w:sz w:val="18"/>
          <w:szCs w:val="18"/>
        </w:rPr>
        <w:t xml:space="preserve">3.5 </w:t>
      </w:r>
      <w:r w:rsidRPr="00C34BBE">
        <w:rPr>
          <w:rFonts w:asciiTheme="majorHAnsi" w:hAnsiTheme="majorHAnsi" w:cstheme="majorHAnsi"/>
          <w:b/>
          <w:bCs/>
          <w:sz w:val="18"/>
          <w:szCs w:val="18"/>
        </w:rPr>
        <w:t>ANALYSIS OF SIGNAGE LEGIBILITY TEST RESULTS</w:t>
      </w:r>
    </w:p>
    <w:p w14:paraId="5A114FA3"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This study found that reading speed for correct words increases with font size. This finding is in line with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{"citationItems":[{"id":"ITEM-1","itemData":{"DOI":"10.1177/096032719102300301","ISSN":"14771535","abstract":"Visual performance is defined in terms of the speed and accuracy of processing visual information. To evaluate illuminated tasks in terms of visual performance, it is necessary to have a valid computational model that relates measurable, salient aspects of the visual environment (e.g. target contrast) to measurable human responses (e.g. visual response time). A model of visual performance should be independent of the influence of non-visual factors as they influence speed and accuracy. It is also important to have practical application tools that can measure the salient aspects of the visual environment and compute (predict) visual performance for real tasks. This paper describes the basis for a visual performance model and how it can be applied using a computer imaging device. © 1991, SAGE Publications. All rights reserved.","author":[{"dropping-particle":"","family":"Rea","given":"Mark S.","non-dropping-particle":"","parse-names":false,"suffix":""},{"dropping-particle":"","family":"Ouellette","given":"Michael J.","non-dropping-particle":"","parse-names":false,"suffix":""}],"container-title":"Lighting Research &amp; Technology","id":"ITEM-1","issue":"3","issued":{"date-parts":[["1991"]]},"page":"135-144","title":"Relative visual performance: A basis for application","type":"article-journal","volume":"23"},"uris":["http://www.mendeley.com/documents/?uuid=99cfa556-587f-42cd-b1a1-e39d3b4bbd8f"]}],"mendeley":{"formattedCitation":"[45]","plainTextFormattedCitation":"[45]","previouslyFormattedCitation":"[45]"},"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[45]</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who state that the speed and accuracy of visual processing, such as identifying characters in printed displays, is systematically influenced by contrast, size, and field luminance. The Friedman test results demonstrate that font size has a significant impact on the legibility of wayfinding signage (sig 0,000 &lt; 0,05).  This finding is consistent with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{"citationItems":[{"id":"ITEM-1","itemData":{"author":[{"dropping-particle":"","family":"Vidal-ribas","given":"Marta Perez","non-dropping-particle":"","parse-names":false,"suffix":""},{"dropping-particle":"","family":"Katz","given":"Bryan J","non-dropping-particle":"","parse-names":false,"suffix":""}],"id":"ITEM-1","issued":{"date-parts":[["2023"]]},"title":"Effects of Font Design on Highway Sign Legibility Effects of Font Design on Highway Sign Legibility","type":"article-journal"},"uris":["http://www.mendeley.com/documents/?uuid=9c6d150d-1cd0-4276-b387-8ece3bf58bad"]}],"mendeley":{"formattedCitation":"[11]","plainTextFormattedCitation":"[11]","previouslyFormattedCitation":"[11]"},"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[11]</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and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{"citationItems":[{"id":"ITEM-1","itemData":{"ISSN":"1999-1630","abstract":"Wayfinding is one of the essential parameters to enhance the patient experience within a healthcare complex. When the patients and visitors come to the hospital, they are usually in a state of stress and anxiety. Insufficient information makes the situation more difficult for them to find their way to the desired location which may affect their physical and mental health condition. As a result of the fact, the patients develop a negative perception about the quality of care of the hospital. Patients from different locations often visit the BSMMU (Bangabandhu Sheikh Mujib Medical University) hospital which is one of the renowned public hospitals of Dhaka city. It is observed that the wayfinding problem is quite acute in this hospital as well. This study investigates the wayfinding experience of the visitors from entrance to a particular building block within the BSMMU hospital complex. The study is mainly based on observation and questionnaire survey to investigate the existing spatial layout, existing wayfinding condition and identify the factors that affect the visitors' experience while finding their destination respectively. The result shows how different factors related to signage have a close relationship with the overall wayfinding experience of them and among them which factor has the most significant impact. The findings of this study will encourage the planners, architects and policy makers to feel the necessity of better wayfinding and to take immediate steps implementing them which will eventually help the users to avoid any unwanted situation while finding their destination and provide better accessibility.","author":[{"dropping-particle":"","family":"Khan","given":"Zareen Jahan","non-dropping-particle":"","parse-names":false,"suffix":""}],"container-title":"SEU Journal of Science and Engineering","id":"ITEM-1","issue":"1","issued":{"date-parts":[["2019"]]},"page":"13-21","title":"Wayfinding experience in healthcare: Investigation of the factors contributing to visitors' wayfinding experience within a hospital complex","type":"article-journal","volume":"13"},"uris":["http://www.mendeley.com/documents/?uuid=b0938c7f-02c0-493e-a4da-69958092420d"]}],"mendeley":{"formattedCitation":"[46]","plainTextFormattedCitation":"[46]","previouslyFormattedCitation":"[46]"},"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[46]</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The primary cause of a sign's lack of legibility from a distance is its font size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approach.","author":[{"dropping-particle":"","family":"Bullough","given":"John D.","non-dropping-particle":"","parse-names":false,"suffix":""}],"container-title":"Interdisciplinary Journal of Signage and Wayfinding","id":"ITEM-1","issue":"2","issued":{"date-parts":[["2017"]]},"page":"2-25","title":"FACTORS AFFECTING SIGN VISIBILITY, CONSPICUITY AND LEGIBILITY: REVIEW AND ANNOTATED BIBLIOGRAPHY","type":"article-journal","volume":"1"},"uris":["http://www.mendeley.com/documents/?uuid=c908f87d-4c9d-437d-bc20-daa1fb9e5c28"]}],"mendeley":{"formattedCitation":"[3]","plainTextFormattedCitation":"[3]","previouslyFormattedCitation":"[3]"},"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[3]</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Inappropriate size affects subjective judgements that are worse in terms of perception, such as legibility, sharpness, and general preference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{"citationItems":[{"id":"ITEM-1","itemData":{"DOI":"10.5220/0008162101120119","ISBN":"9789897583766","abstract":"Recently, digital signages are widely utilized to provide information for tourists in plural languages, but it takes longer time to offer information in each language separately. Although simultaneous multilingual display is expected to reduce the time for presentation, there is no guideline for simultaneous multilingual display to keep its legibility. In order to estimate the effect of layout on legibility, the authors prepared contents which have different layout factors and conducted evaluated the legibility of contents with Thurstone's pairwise comparison. Since the number of combinations in layout factors increases exponentially, the number of stimuli was reduced using an orthogonal table. As a result, significant differences were found in some layout factors and it was found that horizontal arrangement of images and sentences, left alignment in sentences, middle margin from screen edge and medium-sized images made contents more legible.","author":[{"dropping-particle":"","family":"Kurushima","given":"Takashi","non-dropping-particle":"","parse-names":false,"suffix":""},{"dropping-particle":"","family":"Sakamoto","given":"Yoshiki","non-dropping-particle":"","parse-names":false,"suffix":""},{"dropping-particle":"","family":"Ueda","given":"Kimi","non-dropping-particle":"","parse-names":false,"suffix":""},{"dropping-particle":"","family":"Ishii","given":"Hirotake","non-dropping-particle":"","parse-names":false,"suffix":""},{"dropping-particle":"","family":"Shimoda","given":"Hiroshi","non-dropping-particle":"","parse-names":false,"suffix":""},{"dropping-particle":"","family":"Mochizuki","given":"Rika","non-dropping-particle":"","parse-names":false,"suffix":""},{"dropping-particle":"","family":"Watanabe","given":"Masahiro","non-dropping-particle":"","parse-names":false,"suffix":""}],"container-title":"CHIRA 2019 - Proceedings of the 3rd International Conference on Computer-Human Interaction Research and Applications","id":"ITEM-1","issue":"Chira","issued":{"date-parts":[["2019"]]},"page":"112-119","title":"A study on legibility with pairwise comparison in simultaneous multilingual display on digital signage","type":"article-journal"},"uris":["http://www.mendeley.com/documents/?uuid=ff452e03-4abd-4c66-88a0-786eb40c989b"]}],"mendeley":{"formattedCitation":"[35]","plainTextFormattedCitation":"[35]","previouslyFormattedCitation":"[35]"},"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[35]</w:t>
      </w:r>
      <w:r w:rsidRPr="00C34BBE">
        <w:rPr>
          <w:rFonts w:ascii="Calibri Light" w:hAnsi="Calibri Light" w:cs="Calibri Light"/>
          <w:sz w:val="20"/>
          <w:szCs w:val="20"/>
        </w:rPr>
        <w:fldChar w:fldCharType="end"/>
      </w:r>
      <w:r w:rsidRPr="00C34BBE">
        <w:rPr>
          <w:rFonts w:ascii="Calibri Light" w:hAnsi="Calibri Light" w:cs="Calibri Light"/>
          <w:sz w:val="20"/>
          <w:szCs w:val="20"/>
        </w:rPr>
        <w:t>. Too small font sizes make it difficult for people to identify letters within words' internal patterns. Font sizes that are too large will occupy display space, resulting in less information visible within a single eye fixation. The 5 cm size was chosen because it has the highest average accuracy for correct answers.</w:t>
      </w:r>
    </w:p>
    <w:p w14:paraId="652910FB"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This study found that typeface does not significantly affect the legibility of wayfinding signage. This finding is consistent with the findings of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{"citationItems":[{"id":"ITEM-1","itemData":{"DOI":"10.1016/j.visres.2005.06.013","ISSN":"00426989","PMID":"16099015","abstract":"Using lower-case fonts varying only in serif size (0%, 5%, and 10% cap height), we assessed legibility using size thresholds and reading speed. Five percentage serif fonts were slightly more legible than sans serif, but the average inter-letter spacing increase that serifs themselves impose, predicts greater enhancement than we observed. RSVP and continuous reading speeds showed no effect of serifs. When text is small or distant, serifs may, then, produce a tiny legibility increase due to the concomitant increase in spacing. However, our data exhibited no difference in legibility between typefaces that differ only in the presence or absence of serifs. © 2005 Elsevier Ltd. All rights reserved.","author":[{"dropping-particle":"","family":"Arditi","given":"Aries","non-dropping-particle":"","parse-names":false,"suffix":""},{"dropping-particle":"","family":"Cho","given":"Jianna","non-dropping-particle":"","parse-names":false,"suffix":""}],"container-title":"Vision Research","id":"ITEM-1","issue":"23","issued":{"date-parts":[["2005"]]},"page":"2926-2933","title":"Serifs and font legibility","type":"article-journal","volume":"45"},"uris":["http://www.mendeley.com/documents/?uuid=fa355409-e1c1-4585-8c62-0ad93cb29752"]}],"mendeley":{"formattedCitation":"[14]","plainTextFormattedCitation":"[14]","previouslyFormattedCitation":"[14]"},"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[14]</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but contradicts the findings of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{"citationItems":[{"id":"ITEM-1","itemData":{"DOI":"10.3138/flor.20.036","ISSN":"0709-5201","abstract":"Teaching and researching medieval literature at UPEI is both a challenge and a delight. It is a challenge, because I am the only medievalist on the campus (indeed, on the Island). My students do not have complementary courses in other disciplines (such as history or philosophy) to introduce them to the contexts in which the literature I teach emerged. And I often miss the intellectual stimulation and support of having other medievalists nearby. Finally, as might be expected for a small university where only one member of the faculty teaches a vast area of literature and history, our library resources are inadequate.","author":[{"dropping-particle":"","family":"Innes-Parker","given":"Catherine","non-dropping-particle":"","parse-names":false,"suffix":""}],"container-title":"Florilegium","id":"ITEM-1","issue":"1","issued":{"date-parts":[["2003"]]},"page":"120-122","title":"University of Prince Edward Island","type":"article-journal","volume":"20"},"uris":["http://www.mendeley.com/documents/?uuid=22c71d6e-b6a5-4352-aacb-ded33e5e2903"]}],"mendeley":{"formattedCitation":"[15]","plainTextFormattedCitation":"[15]","previouslyFormattedCitation":"[15]"},"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[15]</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who stated that there is a significant difference in typeface legibility. Although serif and sans serif typefaces were not significantly different in this study, the accuracy rate of correct answers for serif was higher (2.39) than for sans serif. Therefore, serif was chosen for the proposed wayfinding signage display design. The reading time for words on serif printed surfaces is faster than that of sans-serif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{"citationItems":[{"id":"ITEM-1","itemData":{"ISBN":"9783030909833","author":[{"dropping-particle":"","family":"John T.E. Richardson","given":"","non-dropping-particle":"","parse-names":false,"suffix":""}],"id":"ITEM-1","issued":{"date-parts":[["2022"]]},"title":"The Legibility of Serif and Sans Serif Typefaces: Reading from Paper and Reading from Screens","type":"book"},"uris":["http://www.mendeley.com/documents/?uuid=7ac6a3fe-9c91-44f3-ba68-fcc7d51b928c"]}],"mendeley":{"formattedCitation":"[13]","plainTextFormattedCitation":"[13]","previouslyFormattedCitation":"[13]"},"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[13]</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Serif is 5% more legible than sans serif, and visual acuity is slightly improved when serif is used instead of sans serif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{"citationItems":[{"id":"ITEM-1","itemData":{"DOI":"10.1016/j.visres.2005.06.013","ISSN":"00426989","PMID":"16099015","abstract":"Using lower-case fonts varying only in serif size (0%, 5%, and 10% cap height), we assessed legibility using size thresholds and reading speed. Five percentage serif fonts were slightly more legible than sans serif, but the average inter-letter spacing increase that serifs themselves impose, predicts greater enhancement than we observed. RSVP and continuous reading speeds showed no effect of serifs. When text is small or distant, serifs may, then, produce a tiny legibility increase due to the concomitant increase in spacing. However, our data exhibited no difference in legibility between typefaces that differ only in the presence or absence of serifs. © 2005 Elsevier Ltd. All rights reserved.","author":[{"dropping-particle":"","family":"Arditi","given":"Aries","non-dropping-particle":"","parse-names":false,"suffix":""},{"dropping-particle":"","family":"Cho","given":"Jianna","non-dropping-particle":"","parse-names":false,"suffix":""}],"container-title":"Vision Research","id":"ITEM-1","issue":"23","issued":{"date-parts":[["2005"]]},"page":"2926-2933","title":"Serifs and font legibility","type":"article-journal","volume":"45"},"uris":["http://www.mendeley.com/documents/?uuid=fa355409-e1c1-4585-8c62-0ad93cb29752"]}],"mendeley":{"formattedCitation":"[14]","plainTextFormattedCitation":"[14]","previouslyFormattedCitation":"[14]"},"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[14]</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Serif reading speed is faster than sans serif, although this effect disappears with increasing font size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{"citationItems":[{"id":"ITEM-1","itemData":{"DOI":"10.1889/1.1830242","ISSN":"0097-966X","abstract":"During Rapid Serial Visual Presentation, readers can read sans‐serif type about 20% faster at very small sizes. This advantage disappears at larger sizes. The study was done with fonts specially designed to control typeface parameters other than the serifs. The results suggest that rendering serifs at small sizes may be counterproductive.","author":[{"dropping-particle":"","family":"Morris","given":"Robert A.","non-dropping-particle":"","parse-names":false,"suffix":""},{"dropping-particle":"","family":"Aquilante","given":"Kathy","non-dropping-particle":"","parse-names":false,"suffix":""},{"dropping-particle":"","family":"Yager","given":"Dean","non-dropping-particle":"","parse-names":false,"suffix":""},{"dropping-particle":"","family":"Bigelow","given":"Charles","non-dropping-particle":"","parse-names":false,"suffix":""}],"container-title":"SID Symposium Digest of Technical Papers","id":"ITEM-1","issue":"1","issued":{"date-parts":[["2002"]]},"page":"244-247","title":"P‐13: Serifs Slow RSVP Reading at Very Small Sizes, but Don't Matter at Larger Sizes","type":"article-journal","volume":"33"},"uris":["http://www.mendeley.com/documents/?uuid=80454110-e7df-4b30-9bf9-05347ae984d3"]}],"mendeley":{"formattedCitation":"[47]","plainTextFormattedCitation":"[47]","previouslyFormattedCitation":"[47]"},"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[47]</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There are two reasons why serif can improve legibility. First, serifs can increase credibility </w:t>
      </w:r>
      <w:r w:rsidRPr="00C34BBE">
        <w:rPr>
          <w:rFonts w:ascii="Calibri Light" w:hAnsi="Calibri Light" w:cs="Calibri Light"/>
          <w:sz w:val="20"/>
          <w:szCs w:val="20"/>
        </w:rPr>
        <w:lastRenderedPageBreak/>
        <w:t xml:space="preserve">by creating special codes for more complex letters. Second, the serif characteristics that give the ends of strokes can create a horizontal illusion that can guide the reader's eye movement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{"citationItems":[{"id":"ITEM-1","itemData":{"ISBN":"9789063692711","author":[{"dropping-particle":"","family":"Beier","given":"Sofie","non-dropping-particle":"","parse-names":false,"suffix":""}],"id":"ITEM-1","issued":{"date-parts":[["2011"]]},"title":"Designing for Legibility","type":"book"},"uris":["http://www.mendeley.com/documents/?uuid=eeca4fc2-3bf3-4d4f-9faf-ee57ff33b1d8"]}],"mendeley":{"formattedCitation":"[48]","plainTextFormattedCitation":"[48]","previouslyFormattedCitation":"[48]"},"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[48]</w:t>
      </w:r>
      <w:r w:rsidRPr="00C34BBE">
        <w:rPr>
          <w:rFonts w:ascii="Calibri Light" w:hAnsi="Calibri Light" w:cs="Calibri Light"/>
          <w:sz w:val="20"/>
          <w:szCs w:val="20"/>
        </w:rPr>
        <w:fldChar w:fldCharType="end"/>
      </w:r>
      <w:r w:rsidRPr="00C34BBE">
        <w:rPr>
          <w:rFonts w:ascii="Calibri Light" w:hAnsi="Calibri Light" w:cs="Calibri Light"/>
          <w:sz w:val="20"/>
          <w:szCs w:val="20"/>
        </w:rPr>
        <w:t>.</w:t>
      </w:r>
    </w:p>
    <w:p w14:paraId="737D552E"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This study found that </w:t>
      </w:r>
      <w:proofErr w:type="spellStart"/>
      <w:r w:rsidRPr="00C34BBE">
        <w:rPr>
          <w:rFonts w:ascii="Calibri Light" w:hAnsi="Calibri Light" w:cs="Calibri Light"/>
          <w:sz w:val="20"/>
          <w:szCs w:val="20"/>
        </w:rPr>
        <w:t>color</w:t>
      </w:r>
      <w:proofErr w:type="spellEnd"/>
      <w:r w:rsidRPr="00C34BBE">
        <w:rPr>
          <w:rFonts w:ascii="Calibri Light" w:hAnsi="Calibri Light" w:cs="Calibri Light"/>
          <w:sz w:val="20"/>
          <w:szCs w:val="20"/>
        </w:rPr>
        <w:t xml:space="preserve"> combinations do not significantly affect the legibility of wayfinding signage. This finding is consistent with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{"citationItems":[{"id":"ITEM-1","itemData":{"DOI":"10.3390/su12104133","ISSN":"20711050","abstract":"Well-designed wayfinding signs play an important role in improving the service level of metro stations, ensuring the safety of passengers in evacuation, and promoting the sustainable development of public transport. This study explored the effects of ambient illumination, color combination, sign height, and observation angle on wayfinding signs' legibility in metro stations. In the experiment, simulated metro-wayfinding signs were made to test legibility. As designed, the legibility was measured based on the following independent variables: two levels of ambient illumination (70 lux and 273 lux), two target/background color combinations (achromatic-white target on black background, chromatic-yellow target on black background), two sign heights (1.5mand 2 m), and three observation angles (0°, 45°, 70°). The results showed that brighter ambient illumination provided passengers with higher legibility. Achromatic color combination was more legible than chromatic color combination, but not significantly. Different types of signs, set at different height, did not directly affect legibility. Observation angle had significant effects on legibility. Visibility catchment area of wayfinding signs was like an ellipse, with its short axis nearly equal to the legibility distance of the sign at 0 degrees. The findings will facilitate the layout and setting location of wayfinding signs in metro stations and improve the level of wayfinding service.","author":[{"dropping-particle":"","family":"Shi","given":"Yuqi","non-dropping-particle":"","parse-names":false,"suffix":""},{"dropping-particle":"","family":"Zhang","given":"Yi","non-dropping-particle":"","parse-names":false,"suffix":""},{"dropping-particle":"","family":"Wang","given":"Tao","non-dropping-particle":"","parse-names":false,"suffix":""},{"dropping-particle":"","family":"Li","given":"Chaoyang","non-dropping-particle":"","parse-names":false,"suffix":""},{"dropping-particle":"","family":"Yuan","given":"Shengqiang","non-dropping-particle":"","parse-names":false,"suffix":""}],"container-title":"Sustainability (Switzerland)","id":"ITEM-1","issue":"10","issued":{"date-parts":[["2020"]]},"title":"The effects of ambient illumination, color combination, sign height, and observation angle on the legibility of wayfinding signs in metro stations","type":"article-journal","volume":"12"},"uris":["http://www.mendeley.com/documents/?uuid=0bd27522-e139-4e0b-b251-0c86ce8a313f"]}],"mendeley":{"formattedCitation":"[9]","plainTextFormattedCitation":"[9]","previouslyFormattedCitation":"[9]"},"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[9]</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who stated that there is no significant effect between chromatic and achromatic </w:t>
      </w:r>
      <w:proofErr w:type="spellStart"/>
      <w:r w:rsidRPr="00C34BBE">
        <w:rPr>
          <w:rFonts w:ascii="Calibri Light" w:hAnsi="Calibri Light" w:cs="Calibri Light"/>
          <w:sz w:val="20"/>
          <w:szCs w:val="20"/>
        </w:rPr>
        <w:t>colors</w:t>
      </w:r>
      <w:proofErr w:type="spellEnd"/>
      <w:r w:rsidRPr="00C34BBE">
        <w:rPr>
          <w:rFonts w:ascii="Calibri Light" w:hAnsi="Calibri Light" w:cs="Calibri Light"/>
          <w:sz w:val="20"/>
          <w:szCs w:val="20"/>
        </w:rPr>
        <w:t xml:space="preserve">, but this finding contradicts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{"citationItems":[{"id":"ITEM-1","itemData":{"author":[{"dropping-particle":"","family":"Nilsson","given":"Thomy","non-dropping-particle":"","parse-names":false,"suffix":""}],"id":"ITEM-1","issue":"February","issued":{"date-parts":[["2017"]]},"title":"Legibility of colored print International Encyclopedia of Ergonomics - 2 nd Edition W . Karwoski - Editor CRC Press , New York , 2006 ( chap 293 , pages 1440-1452 , vol . I ) LEGIBILITY OF COLORED PRINT","type":"article-journal"},"uris":["http://www.mendeley.com/documents/?uuid=637bcffb-3eb4-4fbe-b528-01e800f1e7ce"]}],"mendeley":{"formattedCitation":"[49]","plainTextFormattedCitation":"[49]","previouslyFormattedCitation":"[49]"},"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[49]</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who stated that several </w:t>
      </w:r>
      <w:proofErr w:type="spellStart"/>
      <w:r w:rsidRPr="00C34BBE">
        <w:rPr>
          <w:rFonts w:ascii="Calibri Light" w:hAnsi="Calibri Light" w:cs="Calibri Light"/>
          <w:sz w:val="20"/>
          <w:szCs w:val="20"/>
        </w:rPr>
        <w:t>color</w:t>
      </w:r>
      <w:proofErr w:type="spellEnd"/>
      <w:r w:rsidRPr="00C34BBE">
        <w:rPr>
          <w:rFonts w:ascii="Calibri Light" w:hAnsi="Calibri Light" w:cs="Calibri Light"/>
          <w:sz w:val="20"/>
          <w:szCs w:val="20"/>
        </w:rPr>
        <w:t xml:space="preserve"> combinations have different effects on legibility. Achromatic </w:t>
      </w:r>
      <w:proofErr w:type="spellStart"/>
      <w:r w:rsidRPr="00C34BBE">
        <w:rPr>
          <w:rFonts w:ascii="Calibri Light" w:hAnsi="Calibri Light" w:cs="Calibri Light"/>
          <w:sz w:val="20"/>
          <w:szCs w:val="20"/>
        </w:rPr>
        <w:t>colors</w:t>
      </w:r>
      <w:proofErr w:type="spellEnd"/>
      <w:r w:rsidRPr="00C34BBE">
        <w:rPr>
          <w:rFonts w:ascii="Calibri Light" w:hAnsi="Calibri Light" w:cs="Calibri Light"/>
          <w:sz w:val="20"/>
          <w:szCs w:val="20"/>
        </w:rPr>
        <w:t xml:space="preserve"> in this study achieved higher correct-answer accuracy (2.40) than chromatic </w:t>
      </w:r>
      <w:proofErr w:type="spellStart"/>
      <w:r w:rsidRPr="00C34BBE">
        <w:rPr>
          <w:rFonts w:ascii="Calibri Light" w:hAnsi="Calibri Light" w:cs="Calibri Light"/>
          <w:sz w:val="20"/>
          <w:szCs w:val="20"/>
        </w:rPr>
        <w:t>colors</w:t>
      </w:r>
      <w:proofErr w:type="spellEnd"/>
      <w:r w:rsidRPr="00C34BBE">
        <w:rPr>
          <w:rFonts w:ascii="Calibri Light" w:hAnsi="Calibri Light" w:cs="Calibri Light"/>
          <w:sz w:val="20"/>
          <w:szCs w:val="20"/>
        </w:rPr>
        <w:t xml:space="preserve">; therefore, achromatic </w:t>
      </w:r>
      <w:proofErr w:type="spellStart"/>
      <w:r w:rsidRPr="00C34BBE">
        <w:rPr>
          <w:rFonts w:ascii="Calibri Light" w:hAnsi="Calibri Light" w:cs="Calibri Light"/>
          <w:sz w:val="20"/>
          <w:szCs w:val="20"/>
        </w:rPr>
        <w:t>colors</w:t>
      </w:r>
      <w:proofErr w:type="spellEnd"/>
      <w:r w:rsidRPr="00C34BBE">
        <w:rPr>
          <w:rFonts w:ascii="Calibri Light" w:hAnsi="Calibri Light" w:cs="Calibri Light"/>
          <w:sz w:val="20"/>
          <w:szCs w:val="20"/>
        </w:rPr>
        <w:t xml:space="preserve"> were selected for the proposed sign display. Black font on a white background achieves optimal legibility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{"citationItems":[{"id":"ITEM-1","itemData":{"DOI":"10.28991/esj-2020-01243","ISSN":"26109182","abstract":"The evolution of high resolution displays, especially liquid crystal displays (LCD), which are among the most commonly used ones, has contributed to a larger number of display readers. Regardless of high resolutions, problems in the legibility of typefaces still occur. Many typefaces may well be readable in print, but cause more difficulties when being read on displays. The aim of this study was to examine the influence of colour contrast on the legibility on LCDs to establish which type style is appropriate for a coloured text to be legible. Two different typefaces specially designed for display use were tested in a satisfactory light-dark contrast of five different colour combinations. The reading speed and fixations were analysed with an eye-tracking device Tobii 120X. Different texts were displayed on an LCD display. The results showed that the selection of a particular colour combination and contrast greatly affects the reading speed and legibility. Less visible colour combinations of text and background were read more slowly than the more contrasting or visible ones in both typefaces. At both typefaces, it was seen that at a slower reading speed, more fixations were needed and vice-versa. A transitional typeface gave a faster reading speed than a sans-serif typeface. An appropriate contrast, colour combination and used typography can facilitate legibility on displays.","author":[{"dropping-particle":"","family":"Franken","given":"Gregor","non-dropping-particle":"","parse-names":false,"suffix":""},{"dropping-particle":"","family":"Pangerc","given":"Maruša","non-dropping-particle":"","parse-names":false,"suffix":""},{"dropping-particle":"","family":"Možina","given":"Klementina","non-dropping-particle":"","parse-names":false,"suffix":""}],"container-title":"Emerging Science Journal","id":"ITEM-1","issue":"6","issued":{"date-parts":[["2020"]]},"page":"436-442","title":"Impact of typeface and colour combinations on lcd display legibility","type":"article-journal","volume":"4"},"uris":["http://www.mendeley.com/documents/?uuid=fd6b9fd1-5f57-4f67-be13-1c357910f3af"]}],"mendeley":{"formattedCitation":"[28]","plainTextFormattedCitation":"[28]","previouslyFormattedCitation":"[28]"},"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[28]</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The contrast of the chromatic </w:t>
      </w:r>
      <w:proofErr w:type="spellStart"/>
      <w:r w:rsidRPr="00C34BBE">
        <w:rPr>
          <w:rFonts w:ascii="Calibri Light" w:hAnsi="Calibri Light" w:cs="Calibri Light"/>
          <w:sz w:val="20"/>
          <w:szCs w:val="20"/>
        </w:rPr>
        <w:t>color</w:t>
      </w:r>
      <w:proofErr w:type="spellEnd"/>
      <w:r w:rsidRPr="00C34BBE">
        <w:rPr>
          <w:rFonts w:ascii="Calibri Light" w:hAnsi="Calibri Light" w:cs="Calibri Light"/>
          <w:sz w:val="20"/>
          <w:szCs w:val="20"/>
        </w:rPr>
        <w:t xml:space="preserve"> combination (white-green) is 88.2%, while the achromatic </w:t>
      </w:r>
      <w:proofErr w:type="spellStart"/>
      <w:r w:rsidRPr="00C34BBE">
        <w:rPr>
          <w:rFonts w:ascii="Calibri Light" w:hAnsi="Calibri Light" w:cs="Calibri Light"/>
          <w:sz w:val="20"/>
          <w:szCs w:val="20"/>
        </w:rPr>
        <w:t>color</w:t>
      </w:r>
      <w:proofErr w:type="spellEnd"/>
      <w:r w:rsidRPr="00C34BBE">
        <w:rPr>
          <w:rFonts w:ascii="Calibri Light" w:hAnsi="Calibri Light" w:cs="Calibri Light"/>
          <w:sz w:val="20"/>
          <w:szCs w:val="20"/>
        </w:rPr>
        <w:t xml:space="preserve"> combination (black-white) is 100%. Both meet ADAAG standards (minimum 70%), so the effect of the significant difference in their influence is not significantly visible.</w:t>
      </w:r>
    </w:p>
    <w:p w14:paraId="2A39CA69" w14:textId="77777777" w:rsidR="00C34BBE" w:rsidRPr="00C34BBE" w:rsidRDefault="00C34BBE" w:rsidP="00C34BBE">
      <w:pPr>
        <w:ind w:firstLine="284"/>
        <w:jc w:val="both"/>
        <w:rPr>
          <w:rFonts w:ascii="Calibri Light" w:hAnsi="Calibri Light" w:cs="Calibri Light"/>
          <w:sz w:val="20"/>
          <w:szCs w:val="20"/>
        </w:rPr>
      </w:pPr>
    </w:p>
    <w:p w14:paraId="0616EC00" w14:textId="61E32ADE" w:rsidR="00C34BBE" w:rsidRPr="00C34BBE" w:rsidRDefault="00C34BBE" w:rsidP="00C34BBE">
      <w:pPr>
        <w:jc w:val="both"/>
        <w:rPr>
          <w:rFonts w:asciiTheme="majorHAnsi" w:hAnsiTheme="majorHAnsi" w:cstheme="majorHAnsi"/>
          <w:b/>
          <w:bCs/>
          <w:sz w:val="18"/>
          <w:szCs w:val="18"/>
        </w:rPr>
      </w:pPr>
      <w:r>
        <w:rPr>
          <w:rFonts w:asciiTheme="majorHAnsi" w:hAnsiTheme="majorHAnsi" w:cstheme="majorHAnsi"/>
          <w:b/>
          <w:bCs/>
          <w:sz w:val="18"/>
          <w:szCs w:val="18"/>
        </w:rPr>
        <w:t xml:space="preserve">3.6 </w:t>
      </w:r>
      <w:r w:rsidRPr="00C34BBE">
        <w:rPr>
          <w:rFonts w:asciiTheme="majorHAnsi" w:hAnsiTheme="majorHAnsi" w:cstheme="majorHAnsi"/>
          <w:b/>
          <w:bCs/>
          <w:sz w:val="18"/>
          <w:szCs w:val="18"/>
        </w:rPr>
        <w:t>ANALYSIS OF SIGNAGE SYMBOL COMPREHENSION TEST RESULTS</w:t>
      </w:r>
    </w:p>
    <w:p w14:paraId="386864E9"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This study found an increase in understanding of wayfinding signage symbols after the introduction of new symbols. This finding is consistent with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{"citationItems":[{"id":"ITEM-1","itemData":{"DOI":"10.28991/esj-2020-01243","ISSN":"26109182","abstract":"The evolution of high resolution displays, especially liquid crystal displays (LCD), which are among the most commonly used ones, has contributed to a larger number of display readers. Regardless of high resolutions, problems in the legibility of typefaces still occur. Many typefaces may well be readable in print, but cause more difficulties when being read on displays. The aim of this study was to examine the influence of colour contrast on the legibility on LCDs to establish which type style is appropriate for a coloured text to be legible. Two different typefaces specially designed for display use were tested in a satisfactory light-dark contrast of five different colour combinations. The reading speed and fixations were analysed with an eye-tracking device Tobii 120X. Different texts were displayed on an LCD display. The results showed that the selection of a particular colour combination and contrast greatly affects the reading speed and legibility. Less visible colour combinations of text and background were read more slowly than the more contrasting or visible ones in both typefaces. At both typefaces, it was seen that at a slower reading speed, more fixations were needed and vice-versa. A transitional typeface gave a faster reading speed than a sans-serif typeface. An appropriate contrast, colour combination and used typography can facilitate legibility on displays.","author":[{"dropping-particle":"","family":"Franken","given":"Gregor","non-dropping-particle":"","parse-names":false,"suffix":""},{"dropping-particle":"","family":"Pangerc","given":"Maruša","non-dropping-particle":"","parse-names":false,"suffix":""},{"dropping-particle":"","family":"Možina","given":"Klementina","non-dropping-particle":"","parse-names":false,"suffix":""}],"container-title":"Emerging Science Journal","id":"ITEM-1","issue":"6","issued":{"date-parts":[["2020"]]},"page":"436-442","title":"Impact of typeface and colour combinations on lcd display legibility","type":"article-journal","volume":"4"},"uris":["http://www.mendeley.com/documents/?uuid=fd6b9fd1-5f57-4f67-be13-1c357910f3af"]}],"mendeley":{"formattedCitation":"[28]","plainTextFormattedCitation":"[28]","previouslyFormattedCitation":"[28]"},"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[28]</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and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{"citationItems":[{"id":"ITEM-1","itemData":{"DOI":"10.1016/j.ergon.2015.09.018","ISSN":"18728219","abstract":"The goal of this study is to evaluate the comprehensibility of recently introduced water-sport prohibitive symbols by the Ministry of Knowledge Economy (MKE, now the Ministry of Trade, Industry and Energy) of South Korea, and to redesign the poorly comprehended symbols based on participants' feedback and three universal ergonomic principles. Evaluation of comprehensibility and cognitive features of fourteen water-sport prohibitive symbols were conducted with forty Korean participants. Only two out of fourteen symbols have comprehension rates higher than the level recommended by ISO standard. Four poorly comprehended symbols are redesigned based on ergonomic design principles and participants' feedback. A follow-up experiment with another group of twenty Korean participants was conducted to verify the effectiveness of the redesign process and results showed redesigned symbols have better adherence to ergonomic design principles and enhanced comprehensibility than the original ones. The findings may serve as a useful input for researchers and designers in creating easily comprehended symbols to promote safety. Relevance to industry: Warning symbols have long been used as an interface to communicate critical situation-specific information to prospective users in industrial undertakings so that the risk of accidents and injuries can be reduced. The findings of this study provide useful information for designers in developing easily comprehended symbols to promote safety.","author":[{"dropping-particle":"","family":"Siswandari","given":"Yohana","non-dropping-particle":"","parse-names":false,"suffix":""},{"dropping-particle":"","family":"Kim","given":"Woojoo","non-dropping-particle":"","parse-names":false,"suffix":""},{"dropping-particle":"","family":"Xiong","given":"Shuping","non-dropping-particle":"","parse-names":false,"suffix":""}],"container-title":"International Journal of Industrial Ergonomics","id":"ITEM-1","issued":{"date-parts":[["2015"]]},"page":"196-205","publisher":"Elsevier Ltd","title":"Comprehension and redesign of recently introduced water-sport prohibitive symbols in South Korea","type":"article-journal","volume":"50"},"uris":["http://www.mendeley.com/documents/?uuid=4c39302c-f9f3-46b6-a0bb-cd57b91fe157"]}],"mendeley":{"formattedCitation":"[21]","plainTextFormattedCitation":"[21]","previouslyFormattedCitation":"[21]"},"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[21]</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Correct answers on the comprehension test were divided into 3 categories: correct, partially correct, and wrong. This is in line with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{"citationItems":[{"id":"ITEM-1","itemData":{"DOI":"10.1016/j.ergon.2015.09.018","ISSN":"18728219","abstract":"The goal of this study is to evaluate the comprehensibility of recently introduced water-sport prohibitive symbols by the Ministry of Knowledge Economy (MKE, now the Ministry of Trade, Industry and Energy) of South Korea, and to redesign the poorly comprehended symbols based on participants' feedback and three universal ergonomic principles. Evaluation of comprehensibility and cognitive features of fourteen water-sport prohibitive symbols were conducted with forty Korean participants. Only two out of fourteen symbols have comprehension rates higher than the level recommended by ISO standard. Four poorly comprehended symbols are redesigned based on ergonomic design principles and participants' feedback. A follow-up experiment with another group of twenty Korean participants was conducted to verify the effectiveness of the redesign process and results showed redesigned symbols have better adherence to ergonomic design principles and enhanced comprehensibility than the original ones. The findings may serve as a useful input for researchers and designers in creating easily comprehended symbols to promote safety. Relevance to industry: Warning symbols have long been used as an interface to communicate critical situation-specific information to prospective users in industrial undertakings so that the risk of accidents and injuries can be reduced. The findings of this study provide useful information for designers in developing easily comprehended symbols to promote safety.","author":[{"dropping-particle":"","family":"Siswandari","given":"Yohana","non-dropping-particle":"","parse-names":false,"suffix":""},{"dropping-particle":"","family":"Kim","given":"Woojoo","non-dropping-particle":"","parse-names":false,"suffix":""},{"dropping-particle":"","family":"Xiong","given":"Shuping","non-dropping-particle":"","parse-names":false,"suffix":""}],"container-title":"International Journal of Industrial Ergonomics","id":"ITEM-1","issued":{"date-parts":[["2015"]]},"page":"196-205","publisher":"Elsevier Ltd","title":"Comprehension and redesign of recently introduced water-sport prohibitive symbols in South Korea","type":"article-journal","volume":"50"},"uris":["http://www.mendeley.com/documents/?uuid=4c39302c-f9f3-46b6-a0bb-cd57b91fe157"]}],"mendeley":{"formattedCitation":"[21]","plainTextFormattedCitation":"[21]","previouslyFormattedCitation":"[21]"},"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[21]</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{"citationItems":[{"id":"ITEM-1","itemData":{"DOI":"10.1518/001872006776412298","ISSN":"00187208","PMID":"16696267","abstract":"Objective: This research directly tests the relationship between comprehension probability of highway signs and the extent to which they comply with three ergonomic principles of design: sign-content compatibility, familiarity, and standardization. Background: A recent study that evaluated comprehension of traffic signs in four different countries showed that comprehension level varies widely and is apparently related to the extent that the sign's design incorporates ergonomic guidelines for good design (D. Shinar, R. E. Dewar, H. Summala, &amp; L. Zakowska 2003). Method: Participants were presented with 30 signs and asked to describe each sign's meaning. They then evaluated each sign in terms of each of three ergonomic principles. In addition, a group of human factors/ergonomics experts evaluated each sign on its standardization and compatibility. Results: There were high correlations between the ratings of the students and the ratings of the experts on compatibility (rho = .94) and on standardiza-tion (rho = .84), validating the use of the students' evaluations of the signs on these variables. There was a great variability in signs' comprehension and high and statistically significant correlations between the comprehension level of each sign and the extent to which it complied with compatibility (R = .76), familiarity (R = .89), and standardization (R = .88) principles. Conclusions: The more signs conform to universal ergonomic principles of good design, the more likely they are to be comprehended by drivers of different cultural backgrounds. Application: Sign design should be guided by established ergonomics principles to enhance comprehension, especially for drivers who have not had any prior encounters with specific signs. Copyright © 2006, Human Factors and Ergonomics Society. All rights reserved.","author":[{"dropping-particle":"","family":"Ben-Bassat","given":"Tamar","non-dropping-particle":"","parse-names":false,"suffix":""},{"dropping-particle":"","family":"Shinar","given":"David","non-dropping-particle":"","parse-names":false,"suffix":""}],"container-title":"Human Factors","id":"ITEM-1","issue":"1","issued":{"date-parts":[["2006"]]},"page":"182-195","title":"Ergonomic guidelines for traffic sign design increase sign comprehension","type":"article-journal","volume":"48"},"uris":["http://www.mendeley.com/documents/?uuid=f5b588cc-bcc9-457b-a3de-8977f79c5ce9"]}],"mendeley":{"formattedCitation":"[50]","plainTextFormattedCitation":"[50]","previouslyFormattedCitation":"[50]"},"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[50]</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{"citationItems":[{"id":"ITEM-1","itemData":{"DOI":"10.1016/j.ergon.2011.08.009","ISSN":"01698141","abstract":"This study examined the effects of sign design features and training on the comprehension of four types of Taiwanese traffic signs in Taiwanese and Vietnamese users. Thirty Taiwanese and thirty Vietnamese, each group gender-balanced, participated in this experiment, which involved 5 design features (familiarity, concreteness, simplicity, meaningfulness, and semantic closeness), 4 types of traffic signs (warning, prohibition, auxiliary, and indicatory), and 3 training conditions (before training, immediately following training, and one month after training). A total of sixty-five traffic signs were selected as the stimuli and each was presented on a 10cm×10cm white cardboard in random order. Within each training condition participants were instructed to (1) verbally describe their comprehension of the meaning of the signs, which was then evaluated by the experimenter from 0 to 1, and (2) provide subjective ratings for each of the five design features, on a scale ranging from 0 to 100. The results reveal the training effect to be positive in both user groups. For Taiwanese, the average comprehension was 0.63 before training and it increased to 0.98 immediately after training. For Vietnamese, the average comprehension was 0.41 before training and it increased to 0.89 immediately after training. Even one month after the training had taken place, the comprehension scores of both groups were still higher than groups that did not receive training (Taiwanese group: 0.83; Vietnamese group: 0.66).For the two groups, the design features of concreteness and meaningfulness were highly correlated (Taiwanese group: r=0.97; Vietnamese group: r=0.95), and the feature of semantic closeness had the greatest positive correlation with comprehension (Taiwanese group: r=0.88; Vietnamese group: r=0.80). In addition, a drop correlated to comprehension was found to be significant (Taiwanese group: r=-0.92; Vietnamese group: r=-0.89), and semantic closeness was the most negatively correlated feature (Taiwanese group: r=-0.82; Vietnamese group: r=-0.60), meaning that, the closer the semantic meaning is to the sign design, the higher the comprehension and the less decline in sign comprehension. Relevance to industry: Globalization means that a country must cater to a population with a diversity of cultural backgrounds. Designing signs that effectively convey safety information to all the different groups of users has thus become an important issue. This research attempts to investi…","author":[{"dropping-particle":"","family":"Ou","given":"Yang Kun","non-dropping-particle":"","parse-names":false,"suffix":""},{"dropping-particle":"","family":"Liu","given":"Yung Ching","non-dropping-particle":"","parse-names":false,"suffix":""}],"container-title":"International Journal of Industrial Ergonomics","id":"ITEM-1","issue":"1","issued":{"date-parts":[["2012"]]},"page":"1-7","publisher":"Elsevier Ltd","title":"Effects of sign design features and training on comprehension of traffic signs in Taiwanese and Vietnamese user groups","type":"article-journal","volume":"42"},"uris":["http://www.mendeley.com/documents/?uuid=61599e59-1c3f-49a9-a22d-a1d14911e964"]}],"mendeley":{"formattedCitation":"[51]","plainTextFormattedCitation":"[51]","previouslyFormattedCitation":"[51]"},"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[51]</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However, this model differs from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{"citationItems":[{"id":"ITEM-1","itemData":{"DOI":"10.1016/j.apergo.2013.11.003","ISSN":"18729126","PMID":"24290906","abstract":"Healthcare facilities are often complex and overwhelming for visitors, and wayfinding in healthcare facilities can be challenging. As there is an increasing number of global citizens who travel to seek medical care in another country, it is critical to make wayfinding easy for visitors who are not familiar with the language in a foreign country. Among many wayfinding aids, symbols are helpful for those visitors who have limited ability to understand written language. This study tested universal healthcare symbols in the United States, South Korea, and Turkey to compare the comprehension of symbols cross-country and identify predictors of the correct comprehension. To explore statistically significant relationships between symbol comprehension and countries, Pearson's Chi-square tests, logistic regression, and ANOVA were conducted. The test results showed that ten symbols among 14 tested have significant relationship with countries. Results of this study demonstrate that symbol comprehension can be varied significantly in different countries. © 2013 Elsevier Ltd and The Ergonomics Society.","author":[{"dropping-particle":"","family":"Lee","given":"Seunghae","non-dropping-particle":"","parse-names":false,"suffix":""},{"dropping-particle":"","family":"Dazkir","given":"Sibel Seda","non-dropping-particle":"","parse-names":false,"suffix":""},{"dropping-particle":"","family":"Paik","given":"Hae Sun","non-dropping-particle":"","parse-names":false,"suffix":""},{"dropping-particle":"","family":"Coskun","given":"Aykut","non-dropping-particle":"","parse-names":false,"suffix":""}],"container-title":"Applied Ergonomics","id":"ITEM-1","issue":"4","issued":{"date-parts":[["2014"]]},"page":"878-885","title":"Comprehensibility of universal healthcare symbols for wayfinding inhealthcare facilities","type":"article-journal","volume":"45"},"uris":["http://www.mendeley.com/documents/?uuid=10594533-82ee-4987-beab-4dcc3fa0734d"]}],"mendeley":{"formattedCitation":"[52]","plainTextFormattedCitation":"[52]","previouslyFormattedCitation":"[52]"},"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[52]</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which considers only right and wrong answers. The correct-answer variation model enables deeper exploration of the level of understanding. </w:t>
      </w:r>
    </w:p>
    <w:p w14:paraId="17F41F3B"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The level of understanding of current wayfinding signage symbols in mosques is relatively low, especially for toilet signs (13.33%) and toilet signs for people with disabilities (13.33%). This does not meet the ISO 3864-3:2006 standard, which requires a minimum of 67%. The low level of understanding is due to two reasons: the presence of ambiguity, which leads to the interpretation of symbols not in accordance with their original meaning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{"citationItems":[{"id":"ITEM-1","itemData":{"DOI":"10.1016/j.ergon.2015.09.018","ISSN":"18728219","abstract":"The goal of this study is to evaluate the comprehensibility of recently introduced water-sport prohibitive symbols by the Ministry of Knowledge Economy (MKE, now the Ministry of Trade, Industry and Energy) of South Korea, and to redesign the poorly comprehended symbols based on participants' feedback and three universal ergonomic principles. Evaluation of comprehensibility and cognitive features of fourteen water-sport prohibitive symbols were conducted with forty Korean participants. Only two out of fourteen symbols have comprehension rates higher than the level recommended by ISO standard. Four poorly comprehended symbols are redesigned based on ergonomic design principles and participants' feedback. A follow-up experiment with another group of twenty Korean participants was conducted to verify the effectiveness of the redesign process and results showed redesigned symbols have better adherence to ergonomic design principles and enhanced comprehensibility than the original ones. The findings may serve as a useful input for researchers and designers in creating easily comprehended symbols to promote safety. Relevance to industry: Warning symbols have long been used as an interface to communicate critical situation-specific information to prospective users in industrial undertakings so that the risk of accidents and injuries can be reduced. The findings of this study provide useful information for designers in developing easily comprehended symbols to promote safety.","author":[{"dropping-particle":"","family":"Siswandari","given":"Yohana","non-dropping-particle":"","parse-names":false,"suffix":""},{"dropping-particle":"","family":"Kim","given":"Woojoo","non-dropping-particle":"","parse-names":false,"suffix":""},{"dropping-particle":"","family":"Xiong","given":"Shuping","non-dropping-particle":"","parse-names":false,"suffix":""}],"container-title":"International Journal of Industrial Ergonomics","id":"ITEM-1","issued":{"date-parts":[["2015"]]},"page":"196-205","publisher":"Elsevier Ltd","title":"Comprehension and redesign of recently introduced water-sport prohibitive symbols in South Korea","type":"article-journal","volume":"50"},"uris":["http://www.mendeley.com/documents/?uuid=4c39302c-f9f3-46b6-a0bb-cd57b91fe157"]}],"mendeley":{"formattedCitation":"[21]","plainTextFormattedCitation":"[21]","previouslyFormattedCitation":"[21]"},"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[21]</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and the lack of contextualization of symbol design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{"citationItems":[{"id":"ITEM-1","itemData":{"DOI":"10.1016/j.apergo.2013.11.003","ISSN":"18729126","PMID":"24290906","abstract":"Healthcare facilities are often complex and overwhelming for visitors, and wayfinding in healthcare facilities can be challenging. As there is an increasing number of global citizens who travel to seek medical care in another country, it is critical to make wayfinding easy for visitors who are not familiar with the language in a foreign country. Among many wayfinding aids, symbols are helpful for those visitors who have limited ability to understand written language. This study tested universal healthcare symbols in the United States, South Korea, and Turkey to compare the comprehension of symbols cross-country and identify predictors of the correct comprehension. To explore statistically significant relationships between symbol comprehension and countries, Pearson's Chi-square tests, logistic regression, and ANOVA were conducted. The test results showed that ten symbols among 14 tested have significant relationship with countries. Results of this study demonstrate that symbol comprehension can be varied significantly in different countries. © 2013 Elsevier Ltd and The Ergonomics Society.","author":[{"dropping-particle":"","family":"Lee","given":"Seunghae","non-dropping-particle":"","parse-names":false,"suffix":""},{"dropping-particle":"","family":"Dazkir","given":"Sibel Seda","non-dropping-particle":"","parse-names":false,"suffix":""},{"dropping-particle":"","family":"Paik","given":"Hae Sun","non-dropping-particle":"","parse-names":false,"suffix":""},{"dropping-particle":"","family":"Coskun","given":"Aykut","non-dropping-particle":"","parse-names":false,"suffix":""}],"container-title":"Applied Ergonomics","id":"ITEM-1","issue":"4","issued":{"date-parts":[["2014"]]},"page":"878-885","title":"Comprehensibility of universal healthcare symbols for wayfinding inhealthcare facilities","type":"article-journal","volume":"45"},"uris":["http://www.mendeley.com/documents/?uuid=10594533-82ee-4987-beab-4dcc3fa0734d"]}],"mendeley":{"formattedCitation":"[52]","plainTextFormattedCitation":"[52]","previouslyFormattedCitation":"[52]"},"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[52]</w:t>
      </w:r>
      <w:r w:rsidRPr="00C34BBE">
        <w:rPr>
          <w:rFonts w:ascii="Calibri Light" w:hAnsi="Calibri Light" w:cs="Calibri Light"/>
          <w:sz w:val="20"/>
          <w:szCs w:val="20"/>
        </w:rPr>
        <w:fldChar w:fldCharType="end"/>
      </w:r>
      <w:r w:rsidRPr="00C34BBE">
        <w:rPr>
          <w:rFonts w:ascii="Calibri Light" w:hAnsi="Calibri Light" w:cs="Calibri Light"/>
          <w:sz w:val="20"/>
          <w:szCs w:val="20"/>
        </w:rPr>
        <w:t>.</w:t>
      </w:r>
    </w:p>
    <w:p w14:paraId="0B5ED315" w14:textId="77777777" w:rsidR="00C34BBE" w:rsidRPr="00C34BBE" w:rsidRDefault="00C34BBE" w:rsidP="00C34BBE">
      <w:pPr>
        <w:ind w:firstLine="284"/>
        <w:jc w:val="both"/>
        <w:rPr>
          <w:rFonts w:ascii="Calibri Light" w:hAnsi="Calibri Light" w:cs="Calibri Light"/>
          <w:sz w:val="20"/>
          <w:szCs w:val="20"/>
        </w:rPr>
      </w:pPr>
      <w:proofErr w:type="spellStart"/>
      <w:r w:rsidRPr="00C34BBE">
        <w:rPr>
          <w:rFonts w:ascii="Calibri Light" w:hAnsi="Calibri Light" w:cs="Calibri Light"/>
          <w:sz w:val="20"/>
          <w:szCs w:val="20"/>
        </w:rPr>
        <w:t>Rousek</w:t>
      </w:r>
      <w:proofErr w:type="spellEnd"/>
      <w:r w:rsidRPr="00C34BBE">
        <w:rPr>
          <w:rFonts w:ascii="Calibri Light" w:hAnsi="Calibri Light" w:cs="Calibri Light"/>
          <w:sz w:val="20"/>
          <w:szCs w:val="20"/>
        </w:rPr>
        <w:t xml:space="preserve"> &amp; Hallbeck state that to redesign symbols appropriately, respondents' feedback needs to be considered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{"citationItems":[{"id":"ITEM-1","itemData":{"DOI":"10.1016/j.apergo.2010.12.004","ISSN":"18729126","abstract":"Healthcare facilities are increasingly utilizing pictograms rather than text signs to help direct people. The purpose of this study was to analyze a wide variety of standardized healthcare pictograms and the effects of color contrasts and complexity for participants with both normal and impaired vision. Fifty (25 males, 25 females) participants completed a signage recognition questionnaire and identified pictograms while wearing vision simulators to represent specific visual impairment. The study showed that certain color contrasts, complexities and orientations can help or hinder comprehension of signage for people with and without visual impairment. High contrast signage with consistent pictograms involving human figures (not too detailed or too abstract) is most identifiable. Standardization of healthcare signage is recommended to speed up and aid the cognitive thought process in detecting signage and determining meaning. These fundamental signage principles are critical in producing an efficient, universal wayfinding system for healthcare facilities. © 2011 Elsevier Ltd and The Ergonomics Society.","author":[{"dropping-particle":"","family":"Rousek","given":"J. B.","non-dropping-particle":"","parse-names":false,"suffix":""},{"dropping-particle":"","family":"Hallbeck","given":"M. S.","non-dropping-particle":"","parse-names":false,"suffix":""}],"container-title":"Applied Ergonomics","id":"ITEM-1","issue":"6","issued":{"date-parts":[["2011"]]},"page":"771-784","publisher":"Elsevier Ltd","title":"Improving and analyzing signage within a healthcare setting","type":"article-journal","volume":"42"},"uris":["http://www.mendeley.com/documents/?uuid=8b83a119-3ede-43df-bc78-11198e9ffc54"]}],"mendeley":{"formattedCitation":"[53]","plainTextFormattedCitation":"[53]","previouslyFormattedCitation":"[53]"},"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[53]</w:t>
      </w:r>
      <w:r w:rsidRPr="00C34BBE">
        <w:rPr>
          <w:rFonts w:ascii="Calibri Light" w:hAnsi="Calibri Light" w:cs="Calibri Light"/>
          <w:sz w:val="20"/>
          <w:szCs w:val="20"/>
        </w:rPr>
        <w:fldChar w:fldCharType="end"/>
      </w:r>
      <w:r w:rsidRPr="00C34BBE">
        <w:rPr>
          <w:rFonts w:ascii="Calibri Light" w:hAnsi="Calibri Light" w:cs="Calibri Light"/>
          <w:sz w:val="20"/>
          <w:szCs w:val="20"/>
        </w:rPr>
        <w:t>. This study also compares existing wayfinding signage symbols across the four mosques identified to expand the reference base in the creation of new symbol designs. These new symbols were then tested with respondents, and the results showed increases in understanding of toilet signs (53.34%), toilet signs for people with disabilities (50.01%), and ablution areas (30%). All respondents understood the new symbol for the ablution area for people with disabilities. The symbols for prayer areas and sacred boundaries did not increase understanding, as they already convey the true meaning and are therefore easy to interpret and unambiguous. This statement aligns with [54], which states that ambiguity is one of the characteristics that negatively affect a person's performance in understanding symbols.</w:t>
      </w:r>
    </w:p>
    <w:p w14:paraId="4FD48C64"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Ben-Bassat &amp; Shinar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{"citationItems":[{"id":"ITEM-1","itemData":{"DOI":"10.1518/001872006776412298","ISSN":"00187208","PMID":"16696267","abstract":"Objective: This research directly tests the relationship between comprehension probability of highway signs and the extent to which they comply with three ergonomic principles of design: sign-content compatibility, familiarity, and standardization. Background: A recent study that evaluated comprehension of traffic signs in four different countries showed that comprehension level varies widely and is apparently related to the extent that the sign's design incorporates ergonomic guidelines for good design (D. Shinar, R. E. Dewar, H. Summala, &amp; L. Zakowska 2003). Method: Participants were presented with 30 signs and asked to describe each sign's meaning. They then evaluated each sign in terms of each of three ergonomic principles. In addition, a group of human factors/ergonomics experts evaluated each sign on its standardization and compatibility. Results: There were high correlations between the ratings of the students and the ratings of the experts on compatibility (rho = .94) and on standardiza-tion (rho = .84), validating the use of the students' evaluations of the signs on these variables. There was a great variability in signs' comprehension and high and statistically significant correlations between the comprehension level of each sign and the extent to which it complied with compatibility (R = .76), familiarity (R = .89), and standardization (R = .88) principles. Conclusions: The more signs conform to universal ergonomic principles of good design, the more likely they are to be comprehended by drivers of different cultural backgrounds. Application: Sign design should be guided by established ergonomics principles to enhance comprehension, especially for drivers who have not had any prior encounters with specific signs. Copyright © 2006, Human Factors and Ergonomics Society. All rights reserved.","author":[{"dropping-particle":"","family":"Ben-Bassat","given":"Tamar","non-dropping-particle":"","parse-names":false,"suffix":""},{"dropping-particle":"","family":"Shinar","given":"David","non-dropping-particle":"","parse-names":false,"suffix":""}],"container-title":"Human Factors","id":"ITEM-1","issue":"1","issued":{"date-parts":[["2006"]]},"page":"182-195","title":"Ergonomic guidelines for traffic sign design increase sign comprehension","type":"article-journal","volume":"48"},"uris":["http://www.mendeley.com/documents/?uuid=f5b588cc-bcc9-457b-a3de-8977f79c5ce9"]}],"mendeley":{"formattedCitation":"[50]","plainTextFormattedCitation":"[50]","previouslyFormattedCitation":"[50]"},"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[50]</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w:t>
      </w:r>
      <w:proofErr w:type="spellStart"/>
      <w:r w:rsidRPr="00C34BBE">
        <w:rPr>
          <w:rFonts w:ascii="Calibri Light" w:hAnsi="Calibri Light" w:cs="Calibri Light"/>
          <w:sz w:val="20"/>
          <w:szCs w:val="20"/>
        </w:rPr>
        <w:t>Siswandari</w:t>
      </w:r>
      <w:proofErr w:type="spellEnd"/>
      <w:r w:rsidRPr="00C34BBE">
        <w:rPr>
          <w:rFonts w:ascii="Calibri Light" w:hAnsi="Calibri Light" w:cs="Calibri Light"/>
          <w:sz w:val="20"/>
          <w:szCs w:val="20"/>
        </w:rPr>
        <w:t xml:space="preserve"> </w:t>
      </w:r>
      <w:r w:rsidRPr="00C34BBE">
        <w:rPr>
          <w:rFonts w:ascii="Calibri Light" w:hAnsi="Calibri Light" w:cs="Calibri Light"/>
          <w:i/>
          <w:iCs/>
          <w:sz w:val="20"/>
          <w:szCs w:val="20"/>
        </w:rPr>
        <w:t>et al</w:t>
      </w:r>
      <w:r w:rsidRPr="00C34BBE">
        <w:rPr>
          <w:rFonts w:ascii="Calibri Light" w:hAnsi="Calibri Light" w:cs="Calibri Light"/>
          <w:sz w:val="20"/>
          <w:szCs w:val="20"/>
        </w:rPr>
        <w:t xml:space="preserve">.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{"citationItems":[{"id":"ITEM-1","itemData":{"DOI":"10.1518/001872006776412298","ISSN":"00187208","PMID":"16696267","abstract":"Objective: This research directly tests the relationship between comprehension probability of highway signs and the extent to which they comply with three ergonomic principles of design: sign-content compatibility, familiarity, and standardization. Background: A recent study that evaluated comprehension of traffic signs in four different countries showed that comprehension level varies widely and is apparently related to the extent that the sign's design incorporates ergonomic guidelines for good design (D. Shinar, R. E. Dewar, H. Summala, &amp; L. Zakowska 2003). Method: Participants were presented with 30 signs and asked to describe each sign's meaning. They then evaluated each sign in terms of each of three ergonomic principles. In addition, a group of human factors/ergonomics experts evaluated each sign on its standardization and compatibility. Results: There were high correlations between the ratings of the students and the ratings of the experts on compatibility (rho = .94) and on standardiza-tion (rho = .84), validating the use of the students' evaluations of the signs on these variables. There was a great variability in signs' comprehension and high and statistically significant correlations between the comprehension level of each sign and the extent to which it complied with compatibility (R = .76), familiarity (R = .89), and standardization (R = .88) principles. Conclusions: The more signs conform to universal ergonomic principles of good design, the more likely they are to be comprehended by drivers of different cultural backgrounds. Application: Sign design should be guided by established ergonomics principles to enhance comprehension, especially for drivers who have not had any prior encounters with specific signs. Copyright © 2006, Human Factors and Ergonomics Society. All rights reserved.","author":[{"dropping-particle":"","family":"Ben-Bassat","given":"Tamar","non-dropping-particle":"","parse-names":false,"suffix":""},{"dropping-particle":"","family":"Shinar","given":"David","non-dropping-particle":"","parse-names":false,"suffix":""}],"container-title":"Human Factors","id":"ITEM-1","issue":"1","issued":{"date-parts":[["2006"]]},"page":"182-195","title":"Ergonomic guidelines for traffic sign design increase sign comprehension","type":"article-journal","volume":"48"},"uris":["http://www.mendeley.com/documents/?uuid=f5b588cc-bcc9-457b-a3de-8977f79c5ce9"]}],"mendeley":{"formattedCitation":"[50]","plainTextFormattedCitation":"[50]","previouslyFormattedCitation":"[50]"},"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[50]</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and Patel &amp; </w:t>
      </w:r>
      <w:proofErr w:type="spellStart"/>
      <w:r w:rsidRPr="00C34BBE">
        <w:rPr>
          <w:rFonts w:ascii="Calibri Light" w:hAnsi="Calibri Light" w:cs="Calibri Light"/>
          <w:sz w:val="20"/>
          <w:szCs w:val="20"/>
        </w:rPr>
        <w:t>Murkhopadhyay</w:t>
      </w:r>
      <w:proofErr w:type="spellEnd"/>
      <w:r w:rsidRPr="00C34BBE">
        <w:rPr>
          <w:rFonts w:ascii="Calibri Light" w:hAnsi="Calibri Light" w:cs="Calibri Light"/>
          <w:sz w:val="20"/>
          <w:szCs w:val="20"/>
        </w:rPr>
        <w:t xml:space="preserve">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{"citationItems":[{"id":"ITEM-1","itemData":{"DOI":"10.1016/j.apergo.2021.103410","ISSN":"18729126","PMID":"33714727","abstract":"People visiting different Government Hospitals at Jabalpur in central India, were facing problems in comprehending different symbols. One of such hospital authority approached the research team for developing new symbols which could be easily comprehended by the users. Based on this, the current study was conducted, which included two experiments. The first experiment dealt with the ergonomic evaluation and identification of problems associated with the existing symbols. New concepts were then developed based on Ergonomic principles and users’ feedback. The second experiment focused upon testing of the new concepts on the target users. Results of Experiment 1 indicated that the mean comprehension level was 22.3% for all the existing symbols (n = 41). Low scores (on a scale of 1–10) were found for the existing symbol for ergonomic principles (mean value was 1.9 for Compatibility, 2.1 for Familiarity, and 2.0 for Standardisation). Redesigned concepts of the symbols were tested on the target users, the result indicated an improvement in comprehensibility of newly designed symbols. The mean comprehension level for 53 new/redesigned symbols was 70.2%, which included redesign of 41 orignal and inclusion of 12 new symbols. High scores (on a scale of 1–10) were received for all the new symbols for ergonomic principles (the mean value was 8.4 for Compatibility, 8.5 for Familiarity, and 8.5 for Standardisation). Findings of this study may be helpful for the researchers working in the domain of information ergonomics in space related to healthcare sector or similar areas.","author":[{"dropping-particle":"","family":"Patel","given":"Gaurav","non-dropping-particle":"","parse-names":false,"suffix":""},{"dropping-particle":"","family":"Mukhopadhyay","given":"Prabir","non-dropping-particle":"","parse-names":false,"suffix":""}],"container-title":"Applied Ergonomics","id":"ITEM-1","issue":"November 2019","issued":{"date-parts":[["2021"]]},"page":"103410","publisher":"Elsevier Ltd","title":"Ergonomic analysis and design intervention in symbols used in hospitals in central India","type":"article-journal","volume":"94"},"uris":["http://www.mendeley.com/documents/?uuid=6eabc034-11f2-44d1-aa8b-ce4f2e3cae24"]}],"mendeley":{"formattedCitation":"[8]","plainTextFormattedCitation":"[8]","previouslyFormattedCitation":"[8]"},"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[8]</w:t>
      </w:r>
      <w:r w:rsidRPr="00C34BBE">
        <w:rPr>
          <w:rFonts w:ascii="Calibri Light" w:hAnsi="Calibri Light" w:cs="Calibri Light"/>
          <w:sz w:val="20"/>
          <w:szCs w:val="20"/>
        </w:rPr>
        <w:fldChar w:fldCharType="end"/>
      </w:r>
      <w:r w:rsidRPr="00C34BBE">
        <w:rPr>
          <w:rFonts w:ascii="Calibri Light" w:hAnsi="Calibri Light" w:cs="Calibri Light"/>
          <w:sz w:val="20"/>
          <w:szCs w:val="20"/>
        </w:rPr>
        <w:t xml:space="preserve"> found that the more symbols are designed with ergonomic principles in mind, the more likely users who have never seen them before are to understand them. The three principles studied in this research are familiarity, compatibility, and standardization. Familiarity is described as the frequency of encounters between the symbol and the user. Compatibility is the correspondence between a symbol and the message it represents. Standardization is described as the consistency of a homogeneous representation of shape, </w:t>
      </w:r>
      <w:proofErr w:type="spellStart"/>
      <w:r w:rsidRPr="00C34BBE">
        <w:rPr>
          <w:rFonts w:ascii="Calibri Light" w:hAnsi="Calibri Light" w:cs="Calibri Light"/>
          <w:sz w:val="20"/>
          <w:szCs w:val="20"/>
        </w:rPr>
        <w:t>color</w:t>
      </w:r>
      <w:proofErr w:type="spellEnd"/>
      <w:r w:rsidRPr="00C34BBE">
        <w:rPr>
          <w:rFonts w:ascii="Calibri Light" w:hAnsi="Calibri Light" w:cs="Calibri Light"/>
          <w:sz w:val="20"/>
          <w:szCs w:val="20"/>
        </w:rPr>
        <w:t xml:space="preserve">, symbols, direction, and so on </w:t>
      </w:r>
      <w:r w:rsidRPr="00C34BBE">
        <w:rPr>
          <w:rFonts w:ascii="Calibri Light" w:hAnsi="Calibri Light" w:cs="Calibri Light"/>
          <w:sz w:val="20"/>
          <w:szCs w:val="20"/>
        </w:rPr>
        <w:fldChar w:fldCharType="begin" w:fldLock="1"/>
      </w:r>
      <w:r w:rsidRPr="00C34BBE">
        <w:rPr>
          <w:rFonts w:ascii="Calibri Light" w:hAnsi="Calibri Light" w:cs="Calibri Light"/>
          <w:sz w:val="20"/>
          <w:szCs w:val="20"/>
        </w:rPr>
        <w:instrText>ADDIN CSL_CITATION {"citationItems":[{"id":"ITEM-1","itemData":{"DOI":"10.1518/001872006776412298","ISSN":"00187208","PMID":"16696267","abstract":"Objective: This research directly tests the relationship between comprehension probability of highway signs and the extent to which they comply with three ergonomic principles of design: sign-content compatibility, familiarity, and standardization. Background: A recent study that evaluated comprehension of traffic signs in four different countries showed that comprehension level varies widely and is apparently related to the extent that the sign's design incorporates ergonomic guidelines for good design (D. Shinar, R. E. Dewar, H. Summala, &amp; L. Zakowska 2003). Method: Participants were presented with 30 signs and asked to describe each sign's meaning. They then evaluated each sign in terms of each of three ergonomic principles. In addition, a group of human factors/ergonomics experts evaluated each sign on its standardization and compatibility. Results: There were high correlations between the ratings of the students and the ratings of the experts on compatibility (rho = .94) and on standardiza-tion (rho = .84), validating the use of the students' evaluations of the signs on these variables. There was a great variability in signs' comprehension and high and statistically significant correlations between the comprehension level of each sign and the extent to which it complied with compatibility (R = .76), familiarity (R = .89), and standardization (R = .88) principles. Conclusions: The more signs conform to universal ergonomic principles of good design, the more likely they are to be comprehended by drivers of different cultural backgrounds. Application: Sign design should be guided by established ergonomics principles to enhance comprehension, especially for drivers who have not had any prior encounters with specific signs. Copyright © 2006, Human Factors and Ergonomics Society. All rights reserved.","author":[{"dropping-particle":"","family":"Ben-Bassat","given":"Tamar","non-dropping-particle":"","parse-names":false,"suffix":""},{"dropping-particle":"","family":"Shinar","given":"David","non-dropping-particle":"","parse-names":false,"suffix":""}],"container-title":"Human Factors","id":"ITEM-1","issue":"1","issued":{"date-parts":[["2006"]]},"page":"182-195","title":"Ergonomic guidelines for traffic sign design increase sign comprehension","type":"article-journal","volume":"48"},"uris":["http://www.mendeley.com/documents/?uuid=f5b588cc-bcc9-457b-a3de-8977f79c5ce9"]}],"mendeley":{"formattedCitation":"[50]","plainTextFormattedCitation":"[50]","previouslyFormattedCitation":"[50]"},"properties":{"noteIndex":0},"schema":"https://github.com/citation-style-language/schema/raw/master/csl-citation.json"}</w:instrText>
      </w:r>
      <w:r w:rsidRPr="00C34BBE">
        <w:rPr>
          <w:rFonts w:ascii="Calibri Light" w:hAnsi="Calibri Light" w:cs="Calibri Light"/>
          <w:sz w:val="20"/>
          <w:szCs w:val="20"/>
        </w:rPr>
        <w:fldChar w:fldCharType="separate"/>
      </w:r>
      <w:r w:rsidRPr="00C34BBE">
        <w:rPr>
          <w:rFonts w:ascii="Calibri Light" w:hAnsi="Calibri Light" w:cs="Calibri Light"/>
          <w:sz w:val="20"/>
          <w:szCs w:val="20"/>
        </w:rPr>
        <w:t>[50]</w:t>
      </w:r>
      <w:r w:rsidRPr="00C34BBE">
        <w:rPr>
          <w:rFonts w:ascii="Calibri Light" w:hAnsi="Calibri Light" w:cs="Calibri Light"/>
          <w:sz w:val="20"/>
          <w:szCs w:val="20"/>
        </w:rPr>
        <w:fldChar w:fldCharType="end"/>
      </w:r>
      <w:r w:rsidRPr="00C34BBE">
        <w:rPr>
          <w:rFonts w:ascii="Calibri Light" w:hAnsi="Calibri Light" w:cs="Calibri Light"/>
          <w:sz w:val="20"/>
          <w:szCs w:val="20"/>
        </w:rPr>
        <w:t>. The results of this study show that the three ergonomic principles are significantly interrelated, with positive relationships among them. The three of them make a unique contribution: the more frequent the encounters between users and the symbol, the more opportunities there are to learn its meaning and store it in memory. The ease of learning symbols is supported by standardization, which creates order in processing information.</w:t>
      </w:r>
    </w:p>
    <w:p w14:paraId="1D428D4B" w14:textId="77777777" w:rsidR="00A82AC8" w:rsidRDefault="00A82AC8">
      <w:pPr>
        <w:jc w:val="both"/>
        <w:rPr>
          <w:b/>
          <w:bCs/>
          <w:sz w:val="20"/>
          <w:szCs w:val="20"/>
        </w:rPr>
      </w:pPr>
    </w:p>
    <w:p w14:paraId="1D333D81" w14:textId="7F1D3FEB" w:rsidR="00A82AC8" w:rsidRDefault="000D18D6" w:rsidP="00B9001F">
      <w:pPr>
        <w:pStyle w:val="Heading1"/>
        <w:numPr>
          <w:ilvl w:val="0"/>
          <w:numId w:val="3"/>
        </w:numPr>
        <w:spacing w:before="0"/>
        <w:ind w:left="284"/>
      </w:pPr>
      <w:r>
        <w:t>CONCLUSION</w:t>
      </w:r>
    </w:p>
    <w:p w14:paraId="78999D18"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This study aimed to evaluate the legibility of wayfinding signage in mosques and design a more ergonomic wayfinding signage display. The design process involved a preliminary study (interviews and observations), experiments, and the exploration of symbols. The expected output of this study is a prototype wayfinding signage display ready for use in mosques to improve the legibility of wayfinding signage. This is important because good wayfinding signage will create a sense of comfort, safety, and security for visitors during their time in the mosque area.</w:t>
      </w:r>
    </w:p>
    <w:p w14:paraId="382C9B07" w14:textId="77777777" w:rsidR="00C34BBE" w:rsidRP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The findings of this study are that (1) font size has a significant effect on the legibility of wayfinding signage. (2) Typeface and </w:t>
      </w:r>
      <w:proofErr w:type="spellStart"/>
      <w:r w:rsidRPr="00C34BBE">
        <w:rPr>
          <w:rFonts w:ascii="Calibri Light" w:hAnsi="Calibri Light" w:cs="Calibri Light"/>
          <w:sz w:val="20"/>
          <w:szCs w:val="20"/>
        </w:rPr>
        <w:t>color</w:t>
      </w:r>
      <w:proofErr w:type="spellEnd"/>
      <w:r w:rsidRPr="00C34BBE">
        <w:rPr>
          <w:rFonts w:ascii="Calibri Light" w:hAnsi="Calibri Light" w:cs="Calibri Light"/>
          <w:sz w:val="20"/>
          <w:szCs w:val="20"/>
        </w:rPr>
        <w:t xml:space="preserve"> combinations do not have a significant effect on the legibility of wayfinding signage. (3) New symbols designed with an ergonomic approach (based on the principles of familiarity, compatibility, and standardization) can improve the level of understanding of respondents. The three are positively correlated. (4) There was an increase in the legibility of wayfinding signage after the proposed wayfinding signage was introduced to respondents.</w:t>
      </w:r>
    </w:p>
    <w:p w14:paraId="203F3C64" w14:textId="77777777" w:rsidR="00C34BBE"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lastRenderedPageBreak/>
        <w:t>Further research is expected to consider cognitive tools such as EEG, GSR, and eye tracking to determine the body's response to the stimuli provided. This relates to the more complex cognitive-visual abilities of humans. In addition, exploring other factors related to the legibility of wayfinding signage in mosques, such as lighting levels, sign material, field luminance, and viewing angle, will enrich the scientific knowledge base.</w:t>
      </w:r>
    </w:p>
    <w:p w14:paraId="1E3B9417" w14:textId="77777777" w:rsidR="00A82AC8" w:rsidRDefault="00A82AC8">
      <w:pPr>
        <w:jc w:val="both"/>
        <w:rPr>
          <w:b/>
          <w:bCs/>
        </w:rPr>
      </w:pPr>
    </w:p>
    <w:p w14:paraId="6EAD045A" w14:textId="1DC22CF4" w:rsidR="00A82AC8" w:rsidRDefault="000D18D6" w:rsidP="009E125F">
      <w:pPr>
        <w:pStyle w:val="Heading1"/>
        <w:spacing w:before="0"/>
      </w:pPr>
      <w:r>
        <w:t>ACKNOWLEDGEMENT</w:t>
      </w:r>
    </w:p>
    <w:p w14:paraId="19CA3E8F" w14:textId="2DE300AB" w:rsidR="00B9001F" w:rsidRPr="00335DDA" w:rsidRDefault="00C34BBE" w:rsidP="00C34BBE">
      <w:pPr>
        <w:ind w:firstLine="284"/>
        <w:jc w:val="both"/>
        <w:rPr>
          <w:rFonts w:ascii="Calibri Light" w:hAnsi="Calibri Light" w:cs="Calibri Light"/>
          <w:sz w:val="20"/>
          <w:szCs w:val="20"/>
        </w:rPr>
      </w:pPr>
      <w:r w:rsidRPr="00C34BBE">
        <w:rPr>
          <w:rFonts w:ascii="Calibri Light" w:hAnsi="Calibri Light" w:cs="Calibri Light"/>
          <w:sz w:val="20"/>
          <w:szCs w:val="20"/>
        </w:rPr>
        <w:t xml:space="preserve">The authors would like to express their sincere gratitude to all the individuals and institutions that contributed to the successful completion of this research. Special thanks to LPPM Universitas </w:t>
      </w:r>
      <w:proofErr w:type="spellStart"/>
      <w:r w:rsidRPr="00C34BBE">
        <w:rPr>
          <w:rFonts w:ascii="Calibri Light" w:hAnsi="Calibri Light" w:cs="Calibri Light"/>
          <w:sz w:val="20"/>
          <w:szCs w:val="20"/>
        </w:rPr>
        <w:t>Sebelas</w:t>
      </w:r>
      <w:proofErr w:type="spellEnd"/>
      <w:r w:rsidRPr="00C34BBE">
        <w:rPr>
          <w:rFonts w:ascii="Calibri Light" w:hAnsi="Calibri Light" w:cs="Calibri Light"/>
          <w:sz w:val="20"/>
          <w:szCs w:val="20"/>
        </w:rPr>
        <w:t xml:space="preserve"> Maret for funding the research with contract Number: 371/UN27.22/PT.01.03/2025</w:t>
      </w:r>
      <w:r>
        <w:rPr>
          <w:rFonts w:ascii="Calibri Light" w:hAnsi="Calibri Light" w:cs="Calibri Light"/>
          <w:sz w:val="20"/>
          <w:szCs w:val="20"/>
        </w:rPr>
        <w:t>.</w:t>
      </w:r>
    </w:p>
    <w:p w14:paraId="17F5B9DF" w14:textId="48E84EC4" w:rsidR="009E125F" w:rsidRDefault="009E125F" w:rsidP="009E125F">
      <w:pPr>
        <w:ind w:firstLine="284"/>
        <w:jc w:val="both"/>
        <w:rPr>
          <w:sz w:val="20"/>
          <w:szCs w:val="20"/>
        </w:rPr>
      </w:pPr>
    </w:p>
    <w:p w14:paraId="5C521C9D" w14:textId="49219A31" w:rsidR="00A82AC8" w:rsidRDefault="000D18D6" w:rsidP="009E125F">
      <w:pPr>
        <w:pStyle w:val="Heading1"/>
        <w:spacing w:before="0"/>
      </w:pPr>
      <w:r>
        <w:t xml:space="preserve">REFERENCES </w:t>
      </w:r>
    </w:p>
    <w:p w14:paraId="5850385D" w14:textId="77777777" w:rsidR="00C34BBE" w:rsidRPr="00C34BBE" w:rsidRDefault="00C34BBE" w:rsidP="00C34BBE"/>
    <w:p w14:paraId="03C5838A"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b/>
          <w:bCs/>
          <w:sz w:val="20"/>
          <w:szCs w:val="20"/>
        </w:rPr>
        <w:fldChar w:fldCharType="begin" w:fldLock="1"/>
      </w:r>
      <w:r w:rsidRPr="00C34BBE">
        <w:rPr>
          <w:rFonts w:ascii="Calibri Light" w:hAnsi="Calibri Light" w:cs="Calibri Light"/>
          <w:b/>
          <w:bCs/>
          <w:sz w:val="20"/>
          <w:szCs w:val="20"/>
        </w:rPr>
        <w:instrText xml:space="preserve">ADDIN Mendeley Bibliography CSL_BIBLIOGRAPHY </w:instrText>
      </w:r>
      <w:r w:rsidRPr="00C34BBE">
        <w:rPr>
          <w:rFonts w:ascii="Calibri Light" w:hAnsi="Calibri Light" w:cs="Calibri Light"/>
          <w:b/>
          <w:bCs/>
          <w:sz w:val="20"/>
          <w:szCs w:val="20"/>
        </w:rPr>
        <w:fldChar w:fldCharType="separate"/>
      </w:r>
      <w:r w:rsidRPr="00C34BBE">
        <w:rPr>
          <w:rFonts w:ascii="Calibri Light" w:hAnsi="Calibri Light" w:cs="Calibri Light"/>
          <w:sz w:val="20"/>
          <w:szCs w:val="20"/>
        </w:rPr>
        <w:t>[1]</w:t>
      </w:r>
      <w:r w:rsidRPr="00C34BBE">
        <w:rPr>
          <w:rFonts w:ascii="Calibri Light" w:hAnsi="Calibri Light" w:cs="Calibri Light"/>
          <w:sz w:val="20"/>
          <w:szCs w:val="20"/>
        </w:rPr>
        <w:tab/>
        <w:t xml:space="preserve">V. Dharmawan and N. Rachmaniyah, “Kajian Signage dan Elemen Wayfinding di Kampus Perguruan Tinggi (Studi Kasus : Kampus ITS Surabaya),” </w:t>
      </w:r>
      <w:r w:rsidRPr="00C34BBE">
        <w:rPr>
          <w:rFonts w:ascii="Calibri Light" w:hAnsi="Calibri Light" w:cs="Calibri Light"/>
          <w:i/>
          <w:iCs/>
          <w:sz w:val="20"/>
          <w:szCs w:val="20"/>
        </w:rPr>
        <w:t>Arsitektura</w:t>
      </w:r>
      <w:r w:rsidRPr="00C34BBE">
        <w:rPr>
          <w:rFonts w:ascii="Calibri Light" w:hAnsi="Calibri Light" w:cs="Calibri Light"/>
          <w:sz w:val="20"/>
          <w:szCs w:val="20"/>
        </w:rPr>
        <w:t>, vol. 19, no. 2, p. 205, 2021, doi: 10.20961/arst.v19i2.49152.</w:t>
      </w:r>
    </w:p>
    <w:p w14:paraId="4B53F131"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w:t>
      </w:r>
      <w:r w:rsidRPr="00C34BBE">
        <w:rPr>
          <w:rFonts w:ascii="Calibri Light" w:hAnsi="Calibri Light" w:cs="Calibri Light"/>
          <w:sz w:val="20"/>
          <w:szCs w:val="20"/>
        </w:rPr>
        <w:tab/>
        <w:t xml:space="preserve">P. Sari and D. P. Bomo, “Desain Wayfinding Dalam Keterbacaan Dan Pelaksanaan Studi Kasus Jakarta International Stadium,” </w:t>
      </w:r>
      <w:r w:rsidRPr="00C34BBE">
        <w:rPr>
          <w:rFonts w:ascii="Calibri Light" w:hAnsi="Calibri Light" w:cs="Calibri Light"/>
          <w:i/>
          <w:iCs/>
          <w:sz w:val="20"/>
          <w:szCs w:val="20"/>
        </w:rPr>
        <w:t>J. Ilm. Arsit.</w:t>
      </w:r>
      <w:r w:rsidRPr="00C34BBE">
        <w:rPr>
          <w:rFonts w:ascii="Calibri Light" w:hAnsi="Calibri Light" w:cs="Calibri Light"/>
          <w:sz w:val="20"/>
          <w:szCs w:val="20"/>
        </w:rPr>
        <w:t>, vol. 12, no. 2, pp. 116–130, 2022, doi: 10.32699/jiars.v12i2.3585.</w:t>
      </w:r>
    </w:p>
    <w:p w14:paraId="6E58B725"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[3]</w:t>
      </w:r>
      <w:r w:rsidRPr="00C34BBE">
        <w:rPr>
          <w:rFonts w:ascii="Calibri Light" w:hAnsi="Calibri Light" w:cs="Calibri Light"/>
          <w:sz w:val="20"/>
          <w:szCs w:val="20"/>
        </w:rPr>
        <w:tab/>
        <w:t xml:space="preserve">J. D. Bullough, “FACTORS AFFECTING SIGN VISIBILITY, CONSPICUITY AND LEGIBILITY: REVIEW AND ANNOTATED BIBLIOGRAPHY,” </w:t>
      </w:r>
      <w:r w:rsidRPr="00C34BBE">
        <w:rPr>
          <w:rFonts w:ascii="Calibri Light" w:hAnsi="Calibri Light" w:cs="Calibri Light"/>
          <w:i/>
          <w:iCs/>
          <w:sz w:val="20"/>
          <w:szCs w:val="20"/>
        </w:rPr>
        <w:t>Interdiscip. J. Signage Wayfinding</w:t>
      </w:r>
      <w:r w:rsidRPr="00C34BBE">
        <w:rPr>
          <w:rFonts w:ascii="Calibri Light" w:hAnsi="Calibri Light" w:cs="Calibri Light"/>
          <w:sz w:val="20"/>
          <w:szCs w:val="20"/>
        </w:rPr>
        <w:t xml:space="preserve">, vol. 1, no. 2, pp. 2–25, 2017, DOI: https://doi.org/10.15763/issn.2470-9670.2017.v1.i2.a9. </w:t>
      </w:r>
    </w:p>
    <w:p w14:paraId="5C76F82E"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w:t>
      </w:r>
      <w:r w:rsidRPr="00C34BBE">
        <w:rPr>
          <w:rFonts w:ascii="Calibri Light" w:hAnsi="Calibri Light" w:cs="Calibri Light"/>
          <w:sz w:val="20"/>
          <w:szCs w:val="20"/>
        </w:rPr>
        <w:tab/>
        <w:t xml:space="preserve">C. Piepenbrock, S. Mayr, I. Mund, and A. Buchner, “Positive display polarity is advantageous for both younger and older adults,” </w:t>
      </w:r>
      <w:r w:rsidRPr="00C34BBE">
        <w:rPr>
          <w:rFonts w:ascii="Calibri Light" w:hAnsi="Calibri Light" w:cs="Calibri Light"/>
          <w:i/>
          <w:iCs/>
          <w:sz w:val="20"/>
          <w:szCs w:val="20"/>
        </w:rPr>
        <w:t>Ergonomics</w:t>
      </w:r>
      <w:r w:rsidRPr="00C34BBE">
        <w:rPr>
          <w:rFonts w:ascii="Calibri Light" w:hAnsi="Calibri Light" w:cs="Calibri Light"/>
          <w:sz w:val="20"/>
          <w:szCs w:val="20"/>
        </w:rPr>
        <w:t>, vol. 56, no. 7, pp. 1116–1124, 2013, doi: 10.1080/00140139.2013.790485.</w:t>
      </w:r>
    </w:p>
    <w:p w14:paraId="5B1BF2B9"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[5]</w:t>
      </w:r>
      <w:r w:rsidRPr="00C34BBE">
        <w:rPr>
          <w:rFonts w:ascii="Calibri Light" w:hAnsi="Calibri Light" w:cs="Calibri Light"/>
          <w:sz w:val="20"/>
          <w:szCs w:val="20"/>
        </w:rPr>
        <w:tab/>
        <w:t xml:space="preserve">M. A. Tinker, </w:t>
      </w:r>
      <w:r w:rsidRPr="00C34BBE">
        <w:rPr>
          <w:rFonts w:ascii="Calibri Light" w:hAnsi="Calibri Light" w:cs="Calibri Light"/>
          <w:i/>
          <w:iCs/>
          <w:sz w:val="20"/>
          <w:szCs w:val="20"/>
        </w:rPr>
        <w:t>Legibility of Print</w:t>
      </w:r>
      <w:r w:rsidRPr="00C34BBE">
        <w:rPr>
          <w:rFonts w:ascii="Calibri Light" w:hAnsi="Calibri Light" w:cs="Calibri Light"/>
          <w:sz w:val="20"/>
          <w:szCs w:val="20"/>
        </w:rPr>
        <w:t>. Iowa State University Press, 1969. doi: 10.1097/00006324-196402000-00008.</w:t>
      </w:r>
    </w:p>
    <w:p w14:paraId="5A3B8044"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[6]</w:t>
      </w:r>
      <w:r w:rsidRPr="00C34BBE">
        <w:rPr>
          <w:rFonts w:ascii="Calibri Light" w:hAnsi="Calibri Light" w:cs="Calibri Light"/>
          <w:sz w:val="20"/>
          <w:szCs w:val="20"/>
        </w:rPr>
        <w:tab/>
        <w:t xml:space="preserve">D. A. Tarasov, A. P. Sergeev, and V. V. Filimonov, “Legibility of Textbooks: A Literature Review,” </w:t>
      </w:r>
      <w:r w:rsidRPr="00C34BBE">
        <w:rPr>
          <w:rFonts w:ascii="Calibri Light" w:hAnsi="Calibri Light" w:cs="Calibri Light"/>
          <w:i/>
          <w:iCs/>
          <w:sz w:val="20"/>
          <w:szCs w:val="20"/>
        </w:rPr>
        <w:t>Procedia - Soc. Behav. Sci.</w:t>
      </w:r>
      <w:r w:rsidRPr="00C34BBE">
        <w:rPr>
          <w:rFonts w:ascii="Calibri Light" w:hAnsi="Calibri Light" w:cs="Calibri Light"/>
          <w:sz w:val="20"/>
          <w:szCs w:val="20"/>
        </w:rPr>
        <w:t>, vol. 174, pp. 1300–1308, 2015, doi: 10.1016/j.sbspro.2015.01.751.</w:t>
      </w:r>
    </w:p>
    <w:p w14:paraId="37B4A179"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[7]</w:t>
      </w:r>
      <w:r w:rsidRPr="00C34BBE">
        <w:rPr>
          <w:rFonts w:ascii="Calibri Light" w:hAnsi="Calibri Light" w:cs="Calibri Light"/>
          <w:sz w:val="20"/>
          <w:szCs w:val="20"/>
        </w:rPr>
        <w:tab/>
        <w:t xml:space="preserve">B. T. Kuhn, P. M. Garvey, and M. T. Petrucha, </w:t>
      </w:r>
      <w:r w:rsidRPr="00C34BBE">
        <w:rPr>
          <w:rFonts w:ascii="Calibri Light" w:hAnsi="Calibri Light" w:cs="Calibri Light"/>
          <w:i/>
          <w:iCs/>
          <w:sz w:val="20"/>
          <w:szCs w:val="20"/>
        </w:rPr>
        <w:t>Sign Legibility The Impact of Color and Illumination</w:t>
      </w:r>
      <w:r w:rsidRPr="00C34BBE">
        <w:rPr>
          <w:rFonts w:ascii="Calibri Light" w:hAnsi="Calibri Light" w:cs="Calibri Light"/>
          <w:sz w:val="20"/>
          <w:szCs w:val="20"/>
        </w:rPr>
        <w:t>. United States Sign Council. 1998.</w:t>
      </w:r>
    </w:p>
    <w:p w14:paraId="27A36099"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[8]</w:t>
      </w:r>
      <w:r w:rsidRPr="00C34BBE">
        <w:rPr>
          <w:rFonts w:ascii="Calibri Light" w:hAnsi="Calibri Light" w:cs="Calibri Light"/>
          <w:sz w:val="20"/>
          <w:szCs w:val="20"/>
        </w:rPr>
        <w:tab/>
        <w:t xml:space="preserve">G. Patel and P. Mukhopadhyay, “Ergonomic analysis and design intervention in symbols used in hospitals in central India,” </w:t>
      </w:r>
      <w:r w:rsidRPr="00C34BBE">
        <w:rPr>
          <w:rFonts w:ascii="Calibri Light" w:hAnsi="Calibri Light" w:cs="Calibri Light"/>
          <w:i/>
          <w:iCs/>
          <w:sz w:val="20"/>
          <w:szCs w:val="20"/>
        </w:rPr>
        <w:t>Appl. Ergon.</w:t>
      </w:r>
      <w:r w:rsidRPr="00C34BBE">
        <w:rPr>
          <w:rFonts w:ascii="Calibri Light" w:hAnsi="Calibri Light" w:cs="Calibri Light"/>
          <w:sz w:val="20"/>
          <w:szCs w:val="20"/>
        </w:rPr>
        <w:t>, vol. 94, no. November 2019, p. 103410, 2021, doi: 10.1016/j.apergo.2021.103410.</w:t>
      </w:r>
    </w:p>
    <w:p w14:paraId="41BD858E"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[9]</w:t>
      </w:r>
      <w:r w:rsidRPr="00C34BBE">
        <w:rPr>
          <w:rFonts w:ascii="Calibri Light" w:hAnsi="Calibri Light" w:cs="Calibri Light"/>
          <w:sz w:val="20"/>
          <w:szCs w:val="20"/>
        </w:rPr>
        <w:tab/>
        <w:t xml:space="preserve">Y. Shi, Y. Zhang, T. Wang, C. Li, and S. Yuan, “The effects of ambient illumination, color combination, sign height, and observation angle on the legibility of wayfinding signs in metro stations,” </w:t>
      </w:r>
      <w:r w:rsidRPr="00C34BBE">
        <w:rPr>
          <w:rFonts w:ascii="Calibri Light" w:hAnsi="Calibri Light" w:cs="Calibri Light"/>
          <w:i/>
          <w:iCs/>
          <w:sz w:val="20"/>
          <w:szCs w:val="20"/>
        </w:rPr>
        <w:t>Sustain.</w:t>
      </w:r>
      <w:r w:rsidRPr="00C34BBE">
        <w:rPr>
          <w:rFonts w:ascii="Calibri Light" w:hAnsi="Calibri Light" w:cs="Calibri Light"/>
          <w:sz w:val="20"/>
          <w:szCs w:val="20"/>
        </w:rPr>
        <w:t>, vol. 12, no. 10, 2020, doi: 10.3390/su12104133.</w:t>
      </w:r>
    </w:p>
    <w:p w14:paraId="1EB9665D"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[10]</w:t>
      </w:r>
      <w:r w:rsidRPr="00C34BBE">
        <w:rPr>
          <w:rFonts w:ascii="Calibri Light" w:hAnsi="Calibri Light" w:cs="Calibri Light"/>
          <w:sz w:val="20"/>
          <w:szCs w:val="20"/>
        </w:rPr>
        <w:tab/>
        <w:t xml:space="preserve">T. Yanagihara, K. Omori, and K. Hiroshi, “Legibility of Japanese Characters in Graphic Floor Signs for Elderly People,” </w:t>
      </w:r>
      <w:r w:rsidRPr="00C34BBE">
        <w:rPr>
          <w:rFonts w:ascii="Calibri Light" w:hAnsi="Calibri Light" w:cs="Calibri Light"/>
          <w:i/>
          <w:iCs/>
          <w:sz w:val="20"/>
          <w:szCs w:val="20"/>
        </w:rPr>
        <w:t>J. Access. Des. All</w:t>
      </w:r>
      <w:r w:rsidRPr="00C34BBE">
        <w:rPr>
          <w:rFonts w:ascii="Calibri Light" w:hAnsi="Calibri Light" w:cs="Calibri Light"/>
          <w:sz w:val="20"/>
          <w:szCs w:val="20"/>
        </w:rPr>
        <w:t>, vol. 12, no. 2, pp. 335–353, 2022, doi: 10.17411/jacces.v12i2.357.</w:t>
      </w:r>
    </w:p>
    <w:p w14:paraId="4998C617"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[11]</w:t>
      </w:r>
      <w:r w:rsidRPr="00C34BBE">
        <w:rPr>
          <w:rFonts w:ascii="Calibri Light" w:hAnsi="Calibri Light" w:cs="Calibri Light"/>
          <w:sz w:val="20"/>
          <w:szCs w:val="20"/>
        </w:rPr>
        <w:tab/>
        <w:t xml:space="preserve">M. P. Vidal-ribas and B. J. Katz, </w:t>
      </w:r>
      <w:r w:rsidRPr="00C34BBE">
        <w:rPr>
          <w:rFonts w:ascii="Calibri Light" w:hAnsi="Calibri Light" w:cs="Calibri Light"/>
          <w:i/>
          <w:iCs/>
          <w:sz w:val="20"/>
          <w:szCs w:val="20"/>
        </w:rPr>
        <w:t>Effects of Font Design on Highway Sign Legibility Effects of Font Design on Highway Sign Legibility</w:t>
      </w:r>
      <w:r w:rsidRPr="00C34BBE">
        <w:rPr>
          <w:rFonts w:ascii="Calibri Light" w:hAnsi="Calibri Light" w:cs="Calibri Light"/>
          <w:sz w:val="20"/>
          <w:szCs w:val="20"/>
        </w:rPr>
        <w:t>, Virginia Tech, 2023.</w:t>
      </w:r>
    </w:p>
    <w:p w14:paraId="04F44510"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[12]</w:t>
      </w:r>
      <w:r w:rsidRPr="00C34BBE">
        <w:rPr>
          <w:rFonts w:ascii="Calibri Light" w:hAnsi="Calibri Light" w:cs="Calibri Light"/>
          <w:sz w:val="20"/>
          <w:szCs w:val="20"/>
        </w:rPr>
        <w:tab/>
        <w:t xml:space="preserve">L. Werth and F. Strack, “An inferential approach to the knew-it-all-along phenomenon,” </w:t>
      </w:r>
      <w:r w:rsidRPr="00C34BBE">
        <w:rPr>
          <w:rFonts w:ascii="Calibri Light" w:hAnsi="Calibri Light" w:cs="Calibri Light"/>
          <w:i/>
          <w:iCs/>
          <w:sz w:val="20"/>
          <w:szCs w:val="20"/>
        </w:rPr>
        <w:t>Memory</w:t>
      </w:r>
      <w:r w:rsidRPr="00C34BBE">
        <w:rPr>
          <w:rFonts w:ascii="Calibri Light" w:hAnsi="Calibri Light" w:cs="Calibri Light"/>
          <w:sz w:val="20"/>
          <w:szCs w:val="20"/>
        </w:rPr>
        <w:t>, vol. 11, no. 4–5, pp. 411–419, 2003, doi: 10.1080/09658210244000586.</w:t>
      </w:r>
    </w:p>
    <w:p w14:paraId="2A0A2F16"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[13]</w:t>
      </w:r>
      <w:r w:rsidRPr="00C34BBE">
        <w:rPr>
          <w:rFonts w:ascii="Calibri Light" w:hAnsi="Calibri Light" w:cs="Calibri Light"/>
          <w:sz w:val="20"/>
          <w:szCs w:val="20"/>
        </w:rPr>
        <w:tab/>
        <w:t xml:space="preserve">J. T.E. Richardson, </w:t>
      </w:r>
      <w:r w:rsidRPr="00C34BBE">
        <w:rPr>
          <w:rFonts w:ascii="Calibri Light" w:hAnsi="Calibri Light" w:cs="Calibri Light"/>
          <w:i/>
          <w:iCs/>
          <w:sz w:val="20"/>
          <w:szCs w:val="20"/>
        </w:rPr>
        <w:t>The Legibility of Serif and Sans Serif Typefaces: Reading from Paper and Reading from Screens</w:t>
      </w:r>
      <w:r w:rsidRPr="00C34BBE">
        <w:rPr>
          <w:rFonts w:ascii="Calibri Light" w:hAnsi="Calibri Light" w:cs="Calibri Light"/>
          <w:sz w:val="20"/>
          <w:szCs w:val="20"/>
        </w:rPr>
        <w:t>. Springer, 2022.</w:t>
      </w:r>
    </w:p>
    <w:p w14:paraId="63BD2247"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[14]</w:t>
      </w:r>
      <w:r w:rsidRPr="00C34BBE">
        <w:rPr>
          <w:rFonts w:ascii="Calibri Light" w:hAnsi="Calibri Light" w:cs="Calibri Light"/>
          <w:sz w:val="20"/>
          <w:szCs w:val="20"/>
        </w:rPr>
        <w:tab/>
        <w:t xml:space="preserve">A. Arditi and J. Cho, “Serifs and font legibility,” </w:t>
      </w:r>
      <w:r w:rsidRPr="00C34BBE">
        <w:rPr>
          <w:rFonts w:ascii="Calibri Light" w:hAnsi="Calibri Light" w:cs="Calibri Light"/>
          <w:i/>
          <w:iCs/>
          <w:sz w:val="20"/>
          <w:szCs w:val="20"/>
        </w:rPr>
        <w:t>Vision Res.</w:t>
      </w:r>
      <w:r w:rsidRPr="00C34BBE">
        <w:rPr>
          <w:rFonts w:ascii="Calibri Light" w:hAnsi="Calibri Light" w:cs="Calibri Light"/>
          <w:sz w:val="20"/>
          <w:szCs w:val="20"/>
        </w:rPr>
        <w:t>, vol. 45, no. 23, pp. 2926–2933, 2005, doi: 10.1016/j.visres.2005.06.013.</w:t>
      </w:r>
    </w:p>
    <w:p w14:paraId="69D8DBFA"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lastRenderedPageBreak/>
        <w:t>[15]</w:t>
      </w:r>
      <w:r w:rsidRPr="00C34BBE">
        <w:rPr>
          <w:rFonts w:ascii="Calibri Light" w:hAnsi="Calibri Light" w:cs="Calibri Light"/>
          <w:sz w:val="20"/>
          <w:szCs w:val="20"/>
        </w:rPr>
        <w:tab/>
        <w:t xml:space="preserve">C. Innes-Parker, “University of Prince Edward Island,” </w:t>
      </w:r>
      <w:r w:rsidRPr="00C34BBE">
        <w:rPr>
          <w:rFonts w:ascii="Calibri Light" w:hAnsi="Calibri Light" w:cs="Calibri Light"/>
          <w:i/>
          <w:iCs/>
          <w:sz w:val="20"/>
          <w:szCs w:val="20"/>
        </w:rPr>
        <w:t>Florilegium</w:t>
      </w:r>
      <w:r w:rsidRPr="00C34BBE">
        <w:rPr>
          <w:rFonts w:ascii="Calibri Light" w:hAnsi="Calibri Light" w:cs="Calibri Light"/>
          <w:sz w:val="20"/>
          <w:szCs w:val="20"/>
        </w:rPr>
        <w:t>, vol. 20, no. 1, pp. 120–122, 2003, doi: 10.3138/flor.20.036.</w:t>
      </w:r>
    </w:p>
    <w:p w14:paraId="3F7BEC06"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[16]</w:t>
      </w:r>
      <w:r w:rsidRPr="00C34BBE">
        <w:rPr>
          <w:rFonts w:ascii="Calibri Light" w:hAnsi="Calibri Light" w:cs="Calibri Light"/>
          <w:sz w:val="20"/>
          <w:szCs w:val="20"/>
        </w:rPr>
        <w:tab/>
        <w:t xml:space="preserve">N. Bonnardel, A. Piolat, and L. Le Bigot, “The impact of colour on Website appeal and users’ cognitive processes,” </w:t>
      </w:r>
      <w:r w:rsidRPr="00C34BBE">
        <w:rPr>
          <w:rFonts w:ascii="Calibri Light" w:hAnsi="Calibri Light" w:cs="Calibri Light"/>
          <w:i/>
          <w:iCs/>
          <w:sz w:val="20"/>
          <w:szCs w:val="20"/>
        </w:rPr>
        <w:t>Displays</w:t>
      </w:r>
      <w:r w:rsidRPr="00C34BBE">
        <w:rPr>
          <w:rFonts w:ascii="Calibri Light" w:hAnsi="Calibri Light" w:cs="Calibri Light"/>
          <w:sz w:val="20"/>
          <w:szCs w:val="20"/>
        </w:rPr>
        <w:t>, vol. 32, no. 2, pp. 69–80, 2011, doi: 10.1016/j.displa.2010.12.002.</w:t>
      </w:r>
    </w:p>
    <w:p w14:paraId="101A72BB"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[17]</w:t>
      </w:r>
      <w:r w:rsidRPr="00C34BBE">
        <w:rPr>
          <w:rFonts w:ascii="Calibri Light" w:hAnsi="Calibri Light" w:cs="Calibri Light"/>
          <w:sz w:val="20"/>
          <w:szCs w:val="20"/>
        </w:rPr>
        <w:tab/>
        <w:t xml:space="preserve">Y. Y. Yeh, D. S. Lee, and Y. H. Ko, “Color combination and exposure time on legibility and EEG response of icon presented on visual display terminal,” </w:t>
      </w:r>
      <w:r w:rsidRPr="00C34BBE">
        <w:rPr>
          <w:rFonts w:ascii="Calibri Light" w:hAnsi="Calibri Light" w:cs="Calibri Light"/>
          <w:i/>
          <w:iCs/>
          <w:sz w:val="20"/>
          <w:szCs w:val="20"/>
        </w:rPr>
        <w:t>Displays</w:t>
      </w:r>
      <w:r w:rsidRPr="00C34BBE">
        <w:rPr>
          <w:rFonts w:ascii="Calibri Light" w:hAnsi="Calibri Light" w:cs="Calibri Light"/>
          <w:sz w:val="20"/>
          <w:szCs w:val="20"/>
        </w:rPr>
        <w:t>, vol. 34, no. 1, pp. 33–38, 2013, doi: 10.1016/j.displa.2012.11.007.</w:t>
      </w:r>
    </w:p>
    <w:p w14:paraId="61B02D86"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[18]</w:t>
      </w:r>
      <w:r w:rsidRPr="00C34BBE">
        <w:rPr>
          <w:rFonts w:ascii="Calibri Light" w:hAnsi="Calibri Light" w:cs="Calibri Light"/>
          <w:sz w:val="20"/>
          <w:szCs w:val="20"/>
        </w:rPr>
        <w:tab/>
        <w:t xml:space="preserve">S. M. Huang, “A study of reading time and viewers’ preferences for a variety of combinations of character-background chromaticity for small traditional Chinese characters,” </w:t>
      </w:r>
      <w:r w:rsidRPr="00C34BBE">
        <w:rPr>
          <w:rFonts w:ascii="Calibri Light" w:hAnsi="Calibri Light" w:cs="Calibri Light"/>
          <w:i/>
          <w:iCs/>
          <w:sz w:val="20"/>
          <w:szCs w:val="20"/>
        </w:rPr>
        <w:t>Percept. Mot. Skills</w:t>
      </w:r>
      <w:r w:rsidRPr="00C34BBE">
        <w:rPr>
          <w:rFonts w:ascii="Calibri Light" w:hAnsi="Calibri Light" w:cs="Calibri Light"/>
          <w:sz w:val="20"/>
          <w:szCs w:val="20"/>
        </w:rPr>
        <w:t>, vol. 103, no. 3, pp. 887–895, 2006, doi: 10.2466/PMS.103.3.887-895.</w:t>
      </w:r>
    </w:p>
    <w:p w14:paraId="3ECF535C"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[19]</w:t>
      </w:r>
      <w:r w:rsidRPr="00C34BBE">
        <w:rPr>
          <w:rFonts w:ascii="Calibri Light" w:hAnsi="Calibri Light" w:cs="Calibri Light"/>
          <w:sz w:val="20"/>
          <w:szCs w:val="20"/>
        </w:rPr>
        <w:tab/>
        <w:t xml:space="preserve">C. C. Lin, “Effects of screen luminance combination and text color on visual performance with TFT-LCD,” </w:t>
      </w:r>
      <w:r w:rsidRPr="00C34BBE">
        <w:rPr>
          <w:rFonts w:ascii="Calibri Light" w:hAnsi="Calibri Light" w:cs="Calibri Light"/>
          <w:i/>
          <w:iCs/>
          <w:sz w:val="20"/>
          <w:szCs w:val="20"/>
        </w:rPr>
        <w:t>Int. J. Ind. Ergon.</w:t>
      </w:r>
      <w:r w:rsidRPr="00C34BBE">
        <w:rPr>
          <w:rFonts w:ascii="Calibri Light" w:hAnsi="Calibri Light" w:cs="Calibri Light"/>
          <w:sz w:val="20"/>
          <w:szCs w:val="20"/>
        </w:rPr>
        <w:t>, vol. 35, no. 3, pp. 229–235, 2005, doi: 10.1016/j.ergon.2004.09.002.</w:t>
      </w:r>
    </w:p>
    <w:p w14:paraId="32BDB68E"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[20]</w:t>
      </w:r>
      <w:r w:rsidRPr="00C34BBE">
        <w:rPr>
          <w:rFonts w:ascii="Calibri Light" w:hAnsi="Calibri Light" w:cs="Calibri Light"/>
          <w:sz w:val="20"/>
          <w:szCs w:val="20"/>
        </w:rPr>
        <w:tab/>
        <w:t xml:space="preserve">J. Dobres, S. T. Chrysler, B. Wolfe, N. Chahine, and B. Reimer, “Empirical assessment of the legibility of the highway gothic and clearview signage fonts,” </w:t>
      </w:r>
      <w:r w:rsidRPr="00C34BBE">
        <w:rPr>
          <w:rFonts w:ascii="Calibri Light" w:hAnsi="Calibri Light" w:cs="Calibri Light"/>
          <w:i/>
          <w:iCs/>
          <w:sz w:val="20"/>
          <w:szCs w:val="20"/>
        </w:rPr>
        <w:t>Transp. Res. Rec.</w:t>
      </w:r>
      <w:r w:rsidRPr="00C34BBE">
        <w:rPr>
          <w:rFonts w:ascii="Calibri Light" w:hAnsi="Calibri Light" w:cs="Calibri Light"/>
          <w:sz w:val="20"/>
          <w:szCs w:val="20"/>
        </w:rPr>
        <w:t>, vol. 2624, no. 2624, pp. 1–8, 2017, doi: 10.3141/2624-01.</w:t>
      </w:r>
    </w:p>
    <w:p w14:paraId="33114007"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[21]</w:t>
      </w:r>
      <w:r w:rsidRPr="00C34BBE">
        <w:rPr>
          <w:rFonts w:ascii="Calibri Light" w:hAnsi="Calibri Light" w:cs="Calibri Light"/>
          <w:sz w:val="20"/>
          <w:szCs w:val="20"/>
        </w:rPr>
        <w:tab/>
        <w:t xml:space="preserve">Y. Siswandari, W. Kim, and S. Xiong, “Comprehension and redesign of recently introduced water-sport prohibitive symbols in South Korea,” </w:t>
      </w:r>
      <w:r w:rsidRPr="00C34BBE">
        <w:rPr>
          <w:rFonts w:ascii="Calibri Light" w:hAnsi="Calibri Light" w:cs="Calibri Light"/>
          <w:i/>
          <w:iCs/>
          <w:sz w:val="20"/>
          <w:szCs w:val="20"/>
        </w:rPr>
        <w:t>Int. J. Ind. Ergon.</w:t>
      </w:r>
      <w:r w:rsidRPr="00C34BBE">
        <w:rPr>
          <w:rFonts w:ascii="Calibri Light" w:hAnsi="Calibri Light" w:cs="Calibri Light"/>
          <w:sz w:val="20"/>
          <w:szCs w:val="20"/>
        </w:rPr>
        <w:t>, vol. 50, pp. 196–205, 2015, doi: 10.1016/j.ergon.2015.09.018.</w:t>
      </w:r>
    </w:p>
    <w:p w14:paraId="37D2093C"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[22]</w:t>
      </w:r>
      <w:r w:rsidRPr="00C34BBE">
        <w:rPr>
          <w:rFonts w:ascii="Calibri Light" w:hAnsi="Calibri Light" w:cs="Calibri Light"/>
          <w:sz w:val="20"/>
          <w:szCs w:val="20"/>
        </w:rPr>
        <w:tab/>
        <w:t xml:space="preserve">M. D. Gall, J. P. Gall, and W. R. Borg, </w:t>
      </w:r>
      <w:r w:rsidRPr="00C34BBE">
        <w:rPr>
          <w:rFonts w:ascii="Calibri Light" w:hAnsi="Calibri Light" w:cs="Calibri Light"/>
          <w:i/>
          <w:iCs/>
          <w:sz w:val="20"/>
          <w:szCs w:val="20"/>
        </w:rPr>
        <w:t>Educational Research: An Introduction</w:t>
      </w:r>
      <w:r w:rsidRPr="00C34BBE">
        <w:rPr>
          <w:rFonts w:ascii="Calibri Light" w:hAnsi="Calibri Light" w:cs="Calibri Light"/>
          <w:sz w:val="20"/>
          <w:szCs w:val="20"/>
        </w:rPr>
        <w:t xml:space="preserve">. Pearson/Allyn &amp; Bacon, 2007. </w:t>
      </w:r>
    </w:p>
    <w:p w14:paraId="0FB92196"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[23]</w:t>
      </w:r>
      <w:r w:rsidRPr="00C34BBE">
        <w:rPr>
          <w:rFonts w:ascii="Calibri Light" w:hAnsi="Calibri Light" w:cs="Calibri Light"/>
          <w:sz w:val="20"/>
          <w:szCs w:val="20"/>
        </w:rPr>
        <w:tab/>
        <w:t xml:space="preserve">I. Alwi, “Kriteria Empirik dalam Menentukan Ukuran Sampel Pada Pengujian Hipotesis Statistika dan Analisis Butir,” </w:t>
      </w:r>
      <w:r w:rsidRPr="00C34BBE">
        <w:rPr>
          <w:rFonts w:ascii="Calibri Light" w:hAnsi="Calibri Light" w:cs="Calibri Light"/>
          <w:i/>
          <w:iCs/>
          <w:sz w:val="20"/>
          <w:szCs w:val="20"/>
        </w:rPr>
        <w:t>Form. J. Ilm. Pendidik. MIPA</w:t>
      </w:r>
      <w:r w:rsidRPr="00C34BBE">
        <w:rPr>
          <w:rFonts w:ascii="Calibri Light" w:hAnsi="Calibri Light" w:cs="Calibri Light"/>
          <w:sz w:val="20"/>
          <w:szCs w:val="20"/>
        </w:rPr>
        <w:t>, vol. 2, no. 2, pp. 140–148, 2015, doi: 10.30998/formatif.v2i2.95.</w:t>
      </w:r>
    </w:p>
    <w:p w14:paraId="4C4A225A"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[24]</w:t>
      </w:r>
      <w:r w:rsidRPr="00C34BBE">
        <w:rPr>
          <w:rFonts w:ascii="Calibri Light" w:hAnsi="Calibri Light" w:cs="Calibri Light"/>
          <w:sz w:val="20"/>
          <w:szCs w:val="20"/>
        </w:rPr>
        <w:tab/>
        <w:t xml:space="preserve">P. Gordon, “Visual acuity-DYOP® versus Snellen acuity charts: A review.,” </w:t>
      </w:r>
      <w:r w:rsidRPr="00C34BBE">
        <w:rPr>
          <w:rFonts w:ascii="Calibri Light" w:hAnsi="Calibri Light" w:cs="Calibri Light"/>
          <w:i/>
          <w:iCs/>
          <w:sz w:val="20"/>
          <w:szCs w:val="20"/>
        </w:rPr>
        <w:t>J. Clin. Ophthalmol</w:t>
      </w:r>
      <w:r w:rsidRPr="00C34BBE">
        <w:rPr>
          <w:rFonts w:ascii="Calibri Light" w:hAnsi="Calibri Light" w:cs="Calibri Light"/>
          <w:sz w:val="20"/>
          <w:szCs w:val="20"/>
        </w:rPr>
        <w:t>, vol. 6, no. 1, pp. 500–503, 2021.</w:t>
      </w:r>
    </w:p>
    <w:p w14:paraId="5314ACA3"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[25]</w:t>
      </w:r>
      <w:r w:rsidRPr="00C34BBE">
        <w:rPr>
          <w:rFonts w:ascii="Calibri Light" w:hAnsi="Calibri Light" w:cs="Calibri Light"/>
          <w:sz w:val="20"/>
          <w:szCs w:val="20"/>
        </w:rPr>
        <w:tab/>
        <w:t xml:space="preserve">F. Lombu and E. Panggabean, “Membangun Sistem Testing Buta Warna Menggunakan Metode Ishihara,” </w:t>
      </w:r>
      <w:r w:rsidRPr="00C34BBE">
        <w:rPr>
          <w:rFonts w:ascii="Calibri Light" w:hAnsi="Calibri Light" w:cs="Calibri Light"/>
          <w:i/>
          <w:iCs/>
          <w:sz w:val="20"/>
          <w:szCs w:val="20"/>
        </w:rPr>
        <w:t>J. Comput. Networks</w:t>
      </w:r>
      <w:r w:rsidRPr="00C34BBE">
        <w:rPr>
          <w:rFonts w:ascii="Calibri Light" w:hAnsi="Calibri Light" w:cs="Calibri Light"/>
          <w:sz w:val="20"/>
          <w:szCs w:val="20"/>
        </w:rPr>
        <w:t>, vol. 2, no. 1, pp. 218–221, 2020.</w:t>
      </w:r>
    </w:p>
    <w:p w14:paraId="5B2FD02A"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[26]</w:t>
      </w:r>
      <w:r w:rsidRPr="00C34BBE">
        <w:rPr>
          <w:rFonts w:ascii="Calibri Light" w:hAnsi="Calibri Light" w:cs="Calibri Light"/>
          <w:sz w:val="20"/>
          <w:szCs w:val="20"/>
        </w:rPr>
        <w:tab/>
        <w:t xml:space="preserve">S. Nasution, “Variabel penelitian,” </w:t>
      </w:r>
      <w:r w:rsidRPr="00C34BBE">
        <w:rPr>
          <w:rFonts w:ascii="Calibri Light" w:hAnsi="Calibri Light" w:cs="Calibri Light"/>
          <w:i/>
          <w:iCs/>
          <w:sz w:val="20"/>
          <w:szCs w:val="20"/>
        </w:rPr>
        <w:t>Raudhah</w:t>
      </w:r>
      <w:r w:rsidRPr="00C34BBE">
        <w:rPr>
          <w:rFonts w:ascii="Calibri Light" w:hAnsi="Calibri Light" w:cs="Calibri Light"/>
          <w:sz w:val="20"/>
          <w:szCs w:val="20"/>
        </w:rPr>
        <w:t>, vol. 05, no. 02, pp. 1–9, 2017, DOI: http://dx.doi.org/10.30829/raudhah.v5i2.182</w:t>
      </w:r>
    </w:p>
    <w:p w14:paraId="5451CB20"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[27]</w:t>
      </w:r>
      <w:r w:rsidRPr="00C34BBE">
        <w:rPr>
          <w:rFonts w:ascii="Calibri Light" w:hAnsi="Calibri Light" w:cs="Calibri Light"/>
          <w:sz w:val="20"/>
          <w:szCs w:val="20"/>
        </w:rPr>
        <w:tab/>
        <w:t xml:space="preserve">J. E. Sheedy, M. V. Subbaram, A. B. Zimmerman, and J. R. Hayes, “Text legibility and the letter superiority effect,” </w:t>
      </w:r>
      <w:r w:rsidRPr="00C34BBE">
        <w:rPr>
          <w:rFonts w:ascii="Calibri Light" w:hAnsi="Calibri Light" w:cs="Calibri Light"/>
          <w:i/>
          <w:iCs/>
          <w:sz w:val="20"/>
          <w:szCs w:val="20"/>
        </w:rPr>
        <w:t>Hum. Factors</w:t>
      </w:r>
      <w:r w:rsidRPr="00C34BBE">
        <w:rPr>
          <w:rFonts w:ascii="Calibri Light" w:hAnsi="Calibri Light" w:cs="Calibri Light"/>
          <w:sz w:val="20"/>
          <w:szCs w:val="20"/>
        </w:rPr>
        <w:t>, vol. 47, no. 4, pp. 797–815, 2005, doi: 10.1518/001872005775570998.</w:t>
      </w:r>
    </w:p>
    <w:p w14:paraId="60EA6BBB"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[28]</w:t>
      </w:r>
      <w:r w:rsidRPr="00C34BBE">
        <w:rPr>
          <w:rFonts w:ascii="Calibri Light" w:hAnsi="Calibri Light" w:cs="Calibri Light"/>
          <w:sz w:val="20"/>
          <w:szCs w:val="20"/>
        </w:rPr>
        <w:tab/>
        <w:t xml:space="preserve">G. Franken, M. Pangerc, and K. Možina, “Impact of typeface and colour combinations on lcd display legibility,” </w:t>
      </w:r>
      <w:r w:rsidRPr="00C34BBE">
        <w:rPr>
          <w:rFonts w:ascii="Calibri Light" w:hAnsi="Calibri Light" w:cs="Calibri Light"/>
          <w:i/>
          <w:iCs/>
          <w:sz w:val="20"/>
          <w:szCs w:val="20"/>
        </w:rPr>
        <w:t>Emerg. Sci. J.</w:t>
      </w:r>
      <w:r w:rsidRPr="00C34BBE">
        <w:rPr>
          <w:rFonts w:ascii="Calibri Light" w:hAnsi="Calibri Light" w:cs="Calibri Light"/>
          <w:sz w:val="20"/>
          <w:szCs w:val="20"/>
        </w:rPr>
        <w:t>, vol. 4, no. 6, pp. 436–442, 2020, doi: 10.28991/esj-2020-01243.</w:t>
      </w:r>
    </w:p>
    <w:p w14:paraId="1C33CE5C"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[29]</w:t>
      </w:r>
      <w:r w:rsidRPr="00C34BBE">
        <w:rPr>
          <w:rFonts w:ascii="Calibri Light" w:hAnsi="Calibri Light" w:cs="Calibri Light"/>
          <w:sz w:val="20"/>
          <w:szCs w:val="20"/>
        </w:rPr>
        <w:tab/>
        <w:t xml:space="preserve">T. M. Bisbey, R. Grossman, K. Panton, C. W. Coultas, and E. Salas, "Design, Delivery, Evaluation, and Transfer of Effective Training Systems". In </w:t>
      </w:r>
      <w:r w:rsidRPr="00C34BBE">
        <w:rPr>
          <w:rFonts w:ascii="Calibri Light" w:hAnsi="Calibri Light" w:cs="Calibri Light"/>
          <w:i/>
          <w:iCs/>
          <w:sz w:val="20"/>
          <w:szCs w:val="20"/>
        </w:rPr>
        <w:t>Handbook of Human Factors and Ergonomics</w:t>
      </w:r>
      <w:r w:rsidRPr="00C34BBE">
        <w:rPr>
          <w:rFonts w:ascii="Calibri Light" w:hAnsi="Calibri Light" w:cs="Calibri Light"/>
          <w:sz w:val="20"/>
          <w:szCs w:val="20"/>
        </w:rPr>
        <w:t>, Wiley, 2021. doi: 10.1002/9781119636113.ch16.</w:t>
      </w:r>
    </w:p>
    <w:p w14:paraId="0A8068B5"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[30]</w:t>
      </w:r>
      <w:r w:rsidRPr="00C34BBE">
        <w:rPr>
          <w:rFonts w:ascii="Calibri Light" w:hAnsi="Calibri Light" w:cs="Calibri Light"/>
          <w:sz w:val="20"/>
          <w:szCs w:val="20"/>
        </w:rPr>
        <w:tab/>
        <w:t xml:space="preserve">E. B. Sulistiarini and U. Widyagama, </w:t>
      </w:r>
      <w:r w:rsidRPr="00C34BBE">
        <w:rPr>
          <w:rFonts w:ascii="Calibri Light" w:hAnsi="Calibri Light" w:cs="Calibri Light"/>
          <w:i/>
          <w:iCs/>
          <w:sz w:val="20"/>
          <w:szCs w:val="20"/>
        </w:rPr>
        <w:t>Kognitif Ergonomi dan Beban Kerja --- Buku Referensi</w:t>
      </w:r>
      <w:r w:rsidRPr="00C34BBE">
        <w:rPr>
          <w:rFonts w:ascii="Calibri Light" w:hAnsi="Calibri Light" w:cs="Calibri Light"/>
          <w:sz w:val="20"/>
          <w:szCs w:val="20"/>
        </w:rPr>
        <w:t>, STRADA Press, July. 2020.</w:t>
      </w:r>
    </w:p>
    <w:p w14:paraId="7B3D8D97"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[31]</w:t>
      </w:r>
      <w:r w:rsidRPr="00C34BBE">
        <w:rPr>
          <w:rFonts w:ascii="Calibri Light" w:hAnsi="Calibri Light" w:cs="Calibri Light"/>
          <w:sz w:val="20"/>
          <w:szCs w:val="20"/>
        </w:rPr>
        <w:tab/>
        <w:t xml:space="preserve">F. Ishartomo, B. Suhardi, and J. M. Rohani, “Ergonomic principles in traffic signs comprehension: A literature review,” </w:t>
      </w:r>
      <w:r w:rsidRPr="00C34BBE">
        <w:rPr>
          <w:rFonts w:ascii="Calibri Light" w:hAnsi="Calibri Light" w:cs="Calibri Light"/>
          <w:i/>
          <w:iCs/>
          <w:sz w:val="20"/>
          <w:szCs w:val="20"/>
        </w:rPr>
        <w:t>AIP Conf. Proc.</w:t>
      </w:r>
      <w:r w:rsidRPr="00C34BBE">
        <w:rPr>
          <w:rFonts w:ascii="Calibri Light" w:hAnsi="Calibri Light" w:cs="Calibri Light"/>
          <w:sz w:val="20"/>
          <w:szCs w:val="20"/>
        </w:rPr>
        <w:t>, vol. 2217, no. April, 2020, doi: 10.1063/5.0000701.</w:t>
      </w:r>
    </w:p>
    <w:p w14:paraId="036DCFA6"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[32]</w:t>
      </w:r>
      <w:r w:rsidRPr="00C34BBE">
        <w:rPr>
          <w:rFonts w:ascii="Calibri Light" w:hAnsi="Calibri Light" w:cs="Calibri Light"/>
          <w:sz w:val="20"/>
          <w:szCs w:val="20"/>
        </w:rPr>
        <w:tab/>
        <w:t xml:space="preserve">D. Junaedi and A. Cholisana, “Perancangan Visual Display Informasi Dengan Pendekatan Ergonomi,” </w:t>
      </w:r>
      <w:r w:rsidRPr="00C34BBE">
        <w:rPr>
          <w:rFonts w:ascii="Calibri Light" w:hAnsi="Calibri Light" w:cs="Calibri Light"/>
          <w:i/>
          <w:iCs/>
          <w:sz w:val="20"/>
          <w:szCs w:val="20"/>
        </w:rPr>
        <w:t>J. Penelit. dan Apl. Sist. Tek. Ind.</w:t>
      </w:r>
      <w:r w:rsidRPr="00C34BBE">
        <w:rPr>
          <w:rFonts w:ascii="Calibri Light" w:hAnsi="Calibri Light" w:cs="Calibri Light"/>
          <w:sz w:val="20"/>
          <w:szCs w:val="20"/>
        </w:rPr>
        <w:t>, vol. 15, no. 2, pp. 137–146, 2021.</w:t>
      </w:r>
    </w:p>
    <w:p w14:paraId="26C3B519"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lastRenderedPageBreak/>
        <w:t>[33]</w:t>
      </w:r>
      <w:r w:rsidRPr="00C34BBE">
        <w:rPr>
          <w:rFonts w:ascii="Calibri Light" w:hAnsi="Calibri Light" w:cs="Calibri Light"/>
          <w:sz w:val="20"/>
          <w:szCs w:val="20"/>
        </w:rPr>
        <w:tab/>
        <w:t xml:space="preserve">S. Berrio, L. H. Barrero, L. Zambrano, and E. Papadimitriou, “Ergonomic factors affecting comprehension levels of traffic signs: A critical review,” </w:t>
      </w:r>
      <w:r w:rsidRPr="00C34BBE">
        <w:rPr>
          <w:rFonts w:ascii="Calibri Light" w:hAnsi="Calibri Light" w:cs="Calibri Light"/>
          <w:i/>
          <w:iCs/>
          <w:sz w:val="20"/>
          <w:szCs w:val="20"/>
        </w:rPr>
        <w:t>Int. J. Transp. Sci. Technol.</w:t>
      </w:r>
      <w:r w:rsidRPr="00C34BBE">
        <w:rPr>
          <w:rFonts w:ascii="Calibri Light" w:hAnsi="Calibri Light" w:cs="Calibri Light"/>
          <w:sz w:val="20"/>
          <w:szCs w:val="20"/>
        </w:rPr>
        <w:t>, vol. 12, no. 3, pp. 848–861, 2023, doi: 10.1016/j.ijtst.2022.08.004.</w:t>
      </w:r>
    </w:p>
    <w:p w14:paraId="3D0756D9"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[34]</w:t>
      </w:r>
      <w:r w:rsidRPr="00C34BBE">
        <w:rPr>
          <w:rFonts w:ascii="Calibri Light" w:hAnsi="Calibri Light" w:cs="Calibri Light"/>
          <w:sz w:val="20"/>
          <w:szCs w:val="20"/>
        </w:rPr>
        <w:tab/>
        <w:t xml:space="preserve">M. U. Setyoningrum, “Cara Pemimpin Perempuan Dalam Mengelola Konflik Di Organisasi Kemahasiswaan,” </w:t>
      </w:r>
      <w:r w:rsidRPr="00C34BBE">
        <w:rPr>
          <w:rFonts w:ascii="Calibri Light" w:hAnsi="Calibri Light" w:cs="Calibri Light"/>
          <w:i/>
          <w:iCs/>
          <w:sz w:val="20"/>
          <w:szCs w:val="20"/>
        </w:rPr>
        <w:t>Borneo J. Islam. Educ.</w:t>
      </w:r>
      <w:r w:rsidRPr="00C34BBE">
        <w:rPr>
          <w:rFonts w:ascii="Calibri Light" w:hAnsi="Calibri Light" w:cs="Calibri Light"/>
          <w:sz w:val="20"/>
          <w:szCs w:val="20"/>
        </w:rPr>
        <w:t xml:space="preserve">, vol. I, no. 2, 2021, </w:t>
      </w:r>
    </w:p>
    <w:p w14:paraId="5D9BA9B5"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[35]</w:t>
      </w:r>
      <w:r w:rsidRPr="00C34BBE">
        <w:rPr>
          <w:rFonts w:ascii="Calibri Light" w:hAnsi="Calibri Light" w:cs="Calibri Light"/>
          <w:sz w:val="20"/>
          <w:szCs w:val="20"/>
        </w:rPr>
        <w:tab/>
        <w:t xml:space="preserve">T. Kurushima </w:t>
      </w:r>
      <w:r w:rsidRPr="00C34BBE">
        <w:rPr>
          <w:rFonts w:ascii="Calibri Light" w:hAnsi="Calibri Light" w:cs="Calibri Light"/>
          <w:i/>
          <w:iCs/>
          <w:sz w:val="20"/>
          <w:szCs w:val="20"/>
        </w:rPr>
        <w:t>et al.</w:t>
      </w:r>
      <w:r w:rsidRPr="00C34BBE">
        <w:rPr>
          <w:rFonts w:ascii="Calibri Light" w:hAnsi="Calibri Light" w:cs="Calibri Light"/>
          <w:sz w:val="20"/>
          <w:szCs w:val="20"/>
        </w:rPr>
        <w:t xml:space="preserve">, “A study on legibility with pairwise comparison in simultaneous multilingual display on digital signage,” </w:t>
      </w:r>
      <w:r w:rsidRPr="00C34BBE">
        <w:rPr>
          <w:rFonts w:ascii="Calibri Light" w:hAnsi="Calibri Light" w:cs="Calibri Light"/>
          <w:i/>
          <w:iCs/>
          <w:sz w:val="20"/>
          <w:szCs w:val="20"/>
        </w:rPr>
        <w:t>CHIRA 2019 - Proc. 3rd Int. Conf. Comput. Interact. Res. Appl.</w:t>
      </w:r>
      <w:r w:rsidRPr="00C34BBE">
        <w:rPr>
          <w:rFonts w:ascii="Calibri Light" w:hAnsi="Calibri Light" w:cs="Calibri Light"/>
          <w:sz w:val="20"/>
          <w:szCs w:val="20"/>
        </w:rPr>
        <w:t>, no. Chira, pp. 112–119, 2019, doi: 10.5220/0008162101120119.</w:t>
      </w:r>
    </w:p>
    <w:p w14:paraId="37CA6DA8"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[36]</w:t>
      </w:r>
      <w:r w:rsidRPr="00C34BBE">
        <w:rPr>
          <w:rFonts w:ascii="Calibri Light" w:hAnsi="Calibri Light" w:cs="Calibri Light"/>
          <w:sz w:val="20"/>
          <w:szCs w:val="20"/>
        </w:rPr>
        <w:tab/>
        <w:t xml:space="preserve">A. Arditi, “Rethinking ADA signage standards for low-vision accessibility,” </w:t>
      </w:r>
      <w:r w:rsidRPr="00C34BBE">
        <w:rPr>
          <w:rFonts w:ascii="Calibri Light" w:hAnsi="Calibri Light" w:cs="Calibri Light"/>
          <w:i/>
          <w:iCs/>
          <w:sz w:val="20"/>
          <w:szCs w:val="20"/>
        </w:rPr>
        <w:t>J. Vis.</w:t>
      </w:r>
      <w:r w:rsidRPr="00C34BBE">
        <w:rPr>
          <w:rFonts w:ascii="Calibri Light" w:hAnsi="Calibri Light" w:cs="Calibri Light"/>
          <w:sz w:val="20"/>
          <w:szCs w:val="20"/>
        </w:rPr>
        <w:t>, vol. 17, no. 5, pp. 1–20, 2017, doi: 10.1167/17.5.8.</w:t>
      </w:r>
    </w:p>
    <w:p w14:paraId="6BDD84E5"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[37]</w:t>
      </w:r>
      <w:r w:rsidRPr="00C34BBE">
        <w:rPr>
          <w:rFonts w:ascii="Calibri Light" w:hAnsi="Calibri Light" w:cs="Calibri Light"/>
          <w:sz w:val="20"/>
          <w:szCs w:val="20"/>
        </w:rPr>
        <w:tab/>
        <w:t xml:space="preserve">The Study Committee of Public Information Symbols, </w:t>
      </w:r>
      <w:r w:rsidRPr="00C34BBE">
        <w:rPr>
          <w:rFonts w:ascii="Calibri Light" w:hAnsi="Calibri Light" w:cs="Calibri Light"/>
          <w:i/>
          <w:iCs/>
          <w:sz w:val="20"/>
          <w:szCs w:val="20"/>
        </w:rPr>
        <w:t>Public Information Symbols Guideline 2021</w:t>
      </w:r>
      <w:r w:rsidRPr="00C34BBE">
        <w:rPr>
          <w:rFonts w:ascii="Calibri Light" w:hAnsi="Calibri Light" w:cs="Calibri Light"/>
          <w:sz w:val="20"/>
          <w:szCs w:val="20"/>
        </w:rPr>
        <w:t>. 2021.</w:t>
      </w:r>
    </w:p>
    <w:p w14:paraId="2C402E3E"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[38]</w:t>
      </w:r>
      <w:r w:rsidRPr="00C34BBE">
        <w:rPr>
          <w:rFonts w:ascii="Calibri Light" w:hAnsi="Calibri Light" w:cs="Calibri Light"/>
          <w:sz w:val="20"/>
          <w:szCs w:val="20"/>
        </w:rPr>
        <w:tab/>
        <w:t xml:space="preserve">A. Halim, “Dialektika Hadis Nabi dengan Budaya Lokal Arab,” </w:t>
      </w:r>
      <w:r w:rsidRPr="00C34BBE">
        <w:rPr>
          <w:rFonts w:ascii="Calibri Light" w:hAnsi="Calibri Light" w:cs="Calibri Light"/>
          <w:i/>
          <w:iCs/>
          <w:sz w:val="20"/>
          <w:szCs w:val="20"/>
        </w:rPr>
        <w:t>DINIKA  Acad. J. Islam. Stud.</w:t>
      </w:r>
      <w:r w:rsidRPr="00C34BBE">
        <w:rPr>
          <w:rFonts w:ascii="Calibri Light" w:hAnsi="Calibri Light" w:cs="Calibri Light"/>
          <w:sz w:val="20"/>
          <w:szCs w:val="20"/>
        </w:rPr>
        <w:t>, vol. 4, no. 1, pp. 65–82, 2020, doi: 10.22515/dinika.v4i1.2060.</w:t>
      </w:r>
    </w:p>
    <w:p w14:paraId="353ACD7A"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[39]</w:t>
      </w:r>
      <w:r w:rsidRPr="00C34BBE">
        <w:rPr>
          <w:rFonts w:ascii="Calibri Light" w:hAnsi="Calibri Light" w:cs="Calibri Light"/>
          <w:sz w:val="20"/>
          <w:szCs w:val="20"/>
        </w:rPr>
        <w:tab/>
        <w:t xml:space="preserve">Badan Standardisasi Nasional, “SNI 03-6574-2001 tentang Tata Cara Perancangan Pencahayaan Darurat, Tanda arah dan Sistem Peringatan Bahaya Pada Bangunan Gedung,” </w:t>
      </w:r>
      <w:r w:rsidRPr="00C34BBE">
        <w:rPr>
          <w:rFonts w:ascii="Calibri Light" w:hAnsi="Calibri Light" w:cs="Calibri Light"/>
          <w:i/>
          <w:iCs/>
          <w:sz w:val="20"/>
          <w:szCs w:val="20"/>
        </w:rPr>
        <w:t>Badan Standarisasi Nas.</w:t>
      </w:r>
      <w:r w:rsidRPr="00C34BBE">
        <w:rPr>
          <w:rFonts w:ascii="Calibri Light" w:hAnsi="Calibri Light" w:cs="Calibri Light"/>
          <w:sz w:val="20"/>
          <w:szCs w:val="20"/>
        </w:rPr>
        <w:t>, pp. 1–22, 2001.</w:t>
      </w:r>
    </w:p>
    <w:p w14:paraId="2BE989B4"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[40]</w:t>
      </w:r>
      <w:r w:rsidRPr="00C34BBE">
        <w:rPr>
          <w:rFonts w:ascii="Calibri Light" w:hAnsi="Calibri Light" w:cs="Calibri Light"/>
          <w:sz w:val="20"/>
          <w:szCs w:val="20"/>
        </w:rPr>
        <w:tab/>
        <w:t xml:space="preserve">American National Standard Institute, </w:t>
      </w:r>
      <w:r w:rsidRPr="00C34BBE">
        <w:rPr>
          <w:rFonts w:ascii="Calibri Light" w:hAnsi="Calibri Light" w:cs="Calibri Light"/>
          <w:i/>
          <w:iCs/>
          <w:sz w:val="20"/>
          <w:szCs w:val="20"/>
        </w:rPr>
        <w:t>Accessible and Usable Buildings and Facilities</w:t>
      </w:r>
      <w:r w:rsidRPr="00C34BBE">
        <w:rPr>
          <w:rFonts w:ascii="Calibri Light" w:hAnsi="Calibri Light" w:cs="Calibri Light"/>
          <w:sz w:val="20"/>
          <w:szCs w:val="20"/>
        </w:rPr>
        <w:t>. 2013.</w:t>
      </w:r>
    </w:p>
    <w:p w14:paraId="395483B3"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[41]</w:t>
      </w:r>
      <w:r w:rsidRPr="00C34BBE">
        <w:rPr>
          <w:rFonts w:ascii="Calibri Light" w:hAnsi="Calibri Light" w:cs="Calibri Light"/>
          <w:sz w:val="20"/>
          <w:szCs w:val="20"/>
        </w:rPr>
        <w:tab/>
        <w:t>Norfiza and Infi, “Kajian Antropometri &amp; Ergonomi,” vol. 5, no. 2, pp. 449–459, 2011.</w:t>
      </w:r>
    </w:p>
    <w:p w14:paraId="7A4D448A"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[42]</w:t>
      </w:r>
      <w:r w:rsidRPr="00C34BBE">
        <w:rPr>
          <w:rFonts w:ascii="Calibri Light" w:hAnsi="Calibri Light" w:cs="Calibri Light"/>
          <w:sz w:val="20"/>
          <w:szCs w:val="20"/>
        </w:rPr>
        <w:tab/>
        <w:t xml:space="preserve">E. Crundall, D. R. Large, and G. Burnett, “A driving simulator study to explore the effects of text size on the visual demand of in-vehicle displays,” </w:t>
      </w:r>
      <w:r w:rsidRPr="00C34BBE">
        <w:rPr>
          <w:rFonts w:ascii="Calibri Light" w:hAnsi="Calibri Light" w:cs="Calibri Light"/>
          <w:i/>
          <w:iCs/>
          <w:sz w:val="20"/>
          <w:szCs w:val="20"/>
        </w:rPr>
        <w:t>Displays</w:t>
      </w:r>
      <w:r w:rsidRPr="00C34BBE">
        <w:rPr>
          <w:rFonts w:ascii="Calibri Light" w:hAnsi="Calibri Light" w:cs="Calibri Light"/>
          <w:sz w:val="20"/>
          <w:szCs w:val="20"/>
        </w:rPr>
        <w:t>, vol. 43, pp. 23–29, 2016, doi: 10.1016/j.displa.2016.05.003.</w:t>
      </w:r>
    </w:p>
    <w:p w14:paraId="014B4C29"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[43]</w:t>
      </w:r>
      <w:r w:rsidRPr="00C34BBE">
        <w:rPr>
          <w:rFonts w:ascii="Calibri Light" w:hAnsi="Calibri Light" w:cs="Calibri Light"/>
          <w:sz w:val="20"/>
          <w:szCs w:val="20"/>
        </w:rPr>
        <w:tab/>
        <w:t>E. Meyer, P. Atchley, A. Professor, L. Hoffman, and I. Ahmed, “Assessing the Effect of Glare on Sign Legibility,” no. 785, 2011.</w:t>
      </w:r>
    </w:p>
    <w:p w14:paraId="40B57545"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[44]</w:t>
      </w:r>
      <w:r w:rsidRPr="00C34BBE">
        <w:rPr>
          <w:rFonts w:ascii="Calibri Light" w:hAnsi="Calibri Light" w:cs="Calibri Light"/>
          <w:sz w:val="20"/>
          <w:szCs w:val="20"/>
        </w:rPr>
        <w:tab/>
        <w:t xml:space="preserve">H. Yu, T. Akita, T. Koga, and N. Sano, “Effect of character contrast ratio of tablet PC and ambient device luminance ratio on readability in low ambient illuminance,” </w:t>
      </w:r>
      <w:r w:rsidRPr="00C34BBE">
        <w:rPr>
          <w:rFonts w:ascii="Calibri Light" w:hAnsi="Calibri Light" w:cs="Calibri Light"/>
          <w:i/>
          <w:iCs/>
          <w:sz w:val="20"/>
          <w:szCs w:val="20"/>
        </w:rPr>
        <w:t>Displays</w:t>
      </w:r>
      <w:r w:rsidRPr="00C34BBE">
        <w:rPr>
          <w:rFonts w:ascii="Calibri Light" w:hAnsi="Calibri Light" w:cs="Calibri Light"/>
          <w:sz w:val="20"/>
          <w:szCs w:val="20"/>
        </w:rPr>
        <w:t>, vol. 52, no. November 2017, pp. 46–54, 2018, doi: 10.1016/j.displa.2018.03.002.</w:t>
      </w:r>
    </w:p>
    <w:p w14:paraId="0C60B0A3"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[45]</w:t>
      </w:r>
      <w:r w:rsidRPr="00C34BBE">
        <w:rPr>
          <w:rFonts w:ascii="Calibri Light" w:hAnsi="Calibri Light" w:cs="Calibri Light"/>
          <w:sz w:val="20"/>
          <w:szCs w:val="20"/>
        </w:rPr>
        <w:tab/>
        <w:t xml:space="preserve">M. S. Rea and M. J. Ouellette, “Relative visual performance: A basis for application,” </w:t>
      </w:r>
      <w:r w:rsidRPr="00C34BBE">
        <w:rPr>
          <w:rFonts w:ascii="Calibri Light" w:hAnsi="Calibri Light" w:cs="Calibri Light"/>
          <w:i/>
          <w:iCs/>
          <w:sz w:val="20"/>
          <w:szCs w:val="20"/>
        </w:rPr>
        <w:t>light. Res. Technol.</w:t>
      </w:r>
      <w:r w:rsidRPr="00C34BBE">
        <w:rPr>
          <w:rFonts w:ascii="Calibri Light" w:hAnsi="Calibri Light" w:cs="Calibri Light"/>
          <w:sz w:val="20"/>
          <w:szCs w:val="20"/>
        </w:rPr>
        <w:t>, vol. 23, no. 3, pp. 135–144, 1991, doi: 10.1177/096032719102300301.</w:t>
      </w:r>
    </w:p>
    <w:p w14:paraId="7465109D"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[46]</w:t>
      </w:r>
      <w:r w:rsidRPr="00C34BBE">
        <w:rPr>
          <w:rFonts w:ascii="Calibri Light" w:hAnsi="Calibri Light" w:cs="Calibri Light"/>
          <w:sz w:val="20"/>
          <w:szCs w:val="20"/>
        </w:rPr>
        <w:tab/>
        <w:t xml:space="preserve">Z. J. Khan, “Wayfinding experience in healthcare: Investigation of the factors contributing to visitors’ wayfinding experience within a hospital complex,” </w:t>
      </w:r>
      <w:r w:rsidRPr="00C34BBE">
        <w:rPr>
          <w:rFonts w:ascii="Calibri Light" w:hAnsi="Calibri Light" w:cs="Calibri Light"/>
          <w:i/>
          <w:iCs/>
          <w:sz w:val="20"/>
          <w:szCs w:val="20"/>
        </w:rPr>
        <w:t>SEU J. Sci. Eng.</w:t>
      </w:r>
      <w:r w:rsidRPr="00C34BBE">
        <w:rPr>
          <w:rFonts w:ascii="Calibri Light" w:hAnsi="Calibri Light" w:cs="Calibri Light"/>
          <w:sz w:val="20"/>
          <w:szCs w:val="20"/>
        </w:rPr>
        <w:t>, vol. 13, no. 1, pp. 13–21, 2019.</w:t>
      </w:r>
    </w:p>
    <w:p w14:paraId="643B481A"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[47]</w:t>
      </w:r>
      <w:r w:rsidRPr="00C34BBE">
        <w:rPr>
          <w:rFonts w:ascii="Calibri Light" w:hAnsi="Calibri Light" w:cs="Calibri Light"/>
          <w:sz w:val="20"/>
          <w:szCs w:val="20"/>
        </w:rPr>
        <w:tab/>
        <w:t xml:space="preserve">R. A. Morris, K. Aquilante, D. Yager, and C. Bigelow, “P‐13: Serifs Slow RSVP Reading at Very Small Sizes, but Don’t Matter at Larger Sizes,” </w:t>
      </w:r>
      <w:r w:rsidRPr="00C34BBE">
        <w:rPr>
          <w:rFonts w:ascii="Calibri Light" w:hAnsi="Calibri Light" w:cs="Calibri Light"/>
          <w:i/>
          <w:iCs/>
          <w:sz w:val="20"/>
          <w:szCs w:val="20"/>
        </w:rPr>
        <w:t>SID Symp. Dig. Tech. Pap.</w:t>
      </w:r>
      <w:r w:rsidRPr="00C34BBE">
        <w:rPr>
          <w:rFonts w:ascii="Calibri Light" w:hAnsi="Calibri Light" w:cs="Calibri Light"/>
          <w:sz w:val="20"/>
          <w:szCs w:val="20"/>
        </w:rPr>
        <w:t>, vol. 33, no. 1, pp. 244–247, 2002, doi: 10.1889/1.1830242.</w:t>
      </w:r>
    </w:p>
    <w:p w14:paraId="5149EB08"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[48]</w:t>
      </w:r>
      <w:r w:rsidRPr="00C34BBE">
        <w:rPr>
          <w:rFonts w:ascii="Calibri Light" w:hAnsi="Calibri Light" w:cs="Calibri Light"/>
          <w:sz w:val="20"/>
          <w:szCs w:val="20"/>
        </w:rPr>
        <w:tab/>
        <w:t xml:space="preserve">S. Beier, </w:t>
      </w:r>
      <w:r w:rsidRPr="00C34BBE">
        <w:rPr>
          <w:rFonts w:ascii="Calibri Light" w:hAnsi="Calibri Light" w:cs="Calibri Light"/>
          <w:i/>
          <w:iCs/>
          <w:sz w:val="20"/>
          <w:szCs w:val="20"/>
        </w:rPr>
        <w:t>Reading Letters:</w:t>
      </w:r>
      <w:r w:rsidRPr="00C34BBE">
        <w:rPr>
          <w:rFonts w:ascii="Calibri Light" w:hAnsi="Calibri Light" w:cs="Calibri Light"/>
          <w:sz w:val="20"/>
          <w:szCs w:val="20"/>
        </w:rPr>
        <w:t xml:space="preserve"> </w:t>
      </w:r>
      <w:r w:rsidRPr="00C34BBE">
        <w:rPr>
          <w:rFonts w:ascii="Calibri Light" w:hAnsi="Calibri Light" w:cs="Calibri Light"/>
          <w:i/>
          <w:iCs/>
          <w:sz w:val="20"/>
          <w:szCs w:val="20"/>
        </w:rPr>
        <w:t>Designing for Legibility</w:t>
      </w:r>
      <w:r w:rsidRPr="00C34BBE">
        <w:rPr>
          <w:rFonts w:ascii="Calibri Light" w:hAnsi="Calibri Light" w:cs="Calibri Light"/>
          <w:sz w:val="20"/>
          <w:szCs w:val="20"/>
        </w:rPr>
        <w:t>. Amsterdam. Bis Publishers. 2011.</w:t>
      </w:r>
    </w:p>
    <w:p w14:paraId="1BCA66BA"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[49]</w:t>
      </w:r>
      <w:r w:rsidRPr="00C34BBE">
        <w:rPr>
          <w:rFonts w:ascii="Calibri Light" w:hAnsi="Calibri Light" w:cs="Calibri Light"/>
          <w:sz w:val="20"/>
          <w:szCs w:val="20"/>
        </w:rPr>
        <w:tab/>
        <w:t xml:space="preserve">T. Nilsson, </w:t>
      </w:r>
      <w:r w:rsidRPr="00C34BBE">
        <w:rPr>
          <w:rFonts w:ascii="Calibri Light" w:hAnsi="Calibri Light" w:cs="Calibri Light"/>
          <w:i/>
          <w:iCs/>
          <w:sz w:val="20"/>
          <w:szCs w:val="20"/>
        </w:rPr>
        <w:t>Legibility of colored print International Encyclopedia of Ergonomics</w:t>
      </w:r>
      <w:r w:rsidRPr="00C34BBE">
        <w:rPr>
          <w:rFonts w:ascii="Calibri Light" w:hAnsi="Calibri Light" w:cs="Calibri Light"/>
          <w:sz w:val="20"/>
          <w:szCs w:val="20"/>
        </w:rPr>
        <w:t>, 2</w:t>
      </w:r>
      <w:r w:rsidRPr="00C34BBE">
        <w:rPr>
          <w:rFonts w:ascii="Calibri Light" w:hAnsi="Calibri Light" w:cs="Calibri Light"/>
          <w:sz w:val="20"/>
          <w:szCs w:val="20"/>
          <w:vertAlign w:val="superscript"/>
        </w:rPr>
        <w:t>nd</w:t>
      </w:r>
      <w:r w:rsidRPr="00C34BBE">
        <w:rPr>
          <w:rFonts w:ascii="Calibri Light" w:hAnsi="Calibri Light" w:cs="Calibri Light"/>
          <w:sz w:val="20"/>
          <w:szCs w:val="20"/>
        </w:rPr>
        <w:t xml:space="preserve"> Edition, New York: CRC Press , 2006.</w:t>
      </w:r>
    </w:p>
    <w:p w14:paraId="3ED3B8B9"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[50]</w:t>
      </w:r>
      <w:r w:rsidRPr="00C34BBE">
        <w:rPr>
          <w:rFonts w:ascii="Calibri Light" w:hAnsi="Calibri Light" w:cs="Calibri Light"/>
          <w:sz w:val="20"/>
          <w:szCs w:val="20"/>
        </w:rPr>
        <w:tab/>
        <w:t xml:space="preserve">T. Ben-Bassat and D. Shinar, “Ergonomic guidelines for traffic sign design increase sign comprehension,” </w:t>
      </w:r>
      <w:r w:rsidRPr="00C34BBE">
        <w:rPr>
          <w:rFonts w:ascii="Calibri Light" w:hAnsi="Calibri Light" w:cs="Calibri Light"/>
          <w:i/>
          <w:iCs/>
          <w:sz w:val="20"/>
          <w:szCs w:val="20"/>
        </w:rPr>
        <w:t>Hum. Factors</w:t>
      </w:r>
      <w:r w:rsidRPr="00C34BBE">
        <w:rPr>
          <w:rFonts w:ascii="Calibri Light" w:hAnsi="Calibri Light" w:cs="Calibri Light"/>
          <w:sz w:val="20"/>
          <w:szCs w:val="20"/>
        </w:rPr>
        <w:t>, vol. 48, no. 1, pp. 182–195, 2006, doi: 10.1518/001872006776412298.</w:t>
      </w:r>
    </w:p>
    <w:p w14:paraId="5B62722A"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[51]</w:t>
      </w:r>
      <w:r w:rsidRPr="00C34BBE">
        <w:rPr>
          <w:rFonts w:ascii="Calibri Light" w:hAnsi="Calibri Light" w:cs="Calibri Light"/>
          <w:sz w:val="20"/>
          <w:szCs w:val="20"/>
        </w:rPr>
        <w:tab/>
        <w:t xml:space="preserve">Y. K. Ou and Y. C. Liu, “Effects of sign design features and training on comprehension of traffic signs in Taiwanese and Vietnamese user groups,” </w:t>
      </w:r>
      <w:r w:rsidRPr="00C34BBE">
        <w:rPr>
          <w:rFonts w:ascii="Calibri Light" w:hAnsi="Calibri Light" w:cs="Calibri Light"/>
          <w:i/>
          <w:iCs/>
          <w:sz w:val="20"/>
          <w:szCs w:val="20"/>
        </w:rPr>
        <w:t>Int. J. Ind. Ergon.</w:t>
      </w:r>
      <w:r w:rsidRPr="00C34BBE">
        <w:rPr>
          <w:rFonts w:ascii="Calibri Light" w:hAnsi="Calibri Light" w:cs="Calibri Light"/>
          <w:sz w:val="20"/>
          <w:szCs w:val="20"/>
        </w:rPr>
        <w:t>, vol. 42, no. 1, pp. 1–7, 2012, doi: 10.1016/j.ergon.2011.08.009.</w:t>
      </w:r>
    </w:p>
    <w:p w14:paraId="6AC290BE"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lastRenderedPageBreak/>
        <w:t>[52]</w:t>
      </w:r>
      <w:r w:rsidRPr="00C34BBE">
        <w:rPr>
          <w:rFonts w:ascii="Calibri Light" w:hAnsi="Calibri Light" w:cs="Calibri Light"/>
          <w:sz w:val="20"/>
          <w:szCs w:val="20"/>
        </w:rPr>
        <w:tab/>
        <w:t xml:space="preserve">S. Lee, S. S. Dazkir, H. S. Paik, and A. Coskun, “Comprehensibility of universal healthcare symbols for wayfinding inhealthcare facilities,” </w:t>
      </w:r>
      <w:r w:rsidRPr="00C34BBE">
        <w:rPr>
          <w:rFonts w:ascii="Calibri Light" w:hAnsi="Calibri Light" w:cs="Calibri Light"/>
          <w:i/>
          <w:iCs/>
          <w:sz w:val="20"/>
          <w:szCs w:val="20"/>
        </w:rPr>
        <w:t>Appl. Ergon.</w:t>
      </w:r>
      <w:r w:rsidRPr="00C34BBE">
        <w:rPr>
          <w:rFonts w:ascii="Calibri Light" w:hAnsi="Calibri Light" w:cs="Calibri Light"/>
          <w:sz w:val="20"/>
          <w:szCs w:val="20"/>
        </w:rPr>
        <w:t>, vol. 45, no. 4, pp. 878–885, 2014, doi: 10.1016/j.apergo.2013.11.003.</w:t>
      </w:r>
    </w:p>
    <w:p w14:paraId="4537C0E9"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[53]</w:t>
      </w:r>
      <w:r w:rsidRPr="00C34BBE">
        <w:rPr>
          <w:rFonts w:ascii="Calibri Light" w:hAnsi="Calibri Light" w:cs="Calibri Light"/>
          <w:sz w:val="20"/>
          <w:szCs w:val="20"/>
        </w:rPr>
        <w:tab/>
        <w:t xml:space="preserve">J. B. Rousek and M. S. Hallbeck, “Improving and analyzing signage within a healthcare setting,” </w:t>
      </w:r>
      <w:r w:rsidRPr="00C34BBE">
        <w:rPr>
          <w:rFonts w:ascii="Calibri Light" w:hAnsi="Calibri Light" w:cs="Calibri Light"/>
          <w:i/>
          <w:iCs/>
          <w:sz w:val="20"/>
          <w:szCs w:val="20"/>
        </w:rPr>
        <w:t>Appl. Ergon.</w:t>
      </w:r>
      <w:r w:rsidRPr="00C34BBE">
        <w:rPr>
          <w:rFonts w:ascii="Calibri Light" w:hAnsi="Calibri Light" w:cs="Calibri Light"/>
          <w:sz w:val="20"/>
          <w:szCs w:val="20"/>
        </w:rPr>
        <w:t>, vol. 42, no. 6, pp. 771–784, 2011, doi: 10.1016/j.apergo.2010.12.004.</w:t>
      </w:r>
    </w:p>
    <w:p w14:paraId="06F0761A" w14:textId="77777777" w:rsidR="00C34BBE" w:rsidRPr="00C34BBE" w:rsidRDefault="00C34BBE" w:rsidP="00C34BBE">
      <w:pPr>
        <w:spacing w:after="240"/>
        <w:ind w:left="426" w:hanging="426"/>
        <w:jc w:val="both"/>
        <w:rPr>
          <w:rFonts w:ascii="Calibri Light" w:hAnsi="Calibri Light" w:cs="Calibri Light"/>
          <w:sz w:val="20"/>
          <w:szCs w:val="20"/>
        </w:rPr>
      </w:pPr>
      <w:r w:rsidRPr="00C34BBE">
        <w:rPr>
          <w:rFonts w:ascii="Calibri Light" w:hAnsi="Calibri Light" w:cs="Calibri Light"/>
          <w:sz w:val="20"/>
          <w:szCs w:val="20"/>
        </w:rPr>
        <w:t>[54]</w:t>
      </w:r>
      <w:r w:rsidRPr="00C34BBE">
        <w:rPr>
          <w:rFonts w:ascii="Calibri Light" w:hAnsi="Calibri Light" w:cs="Calibri Light"/>
          <w:sz w:val="20"/>
          <w:szCs w:val="20"/>
        </w:rPr>
        <w:tab/>
        <w:t xml:space="preserve">R. S. Goonetilleke, H. M. Shih, H. K. On, and J. Fritsch, “Effects of training and representational characteristics in icon design,” </w:t>
      </w:r>
      <w:r w:rsidRPr="00C34BBE">
        <w:rPr>
          <w:rFonts w:ascii="Calibri Light" w:hAnsi="Calibri Light" w:cs="Calibri Light"/>
          <w:i/>
          <w:iCs/>
          <w:sz w:val="20"/>
          <w:szCs w:val="20"/>
        </w:rPr>
        <w:t>Int. J. Hum. Comput. Stud.</w:t>
      </w:r>
      <w:r w:rsidRPr="00C34BBE">
        <w:rPr>
          <w:rFonts w:ascii="Calibri Light" w:hAnsi="Calibri Light" w:cs="Calibri Light"/>
          <w:sz w:val="20"/>
          <w:szCs w:val="20"/>
        </w:rPr>
        <w:t>, vol. 55, no. 5, pp. 741–760, 2001, doi: 10.1006/ijhc.2001.0501.</w:t>
      </w:r>
    </w:p>
    <w:p w14:paraId="13594705" w14:textId="188F2273" w:rsidR="00A82AC8" w:rsidRPr="00335DDA" w:rsidRDefault="00C34BBE" w:rsidP="00C34BBE">
      <w:pPr>
        <w:spacing w:after="240"/>
        <w:jc w:val="both"/>
        <w:rPr>
          <w:rFonts w:ascii="Calibri Light" w:hAnsi="Calibri Light" w:cs="Calibri Light"/>
          <w:sz w:val="20"/>
          <w:szCs w:val="20"/>
        </w:rPr>
      </w:pPr>
      <w:r w:rsidRPr="00C34BBE">
        <w:rPr>
          <w:rFonts w:ascii="Calibri Light" w:hAnsi="Calibri Light" w:cs="Calibri Light"/>
          <w:sz w:val="20"/>
          <w:szCs w:val="20"/>
        </w:rPr>
        <w:fldChar w:fldCharType="end"/>
      </w:r>
    </w:p>
    <w:sectPr w:rsidR="00A82AC8" w:rsidRPr="00335DDA" w:rsidSect="00315C9E">
      <w:pgSz w:w="11906" w:h="16838"/>
      <w:pgMar w:top="1418" w:right="1418" w:bottom="1418" w:left="1418" w:header="709" w:footer="709" w:gutter="0"/>
      <w:pgNumType w:start="9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5A631" w14:textId="77777777" w:rsidR="006C3CF8" w:rsidRDefault="006C3CF8">
      <w:r>
        <w:separator/>
      </w:r>
    </w:p>
  </w:endnote>
  <w:endnote w:type="continuationSeparator" w:id="0">
    <w:p w14:paraId="7E0B2BFF" w14:textId="77777777" w:rsidR="006C3CF8" w:rsidRDefault="006C3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ECDF5C9-55F0-4D97-8014-2A8392122A71}"/>
    <w:embedBold r:id="rId2" w:fontKey="{1EA0F135-AD04-4C1A-9B7D-204F3000D687}"/>
  </w:font>
  <w:font w:name="Calibri">
    <w:panose1 w:val="020F0502020204030204"/>
    <w:charset w:val="00"/>
    <w:family w:val="swiss"/>
    <w:pitch w:val="variable"/>
    <w:sig w:usb0="E4002EFF" w:usb1="C200247B" w:usb2="00000009" w:usb3="00000000" w:csb0="000001FF" w:csb1="00000000"/>
    <w:embedRegular r:id="rId3" w:fontKey="{1B50A2C9-516B-4EE5-A073-8846480AF5DD}"/>
    <w:embedBold r:id="rId4" w:fontKey="{2A8A1A9A-385C-4D9B-9E9D-F7E6D43DB5C6}"/>
    <w:embedItalic r:id="rId5" w:fontKey="{C7F18E44-2CBB-4141-9F6B-1C4D06A33790}"/>
  </w:font>
  <w:font w:name="Georgia">
    <w:panose1 w:val="02040502050405020303"/>
    <w:charset w:val="00"/>
    <w:family w:val="roman"/>
    <w:pitch w:val="variable"/>
    <w:sig w:usb0="00000287" w:usb1="00000000" w:usb2="00000000" w:usb3="00000000" w:csb0="0000009F" w:csb1="00000000"/>
    <w:embedItalic r:id="rId6" w:fontKey="{60D5F10B-23F6-4CE3-8CED-95B3DEF15DA5}"/>
  </w:font>
  <w:font w:name="Calibri Light">
    <w:panose1 w:val="020F0302020204030204"/>
    <w:charset w:val="00"/>
    <w:family w:val="swiss"/>
    <w:pitch w:val="variable"/>
    <w:sig w:usb0="E4002EFF" w:usb1="C200247B" w:usb2="00000009" w:usb3="00000000" w:csb0="000001FF" w:csb1="00000000"/>
    <w:embedRegular r:id="rId7" w:fontKey="{5B03D93B-7A03-47CB-86A9-DFF2C49E5899}"/>
    <w:embedBold r:id="rId8" w:fontKey="{04A8B058-D5DA-44F5-A5AB-F7397E4E9EBF}"/>
    <w:embedItalic r:id="rId9" w:fontKey="{9CE21CDE-1E52-4FE5-ABD5-0AEAF1A2214B}"/>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0" w:fontKey="{7EAFEE49-03EA-467A-86A7-5DE4F65B0590}"/>
    <w:embedItalic r:id="rId11" w:fontKey="{86352BEA-A952-4AB6-A3DD-477EA0BF74DD}"/>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1E649EE0"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C34BBE">
      <w:rPr>
        <w:color w:val="000000"/>
        <w:sz w:val="16"/>
        <w:szCs w:val="16"/>
      </w:rPr>
      <w:t>9</w:t>
    </w:r>
    <w:r>
      <w:rPr>
        <w:color w:val="000000"/>
        <w:sz w:val="16"/>
        <w:szCs w:val="16"/>
      </w:rPr>
      <w:t>(</w:t>
    </w:r>
    <w:r w:rsidR="00C34BBE">
      <w:rPr>
        <w:color w:val="000000"/>
        <w:sz w:val="16"/>
        <w:szCs w:val="16"/>
      </w:rPr>
      <w:t>1</w:t>
    </w:r>
    <w:r>
      <w:rPr>
        <w:color w:val="000000"/>
        <w:sz w:val="16"/>
        <w:szCs w:val="16"/>
      </w:rPr>
      <w:t xml:space="preserve">), </w:t>
    </w:r>
    <w:r w:rsidR="00C34BBE">
      <w:rPr>
        <w:color w:val="000000"/>
        <w:sz w:val="16"/>
        <w:szCs w:val="16"/>
      </w:rPr>
      <w:t>June</w:t>
    </w:r>
    <w:r>
      <w:rPr>
        <w:color w:val="000000"/>
        <w:sz w:val="16"/>
        <w:szCs w:val="16"/>
      </w:rPr>
      <w:t xml:space="preserve"> 202</w:t>
    </w:r>
    <w:r w:rsidR="00C34BBE">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5866BC96"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C34BBE">
      <w:rPr>
        <w:color w:val="000000"/>
        <w:sz w:val="16"/>
        <w:szCs w:val="16"/>
      </w:rPr>
      <w:t>9</w:t>
    </w:r>
    <w:r>
      <w:rPr>
        <w:color w:val="000000"/>
        <w:sz w:val="16"/>
        <w:szCs w:val="16"/>
      </w:rPr>
      <w:t>(</w:t>
    </w:r>
    <w:r w:rsidR="00C34BBE">
      <w:rPr>
        <w:color w:val="000000"/>
        <w:sz w:val="16"/>
        <w:szCs w:val="16"/>
      </w:rPr>
      <w:t>1</w:t>
    </w:r>
    <w:r>
      <w:rPr>
        <w:color w:val="000000"/>
        <w:sz w:val="16"/>
        <w:szCs w:val="16"/>
      </w:rPr>
      <w:t xml:space="preserve">), </w:t>
    </w:r>
    <w:r w:rsidR="00C34BBE">
      <w:rPr>
        <w:color w:val="000000"/>
        <w:sz w:val="16"/>
        <w:szCs w:val="16"/>
      </w:rPr>
      <w:t xml:space="preserve">June </w:t>
    </w:r>
    <w:r>
      <w:rPr>
        <w:color w:val="000000"/>
        <w:sz w:val="16"/>
        <w:szCs w:val="16"/>
      </w:rPr>
      <w:t>202</w:t>
    </w:r>
    <w:r w:rsidR="00C34BBE">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F0352" w14:textId="41D95EEF" w:rsidR="00A82AC8" w:rsidRDefault="00315C9E" w:rsidP="00315C9E">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Pr>
        <w:b/>
        <w:bCs/>
        <w:color w:val="000000"/>
        <w:sz w:val="16"/>
        <w:szCs w:val="16"/>
      </w:rPr>
      <w:t>1</w:t>
    </w:r>
    <w:r>
      <w:rPr>
        <w:b/>
        <w:bCs/>
        <w:color w:val="000000"/>
        <w:sz w:val="16"/>
        <w:szCs w:val="16"/>
      </w:rPr>
      <w:fldChar w:fldCharType="end"/>
    </w:r>
    <w:r>
      <w:rPr>
        <w:color w:val="000000"/>
        <w:sz w:val="16"/>
        <w:szCs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36F0" w14:textId="2EDD00D5" w:rsidR="00315C9E" w:rsidRPr="00315C9E" w:rsidRDefault="00315C9E" w:rsidP="00315C9E">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Pr>
        <w:b/>
        <w:bCs/>
        <w:color w:val="000000"/>
        <w:sz w:val="16"/>
        <w:szCs w:val="16"/>
      </w:rPr>
      <w:t>92</w:t>
    </w:r>
    <w:r>
      <w:rPr>
        <w:b/>
        <w:bCs/>
        <w:color w:val="000000"/>
        <w:sz w:val="16"/>
        <w:szCs w:val="16"/>
      </w:rPr>
      <w:fldChar w:fldCharType="end"/>
    </w:r>
    <w:r>
      <w:rPr>
        <w:b/>
        <w:bCs/>
        <w:color w:val="000000"/>
        <w:sz w:val="16"/>
        <w:szCs w:val="16"/>
      </w:rPr>
      <w:t xml:space="preserve"> </w:t>
    </w:r>
    <w:r>
      <w:rPr>
        <w:color w:val="000000"/>
        <w:sz w:val="16"/>
        <w:szCs w:val="16"/>
      </w:rPr>
      <w:t>| Journal of Islamic Architecture 9(1), 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B7EF9" w14:textId="77777777" w:rsidR="006C3CF8" w:rsidRDefault="006C3CF8">
      <w:r>
        <w:separator/>
      </w:r>
    </w:p>
  </w:footnote>
  <w:footnote w:type="continuationSeparator" w:id="0">
    <w:p w14:paraId="6D3B528B" w14:textId="77777777" w:rsidR="006C3CF8" w:rsidRDefault="006C3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03BCC6B3" w:rsidR="00A82AC8" w:rsidRDefault="00933A64">
    <w:pPr>
      <w:pBdr>
        <w:top w:val="nil"/>
        <w:left w:val="nil"/>
        <w:bottom w:val="nil"/>
        <w:right w:val="nil"/>
        <w:between w:val="nil"/>
      </w:pBdr>
      <w:tabs>
        <w:tab w:val="center" w:pos="4513"/>
        <w:tab w:val="right" w:pos="9026"/>
      </w:tabs>
      <w:rPr>
        <w:color w:val="000000"/>
        <w:sz w:val="16"/>
        <w:szCs w:val="16"/>
      </w:rPr>
    </w:pPr>
    <w:r w:rsidRPr="00933A64">
      <w:rPr>
        <w:color w:val="000000"/>
        <w:sz w:val="16"/>
        <w:szCs w:val="16"/>
      </w:rPr>
      <w:t>Evaluation of the Legibility of Wayfinding Signage in Mosques Through the Design of Ergonomic Signage</w:t>
    </w:r>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04271DDD" w:rsidR="00A82AC8" w:rsidRDefault="00C34BBE">
    <w:pPr>
      <w:pBdr>
        <w:top w:val="nil"/>
        <w:left w:val="nil"/>
        <w:bottom w:val="nil"/>
        <w:right w:val="nil"/>
        <w:between w:val="nil"/>
      </w:pBdr>
      <w:tabs>
        <w:tab w:val="center" w:pos="4513"/>
        <w:tab w:val="right" w:pos="9026"/>
      </w:tabs>
      <w:jc w:val="right"/>
      <w:rPr>
        <w:color w:val="000000"/>
        <w:sz w:val="16"/>
        <w:szCs w:val="16"/>
      </w:rPr>
    </w:pPr>
    <w:r w:rsidRPr="00C34BBE">
      <w:rPr>
        <w:color w:val="000000"/>
        <w:sz w:val="16"/>
        <w:szCs w:val="16"/>
      </w:rPr>
      <w:t xml:space="preserve">Bambang Suhardi, Afiq Ramadhan, </w:t>
    </w:r>
    <w:proofErr w:type="spellStart"/>
    <w:r w:rsidRPr="00C34BBE">
      <w:rPr>
        <w:color w:val="000000"/>
        <w:sz w:val="16"/>
        <w:szCs w:val="16"/>
      </w:rPr>
      <w:t>Rahmaniyah</w:t>
    </w:r>
    <w:proofErr w:type="spellEnd"/>
    <w:r w:rsidRPr="00C34BBE">
      <w:rPr>
        <w:color w:val="000000"/>
        <w:sz w:val="16"/>
        <w:szCs w:val="16"/>
      </w:rPr>
      <w:t xml:space="preserve"> Dwi Astuti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D55A2" w14:textId="77777777" w:rsidR="00E63873" w:rsidRDefault="00E63873" w:rsidP="00E63873">
    <w:pPr>
      <w:pBdr>
        <w:top w:val="nil"/>
        <w:left w:val="nil"/>
        <w:bottom w:val="nil"/>
        <w:right w:val="nil"/>
        <w:between w:val="nil"/>
      </w:pBdr>
      <w:tabs>
        <w:tab w:val="center" w:pos="4513"/>
        <w:tab w:val="right" w:pos="9026"/>
      </w:tabs>
      <w:rPr>
        <w:color w:val="000000"/>
        <w:sz w:val="16"/>
        <w:szCs w:val="16"/>
      </w:rPr>
    </w:pPr>
    <w:r w:rsidRPr="00933A64">
      <w:rPr>
        <w:color w:val="000000"/>
        <w:sz w:val="16"/>
        <w:szCs w:val="16"/>
      </w:rPr>
      <w:t>Evaluation of the Legibility of Wayfinding Signage in Mosques Through the Design of Ergonomic Signage</w:t>
    </w:r>
  </w:p>
  <w:p w14:paraId="60C1008E" w14:textId="77777777" w:rsidR="00E63873" w:rsidRDefault="00E638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D02BC8"/>
    <w:multiLevelType w:val="multilevel"/>
    <w:tmpl w:val="51BCEEA8"/>
    <w:lvl w:ilvl="0">
      <w:start w:val="2"/>
      <w:numFmt w:val="decimal"/>
      <w:lvlText w:val="%1."/>
      <w:lvlJc w:val="left"/>
      <w:pPr>
        <w:ind w:left="360" w:hanging="360"/>
      </w:pPr>
      <w:rPr>
        <w:rFonts w:asciiTheme="minorHAnsi" w:hAnsiTheme="minorHAnsi" w:cstheme="minorHAnsi" w:hint="default"/>
        <w:b/>
        <w:sz w:val="18"/>
      </w:rPr>
    </w:lvl>
    <w:lvl w:ilvl="1">
      <w:start w:val="1"/>
      <w:numFmt w:val="decimal"/>
      <w:lvlText w:val="%1.%2."/>
      <w:lvlJc w:val="left"/>
      <w:pPr>
        <w:ind w:left="360" w:hanging="360"/>
      </w:pPr>
      <w:rPr>
        <w:rFonts w:asciiTheme="majorHAnsi" w:hAnsiTheme="majorHAnsi" w:cstheme="majorHAnsi" w:hint="default"/>
        <w:b/>
        <w:sz w:val="18"/>
      </w:rPr>
    </w:lvl>
    <w:lvl w:ilvl="2">
      <w:start w:val="1"/>
      <w:numFmt w:val="decimal"/>
      <w:lvlText w:val="%1.%2.%3."/>
      <w:lvlJc w:val="left"/>
      <w:pPr>
        <w:ind w:left="720" w:hanging="720"/>
      </w:pPr>
      <w:rPr>
        <w:rFonts w:asciiTheme="minorHAnsi" w:hAnsiTheme="minorHAnsi" w:cstheme="minorHAnsi" w:hint="default"/>
        <w:b/>
        <w:sz w:val="18"/>
      </w:rPr>
    </w:lvl>
    <w:lvl w:ilvl="3">
      <w:start w:val="1"/>
      <w:numFmt w:val="decimal"/>
      <w:lvlText w:val="%1.%2.%3.%4."/>
      <w:lvlJc w:val="left"/>
      <w:pPr>
        <w:ind w:left="720" w:hanging="720"/>
      </w:pPr>
      <w:rPr>
        <w:rFonts w:asciiTheme="minorHAnsi" w:hAnsiTheme="minorHAnsi" w:cstheme="minorHAnsi" w:hint="default"/>
        <w:b/>
        <w:sz w:val="18"/>
      </w:rPr>
    </w:lvl>
    <w:lvl w:ilvl="4">
      <w:start w:val="1"/>
      <w:numFmt w:val="decimal"/>
      <w:lvlText w:val="%1.%2.%3.%4.%5."/>
      <w:lvlJc w:val="left"/>
      <w:pPr>
        <w:ind w:left="1080" w:hanging="1080"/>
      </w:pPr>
      <w:rPr>
        <w:rFonts w:asciiTheme="minorHAnsi" w:hAnsiTheme="minorHAnsi" w:cstheme="minorHAnsi" w:hint="default"/>
        <w:b/>
        <w:sz w:val="18"/>
      </w:rPr>
    </w:lvl>
    <w:lvl w:ilvl="5">
      <w:start w:val="1"/>
      <w:numFmt w:val="decimal"/>
      <w:lvlText w:val="%1.%2.%3.%4.%5.%6."/>
      <w:lvlJc w:val="left"/>
      <w:pPr>
        <w:ind w:left="1080" w:hanging="1080"/>
      </w:pPr>
      <w:rPr>
        <w:rFonts w:asciiTheme="minorHAnsi" w:hAnsiTheme="minorHAnsi" w:cstheme="minorHAnsi" w:hint="default"/>
        <w:b/>
        <w:sz w:val="18"/>
      </w:rPr>
    </w:lvl>
    <w:lvl w:ilvl="6">
      <w:start w:val="1"/>
      <w:numFmt w:val="decimal"/>
      <w:lvlText w:val="%1.%2.%3.%4.%5.%6.%7."/>
      <w:lvlJc w:val="left"/>
      <w:pPr>
        <w:ind w:left="1440" w:hanging="1440"/>
      </w:pPr>
      <w:rPr>
        <w:rFonts w:asciiTheme="minorHAnsi" w:hAnsiTheme="minorHAnsi" w:cstheme="minorHAnsi" w:hint="default"/>
        <w:b/>
        <w:sz w:val="18"/>
      </w:rPr>
    </w:lvl>
    <w:lvl w:ilvl="7">
      <w:start w:val="1"/>
      <w:numFmt w:val="decimal"/>
      <w:lvlText w:val="%1.%2.%3.%4.%5.%6.%7.%8."/>
      <w:lvlJc w:val="left"/>
      <w:pPr>
        <w:ind w:left="1440" w:hanging="1440"/>
      </w:pPr>
      <w:rPr>
        <w:rFonts w:asciiTheme="minorHAnsi" w:hAnsiTheme="minorHAnsi" w:cstheme="minorHAnsi" w:hint="default"/>
        <w:b/>
        <w:sz w:val="18"/>
      </w:rPr>
    </w:lvl>
    <w:lvl w:ilvl="8">
      <w:start w:val="1"/>
      <w:numFmt w:val="decimal"/>
      <w:lvlText w:val="%1.%2.%3.%4.%5.%6.%7.%8.%9."/>
      <w:lvlJc w:val="left"/>
      <w:pPr>
        <w:ind w:left="1800" w:hanging="1800"/>
      </w:pPr>
      <w:rPr>
        <w:rFonts w:asciiTheme="minorHAnsi" w:hAnsiTheme="minorHAnsi" w:cstheme="minorHAnsi" w:hint="default"/>
        <w:b/>
        <w:sz w:val="18"/>
      </w:rPr>
    </w:lvl>
  </w:abstractNum>
  <w:abstractNum w:abstractNumId="4" w15:restartNumberingAfterBreak="0">
    <w:nsid w:val="75A919C7"/>
    <w:multiLevelType w:val="multilevel"/>
    <w:tmpl w:val="F23C7548"/>
    <w:lvl w:ilvl="0">
      <w:start w:val="3"/>
      <w:numFmt w:val="decimal"/>
      <w:lvlText w:val="%1."/>
      <w:lvlJc w:val="left"/>
      <w:pPr>
        <w:ind w:left="360" w:hanging="360"/>
      </w:pPr>
    </w:lvl>
    <w:lvl w:ilvl="1">
      <w:start w:val="1"/>
      <w:numFmt w:val="decimal"/>
      <w:lvlText w:val="%1.%2."/>
      <w:lvlJc w:val="left"/>
      <w:pPr>
        <w:ind w:left="360" w:hanging="360"/>
      </w:pPr>
      <w:rPr>
        <w:rFonts w:asciiTheme="majorHAnsi" w:hAnsiTheme="majorHAnsi" w:cstheme="majorHAnsi"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0"/>
  </w:num>
  <w:num w:numId="2" w16cid:durableId="359473795">
    <w:abstractNumId w:val="5"/>
  </w:num>
  <w:num w:numId="3" w16cid:durableId="1955595857">
    <w:abstractNumId w:val="2"/>
  </w:num>
  <w:num w:numId="4" w16cid:durableId="544297778">
    <w:abstractNumId w:val="1"/>
  </w:num>
  <w:num w:numId="5" w16cid:durableId="132064721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341424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D18D6"/>
    <w:rsid w:val="00315C9E"/>
    <w:rsid w:val="00335DDA"/>
    <w:rsid w:val="004C685E"/>
    <w:rsid w:val="00553D52"/>
    <w:rsid w:val="00574238"/>
    <w:rsid w:val="005B0156"/>
    <w:rsid w:val="005C4D88"/>
    <w:rsid w:val="006C3CF8"/>
    <w:rsid w:val="00777051"/>
    <w:rsid w:val="008223AE"/>
    <w:rsid w:val="00933A64"/>
    <w:rsid w:val="009E125F"/>
    <w:rsid w:val="009E57BF"/>
    <w:rsid w:val="00A82AC8"/>
    <w:rsid w:val="00AE0B01"/>
    <w:rsid w:val="00AE335C"/>
    <w:rsid w:val="00B9001F"/>
    <w:rsid w:val="00C34BBE"/>
    <w:rsid w:val="00D3474E"/>
    <w:rsid w:val="00E303DF"/>
    <w:rsid w:val="00E63873"/>
    <w:rsid w:val="00F64A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F64A8D"/>
    <w:rPr>
      <w:color w:val="0000FF" w:themeColor="hyperlink"/>
      <w:u w:val="single"/>
    </w:rPr>
  </w:style>
  <w:style w:type="character" w:styleId="UnresolvedMention">
    <w:name w:val="Unresolved Mention"/>
    <w:basedOn w:val="DefaultParagraphFont"/>
    <w:uiPriority w:val="99"/>
    <w:semiHidden/>
    <w:unhideWhenUsed/>
    <w:rsid w:val="00F64A8D"/>
    <w:rPr>
      <w:color w:val="605E5C"/>
      <w:shd w:val="clear" w:color="auto" w:fill="E1DFDD"/>
    </w:rPr>
  </w:style>
  <w:style w:type="paragraph" w:styleId="ListParagraph">
    <w:name w:val="List Paragraph"/>
    <w:basedOn w:val="Normal"/>
    <w:uiPriority w:val="34"/>
    <w:qFormat/>
    <w:rsid w:val="00F64A8D"/>
    <w:pPr>
      <w:ind w:left="720"/>
      <w:contextualSpacing/>
    </w:pPr>
  </w:style>
  <w:style w:type="table" w:styleId="TableGrid">
    <w:name w:val="Table Grid"/>
    <w:basedOn w:val="TableNormal"/>
    <w:uiPriority w:val="39"/>
    <w:rsid w:val="008223AE"/>
    <w:rPr>
      <w:rFonts w:ascii="Calibri Light" w:eastAsiaTheme="minorHAnsi" w:hAnsi="Calibri Light"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4BBE"/>
    <w:pPr>
      <w:tabs>
        <w:tab w:val="center" w:pos="4513"/>
        <w:tab w:val="right" w:pos="9026"/>
      </w:tabs>
    </w:pPr>
  </w:style>
  <w:style w:type="character" w:customStyle="1" w:styleId="HeaderChar">
    <w:name w:val="Header Char"/>
    <w:basedOn w:val="DefaultParagraphFont"/>
    <w:link w:val="Header"/>
    <w:uiPriority w:val="99"/>
    <w:rsid w:val="00C34BBE"/>
  </w:style>
  <w:style w:type="paragraph" w:styleId="Footer">
    <w:name w:val="footer"/>
    <w:basedOn w:val="Normal"/>
    <w:link w:val="FooterChar"/>
    <w:uiPriority w:val="99"/>
    <w:unhideWhenUsed/>
    <w:rsid w:val="00315C9E"/>
    <w:pPr>
      <w:tabs>
        <w:tab w:val="center" w:pos="4513"/>
        <w:tab w:val="right" w:pos="9026"/>
      </w:tabs>
    </w:pPr>
  </w:style>
  <w:style w:type="character" w:customStyle="1" w:styleId="FooterChar">
    <w:name w:val="Footer Char"/>
    <w:basedOn w:val="DefaultParagraphFont"/>
    <w:link w:val="Footer"/>
    <w:uiPriority w:val="99"/>
    <w:rsid w:val="00315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file:///I:\My%20Drive\UIN\JIA\Vol%209%20No%201%20June%2026\6%2028423-116937-1-LE.docx" TargetMode="External"/><Relationship Id="rId21" Type="http://schemas.openxmlformats.org/officeDocument/2006/relationships/footer" Target="footer1.xml"/><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4.emf"/><Relationship Id="rId68" Type="http://schemas.openxmlformats.org/officeDocument/2006/relationships/package" Target="embeddings/Microsoft_Visio_Drawing4.vsdx"/><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12.png"/><Relationship Id="rId11" Type="http://schemas.openxmlformats.org/officeDocument/2006/relationships/image" Target="media/image2.jpeg"/><Relationship Id="rId24" Type="http://schemas.openxmlformats.org/officeDocument/2006/relationships/header" Target="header3.xml"/><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png"/><Relationship Id="rId45" Type="http://schemas.openxmlformats.org/officeDocument/2006/relationships/image" Target="media/image28.jpeg"/><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package" Target="embeddings/Microsoft_Visio_Drawing3.vsdx"/><Relationship Id="rId5" Type="http://schemas.openxmlformats.org/officeDocument/2006/relationships/webSettings" Target="webSettings.xml"/><Relationship Id="rId61" Type="http://schemas.openxmlformats.org/officeDocument/2006/relationships/image" Target="media/image43.emf"/><Relationship Id="rId1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footer" Target="footer2.xml"/><Relationship Id="rId27" Type="http://schemas.openxmlformats.org/officeDocument/2006/relationships/image" Target="media/image10.jpe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jpeg"/><Relationship Id="rId48" Type="http://schemas.openxmlformats.org/officeDocument/2006/relationships/image" Target="media/image31.png"/><Relationship Id="rId56" Type="http://schemas.openxmlformats.org/officeDocument/2006/relationships/image" Target="media/image39.jpeg"/><Relationship Id="rId64" Type="http://schemas.openxmlformats.org/officeDocument/2006/relationships/package" Target="embeddings/Microsoft_Visio_Drawing2.vsdx"/><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4.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footer" Target="footer4.xml"/><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image" Target="media/image42.emf"/><Relationship Id="rId67" Type="http://schemas.openxmlformats.org/officeDocument/2006/relationships/image" Target="media/image46.emf"/><Relationship Id="rId20" Type="http://schemas.openxmlformats.org/officeDocument/2006/relationships/header" Target="header2.xml"/><Relationship Id="rId41" Type="http://schemas.openxmlformats.org/officeDocument/2006/relationships/image" Target="media/image24.jpeg"/><Relationship Id="rId54" Type="http://schemas.openxmlformats.org/officeDocument/2006/relationships/image" Target="media/image37.png"/><Relationship Id="rId62" Type="http://schemas.openxmlformats.org/officeDocument/2006/relationships/package" Target="embeddings/Microsoft_Visio_Drawing1.vsdx"/><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footer" Target="footer3.xml"/><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hyperlink" Target="http://dx.doi.org/10.18860/jia.v8i4.28823" TargetMode="External"/><Relationship Id="rId31" Type="http://schemas.openxmlformats.org/officeDocument/2006/relationships/image" Target="media/image14.png"/><Relationship Id="rId44" Type="http://schemas.openxmlformats.org/officeDocument/2006/relationships/image" Target="media/image27.jpeg"/><Relationship Id="rId52" Type="http://schemas.openxmlformats.org/officeDocument/2006/relationships/image" Target="media/image35.png"/><Relationship Id="rId60" Type="http://schemas.openxmlformats.org/officeDocument/2006/relationships/package" Target="embeddings/Microsoft_Visio_Drawing.vsdx"/><Relationship Id="rId65" Type="http://schemas.openxmlformats.org/officeDocument/2006/relationships/image" Target="media/image45.emf"/><Relationship Id="rId4" Type="http://schemas.openxmlformats.org/officeDocument/2006/relationships/settings" Target="settings.xml"/><Relationship Id="rId9" Type="http://schemas.openxmlformats.org/officeDocument/2006/relationships/hyperlink" Target="mailto:bambangsuhardi@staff.uns.ac.id" TargetMode="External"/><Relationship Id="rId13" Type="http://schemas.openxmlformats.org/officeDocument/2006/relationships/image" Target="media/image4.jpeg"/><Relationship Id="rId18" Type="http://schemas.openxmlformats.org/officeDocument/2006/relationships/image" Target="media/image9.emf"/><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7D8E5-C812-4595-8E9F-0C4F51BF6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16</Pages>
  <Words>33748</Words>
  <Characters>192368</Characters>
  <Application>Microsoft Office Word</Application>
  <DocSecurity>0</DocSecurity>
  <Lines>1603</Lines>
  <Paragraphs>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4</cp:revision>
  <dcterms:created xsi:type="dcterms:W3CDTF">2026-05-23T12:19:00Z</dcterms:created>
  <dcterms:modified xsi:type="dcterms:W3CDTF">2026-05-25T08:34:00Z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