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59D5ED2A" w:rsidR="00C26026" w:rsidRPr="004C7CB9" w:rsidRDefault="002D101E" w:rsidP="00C26026">
            <w:pPr>
              <w:jc w:val="both"/>
              <w:rPr>
                <w:rFonts w:asciiTheme="minorHAnsi" w:hAnsiTheme="minorHAnsi" w:cstheme="minorHAnsi"/>
                <w:b/>
                <w:sz w:val="26"/>
                <w:szCs w:val="26"/>
              </w:rPr>
            </w:pPr>
            <w:r w:rsidRPr="002D101E">
              <w:rPr>
                <w:rFonts w:asciiTheme="minorHAnsi" w:hAnsiTheme="minorHAnsi" w:cstheme="minorHAnsi"/>
                <w:b/>
                <w:sz w:val="28"/>
                <w:szCs w:val="28"/>
              </w:rPr>
              <w:t>DIGITAL INTEGRATION IN MOSQUE ARCHITECTURE: QRIS, VISITOR EXPERIENCE, AND CULTURAL HERITAGE PRESERVATION IN INDONESIA</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29ED9CDD" w:rsidR="00D869DB" w:rsidRPr="004C7CB9" w:rsidRDefault="002D101E">
            <w:pPr>
              <w:rPr>
                <w:rFonts w:asciiTheme="minorHAnsi" w:hAnsiTheme="minorHAnsi" w:cstheme="minorHAnsi"/>
              </w:rPr>
            </w:pPr>
            <w:r w:rsidRPr="002D101E">
              <w:rPr>
                <w:rFonts w:asciiTheme="minorHAnsi" w:hAnsiTheme="minorHAnsi" w:cstheme="minorHAnsi"/>
                <w:bCs/>
              </w:rPr>
              <w:t xml:space="preserve">Haris Maiza Putra </w:t>
            </w:r>
            <w:r w:rsidRPr="002D101E">
              <w:rPr>
                <w:rFonts w:asciiTheme="minorHAnsi" w:hAnsiTheme="minorHAnsi" w:cstheme="minorHAnsi"/>
                <w:bCs/>
                <w:vertAlign w:val="superscript"/>
              </w:rPr>
              <w:t>a</w:t>
            </w:r>
            <w:r w:rsidRPr="002D101E">
              <w:rPr>
                <w:rFonts w:asciiTheme="minorHAnsi" w:hAnsiTheme="minorHAnsi" w:cstheme="minorHAnsi"/>
                <w:bCs/>
              </w:rPr>
              <w:t xml:space="preserve">*, Aji </w:t>
            </w:r>
            <w:proofErr w:type="spellStart"/>
            <w:r w:rsidRPr="002D101E">
              <w:rPr>
                <w:rFonts w:asciiTheme="minorHAnsi" w:hAnsiTheme="minorHAnsi" w:cstheme="minorHAnsi"/>
                <w:bCs/>
              </w:rPr>
              <w:t>Sofanudin</w:t>
            </w:r>
            <w:proofErr w:type="spellEnd"/>
            <w:r w:rsidRPr="002D101E">
              <w:rPr>
                <w:rFonts w:asciiTheme="minorHAnsi" w:hAnsiTheme="minorHAnsi" w:cstheme="minorHAnsi"/>
                <w:bCs/>
              </w:rPr>
              <w:t xml:space="preserve"> </w:t>
            </w:r>
            <w:r w:rsidRPr="002D101E">
              <w:rPr>
                <w:rFonts w:asciiTheme="minorHAnsi" w:hAnsiTheme="minorHAnsi" w:cstheme="minorHAnsi"/>
                <w:bCs/>
                <w:vertAlign w:val="superscript"/>
              </w:rPr>
              <w:t>a</w:t>
            </w:r>
            <w:r w:rsidRPr="002D101E">
              <w:rPr>
                <w:rFonts w:asciiTheme="minorHAnsi" w:hAnsiTheme="minorHAnsi" w:cstheme="minorHAnsi"/>
                <w:bCs/>
              </w:rPr>
              <w:t xml:space="preserve">, </w:t>
            </w:r>
            <w:proofErr w:type="spellStart"/>
            <w:r w:rsidRPr="002D101E">
              <w:rPr>
                <w:rFonts w:asciiTheme="minorHAnsi" w:hAnsiTheme="minorHAnsi" w:cstheme="minorHAnsi"/>
                <w:bCs/>
              </w:rPr>
              <w:t>Hisam</w:t>
            </w:r>
            <w:proofErr w:type="spellEnd"/>
            <w:r w:rsidRPr="002D101E">
              <w:rPr>
                <w:rFonts w:asciiTheme="minorHAnsi" w:hAnsiTheme="minorHAnsi" w:cstheme="minorHAnsi"/>
                <w:bCs/>
              </w:rPr>
              <w:t xml:space="preserve"> </w:t>
            </w:r>
            <w:proofErr w:type="spellStart"/>
            <w:r w:rsidRPr="002D101E">
              <w:rPr>
                <w:rFonts w:asciiTheme="minorHAnsi" w:hAnsiTheme="minorHAnsi" w:cstheme="minorHAnsi"/>
                <w:bCs/>
              </w:rPr>
              <w:t>Ahyani</w:t>
            </w:r>
            <w:proofErr w:type="spellEnd"/>
            <w:r w:rsidRPr="002D101E">
              <w:rPr>
                <w:rFonts w:asciiTheme="minorHAnsi" w:hAnsiTheme="minorHAnsi" w:cstheme="minorHAnsi"/>
                <w:bCs/>
              </w:rPr>
              <w:t xml:space="preserve"> </w:t>
            </w:r>
            <w:r w:rsidRPr="002D101E">
              <w:rPr>
                <w:rFonts w:asciiTheme="minorHAnsi" w:hAnsiTheme="minorHAnsi" w:cstheme="minorHAnsi"/>
                <w:bCs/>
                <w:vertAlign w:val="superscript"/>
              </w:rPr>
              <w:t>b</w:t>
            </w:r>
            <w:r w:rsidRPr="002D101E">
              <w:rPr>
                <w:rFonts w:asciiTheme="minorHAnsi" w:hAnsiTheme="minorHAnsi" w:cstheme="minorHAnsi"/>
                <w:bCs/>
              </w:rPr>
              <w:t>,</w:t>
            </w:r>
            <w:r w:rsidRPr="002D101E">
              <w:rPr>
                <w:rFonts w:asciiTheme="minorHAnsi" w:hAnsiTheme="minorHAnsi" w:cstheme="minorHAnsi"/>
              </w:rPr>
              <w:t xml:space="preserve"> </w:t>
            </w:r>
            <w:r w:rsidRPr="002D101E">
              <w:rPr>
                <w:rFonts w:asciiTheme="minorHAnsi" w:hAnsiTheme="minorHAnsi" w:cstheme="minorHAnsi"/>
                <w:bCs/>
              </w:rPr>
              <w:t xml:space="preserve">Mhd </w:t>
            </w:r>
            <w:proofErr w:type="spellStart"/>
            <w:r w:rsidRPr="002D101E">
              <w:rPr>
                <w:rFonts w:asciiTheme="minorHAnsi" w:hAnsiTheme="minorHAnsi" w:cstheme="minorHAnsi"/>
                <w:bCs/>
              </w:rPr>
              <w:t>Handika</w:t>
            </w:r>
            <w:proofErr w:type="spellEnd"/>
            <w:r w:rsidRPr="002D101E">
              <w:rPr>
                <w:rFonts w:asciiTheme="minorHAnsi" w:hAnsiTheme="minorHAnsi" w:cstheme="minorHAnsi"/>
                <w:bCs/>
              </w:rPr>
              <w:t xml:space="preserve"> </w:t>
            </w:r>
            <w:proofErr w:type="spellStart"/>
            <w:r w:rsidRPr="002D101E">
              <w:rPr>
                <w:rFonts w:asciiTheme="minorHAnsi" w:hAnsiTheme="minorHAnsi" w:cstheme="minorHAnsi"/>
                <w:bCs/>
              </w:rPr>
              <w:t>Surbakti</w:t>
            </w:r>
            <w:proofErr w:type="spellEnd"/>
            <w:r w:rsidRPr="002D101E">
              <w:rPr>
                <w:rFonts w:asciiTheme="minorHAnsi" w:hAnsiTheme="minorHAnsi" w:cstheme="minorHAnsi"/>
                <w:bCs/>
              </w:rPr>
              <w:t xml:space="preserve"> </w:t>
            </w:r>
            <w:r w:rsidRPr="002D101E">
              <w:rPr>
                <w:rFonts w:asciiTheme="minorHAnsi" w:hAnsiTheme="minorHAnsi" w:cstheme="minorHAnsi"/>
                <w:bCs/>
                <w:vertAlign w:val="superscript"/>
              </w:rPr>
              <w:t>c</w:t>
            </w:r>
            <w:r w:rsidRPr="002D101E">
              <w:rPr>
                <w:rFonts w:asciiTheme="minorHAnsi" w:hAnsiTheme="minorHAnsi" w:cstheme="minorHAnsi"/>
                <w:bCs/>
              </w:rPr>
              <w:t xml:space="preserve">, </w:t>
            </w:r>
            <w:proofErr w:type="spellStart"/>
            <w:r w:rsidRPr="002D101E">
              <w:rPr>
                <w:rFonts w:asciiTheme="minorHAnsi" w:hAnsiTheme="minorHAnsi" w:cstheme="minorHAnsi"/>
                <w:bCs/>
              </w:rPr>
              <w:t>Adang</w:t>
            </w:r>
            <w:proofErr w:type="spellEnd"/>
            <w:r w:rsidRPr="002D101E">
              <w:rPr>
                <w:rFonts w:asciiTheme="minorHAnsi" w:hAnsiTheme="minorHAnsi" w:cstheme="minorHAnsi"/>
                <w:bCs/>
              </w:rPr>
              <w:t xml:space="preserve"> </w:t>
            </w:r>
            <w:proofErr w:type="spellStart"/>
            <w:r w:rsidRPr="002D101E">
              <w:rPr>
                <w:rFonts w:asciiTheme="minorHAnsi" w:hAnsiTheme="minorHAnsi" w:cstheme="minorHAnsi"/>
                <w:bCs/>
              </w:rPr>
              <w:t>Sonjaya</w:t>
            </w:r>
            <w:proofErr w:type="spellEnd"/>
            <w:r w:rsidRPr="002D101E">
              <w:rPr>
                <w:rFonts w:asciiTheme="minorHAnsi" w:hAnsiTheme="minorHAnsi" w:cstheme="minorHAnsi"/>
                <w:bCs/>
              </w:rPr>
              <w:t xml:space="preserve"> </w:t>
            </w:r>
            <w:r w:rsidRPr="002D101E">
              <w:rPr>
                <w:rFonts w:asciiTheme="minorHAnsi" w:hAnsiTheme="minorHAnsi" w:cstheme="minorHAnsi"/>
                <w:bCs/>
                <w:vertAlign w:val="superscript"/>
              </w:rPr>
              <w:t>a</w:t>
            </w:r>
            <w:r w:rsidRPr="002D101E">
              <w:rPr>
                <w:rFonts w:asciiTheme="minorHAnsi" w:hAnsiTheme="minorHAnsi" w:cstheme="minorHAnsi"/>
                <w:bCs/>
              </w:rPr>
              <w:t xml:space="preserve">, Dwi </w:t>
            </w:r>
            <w:proofErr w:type="spellStart"/>
            <w:r w:rsidRPr="002D101E">
              <w:rPr>
                <w:rFonts w:asciiTheme="minorHAnsi" w:hAnsiTheme="minorHAnsi" w:cstheme="minorHAnsi"/>
                <w:bCs/>
              </w:rPr>
              <w:t>Martiningsih</w:t>
            </w:r>
            <w:proofErr w:type="spellEnd"/>
            <w:r w:rsidRPr="002D101E">
              <w:rPr>
                <w:rFonts w:asciiTheme="minorHAnsi" w:hAnsiTheme="minorHAnsi" w:cstheme="minorHAnsi"/>
                <w:bCs/>
              </w:rPr>
              <w:t xml:space="preserve"> </w:t>
            </w:r>
            <w:r w:rsidRPr="002D101E">
              <w:rPr>
                <w:rFonts w:asciiTheme="minorHAnsi" w:hAnsiTheme="minorHAnsi" w:cstheme="minorHAnsi"/>
                <w:bCs/>
                <w:vertAlign w:val="superscript"/>
              </w:rPr>
              <w:t>a</w:t>
            </w:r>
            <w:r w:rsidRPr="002D101E">
              <w:rPr>
                <w:rFonts w:asciiTheme="minorHAnsi" w:hAnsiTheme="minorHAnsi" w:cstheme="minorHAnsi"/>
                <w:bCs/>
              </w:rPr>
              <w:t>,</w:t>
            </w:r>
            <w:r w:rsidRPr="002D101E">
              <w:rPr>
                <w:rFonts w:asciiTheme="minorHAnsi" w:hAnsiTheme="minorHAnsi" w:cstheme="minorHAnsi"/>
              </w:rPr>
              <w:t xml:space="preserve"> </w:t>
            </w:r>
            <w:proofErr w:type="spellStart"/>
            <w:r w:rsidRPr="002D101E">
              <w:rPr>
                <w:rFonts w:asciiTheme="minorHAnsi" w:hAnsiTheme="minorHAnsi" w:cstheme="minorHAnsi"/>
                <w:bCs/>
              </w:rPr>
              <w:t>Raudatul</w:t>
            </w:r>
            <w:proofErr w:type="spellEnd"/>
            <w:r w:rsidRPr="002D101E">
              <w:rPr>
                <w:rFonts w:asciiTheme="minorHAnsi" w:hAnsiTheme="minorHAnsi" w:cstheme="minorHAnsi"/>
                <w:bCs/>
              </w:rPr>
              <w:t xml:space="preserve"> </w:t>
            </w:r>
            <w:proofErr w:type="spellStart"/>
            <w:r w:rsidRPr="002D101E">
              <w:rPr>
                <w:rFonts w:asciiTheme="minorHAnsi" w:hAnsiTheme="minorHAnsi" w:cstheme="minorHAnsi"/>
                <w:bCs/>
              </w:rPr>
              <w:t>Ulum</w:t>
            </w:r>
            <w:proofErr w:type="spellEnd"/>
            <w:r w:rsidRPr="002D101E">
              <w:rPr>
                <w:rFonts w:asciiTheme="minorHAnsi" w:hAnsiTheme="minorHAnsi" w:cstheme="minorHAnsi"/>
                <w:bCs/>
              </w:rPr>
              <w:t xml:space="preserve"> </w:t>
            </w:r>
            <w:r w:rsidRPr="002D101E">
              <w:rPr>
                <w:rFonts w:asciiTheme="minorHAnsi" w:hAnsiTheme="minorHAnsi" w:cstheme="minorHAnsi"/>
                <w:bCs/>
                <w:vertAlign w:val="superscript"/>
              </w:rPr>
              <w:t>a</w:t>
            </w:r>
            <w:r w:rsidRPr="002D101E">
              <w:rPr>
                <w:rFonts w:asciiTheme="minorHAnsi" w:hAnsiTheme="minorHAnsi" w:cstheme="minorHAnsi"/>
                <w:bCs/>
              </w:rPr>
              <w:t xml:space="preserve">, </w:t>
            </w:r>
            <w:proofErr w:type="spellStart"/>
            <w:r w:rsidRPr="002D101E">
              <w:rPr>
                <w:rFonts w:asciiTheme="minorHAnsi" w:hAnsiTheme="minorHAnsi" w:cstheme="minorHAnsi"/>
                <w:bCs/>
              </w:rPr>
              <w:t>Nangkula</w:t>
            </w:r>
            <w:proofErr w:type="spellEnd"/>
            <w:r w:rsidRPr="002D101E">
              <w:rPr>
                <w:rFonts w:asciiTheme="minorHAnsi" w:hAnsiTheme="minorHAnsi" w:cstheme="minorHAnsi"/>
                <w:bCs/>
              </w:rPr>
              <w:t xml:space="preserve"> </w:t>
            </w:r>
            <w:proofErr w:type="spellStart"/>
            <w:r w:rsidRPr="002D101E">
              <w:rPr>
                <w:rFonts w:asciiTheme="minorHAnsi" w:hAnsiTheme="minorHAnsi" w:cstheme="minorHAnsi"/>
                <w:bCs/>
              </w:rPr>
              <w:t>Utaberta</w:t>
            </w:r>
            <w:proofErr w:type="spellEnd"/>
            <w:r w:rsidRPr="002D101E">
              <w:rPr>
                <w:rFonts w:asciiTheme="minorHAnsi" w:hAnsiTheme="minorHAnsi" w:cstheme="minorHAnsi"/>
                <w:bCs/>
              </w:rPr>
              <w:t xml:space="preserve"> </w:t>
            </w:r>
            <w:proofErr w:type="spellStart"/>
            <w:r w:rsidRPr="002D101E">
              <w:rPr>
                <w:rFonts w:asciiTheme="minorHAnsi" w:hAnsiTheme="minorHAnsi" w:cstheme="minorHAnsi"/>
                <w:bCs/>
                <w:vertAlign w:val="superscript"/>
              </w:rPr>
              <w:t>adefg</w:t>
            </w:r>
            <w:proofErr w:type="spellEnd"/>
            <w:r w:rsidRPr="002D101E">
              <w:rPr>
                <w:rFonts w:asciiTheme="minorHAnsi" w:hAnsiTheme="minorHAnsi" w:cstheme="minorHAnsi"/>
                <w:bCs/>
                <w:vertAlign w:val="superscript"/>
              </w:rPr>
              <w:t>*</w:t>
            </w:r>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424437A4" w14:textId="2140F67B" w:rsidR="002D101E" w:rsidRPr="002D101E" w:rsidRDefault="002D101E" w:rsidP="002D101E">
            <w:pPr>
              <w:rPr>
                <w:bCs/>
                <w:sz w:val="18"/>
                <w:szCs w:val="18"/>
                <w:lang w:val="en-US"/>
              </w:rPr>
            </w:pPr>
            <w:proofErr w:type="spellStart"/>
            <w:r w:rsidRPr="002D101E">
              <w:rPr>
                <w:bCs/>
                <w:sz w:val="18"/>
                <w:szCs w:val="18"/>
                <w:vertAlign w:val="superscript"/>
                <w:lang w:val="en-US"/>
              </w:rPr>
              <w:t>a</w:t>
            </w:r>
            <w:r w:rsidRPr="002D101E">
              <w:rPr>
                <w:bCs/>
                <w:sz w:val="18"/>
                <w:szCs w:val="18"/>
                <w:lang w:val="en-US"/>
              </w:rPr>
              <w:t>National</w:t>
            </w:r>
            <w:proofErr w:type="spellEnd"/>
            <w:r w:rsidRPr="002D101E">
              <w:rPr>
                <w:bCs/>
                <w:sz w:val="18"/>
                <w:szCs w:val="18"/>
                <w:lang w:val="en-US"/>
              </w:rPr>
              <w:t xml:space="preserve"> Research and Innovation Agency, Jakarta, Indonesia</w:t>
            </w:r>
          </w:p>
          <w:p w14:paraId="4E177528" w14:textId="77777777" w:rsidR="002D101E" w:rsidRPr="002D101E" w:rsidRDefault="002D101E" w:rsidP="002D101E">
            <w:pPr>
              <w:rPr>
                <w:bCs/>
                <w:sz w:val="18"/>
                <w:szCs w:val="18"/>
                <w:lang w:val="en-US"/>
              </w:rPr>
            </w:pPr>
            <w:proofErr w:type="spellStart"/>
            <w:r w:rsidRPr="002D101E">
              <w:rPr>
                <w:bCs/>
                <w:sz w:val="18"/>
                <w:szCs w:val="18"/>
                <w:vertAlign w:val="superscript"/>
                <w:lang w:val="en-US"/>
              </w:rPr>
              <w:t>b</w:t>
            </w:r>
            <w:r w:rsidRPr="002D101E">
              <w:rPr>
                <w:bCs/>
                <w:sz w:val="18"/>
                <w:szCs w:val="18"/>
                <w:lang w:val="en-US"/>
              </w:rPr>
              <w:t>Fakultas</w:t>
            </w:r>
            <w:proofErr w:type="spellEnd"/>
            <w:r w:rsidRPr="002D101E">
              <w:rPr>
                <w:bCs/>
                <w:sz w:val="18"/>
                <w:szCs w:val="18"/>
                <w:lang w:val="en-US"/>
              </w:rPr>
              <w:t xml:space="preserve"> Syariah dan Hukum, </w:t>
            </w:r>
            <w:proofErr w:type="spellStart"/>
            <w:r w:rsidRPr="002D101E">
              <w:rPr>
                <w:bCs/>
                <w:sz w:val="18"/>
                <w:szCs w:val="18"/>
                <w:lang w:val="en-US"/>
              </w:rPr>
              <w:t>Institut</w:t>
            </w:r>
            <w:proofErr w:type="spellEnd"/>
            <w:r w:rsidRPr="002D101E">
              <w:rPr>
                <w:bCs/>
                <w:sz w:val="18"/>
                <w:szCs w:val="18"/>
                <w:lang w:val="en-US"/>
              </w:rPr>
              <w:t xml:space="preserve"> </w:t>
            </w:r>
            <w:proofErr w:type="spellStart"/>
            <w:r w:rsidRPr="002D101E">
              <w:rPr>
                <w:bCs/>
                <w:sz w:val="18"/>
                <w:szCs w:val="18"/>
                <w:lang w:val="en-US"/>
              </w:rPr>
              <w:t>Miftahul</w:t>
            </w:r>
            <w:proofErr w:type="spellEnd"/>
            <w:r w:rsidRPr="002D101E">
              <w:rPr>
                <w:bCs/>
                <w:sz w:val="18"/>
                <w:szCs w:val="18"/>
                <w:lang w:val="en-US"/>
              </w:rPr>
              <w:t xml:space="preserve"> Huda Al Azhar, Kota Banjar, Jawa Barat, Indonesia</w:t>
            </w:r>
          </w:p>
          <w:p w14:paraId="74F64C8E" w14:textId="77777777" w:rsidR="002D101E" w:rsidRPr="002D101E" w:rsidRDefault="002D101E" w:rsidP="002D101E">
            <w:pPr>
              <w:rPr>
                <w:bCs/>
                <w:sz w:val="18"/>
                <w:szCs w:val="18"/>
                <w:lang w:val="en-US"/>
              </w:rPr>
            </w:pPr>
            <w:proofErr w:type="spellStart"/>
            <w:r w:rsidRPr="002D101E">
              <w:rPr>
                <w:bCs/>
                <w:sz w:val="18"/>
                <w:szCs w:val="18"/>
                <w:vertAlign w:val="superscript"/>
                <w:lang w:val="en-US"/>
              </w:rPr>
              <w:t>c</w:t>
            </w:r>
            <w:r w:rsidRPr="002D101E">
              <w:rPr>
                <w:bCs/>
                <w:sz w:val="18"/>
                <w:szCs w:val="18"/>
                <w:lang w:val="en-US"/>
              </w:rPr>
              <w:t>Asosiasi</w:t>
            </w:r>
            <w:proofErr w:type="spellEnd"/>
            <w:r w:rsidRPr="002D101E">
              <w:rPr>
                <w:bCs/>
                <w:sz w:val="18"/>
                <w:szCs w:val="18"/>
                <w:lang w:val="en-US"/>
              </w:rPr>
              <w:t xml:space="preserve"> Fintech Syariah Indonesia (AFSI), Jakarta, Indonesia  </w:t>
            </w:r>
          </w:p>
          <w:p w14:paraId="27E3D94D" w14:textId="77777777" w:rsidR="002D101E" w:rsidRPr="002D101E" w:rsidRDefault="002D101E" w:rsidP="002D101E">
            <w:pPr>
              <w:rPr>
                <w:bCs/>
                <w:sz w:val="18"/>
                <w:szCs w:val="18"/>
                <w:lang w:val="en-US"/>
              </w:rPr>
            </w:pPr>
            <w:proofErr w:type="spellStart"/>
            <w:r w:rsidRPr="002D101E">
              <w:rPr>
                <w:bCs/>
                <w:sz w:val="18"/>
                <w:szCs w:val="18"/>
                <w:vertAlign w:val="superscript"/>
                <w:lang w:val="en-US"/>
              </w:rPr>
              <w:t>d</w:t>
            </w:r>
            <w:r w:rsidRPr="002D101E">
              <w:rPr>
                <w:bCs/>
                <w:sz w:val="18"/>
                <w:szCs w:val="18"/>
                <w:lang w:val="en-US"/>
              </w:rPr>
              <w:t>School</w:t>
            </w:r>
            <w:proofErr w:type="spellEnd"/>
            <w:r w:rsidRPr="002D101E">
              <w:rPr>
                <w:bCs/>
                <w:sz w:val="18"/>
                <w:szCs w:val="18"/>
                <w:lang w:val="en-US"/>
              </w:rPr>
              <w:t xml:space="preserve"> of Architecture and Built Environment, Faculty of Engineering, Technology &amp; Built Environment, UCSI University, Malaysia</w:t>
            </w:r>
          </w:p>
          <w:p w14:paraId="6B14203C" w14:textId="77777777" w:rsidR="002D101E" w:rsidRPr="002D101E" w:rsidRDefault="002D101E" w:rsidP="002D101E">
            <w:pPr>
              <w:rPr>
                <w:bCs/>
                <w:sz w:val="18"/>
                <w:szCs w:val="18"/>
                <w:lang w:val="en-US"/>
              </w:rPr>
            </w:pPr>
            <w:proofErr w:type="spellStart"/>
            <w:r w:rsidRPr="002D101E">
              <w:rPr>
                <w:bCs/>
                <w:sz w:val="18"/>
                <w:szCs w:val="18"/>
                <w:vertAlign w:val="superscript"/>
                <w:lang w:val="en-US"/>
              </w:rPr>
              <w:t>e</w:t>
            </w:r>
            <w:r w:rsidRPr="002D101E">
              <w:rPr>
                <w:bCs/>
                <w:sz w:val="18"/>
                <w:szCs w:val="18"/>
                <w:lang w:val="en-US"/>
              </w:rPr>
              <w:t>Institut</w:t>
            </w:r>
            <w:proofErr w:type="spellEnd"/>
            <w:r w:rsidRPr="002D101E">
              <w:rPr>
                <w:bCs/>
                <w:sz w:val="18"/>
                <w:szCs w:val="18"/>
                <w:lang w:val="en-US"/>
              </w:rPr>
              <w:t xml:space="preserve"> </w:t>
            </w:r>
            <w:proofErr w:type="spellStart"/>
            <w:r w:rsidRPr="002D101E">
              <w:rPr>
                <w:bCs/>
                <w:sz w:val="18"/>
                <w:szCs w:val="18"/>
                <w:lang w:val="en-US"/>
              </w:rPr>
              <w:t>Teknologi</w:t>
            </w:r>
            <w:proofErr w:type="spellEnd"/>
            <w:r w:rsidRPr="002D101E">
              <w:rPr>
                <w:bCs/>
                <w:sz w:val="18"/>
                <w:szCs w:val="18"/>
                <w:lang w:val="en-US"/>
              </w:rPr>
              <w:t xml:space="preserve"> </w:t>
            </w:r>
            <w:proofErr w:type="spellStart"/>
            <w:r w:rsidRPr="002D101E">
              <w:rPr>
                <w:bCs/>
                <w:sz w:val="18"/>
                <w:szCs w:val="18"/>
                <w:lang w:val="en-US"/>
              </w:rPr>
              <w:t>Sepuluh</w:t>
            </w:r>
            <w:proofErr w:type="spellEnd"/>
            <w:r w:rsidRPr="002D101E">
              <w:rPr>
                <w:bCs/>
                <w:sz w:val="18"/>
                <w:szCs w:val="18"/>
                <w:lang w:val="en-US"/>
              </w:rPr>
              <w:t xml:space="preserve"> November, Surabaya, Indonesia</w:t>
            </w:r>
          </w:p>
          <w:p w14:paraId="7E257FA6" w14:textId="77777777" w:rsidR="002D101E" w:rsidRPr="002D101E" w:rsidRDefault="002D101E" w:rsidP="002D101E">
            <w:pPr>
              <w:rPr>
                <w:bCs/>
                <w:sz w:val="18"/>
                <w:szCs w:val="18"/>
                <w:lang w:val="en-US"/>
              </w:rPr>
            </w:pPr>
            <w:proofErr w:type="spellStart"/>
            <w:r w:rsidRPr="002D101E">
              <w:rPr>
                <w:bCs/>
                <w:sz w:val="18"/>
                <w:szCs w:val="18"/>
                <w:vertAlign w:val="superscript"/>
                <w:lang w:val="en-US"/>
              </w:rPr>
              <w:t>f</w:t>
            </w:r>
            <w:r w:rsidRPr="002D101E">
              <w:rPr>
                <w:bCs/>
                <w:sz w:val="18"/>
                <w:szCs w:val="18"/>
                <w:lang w:val="en-US"/>
              </w:rPr>
              <w:t>Universitas</w:t>
            </w:r>
            <w:proofErr w:type="spellEnd"/>
            <w:r w:rsidRPr="002D101E">
              <w:rPr>
                <w:bCs/>
                <w:sz w:val="18"/>
                <w:szCs w:val="18"/>
                <w:lang w:val="en-US"/>
              </w:rPr>
              <w:t xml:space="preserve"> Airlangga, Surabaya, Indonesia</w:t>
            </w:r>
          </w:p>
          <w:p w14:paraId="3169B85E" w14:textId="77777777" w:rsidR="002D101E" w:rsidRDefault="002D101E" w:rsidP="002D101E">
            <w:pPr>
              <w:rPr>
                <w:bCs/>
                <w:sz w:val="18"/>
                <w:szCs w:val="18"/>
                <w:lang w:val="en-US"/>
              </w:rPr>
            </w:pPr>
            <w:proofErr w:type="spellStart"/>
            <w:r w:rsidRPr="002D101E">
              <w:rPr>
                <w:bCs/>
                <w:sz w:val="18"/>
                <w:szCs w:val="18"/>
                <w:vertAlign w:val="superscript"/>
                <w:lang w:val="en-US"/>
              </w:rPr>
              <w:t>g</w:t>
            </w:r>
            <w:r w:rsidRPr="002D101E">
              <w:rPr>
                <w:bCs/>
                <w:sz w:val="18"/>
                <w:szCs w:val="18"/>
                <w:lang w:val="en-US"/>
              </w:rPr>
              <w:t>Universitas</w:t>
            </w:r>
            <w:proofErr w:type="spellEnd"/>
            <w:r w:rsidRPr="002D101E">
              <w:rPr>
                <w:bCs/>
                <w:sz w:val="18"/>
                <w:szCs w:val="18"/>
                <w:lang w:val="en-US"/>
              </w:rPr>
              <w:t xml:space="preserve"> </w:t>
            </w:r>
            <w:proofErr w:type="spellStart"/>
            <w:r w:rsidRPr="002D101E">
              <w:rPr>
                <w:bCs/>
                <w:sz w:val="18"/>
                <w:szCs w:val="18"/>
                <w:lang w:val="en-US"/>
              </w:rPr>
              <w:t>Brawijaya</w:t>
            </w:r>
            <w:proofErr w:type="spellEnd"/>
            <w:r w:rsidRPr="002D101E">
              <w:rPr>
                <w:bCs/>
                <w:sz w:val="18"/>
                <w:szCs w:val="18"/>
                <w:lang w:val="en-US"/>
              </w:rPr>
              <w:t>, Malang, Jawa Timur, Indonesia</w:t>
            </w:r>
          </w:p>
          <w:p w14:paraId="4B54932F" w14:textId="24F7A1BC" w:rsidR="00D869DB" w:rsidRPr="004C7CB9" w:rsidRDefault="00D869DB" w:rsidP="00D869DB">
            <w:r w:rsidRPr="004C7CB9">
              <w:rPr>
                <w:sz w:val="18"/>
                <w:szCs w:val="18"/>
              </w:rPr>
              <w:t>*Corresponding</w:t>
            </w:r>
            <w:r w:rsidRPr="002D101E">
              <w:rPr>
                <w:color w:val="000000" w:themeColor="text1"/>
                <w:sz w:val="18"/>
                <w:szCs w:val="18"/>
              </w:rPr>
              <w:t xml:space="preserve"> Author: </w:t>
            </w:r>
            <w:hyperlink r:id="rId8" w:history="1">
              <w:r w:rsidR="002D101E" w:rsidRPr="002D101E">
                <w:rPr>
                  <w:rStyle w:val="Hyperlink"/>
                  <w:bCs/>
                  <w:color w:val="000000" w:themeColor="text1"/>
                  <w:sz w:val="18"/>
                  <w:szCs w:val="18"/>
                  <w:u w:val="none"/>
                </w:rPr>
                <w:t>hari064@brin.go.id</w:t>
              </w:r>
            </w:hyperlink>
            <w:r w:rsidR="002D101E" w:rsidRPr="002D101E">
              <w:rPr>
                <w:bCs/>
                <w:color w:val="000000" w:themeColor="text1"/>
                <w:sz w:val="18"/>
                <w:szCs w:val="18"/>
              </w:rPr>
              <w:t xml:space="preserve">, </w:t>
            </w:r>
            <w:hyperlink r:id="rId9" w:history="1">
              <w:r w:rsidR="002D101E" w:rsidRPr="002D101E">
                <w:rPr>
                  <w:rStyle w:val="Hyperlink"/>
                  <w:bCs/>
                  <w:color w:val="000000" w:themeColor="text1"/>
                  <w:sz w:val="18"/>
                  <w:szCs w:val="18"/>
                  <w:u w:val="none"/>
                </w:rPr>
                <w:t>Nangkula@ucsiuniversity.edu.my</w:t>
              </w:r>
            </w:hyperlink>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385B373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2D101E">
              <w:rPr>
                <w:rFonts w:asciiTheme="majorHAnsi" w:hAnsiTheme="majorHAnsi" w:cstheme="majorHAnsi"/>
                <w:sz w:val="18"/>
                <w:szCs w:val="18"/>
              </w:rPr>
              <w:t xml:space="preserve"> 8</w:t>
            </w:r>
          </w:p>
          <w:p w14:paraId="5F8B2097" w14:textId="42A7251D"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2D101E">
              <w:rPr>
                <w:rFonts w:asciiTheme="majorHAnsi" w:hAnsiTheme="majorHAnsi" w:cstheme="majorHAnsi"/>
                <w:sz w:val="18"/>
                <w:szCs w:val="18"/>
              </w:rPr>
              <w:t xml:space="preserve"> 4</w:t>
            </w:r>
          </w:p>
          <w:p w14:paraId="1727970E" w14:textId="6C8C045B"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2D101E">
              <w:rPr>
                <w:rFonts w:asciiTheme="majorHAnsi" w:hAnsiTheme="majorHAnsi" w:cstheme="majorHAnsi"/>
                <w:sz w:val="18"/>
                <w:szCs w:val="18"/>
              </w:rPr>
              <w:t xml:space="preserve"> 1083-</w:t>
            </w:r>
            <w:r w:rsidR="00E64BB9">
              <w:rPr>
                <w:rFonts w:asciiTheme="majorHAnsi" w:hAnsiTheme="majorHAnsi" w:cstheme="majorHAnsi"/>
                <w:sz w:val="18"/>
                <w:szCs w:val="18"/>
              </w:rPr>
              <w:t>1092</w:t>
            </w:r>
          </w:p>
          <w:p w14:paraId="42AC331B" w14:textId="3B549566"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2D101E">
              <w:rPr>
                <w:rFonts w:asciiTheme="majorHAnsi" w:hAnsiTheme="majorHAnsi" w:cstheme="majorHAnsi"/>
                <w:sz w:val="18"/>
                <w:szCs w:val="18"/>
              </w:rPr>
              <w:t>August</w:t>
            </w:r>
            <w:r w:rsidRPr="004C7CB9">
              <w:rPr>
                <w:rFonts w:asciiTheme="majorHAnsi" w:hAnsiTheme="majorHAnsi" w:cstheme="majorHAnsi"/>
                <w:sz w:val="18"/>
                <w:szCs w:val="18"/>
              </w:rPr>
              <w:t xml:space="preserve"> </w:t>
            </w:r>
            <w:r w:rsidR="002D101E">
              <w:rPr>
                <w:rFonts w:asciiTheme="majorHAnsi" w:hAnsiTheme="majorHAnsi" w:cstheme="majorHAnsi"/>
                <w:sz w:val="18"/>
                <w:szCs w:val="18"/>
              </w:rPr>
              <w:t>8</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2D101E">
              <w:rPr>
                <w:rFonts w:asciiTheme="majorHAnsi" w:hAnsiTheme="majorHAnsi" w:cstheme="majorHAnsi"/>
                <w:sz w:val="18"/>
                <w:szCs w:val="18"/>
              </w:rPr>
              <w:t>5</w:t>
            </w:r>
          </w:p>
          <w:p w14:paraId="63316A40" w14:textId="33E1867D"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2D101E">
              <w:rPr>
                <w:rFonts w:asciiTheme="majorHAnsi" w:hAnsiTheme="majorHAnsi" w:cstheme="majorHAnsi"/>
                <w:sz w:val="18"/>
                <w:szCs w:val="18"/>
              </w:rPr>
              <w:t>August</w:t>
            </w:r>
            <w:r w:rsidRPr="004C7CB9">
              <w:rPr>
                <w:rFonts w:asciiTheme="majorHAnsi" w:hAnsiTheme="majorHAnsi" w:cstheme="majorHAnsi"/>
                <w:sz w:val="18"/>
                <w:szCs w:val="18"/>
              </w:rPr>
              <w:t xml:space="preserve"> </w:t>
            </w:r>
            <w:r w:rsidR="002D101E">
              <w:rPr>
                <w:rFonts w:asciiTheme="majorHAnsi" w:hAnsiTheme="majorHAnsi" w:cstheme="majorHAnsi"/>
                <w:sz w:val="18"/>
                <w:szCs w:val="18"/>
              </w:rPr>
              <w:t>26</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2D101E">
              <w:rPr>
                <w:rFonts w:asciiTheme="majorHAnsi" w:hAnsiTheme="majorHAnsi" w:cstheme="majorHAnsi"/>
                <w:sz w:val="18"/>
                <w:szCs w:val="18"/>
              </w:rPr>
              <w:t>5</w:t>
            </w:r>
          </w:p>
          <w:p w14:paraId="6068623C" w14:textId="7A27561F"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Available Online: December 30</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E64BB9">
              <w:rPr>
                <w:rFonts w:asciiTheme="majorHAnsi" w:hAnsiTheme="majorHAnsi" w:cstheme="majorHAnsi"/>
                <w:sz w:val="18"/>
                <w:szCs w:val="18"/>
              </w:rPr>
              <w:t>5</w:t>
            </w:r>
          </w:p>
          <w:p w14:paraId="78EB1E49" w14:textId="4AF5E254"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2D101E" w:rsidRPr="002D101E">
              <w:rPr>
                <w:rFonts w:asciiTheme="majorHAnsi" w:hAnsiTheme="majorHAnsi" w:cstheme="majorHAnsi"/>
                <w:bCs/>
                <w:sz w:val="18"/>
                <w:szCs w:val="18"/>
              </w:rPr>
              <w:t>10.18860/</w:t>
            </w:r>
            <w:proofErr w:type="gramStart"/>
            <w:r w:rsidR="002D101E" w:rsidRPr="002D101E">
              <w:rPr>
                <w:rFonts w:asciiTheme="majorHAnsi" w:hAnsiTheme="majorHAnsi" w:cstheme="majorHAnsi"/>
                <w:bCs/>
                <w:sz w:val="18"/>
                <w:szCs w:val="18"/>
              </w:rPr>
              <w:t>jia.v</w:t>
            </w:r>
            <w:proofErr w:type="gramEnd"/>
            <w:r w:rsidR="002D101E" w:rsidRPr="002D101E">
              <w:rPr>
                <w:rFonts w:asciiTheme="majorHAnsi" w:hAnsiTheme="majorHAnsi" w:cstheme="majorHAnsi"/>
                <w:bCs/>
                <w:sz w:val="18"/>
                <w:szCs w:val="18"/>
              </w:rPr>
              <w:t>8i4.35992</w:t>
            </w:r>
          </w:p>
        </w:tc>
        <w:tc>
          <w:tcPr>
            <w:tcW w:w="5671" w:type="dxa"/>
          </w:tcPr>
          <w:p w14:paraId="68C518DA" w14:textId="4D1328C1" w:rsidR="001D517C" w:rsidRPr="002D101E" w:rsidRDefault="002D101E" w:rsidP="001D517C">
            <w:pPr>
              <w:jc w:val="both"/>
              <w:rPr>
                <w:rFonts w:asciiTheme="majorHAnsi" w:hAnsiTheme="majorHAnsi" w:cstheme="majorHAnsi"/>
                <w:iCs/>
                <w:sz w:val="18"/>
                <w:szCs w:val="18"/>
              </w:rPr>
            </w:pPr>
            <w:r w:rsidRPr="002D101E">
              <w:rPr>
                <w:rFonts w:asciiTheme="majorHAnsi" w:hAnsiTheme="majorHAnsi" w:cstheme="majorHAnsi"/>
                <w:iCs/>
                <w:sz w:val="18"/>
                <w:szCs w:val="18"/>
              </w:rPr>
              <w:t xml:space="preserve">This study investigates the integration of QRIS (Quick Response Code Indonesian Standard) in mosque architecture as both a digital innovation and a cultural intervention. Using qualitative case studies of three iconic mosques in Indonesia: Al-Jabbar (Bandung), Sheikh Zayed (Solo), and </w:t>
            </w:r>
            <w:proofErr w:type="spellStart"/>
            <w:r w:rsidRPr="002D101E">
              <w:rPr>
                <w:rFonts w:asciiTheme="majorHAnsi" w:hAnsiTheme="majorHAnsi" w:cstheme="majorHAnsi"/>
                <w:iCs/>
                <w:sz w:val="18"/>
                <w:szCs w:val="18"/>
              </w:rPr>
              <w:t>Hubbul</w:t>
            </w:r>
            <w:proofErr w:type="spellEnd"/>
            <w:r w:rsidRPr="002D101E">
              <w:rPr>
                <w:rFonts w:asciiTheme="majorHAnsi" w:hAnsiTheme="majorHAnsi" w:cstheme="majorHAnsi"/>
                <w:iCs/>
                <w:sz w:val="18"/>
                <w:szCs w:val="18"/>
              </w:rPr>
              <w:t xml:space="preserve"> Wathan (Lombok), the research </w:t>
            </w:r>
            <w:proofErr w:type="spellStart"/>
            <w:r w:rsidRPr="002D101E">
              <w:rPr>
                <w:rFonts w:asciiTheme="majorHAnsi" w:hAnsiTheme="majorHAnsi" w:cstheme="majorHAnsi"/>
                <w:iCs/>
                <w:sz w:val="18"/>
                <w:szCs w:val="18"/>
              </w:rPr>
              <w:t>analyzes</w:t>
            </w:r>
            <w:proofErr w:type="spellEnd"/>
            <w:r w:rsidRPr="002D101E">
              <w:rPr>
                <w:rFonts w:asciiTheme="majorHAnsi" w:hAnsiTheme="majorHAnsi" w:cstheme="majorHAnsi"/>
                <w:iCs/>
                <w:sz w:val="18"/>
                <w:szCs w:val="18"/>
              </w:rPr>
              <w:t xml:space="preserve"> how QRIS impacts visitor experience, philanthropic participation, and the preservation of architectural and cultural values. Drawing on theories of technology acceptance, vernacular architecture, and experiential learning, the study finds that QRIS can enrich mosque functionality without disrupting sacred spatial aesthetics. It also reveals the importance of inclusive design in ensuring that digital tools benefit diverse visitor groups. While emphasizing the transformative potential of QRIS, the study also notes challenges related to digital literacy and infrastructural disparities. This research contributes to current debates on digital heritage, smart religious spaces, and the adaptive use of technology in sustaining Islamic cultural identity</w:t>
            </w:r>
            <w:r>
              <w:rPr>
                <w:rFonts w:asciiTheme="majorHAnsi" w:hAnsiTheme="majorHAnsi" w:cstheme="majorHAnsi"/>
                <w:iCs/>
                <w:sz w:val="18"/>
                <w:szCs w:val="18"/>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657F2E0F" w:rsidR="001D517C" w:rsidRPr="004C7CB9" w:rsidRDefault="002D101E" w:rsidP="001D517C">
            <w:pPr>
              <w:jc w:val="both"/>
              <w:rPr>
                <w:rFonts w:asciiTheme="majorHAnsi" w:hAnsiTheme="majorHAnsi" w:cstheme="majorHAnsi"/>
                <w:sz w:val="18"/>
                <w:szCs w:val="18"/>
                <w:lang w:val="en-US"/>
              </w:rPr>
            </w:pPr>
            <w:r w:rsidRPr="002D101E">
              <w:rPr>
                <w:rFonts w:asciiTheme="majorHAnsi" w:hAnsiTheme="majorHAnsi" w:cstheme="majorHAnsi"/>
                <w:iCs/>
                <w:sz w:val="18"/>
                <w:szCs w:val="18"/>
              </w:rPr>
              <w:t>QRIS; Mosque Architecture; Cultural Heritage; Aesthetic Integration; Mosque Tourism</w:t>
            </w:r>
            <w:r>
              <w:rPr>
                <w:rFonts w:asciiTheme="majorHAnsi" w:hAnsiTheme="majorHAnsi" w:cstheme="majorHAnsi"/>
                <w:iCs/>
                <w:sz w:val="18"/>
                <w:szCs w:val="18"/>
              </w:rPr>
              <w:t xml:space="preserve"> </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5B16EA56"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7115DB73" w14:textId="77777777" w:rsidR="002D101E" w:rsidRP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The rapid development of digital technology has brought significant changes across various sectors, including the management and operations of places of worship such as mosques. One of the digital innovations being implemented in mosques is the QRIS (Quick Response Code Indonesia Standard) based payment system. QRIS simplifies the donation process, allowing visitors to contribute without carrying cash. With the adoption of this technology, the donation process becomes more efficient and practical, thereby increasing visitor engagement in supporting various social and religious programs organized by the mosque. This digital transformation also has the potential to impact mosque design and architecture significantly.</w:t>
      </w:r>
    </w:p>
    <w:p w14:paraId="6E90CB5A" w14:textId="77777777" w:rsidR="002D101E" w:rsidRP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However, despite numerous studies examining the effects of digital transformation in other sectors, research on the impact of digitalization on mosque architecture and philanthropic sustainability in Indonesia remains very limited. Most of the existing studies focus on the application of technology in commercial and secular sectors, while attention to religious institutions, particularly mosques, is minimal. This indicates that there is still room to explore the role of digital technology in mosques across operational, architectural, and social perspectives.</w:t>
      </w:r>
    </w:p>
    <w:p w14:paraId="43D63035" w14:textId="77777777" w:rsidR="002D101E" w:rsidRP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lastRenderedPageBreak/>
        <w:t xml:space="preserve">Previous research on mosque architecture in Indonesia has primarily focused on physical design aspects and their influence on visitor comfort and social interaction </w:t>
      </w:r>
      <w:r w:rsidRPr="002D101E">
        <w:rPr>
          <w:rFonts w:asciiTheme="majorHAnsi" w:hAnsiTheme="majorHAnsi" w:cstheme="majorHAnsi"/>
          <w:sz w:val="20"/>
          <w:szCs w:val="20"/>
          <w:lang w:val="en-US"/>
        </w:rPr>
        <w:fldChar w:fldCharType="begin"/>
      </w:r>
      <w:r w:rsidRPr="002D101E">
        <w:rPr>
          <w:rFonts w:asciiTheme="majorHAnsi" w:hAnsiTheme="majorHAnsi" w:cstheme="majorHAnsi"/>
          <w:sz w:val="20"/>
          <w:szCs w:val="20"/>
          <w:lang w:val="en-US"/>
        </w:rPr>
        <w:instrText xml:space="preserve"> ADDIN ZOTERO_ITEM CSL_CITATION {"citationID":"y0piZzqb","properties":{"formattedCitation":"[2]","plainCitation":"[2]","noteIndex":0},"citationItems":[{"id":8696,"uris":["http://zotero.org/users/local/APPySEvW/items/4TINWA85"],"itemData":{"id":8696,"type":"article-journal","abstract":"The ancient city, Kudus, Central Java, has unique sites, including ancient ornaments and walls inside Langgar Dalem Mosque. The study aims to reveal that the value of tolerance needs to be cared by every generation of Muslims in Kudus. The data were collected by interview, observation, and literature review. The study used a descriptive qualitative method to analyze the data. The study showed that Langgar Dalem Mosque is a historical-cultural heritage inherited by pre-Islamic Hindus and preserved authenticity by Muslims in Kudus, as a form of the love of cultural works. There are patterns of Javanese, Hindu, and Islamic cultures that decorate the mosque's walls. However, Department of Culture and Tourism of Kudus Regency has not optimally cared for it. So, the initiative of the Mosque management board is the ancient ornaments were painted for their dull color. This could reduce their original aesthetic value and change the cultural heritage values. The ancient wall in Langgar Dalem Mosque with the meaning of cultural tolerance until now has preserved by Sunan Kudus and Moslem generation.","container-title":"Journal of Islamic Architecture","DOI":"10.18860/jia.v7i1.12999","ISSN":"2356-4644","issue":"1","language":"en","license":"Copyright (c) 2022 Journal of Islamic Architecture","note":"number: 1","page":"135-147","source":"ejournal.uin-malang.ac.id","title":"Hinduism and Islamic Ornaments in Langgar Dalem Mosque of Kudus","volume":"7","author":[{"family":"Rosyid","given":"Moh"}],"issued":{"date-parts":[["2022",6,28]]}}}],"schema":"https://github.com/citation-style-language/schema/raw/master/csl-citation.json"} </w:instrText>
      </w:r>
      <w:r w:rsidRPr="002D101E">
        <w:rPr>
          <w:rFonts w:asciiTheme="majorHAnsi" w:hAnsiTheme="majorHAnsi" w:cstheme="majorHAnsi"/>
          <w:sz w:val="20"/>
          <w:szCs w:val="20"/>
          <w:lang w:val="en-US"/>
        </w:rPr>
        <w:fldChar w:fldCharType="separate"/>
      </w:r>
      <w:r w:rsidRPr="002D101E">
        <w:rPr>
          <w:rFonts w:asciiTheme="majorHAnsi" w:hAnsiTheme="majorHAnsi" w:cstheme="majorHAnsi"/>
          <w:sz w:val="20"/>
          <w:szCs w:val="20"/>
          <w:lang w:val="en-US"/>
        </w:rPr>
        <w:t>[2]</w:t>
      </w:r>
      <w:r w:rsidRPr="002D101E">
        <w:rPr>
          <w:rFonts w:asciiTheme="majorHAnsi" w:hAnsiTheme="majorHAnsi" w:cstheme="majorHAnsi"/>
          <w:sz w:val="20"/>
          <w:szCs w:val="20"/>
        </w:rPr>
        <w:fldChar w:fldCharType="end"/>
      </w:r>
      <w:r w:rsidRPr="002D101E">
        <w:rPr>
          <w:rFonts w:asciiTheme="majorHAnsi" w:hAnsiTheme="majorHAnsi" w:cstheme="majorHAnsi"/>
          <w:sz w:val="20"/>
          <w:szCs w:val="20"/>
          <w:lang w:val="en-US"/>
        </w:rPr>
        <w:t xml:space="preserve">. These studies emphasize how traditional elements such as local ornamentation and spatial organization reinforce cultural identity and enhance the spiritual experience </w:t>
      </w:r>
      <w:r w:rsidRPr="002D101E">
        <w:rPr>
          <w:rFonts w:asciiTheme="majorHAnsi" w:hAnsiTheme="majorHAnsi" w:cstheme="majorHAnsi"/>
          <w:sz w:val="20"/>
          <w:szCs w:val="20"/>
          <w:lang w:val="en-US"/>
        </w:rPr>
        <w:fldChar w:fldCharType="begin"/>
      </w:r>
      <w:r w:rsidRPr="002D101E">
        <w:rPr>
          <w:rFonts w:asciiTheme="majorHAnsi" w:hAnsiTheme="majorHAnsi" w:cstheme="majorHAnsi"/>
          <w:sz w:val="20"/>
          <w:szCs w:val="20"/>
          <w:lang w:val="en-US"/>
        </w:rPr>
        <w:instrText xml:space="preserve"> ADDIN ZOTERO_ITEM CSL_CITATION {"citationID":"k6UYI69w","properties":{"formattedCitation":"[1]","plainCitation":"[1]","noteIndex":0},"citationItems":[{"id":8694,"uris":["http://zotero.org/users/local/APPySEvW/items/6KMXZGWM"],"itemData":{"id":8694,"type":"article-journal","abstract":"Despite their non-mandatory attendance in the mosques, women have been significant users of mosques in Indonesia. They organize community programs, attend daily prayers, and participate in Islamic learning sessions (kajian). Masjid Al-Irsyad (built in 2009) in Kota Baru Parahyangan, Indonesia, is a popular venue for the kajian among women in the surrounding area. This article examines the design of Masjid Al-Irsyad, its flexible uses as a social space, the design based on gender analysis aspects, women’s preference for space, and the social interactions fostered and hampered by the spatial layout. Based on using data withdrawn from a survey of female mosque users and observations, this article finds that the open plan allows flexible use of space, which better accommodates women’s need for space in the mosque and encourages women’s active participation, and a more equal yet remains “Islamic” interaction in the mosque as an Islamic community center. It also blurs the gendered spatial boundary and hierarchy. The space of Masjid Al-Irsyad is a socio-spatial assemblage that opens a broader opportunity for equal gender relations in the mosque. However, the open plan also reduces women’s privacy, an essential spatial aspect.","container-title":"Journal of Islamic Architecture","DOI":"10.18860/jia.v8i2.23476","ISSN":"2356-4644","issue":"2","language":"en","license":"Copyright (c) 2024 Journal of Islamic Architecture","note":"number: 2","page":"371-379","source":"ejournal.uin-malang.ac.id","title":"Gender and Socio-Spatial Assemblage at Masjid Al-Irsyad Kota Baru Parahyangan, Indonesia","volume":"8","author":[{"family":"Aryanti","given":"Tutin"},{"family":"Megayanti","given":"Trias"},{"family":"Susanti","given":"Indah"},{"family":"Fitria","given":"Dian"}],"issued":{"date-parts":[["2024",12,31]]}}}],"schema":"https://github.com/citation-style-language/schema/raw/master/csl-citation.json"} </w:instrText>
      </w:r>
      <w:r w:rsidRPr="002D101E">
        <w:rPr>
          <w:rFonts w:asciiTheme="majorHAnsi" w:hAnsiTheme="majorHAnsi" w:cstheme="majorHAnsi"/>
          <w:sz w:val="20"/>
          <w:szCs w:val="20"/>
          <w:lang w:val="en-US"/>
        </w:rPr>
        <w:fldChar w:fldCharType="separate"/>
      </w:r>
      <w:r w:rsidRPr="002D101E">
        <w:rPr>
          <w:rFonts w:asciiTheme="majorHAnsi" w:hAnsiTheme="majorHAnsi" w:cstheme="majorHAnsi"/>
          <w:sz w:val="20"/>
          <w:szCs w:val="20"/>
          <w:lang w:val="en-US"/>
        </w:rPr>
        <w:t>[1]</w:t>
      </w:r>
      <w:r w:rsidRPr="002D101E">
        <w:rPr>
          <w:rFonts w:asciiTheme="majorHAnsi" w:hAnsiTheme="majorHAnsi" w:cstheme="majorHAnsi"/>
          <w:sz w:val="20"/>
          <w:szCs w:val="20"/>
        </w:rPr>
        <w:fldChar w:fldCharType="end"/>
      </w:r>
      <w:r w:rsidRPr="002D101E">
        <w:rPr>
          <w:rFonts w:asciiTheme="majorHAnsi" w:hAnsiTheme="majorHAnsi" w:cstheme="majorHAnsi"/>
          <w:sz w:val="20"/>
          <w:szCs w:val="20"/>
          <w:lang w:val="en-US"/>
        </w:rPr>
        <w:t xml:space="preserve">. However, this body of work largely overlooks the role of digital transformation, particularly the integration of technologies such as the Indonesian Quick Response Code Standard (QRIS) within mosque spaces </w:t>
      </w:r>
      <w:r w:rsidRPr="002D101E">
        <w:rPr>
          <w:rFonts w:asciiTheme="majorHAnsi" w:hAnsiTheme="majorHAnsi" w:cstheme="majorHAnsi"/>
          <w:sz w:val="20"/>
          <w:szCs w:val="20"/>
          <w:lang w:val="en-US"/>
        </w:rPr>
        <w:fldChar w:fldCharType="begin"/>
      </w:r>
      <w:r w:rsidRPr="002D101E">
        <w:rPr>
          <w:rFonts w:asciiTheme="majorHAnsi" w:hAnsiTheme="majorHAnsi" w:cstheme="majorHAnsi"/>
          <w:sz w:val="20"/>
          <w:szCs w:val="20"/>
          <w:lang w:val="en-US"/>
        </w:rPr>
        <w:instrText xml:space="preserve"> ADDIN ZOTERO_ITEM CSL_CITATION {"citationID":"oDlNI2hS","properties":{"formattedCitation":"[4]","plainCitation":"[4]","noteIndex":0},"citationItems":[{"id":8700,"uris":["http://zotero.org/users/local/APPySEvW/items/9S45PMFK"],"itemData":{"id":8700,"type":"article-journal","abstract":"Architecturally, the Seljuqs' dominion makes a significant shift from the Pre-Islamic Sassanid squinches into a sophisticated transition mechanism employed to change the walls of a square chamber to an octagonal base to set a dome. It initiated a new construction methodology to hybridize the previous experiences of Sassanid domes with new architectural tendencies since the prior understanding of the transition zone was a makeshift in quality. It is not consistent enough for future architectural adventures in creating larger structures. Although a cursory investigation of transition zones of Seljuq dome chambers in some respects reveals a relatively homogeneous framework, it has never meant the stagnation of architectural creativity in different parts of the Seljuk territory. On the other hand, the typology and local schools of Seljuq transition zones of dome chambers have not been thoroughly considered by geographical centralism in Iran. For a better understanding of the standardization of various techniques considered in Seljuq architecture between the 11th and 12th centuries to span the cubic structure to a circular plan, this project is aimed to clarify three different schools of architectural articulation concerning transition zone in the Seljuq dome chambers. A structural analysis was conducted assuming several scenarios over Seljuq domes to clarify its geographical characteristics as well as static behaviors in different parts of Iran. This study shows that no dome has a regular mechanism of a transition zone, no two regions share the same approach, and three different empirical attitudes towards the transition zone would be enough to consider three architectural schools encompassing Northwest Iran, Alborz, and Central Iran, in which the difference lies in the basic elements of the construction of the transition zone rather than proportions.","container-title":"Journal of Islamic Architecture","DOI":"10.18860/jia.v6i1.7488","ISSN":"2356-4644","issue":"1","language":"en","license":"Copyright (c) 2020 Journal of Islamic Architecture","note":"number: 1","page":"24-32","source":"ejournal.uin-malang.ac.id","title":"Transition Zone in Seljuq Dome Chambers","volume":"6","author":[{"family":"Moradi","given":"Amin"}],"issued":{"date-parts":[["2020",6,9]]}}}],"schema":"https://github.com/citation-style-language/schema/raw/master/csl-citation.json"} </w:instrText>
      </w:r>
      <w:r w:rsidRPr="002D101E">
        <w:rPr>
          <w:rFonts w:asciiTheme="majorHAnsi" w:hAnsiTheme="majorHAnsi" w:cstheme="majorHAnsi"/>
          <w:sz w:val="20"/>
          <w:szCs w:val="20"/>
          <w:lang w:val="en-US"/>
        </w:rPr>
        <w:fldChar w:fldCharType="separate"/>
      </w:r>
      <w:r w:rsidRPr="002D101E">
        <w:rPr>
          <w:rFonts w:asciiTheme="majorHAnsi" w:hAnsiTheme="majorHAnsi" w:cstheme="majorHAnsi"/>
          <w:sz w:val="20"/>
          <w:szCs w:val="20"/>
          <w:lang w:val="en-US"/>
        </w:rPr>
        <w:t>[4]</w:t>
      </w:r>
      <w:r w:rsidRPr="002D101E">
        <w:rPr>
          <w:rFonts w:asciiTheme="majorHAnsi" w:hAnsiTheme="majorHAnsi" w:cstheme="majorHAnsi"/>
          <w:sz w:val="20"/>
          <w:szCs w:val="20"/>
        </w:rPr>
        <w:fldChar w:fldCharType="end"/>
      </w:r>
      <w:r w:rsidRPr="002D101E">
        <w:rPr>
          <w:rFonts w:asciiTheme="majorHAnsi" w:hAnsiTheme="majorHAnsi" w:cstheme="majorHAnsi"/>
          <w:sz w:val="20"/>
          <w:szCs w:val="20"/>
          <w:lang w:val="en-US"/>
        </w:rPr>
        <w:t xml:space="preserve">. While digitalization has begun to emerge in discussions around religious services and financial management, its impact on the aesthetic integrity </w:t>
      </w:r>
      <w:r w:rsidRPr="002D101E">
        <w:rPr>
          <w:rFonts w:asciiTheme="majorHAnsi" w:hAnsiTheme="majorHAnsi" w:cstheme="majorHAnsi"/>
          <w:sz w:val="20"/>
          <w:szCs w:val="20"/>
          <w:lang w:val="en-US"/>
        </w:rPr>
        <w:fldChar w:fldCharType="begin"/>
      </w:r>
      <w:r w:rsidRPr="002D101E">
        <w:rPr>
          <w:rFonts w:asciiTheme="majorHAnsi" w:hAnsiTheme="majorHAnsi" w:cstheme="majorHAnsi"/>
          <w:sz w:val="20"/>
          <w:szCs w:val="20"/>
          <w:lang w:val="en-US"/>
        </w:rPr>
        <w:instrText xml:space="preserve"> ADDIN ZOTERO_ITEM CSL_CITATION {"citationID":"ngGnlQ5p","properties":{"formattedCitation":"[5]","plainCitation":"[5]","noteIndex":0},"citationItems":[{"id":8702,"uris":["http://zotero.org/users/local/APPySEvW/items/3ZG66LS2"],"itemData":{"id":8702,"type":"article-journal","abstract":"The destruction of archaeological sites leads to big loss at the local and regional levels and any interruption to the past will have a negative impact on the present and the future. The preservation and protection of archaeological sites consists an economic, cultural and heritage impact for the nations. This study aims mainly to review the factors threating the destruction of archeological sites with an attempt to find the methods that reduce the threat and preserve what is left of the Palestinian remains. In additions, it includes an analytical study of the direct and indirect of the separation wall on the archeological sites in Al-Quds (Al-Quds 2020). The most important of these threats to the architectural heritage is the danger of the separation wall (The Al-Quds envelope). The study recommended the need for intensified efforts by concerned Palestinian authorities and institutions, especially the Ministry of Tourism and Antiquities to face the wall and its negative effects on archaeological sites on one hand and to put the protection and preservation of archaeological sites within their priorities on the one hand. Others, because of the economic and cultural importance of these sites, which affect the identity of the architecture.","container-title":"Journal of Islamic Architecture","DOI":"10.18860/jia.v4i4.4392","ISSN":"2356-4644","issue":"4","language":"en","license":"Copyright (c) 2017 Journal of Islamic Architecture","note":"number: 4","page":"139-145","source":"ejournal.uin-malang.ac.id","title":"The Negative Effects of the Separation Wall on the Architectural and Urban Heritage of Al-Quds","volume":"4","author":[{"family":"Mahmoud","given":"Amira Mersal"}],"issued":{"date-parts":[["2017",12,24]]}}}],"schema":"https://github.com/citation-style-language/schema/raw/master/csl-citation.json"} </w:instrText>
      </w:r>
      <w:r w:rsidRPr="002D101E">
        <w:rPr>
          <w:rFonts w:asciiTheme="majorHAnsi" w:hAnsiTheme="majorHAnsi" w:cstheme="majorHAnsi"/>
          <w:sz w:val="20"/>
          <w:szCs w:val="20"/>
          <w:lang w:val="en-US"/>
        </w:rPr>
        <w:fldChar w:fldCharType="separate"/>
      </w:r>
      <w:r w:rsidRPr="002D101E">
        <w:rPr>
          <w:rFonts w:asciiTheme="majorHAnsi" w:hAnsiTheme="majorHAnsi" w:cstheme="majorHAnsi"/>
          <w:sz w:val="20"/>
          <w:szCs w:val="20"/>
          <w:lang w:val="en-US"/>
        </w:rPr>
        <w:t>[5]</w:t>
      </w:r>
      <w:r w:rsidRPr="002D101E">
        <w:rPr>
          <w:rFonts w:asciiTheme="majorHAnsi" w:hAnsiTheme="majorHAnsi" w:cstheme="majorHAnsi"/>
          <w:sz w:val="20"/>
          <w:szCs w:val="20"/>
        </w:rPr>
        <w:fldChar w:fldCharType="end"/>
      </w:r>
      <w:r w:rsidRPr="002D101E">
        <w:rPr>
          <w:rFonts w:asciiTheme="majorHAnsi" w:hAnsiTheme="majorHAnsi" w:cstheme="majorHAnsi"/>
          <w:sz w:val="20"/>
          <w:szCs w:val="20"/>
          <w:lang w:val="en-US"/>
        </w:rPr>
        <w:t xml:space="preserve">, cultural heritage preservation, and tourism potential of mosques remains underexplored </w:t>
      </w:r>
      <w:r w:rsidRPr="002D101E">
        <w:rPr>
          <w:rFonts w:asciiTheme="majorHAnsi" w:hAnsiTheme="majorHAnsi" w:cstheme="majorHAnsi"/>
          <w:sz w:val="20"/>
          <w:szCs w:val="20"/>
          <w:lang w:val="en-US"/>
        </w:rPr>
        <w:fldChar w:fldCharType="begin"/>
      </w:r>
      <w:r w:rsidRPr="002D101E">
        <w:rPr>
          <w:rFonts w:asciiTheme="majorHAnsi" w:hAnsiTheme="majorHAnsi" w:cstheme="majorHAnsi"/>
          <w:sz w:val="20"/>
          <w:szCs w:val="20"/>
          <w:lang w:val="en-US"/>
        </w:rPr>
        <w:instrText xml:space="preserve"> ADDIN ZOTERO_ITEM CSL_CITATION {"citationID":"MClTpudY","properties":{"formattedCitation":"[3]","plainCitation":"[3]","noteIndex":0},"citationItems":[{"id":8698,"uris":["http://zotero.org/users/local/APPySEvW/items/2LFFZ5U9"],"itemData":{"id":8698,"type":"article-journal","abstract":"Providing pedestrian pathways in tourist areas that align with the type of tourism and its typology is an effort to maximize the service for tourists. Tourists in religious areas have distinct characteristics, often arriving in groups. This study aims to analyze the design of pedestrian pathways based on the tourist typology of Menara Kudus Religious Tourism in order to facilitate circulation and support the mobility of visiting tourists. The research method to achieve this objective combines quantitative and qualitative methods, utilizing descriptive and cross-tabulation analysis techniques to determine the typology of tourists, the existing condition of pedestrian pathways, and the circulation of tourist patterns. This study shows that the existing condition of pedestrian pathways does not align with the typology of tourists due to narrow paths and the lack of differentiation between pedestrian pathways, motorcyclists, and street vendors. Additionally, the circulation patterns of tourists within the tourist area show that they enter and exit through the same pathways. These factors hinder the circulation and mobility of tourists during their visit. Therefore, the design of alternative pedestrian routes is recommended to address the hindrances to circulation and mobility and provide safe and comfortable pedestrian pathways for tourists.","container-title":"Journal of Islamic Architecture","DOI":"10.18860/jia.v8i2.21617","ISSN":"2356-4644","issue":"2","language":"en","license":"Copyright (c) 2024 Journal of Islamic Architecture","note":"number: 2","page":"396-407","source":"ejournal.uin-malang.ac.id","title":"Design of Pedestrian Ways Based on Tourist Characteristics in the Religious Tourism Area of Menara Kudus","volume":"8","author":[{"family":"Rakhmatulloh","given":"Anita Ratnasari"},{"family":"Dewi","given":"Diah Intan Kusumo"}],"issued":{"date-parts":[["2024",12,31]]}}}],"schema":"https://github.com/citation-style-language/schema/raw/master/csl-citation.json"} </w:instrText>
      </w:r>
      <w:r w:rsidRPr="002D101E">
        <w:rPr>
          <w:rFonts w:asciiTheme="majorHAnsi" w:hAnsiTheme="majorHAnsi" w:cstheme="majorHAnsi"/>
          <w:sz w:val="20"/>
          <w:szCs w:val="20"/>
          <w:lang w:val="en-US"/>
        </w:rPr>
        <w:fldChar w:fldCharType="separate"/>
      </w:r>
      <w:r w:rsidRPr="002D101E">
        <w:rPr>
          <w:rFonts w:asciiTheme="majorHAnsi" w:hAnsiTheme="majorHAnsi" w:cstheme="majorHAnsi"/>
          <w:sz w:val="20"/>
          <w:szCs w:val="20"/>
          <w:lang w:val="en-US"/>
        </w:rPr>
        <w:t>[3]</w:t>
      </w:r>
      <w:r w:rsidRPr="002D101E">
        <w:rPr>
          <w:rFonts w:asciiTheme="majorHAnsi" w:hAnsiTheme="majorHAnsi" w:cstheme="majorHAnsi"/>
          <w:sz w:val="20"/>
          <w:szCs w:val="20"/>
        </w:rPr>
        <w:fldChar w:fldCharType="end"/>
      </w:r>
      <w:r w:rsidRPr="002D101E">
        <w:rPr>
          <w:rFonts w:asciiTheme="majorHAnsi" w:hAnsiTheme="majorHAnsi" w:cstheme="majorHAnsi"/>
          <w:sz w:val="20"/>
          <w:szCs w:val="20"/>
          <w:lang w:val="en-US"/>
        </w:rPr>
        <w:t>, This study addresses that gap by examining how QRIS integration can support not only operational functionality and public engagement but also sustain the cultural and architectural significance of mosques in the digital age. This reveals a gap in research linking digital technology with mosque architecture, which remains quite limited.</w:t>
      </w:r>
    </w:p>
    <w:p w14:paraId="0B044C7B" w14:textId="77777777" w:rsidR="002D101E" w:rsidRP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What distinguishes this study from previous research is its interdisciplinary approach that bridges architecture, digital technology, and cultural heritage preservation. Unlike prior studies that treat mosque architecture and digitalization as separate domains, this research examines how digital tools, specifically QRIS, can be integrated into architectural design to enhance the visitor experience, support philanthropic sustainability, and preserve cultural values. This study contributes to both theoretical development and practical innovation in mosque management, tourism, and the design of religious infrastructure.</w:t>
      </w:r>
    </w:p>
    <w:p w14:paraId="3EF6BB63" w14:textId="77777777" w:rsidR="002D101E" w:rsidRP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Theoretically, this research draws upon the Technology Acceptance Model (TAM) to understand how mosque visitors and stakeholders perceive and adopt QRIS in religious and cultural contexts. It also draws on perspectives from vernacular architecture and cultural heritage preservation theory to evaluate how digital interventions such as QRIS can coexist with and support traditional Islamic architectural values. Furthermore, the study draws on user experience (UX) and place attachment theory to explore the emotional, aesthetic, and social dimensions of QRIS use in mosque environments. By integrating these frameworks, the research offers a comprehensive understanding of how digital transformation can align with and enhance the multifaceted roles of mosques in contemporary Indonesian society.</w:t>
      </w:r>
    </w:p>
    <w:p w14:paraId="1A7FA15B" w14:textId="77777777" w:rsidR="002D101E" w:rsidRP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Digitalization through QRIS has great potential to enhance the mosque visitor experience. In this context, QRIS not only functions as a digital payment tool but also as part of efforts to make mosques more inclusive and relevant to the times. The integration of this technology not only simplifies the donation process but also offers greater convenience for worshippers who may have previously been reluctant to donate due to the challenges of physical transactions. Thus, digitalization can strengthen the sustainability of philanthropy in mosques and extend the reach of social programs to a broader community.</w:t>
      </w:r>
    </w:p>
    <w:p w14:paraId="2D5DD21D" w14:textId="77777777" w:rsidR="002D101E" w:rsidRP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However, implementing digital technology poses challenges without disrupting the architectural and cultural values already present in mosques. Mosques, as places of worship and cultural centers, have a strong identity that must be preserved despite technological advancements. Therefore, it is important to examine how the implementation of QRIS can go hand in hand with preserving the architectural values of mosques, which often combine traditional design principles with high spiritual values. In this case, digital technology must be integrated thoughtfully to avoid interfering with the building's aesthetics and functions.</w:t>
      </w:r>
    </w:p>
    <w:p w14:paraId="035262E7" w14:textId="77777777" w:rsidR="002D101E" w:rsidRP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The integration of digital technology in mosque environments opens new possibilities for enhancing visitor experience and supporting religious functions without compromising architectural authenticity. When applied thoughtfully, tools like QRIS can complement rather than disrupt traditional Islamic aesthetics and values. This intersection between modern digital systems and classical architectural elements presents a valuable opportunity to explore how mosques can adapt to contemporary needs while preserving their cultural and spiritual identity. Such integration has the potential to become a model for culturally sensitive digital transformation in religious spaces across Indonesia.</w:t>
      </w:r>
    </w:p>
    <w:p w14:paraId="0AA8EC85" w14:textId="77777777" w:rsidR="002D101E" w:rsidRP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Given this background, this study focuses on how digitalization through QRIS can influence the architectural value of mosques and cultural heritage preservation. QRIS, a digital payment system implemented in several mosques in Indonesia, has the potential to change how visitors interact with mosques, particularly in terms of donations and social engagement. Therefore, it is crucial to investigate how implementing QRIS can contribute to the sustainability of mosque philanthropy and whether this technology can be integrated into existing mosque architectural designs without compromising cultural values.</w:t>
      </w:r>
    </w:p>
    <w:p w14:paraId="0D86716E" w14:textId="77777777" w:rsidR="002D101E" w:rsidRP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The research questions in this study are: how does the implementation of QRIS affect the architectural value of mosques and cultural heritage preservation, and how can this technology be integrated with existing mosque architectural designs without disrupting the harmony between technology and tradition? This study will also explore whether adopting QRIS can enhance the sustainability of mosque philanthropy, enrich visitor experiences, and strengthen the relevance of mosques in the increasingly digitalized modern world.</w:t>
      </w:r>
    </w:p>
    <w:p w14:paraId="79BA3B86" w14:textId="77777777" w:rsidR="002D101E" w:rsidRP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 xml:space="preserve">This study aims to explore the integration of QRIS (Quick Response Code Indonesian Standard) into mosque architecture and management in Indonesia. Specifically, the objectives of this research are: 1) To analyze the </w:t>
      </w:r>
      <w:r w:rsidRPr="002D101E">
        <w:rPr>
          <w:rFonts w:asciiTheme="majorHAnsi" w:hAnsiTheme="majorHAnsi" w:cstheme="majorHAnsi"/>
          <w:sz w:val="20"/>
          <w:szCs w:val="20"/>
          <w:lang w:val="en-US"/>
        </w:rPr>
        <w:lastRenderedPageBreak/>
        <w:t>impact of QRIS implementation on mosque architectural aesthetics, particularly how digital tools can be harmoniously integrated without compromising traditional design values; 2) To assess the role of QRIS in supporting philanthropic sustainability, especially through its function in facilitating donations and financial management; 3) To examine how QRIS contributes to the preservation of cultural heritage in the context of mosque tourism and community engagement; and 4) To provide theoretical and practical insights into the digital transformation of religious spaces, with a focus on balancing technological innovation and cultural authenticity.</w:t>
      </w:r>
    </w:p>
    <w:p w14:paraId="7E289B37" w14:textId="77777777" w:rsid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This study is expected to offer a new perspective on the role of technology in mosques as places of worship and cultural centers. Additionally, the results of this study can serve as a reference for other mosques in Indonesia seeking to adopt digital technology without compromising their architectural and cultural values. Proper technology implementation can enhance philanthropic sustainability, enrich the visitor experience, and strengthen the role of mosques in modern society.</w:t>
      </w:r>
    </w:p>
    <w:p w14:paraId="433C7942" w14:textId="77777777" w:rsidR="002D101E" w:rsidRDefault="002D101E" w:rsidP="002D101E">
      <w:pPr>
        <w:ind w:firstLine="284"/>
        <w:jc w:val="both"/>
        <w:rPr>
          <w:rFonts w:asciiTheme="majorHAnsi" w:hAnsiTheme="majorHAnsi" w:cstheme="majorHAnsi"/>
          <w:sz w:val="20"/>
          <w:szCs w:val="20"/>
          <w:lang w:val="en-US"/>
        </w:rPr>
      </w:pPr>
    </w:p>
    <w:p w14:paraId="5A0B4CA3" w14:textId="5840DB09" w:rsidR="002D101E" w:rsidRDefault="002D101E" w:rsidP="002D101E">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063475DB" w14:textId="77777777" w:rsidR="002D101E" w:rsidRPr="002D101E" w:rsidRDefault="002D101E" w:rsidP="002D101E">
      <w:pPr>
        <w:ind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This study employs a qualitative case study approach to examine how the integration of QRIS (Quick Response Code Indonesian Standard) affects the architectural expression, cultural relevance, and tourism potential of contemporary mosques in Indonesia </w:t>
      </w:r>
      <w:r w:rsidRPr="002D101E">
        <w:rPr>
          <w:rFonts w:asciiTheme="majorHAnsi" w:hAnsiTheme="majorHAnsi" w:cstheme="majorHAnsi"/>
          <w:bCs/>
          <w:iCs/>
          <w:sz w:val="20"/>
          <w:szCs w:val="20"/>
          <w:lang w:val="en-US"/>
        </w:rPr>
        <w:fldChar w:fldCharType="begin"/>
      </w:r>
      <w:r w:rsidRPr="002D101E">
        <w:rPr>
          <w:rFonts w:asciiTheme="majorHAnsi" w:hAnsiTheme="majorHAnsi" w:cstheme="majorHAnsi"/>
          <w:bCs/>
          <w:iCs/>
          <w:sz w:val="20"/>
          <w:szCs w:val="20"/>
          <w:lang w:val="en-US"/>
        </w:rPr>
        <w:instrText xml:space="preserve"> ADDIN ZOTERO_ITEM CSL_CITATION {"citationID":"adbe7iKi","properties":{"formattedCitation":"[6]","plainCitation":"[6]","noteIndex":0},"citationItems":[{"id":8704,"uris":["http://zotero.org/users/local/APPySEvW/items/FBDVZZHY"],"itemData":{"id":8704,"type":"book","abstract":"The bestselling guide to qualitative research, updated and expanded Qualitative Research is the essential guide to understanding, designing, conducting, and presenting a qualitative research study. This fourth edition features new material covering mixed methods, action research, arts-based research, online data sources, and the latest in data analysis, including data analysis software packages as well as narrative and poetic analysis strategies. A new section offers multiple ways of presenting qualitative research findings. The reader-friendly, jargon-free style makes this book accessible to both novice and experienced researchers, emphasizing the role of a theoretical framework in designing a study while providing practical guidance. Qualitative research reaches beyond the what, where, and when of quantitative analysis to investigate the why and how behind human behavior and the reasons that govern such behavior, but this presents a number of significant challenges. This guide is an invaluable reference for students and practitioners alike, providing the deep understanding that this sometimes difficult area of research requires to produce accurate results. The book contains a step-by-step guide to analyzing qualitative data and an addendum for graduate students with a template for a thesis, dissertation, or grant application.  Build a strong foundation in qualitative research theory and application Design and implement effective qualitative research studies Communicate findings more successfully with clear presentation Explore data sources, data analysis tools, and the different types of research","ISBN":"978-1-119-00361-8","language":"en","note":"Google-Books-ID: JFN_BwAAQBAJ","number-of-pages":"375","publisher":"John Wiley &amp; Sons","source":"Google Books","title":"Qualitative Research: A Guide to Design and Implementation","title-short":"Qualitative Research","author":[{"family":"Merriam","given":"Sharan B."},{"family":"Tisdell","given":"Elizabeth J."}],"issued":{"date-parts":[["2015",8,24]]}}}],"schema":"https://github.com/citation-style-language/schema/raw/master/csl-citation.json"} </w:instrText>
      </w:r>
      <w:r w:rsidRPr="002D101E">
        <w:rPr>
          <w:rFonts w:asciiTheme="majorHAnsi" w:hAnsiTheme="majorHAnsi" w:cstheme="majorHAnsi"/>
          <w:bCs/>
          <w:iCs/>
          <w:sz w:val="20"/>
          <w:szCs w:val="20"/>
          <w:lang w:val="en-US"/>
        </w:rPr>
        <w:fldChar w:fldCharType="separate"/>
      </w:r>
      <w:r w:rsidRPr="002D101E">
        <w:rPr>
          <w:rFonts w:asciiTheme="majorHAnsi" w:hAnsiTheme="majorHAnsi" w:cstheme="majorHAnsi"/>
          <w:sz w:val="20"/>
          <w:szCs w:val="20"/>
          <w:lang w:val="en-US"/>
        </w:rPr>
        <w:t>[6]</w:t>
      </w:r>
      <w:r w:rsidRPr="002D101E">
        <w:rPr>
          <w:rFonts w:asciiTheme="majorHAnsi" w:hAnsiTheme="majorHAnsi" w:cstheme="majorHAnsi"/>
          <w:sz w:val="20"/>
          <w:szCs w:val="20"/>
        </w:rPr>
        <w:fldChar w:fldCharType="end"/>
      </w:r>
      <w:r w:rsidRPr="002D101E">
        <w:rPr>
          <w:rFonts w:asciiTheme="majorHAnsi" w:hAnsiTheme="majorHAnsi" w:cstheme="majorHAnsi"/>
          <w:bCs/>
          <w:iCs/>
          <w:sz w:val="20"/>
          <w:szCs w:val="20"/>
          <w:lang w:val="en-US"/>
        </w:rPr>
        <w:t>.  Three mosques were purposively selected based on their architectural prominence and active implementation of QRIS technology. These sites serve as representative models for analyzing the intersection of digital innovation and Islamic architectural heritage. Detailed descriptions of each case and data collection procedures are presented in the methodology section.</w:t>
      </w:r>
    </w:p>
    <w:p w14:paraId="3A1A5380" w14:textId="5A2FD891" w:rsid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 xml:space="preserve">This study adopts a qualitative case study </w:t>
      </w:r>
      <w:r w:rsidRPr="002D101E">
        <w:rPr>
          <w:rFonts w:asciiTheme="majorHAnsi" w:hAnsiTheme="majorHAnsi" w:cstheme="majorHAnsi"/>
          <w:bCs/>
          <w:iCs/>
          <w:sz w:val="20"/>
          <w:szCs w:val="20"/>
          <w:lang w:val="en-US"/>
        </w:rPr>
        <w:t>approach</w:t>
      </w:r>
      <w:r w:rsidRPr="002D101E">
        <w:rPr>
          <w:rFonts w:asciiTheme="majorHAnsi" w:hAnsiTheme="majorHAnsi" w:cstheme="majorHAnsi"/>
          <w:sz w:val="20"/>
          <w:szCs w:val="20"/>
          <w:lang w:val="en-US"/>
        </w:rPr>
        <w:t xml:space="preserve"> to analyze how QRIS integration affects mosque architecture, visitor interaction, and cultural heritage preservation. The research focuses on three mosques in different regions of Indonesia, which explained in Table 1</w:t>
      </w:r>
      <w:r>
        <w:rPr>
          <w:rFonts w:asciiTheme="majorHAnsi" w:hAnsiTheme="majorHAnsi" w:cstheme="majorHAnsi"/>
          <w:sz w:val="20"/>
          <w:szCs w:val="20"/>
          <w:lang w:val="en-US"/>
        </w:rPr>
        <w:t>.</w:t>
      </w:r>
    </w:p>
    <w:p w14:paraId="2FD3C5D1" w14:textId="77777777" w:rsidR="002D101E" w:rsidRDefault="002D101E" w:rsidP="002D101E">
      <w:pPr>
        <w:ind w:firstLine="284"/>
        <w:jc w:val="both"/>
        <w:rPr>
          <w:rFonts w:asciiTheme="majorHAnsi" w:hAnsiTheme="majorHAnsi" w:cstheme="majorHAnsi"/>
          <w:sz w:val="20"/>
          <w:szCs w:val="20"/>
          <w:lang w:val="en-US"/>
        </w:rPr>
      </w:pPr>
    </w:p>
    <w:p w14:paraId="4159213E" w14:textId="2FB068AE" w:rsidR="002D101E" w:rsidRPr="002D101E" w:rsidRDefault="002D101E" w:rsidP="002D101E">
      <w:pPr>
        <w:spacing w:line="360" w:lineRule="auto"/>
        <w:jc w:val="center"/>
        <w:rPr>
          <w:rFonts w:asciiTheme="majorHAnsi" w:hAnsiTheme="majorHAnsi" w:cstheme="majorHAnsi"/>
          <w:sz w:val="16"/>
          <w:szCs w:val="16"/>
          <w:lang w:val="en-US"/>
        </w:rPr>
      </w:pPr>
      <w:r w:rsidRPr="002D101E">
        <w:rPr>
          <w:rFonts w:asciiTheme="majorHAnsi" w:hAnsiTheme="majorHAnsi" w:cstheme="majorHAnsi"/>
          <w:sz w:val="16"/>
          <w:szCs w:val="16"/>
          <w:lang w:val="en-US"/>
        </w:rPr>
        <w:t>Table 1. Case Study Mosques: Locations and Selection Criteria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4"/>
        <w:gridCol w:w="1959"/>
        <w:gridCol w:w="5427"/>
      </w:tblGrid>
      <w:tr w:rsidR="002D101E" w:rsidRPr="002212DC" w14:paraId="3D2B59D4" w14:textId="77777777" w:rsidTr="00E64BB9">
        <w:tc>
          <w:tcPr>
            <w:tcW w:w="0" w:type="auto"/>
            <w:tcBorders>
              <w:top w:val="single" w:sz="4" w:space="0" w:color="auto"/>
              <w:bottom w:val="single" w:sz="4" w:space="0" w:color="auto"/>
            </w:tcBorders>
            <w:hideMark/>
          </w:tcPr>
          <w:p w14:paraId="135D0F62" w14:textId="77777777" w:rsidR="002D101E" w:rsidRPr="002212DC" w:rsidRDefault="002D101E" w:rsidP="002D101E">
            <w:pPr>
              <w:jc w:val="center"/>
              <w:rPr>
                <w:rFonts w:asciiTheme="majorHAnsi" w:hAnsiTheme="majorHAnsi" w:cstheme="majorHAnsi"/>
                <w:b/>
                <w:bCs/>
                <w:sz w:val="16"/>
                <w:szCs w:val="16"/>
                <w:lang w:val="en-US"/>
              </w:rPr>
            </w:pPr>
            <w:r w:rsidRPr="002212DC">
              <w:rPr>
                <w:rFonts w:asciiTheme="majorHAnsi" w:hAnsiTheme="majorHAnsi" w:cstheme="majorHAnsi"/>
                <w:b/>
                <w:bCs/>
                <w:sz w:val="16"/>
                <w:szCs w:val="16"/>
                <w:lang w:val="en-US"/>
              </w:rPr>
              <w:t>Mosque Name</w:t>
            </w:r>
          </w:p>
        </w:tc>
        <w:tc>
          <w:tcPr>
            <w:tcW w:w="0" w:type="auto"/>
            <w:tcBorders>
              <w:top w:val="single" w:sz="4" w:space="0" w:color="auto"/>
              <w:bottom w:val="single" w:sz="4" w:space="0" w:color="auto"/>
            </w:tcBorders>
            <w:hideMark/>
          </w:tcPr>
          <w:p w14:paraId="7423DD7E" w14:textId="77777777" w:rsidR="002D101E" w:rsidRPr="002212DC" w:rsidRDefault="002D101E" w:rsidP="002D101E">
            <w:pPr>
              <w:jc w:val="center"/>
              <w:rPr>
                <w:rFonts w:asciiTheme="majorHAnsi" w:hAnsiTheme="majorHAnsi" w:cstheme="majorHAnsi"/>
                <w:b/>
                <w:bCs/>
                <w:sz w:val="16"/>
                <w:szCs w:val="16"/>
                <w:lang w:val="en-US"/>
              </w:rPr>
            </w:pPr>
            <w:r w:rsidRPr="002212DC">
              <w:rPr>
                <w:rFonts w:asciiTheme="majorHAnsi" w:hAnsiTheme="majorHAnsi" w:cstheme="majorHAnsi"/>
                <w:b/>
                <w:bCs/>
                <w:sz w:val="16"/>
                <w:szCs w:val="16"/>
                <w:lang w:val="en-US"/>
              </w:rPr>
              <w:t>Location</w:t>
            </w:r>
          </w:p>
        </w:tc>
        <w:tc>
          <w:tcPr>
            <w:tcW w:w="0" w:type="auto"/>
            <w:tcBorders>
              <w:top w:val="single" w:sz="4" w:space="0" w:color="auto"/>
              <w:bottom w:val="single" w:sz="4" w:space="0" w:color="auto"/>
            </w:tcBorders>
            <w:hideMark/>
          </w:tcPr>
          <w:p w14:paraId="1EF52223" w14:textId="77777777" w:rsidR="002D101E" w:rsidRPr="002212DC" w:rsidRDefault="002D101E" w:rsidP="002D101E">
            <w:pPr>
              <w:jc w:val="center"/>
              <w:rPr>
                <w:rFonts w:asciiTheme="majorHAnsi" w:hAnsiTheme="majorHAnsi" w:cstheme="majorHAnsi"/>
                <w:b/>
                <w:bCs/>
                <w:sz w:val="16"/>
                <w:szCs w:val="16"/>
                <w:lang w:val="en-US"/>
              </w:rPr>
            </w:pPr>
            <w:r w:rsidRPr="002212DC">
              <w:rPr>
                <w:rFonts w:asciiTheme="majorHAnsi" w:hAnsiTheme="majorHAnsi" w:cstheme="majorHAnsi"/>
                <w:b/>
                <w:bCs/>
                <w:sz w:val="16"/>
                <w:szCs w:val="16"/>
                <w:lang w:val="en-US"/>
              </w:rPr>
              <w:t>Selection Criteria</w:t>
            </w:r>
          </w:p>
        </w:tc>
      </w:tr>
      <w:tr w:rsidR="002D101E" w:rsidRPr="002D101E" w14:paraId="694E56DB" w14:textId="77777777" w:rsidTr="00E64BB9">
        <w:tc>
          <w:tcPr>
            <w:tcW w:w="0" w:type="auto"/>
            <w:tcBorders>
              <w:top w:val="single" w:sz="4" w:space="0" w:color="auto"/>
            </w:tcBorders>
            <w:hideMark/>
          </w:tcPr>
          <w:p w14:paraId="4321EDEF" w14:textId="77777777" w:rsidR="002D101E" w:rsidRPr="002D101E" w:rsidRDefault="002D101E" w:rsidP="002D101E">
            <w:pPr>
              <w:jc w:val="center"/>
              <w:rPr>
                <w:rFonts w:asciiTheme="majorHAnsi" w:hAnsiTheme="majorHAnsi" w:cstheme="majorHAnsi"/>
                <w:sz w:val="16"/>
                <w:szCs w:val="16"/>
                <w:lang w:val="en-US"/>
              </w:rPr>
            </w:pPr>
            <w:r w:rsidRPr="002D101E">
              <w:rPr>
                <w:rFonts w:asciiTheme="majorHAnsi" w:hAnsiTheme="majorHAnsi" w:cstheme="majorHAnsi"/>
                <w:bCs/>
                <w:iCs/>
                <w:sz w:val="16"/>
                <w:szCs w:val="16"/>
                <w:lang w:val="en-US"/>
              </w:rPr>
              <w:t>Al-Jabbar Mosque</w:t>
            </w:r>
          </w:p>
        </w:tc>
        <w:tc>
          <w:tcPr>
            <w:tcW w:w="0" w:type="auto"/>
            <w:tcBorders>
              <w:top w:val="single" w:sz="4" w:space="0" w:color="auto"/>
            </w:tcBorders>
            <w:hideMark/>
          </w:tcPr>
          <w:p w14:paraId="07B1D473" w14:textId="77777777" w:rsidR="002D101E" w:rsidRPr="002D101E" w:rsidRDefault="002D101E" w:rsidP="002D101E">
            <w:pPr>
              <w:jc w:val="center"/>
              <w:rPr>
                <w:rFonts w:asciiTheme="majorHAnsi" w:hAnsiTheme="majorHAnsi" w:cstheme="majorHAnsi"/>
                <w:sz w:val="16"/>
                <w:szCs w:val="16"/>
                <w:lang w:val="en-US"/>
              </w:rPr>
            </w:pPr>
            <w:r w:rsidRPr="002D101E">
              <w:rPr>
                <w:rFonts w:asciiTheme="majorHAnsi" w:hAnsiTheme="majorHAnsi" w:cstheme="majorHAnsi"/>
                <w:sz w:val="16"/>
                <w:szCs w:val="16"/>
                <w:lang w:val="en-US"/>
              </w:rPr>
              <w:t>Bandung, West Java</w:t>
            </w:r>
          </w:p>
        </w:tc>
        <w:tc>
          <w:tcPr>
            <w:tcW w:w="0" w:type="auto"/>
            <w:tcBorders>
              <w:top w:val="single" w:sz="4" w:space="0" w:color="auto"/>
            </w:tcBorders>
            <w:hideMark/>
          </w:tcPr>
          <w:p w14:paraId="4C300576" w14:textId="77777777" w:rsidR="002D101E" w:rsidRPr="002D101E" w:rsidRDefault="002D101E" w:rsidP="002D101E">
            <w:pPr>
              <w:jc w:val="center"/>
              <w:rPr>
                <w:rFonts w:asciiTheme="majorHAnsi" w:hAnsiTheme="majorHAnsi" w:cstheme="majorHAnsi"/>
                <w:sz w:val="16"/>
                <w:szCs w:val="16"/>
                <w:lang w:val="en-US"/>
              </w:rPr>
            </w:pPr>
            <w:r w:rsidRPr="002D101E">
              <w:rPr>
                <w:rFonts w:asciiTheme="majorHAnsi" w:hAnsiTheme="majorHAnsi" w:cstheme="majorHAnsi"/>
                <w:sz w:val="16"/>
                <w:szCs w:val="16"/>
                <w:lang w:val="en-US"/>
              </w:rPr>
              <w:t>Recently built, known for modern-Islamic architecture and early adoption of QRIS</w:t>
            </w:r>
          </w:p>
        </w:tc>
      </w:tr>
      <w:tr w:rsidR="002D101E" w:rsidRPr="002D101E" w14:paraId="2CA64665" w14:textId="77777777" w:rsidTr="00805BD7">
        <w:tc>
          <w:tcPr>
            <w:tcW w:w="0" w:type="auto"/>
            <w:tcBorders>
              <w:bottom w:val="nil"/>
            </w:tcBorders>
            <w:hideMark/>
          </w:tcPr>
          <w:p w14:paraId="7D670B56" w14:textId="77777777" w:rsidR="002D101E" w:rsidRPr="002D101E" w:rsidRDefault="002D101E" w:rsidP="002D101E">
            <w:pPr>
              <w:jc w:val="center"/>
              <w:rPr>
                <w:rFonts w:asciiTheme="majorHAnsi" w:hAnsiTheme="majorHAnsi" w:cstheme="majorHAnsi"/>
                <w:sz w:val="16"/>
                <w:szCs w:val="16"/>
                <w:lang w:val="en-US"/>
              </w:rPr>
            </w:pPr>
            <w:r w:rsidRPr="002D101E">
              <w:rPr>
                <w:rFonts w:asciiTheme="majorHAnsi" w:hAnsiTheme="majorHAnsi" w:cstheme="majorHAnsi"/>
                <w:sz w:val="16"/>
                <w:szCs w:val="16"/>
                <w:lang w:val="en-US"/>
              </w:rPr>
              <w:t>Sheikh Zayed Mosque</w:t>
            </w:r>
          </w:p>
        </w:tc>
        <w:tc>
          <w:tcPr>
            <w:tcW w:w="0" w:type="auto"/>
            <w:tcBorders>
              <w:bottom w:val="nil"/>
            </w:tcBorders>
            <w:hideMark/>
          </w:tcPr>
          <w:p w14:paraId="752AE524" w14:textId="77777777" w:rsidR="002D101E" w:rsidRPr="002D101E" w:rsidRDefault="002D101E" w:rsidP="002D101E">
            <w:pPr>
              <w:jc w:val="center"/>
              <w:rPr>
                <w:rFonts w:asciiTheme="majorHAnsi" w:hAnsiTheme="majorHAnsi" w:cstheme="majorHAnsi"/>
                <w:sz w:val="16"/>
                <w:szCs w:val="16"/>
                <w:lang w:val="en-US"/>
              </w:rPr>
            </w:pPr>
            <w:r w:rsidRPr="002D101E">
              <w:rPr>
                <w:rFonts w:asciiTheme="majorHAnsi" w:hAnsiTheme="majorHAnsi" w:cstheme="majorHAnsi"/>
                <w:sz w:val="16"/>
                <w:szCs w:val="16"/>
                <w:lang w:val="en-US"/>
              </w:rPr>
              <w:t>Surakarta (Solo), Central Java</w:t>
            </w:r>
          </w:p>
        </w:tc>
        <w:tc>
          <w:tcPr>
            <w:tcW w:w="0" w:type="auto"/>
            <w:tcBorders>
              <w:bottom w:val="nil"/>
            </w:tcBorders>
            <w:hideMark/>
          </w:tcPr>
          <w:p w14:paraId="09A57C82" w14:textId="77777777" w:rsidR="002D101E" w:rsidRPr="002D101E" w:rsidRDefault="002D101E" w:rsidP="002D101E">
            <w:pPr>
              <w:jc w:val="center"/>
              <w:rPr>
                <w:rFonts w:asciiTheme="majorHAnsi" w:hAnsiTheme="majorHAnsi" w:cstheme="majorHAnsi"/>
                <w:sz w:val="16"/>
                <w:szCs w:val="16"/>
                <w:lang w:val="en-US"/>
              </w:rPr>
            </w:pPr>
            <w:r w:rsidRPr="002D101E">
              <w:rPr>
                <w:rFonts w:asciiTheme="majorHAnsi" w:hAnsiTheme="majorHAnsi" w:cstheme="majorHAnsi"/>
                <w:sz w:val="16"/>
                <w:szCs w:val="16"/>
                <w:lang w:val="en-US"/>
              </w:rPr>
              <w:t xml:space="preserve">Iconic Middle </w:t>
            </w:r>
            <w:proofErr w:type="gramStart"/>
            <w:r w:rsidRPr="002D101E">
              <w:rPr>
                <w:rFonts w:asciiTheme="majorHAnsi" w:hAnsiTheme="majorHAnsi" w:cstheme="majorHAnsi"/>
                <w:sz w:val="16"/>
                <w:szCs w:val="16"/>
                <w:lang w:val="en-US"/>
              </w:rPr>
              <w:t>Eastern-inspired mosque</w:t>
            </w:r>
            <w:proofErr w:type="gramEnd"/>
            <w:r w:rsidRPr="002D101E">
              <w:rPr>
                <w:rFonts w:asciiTheme="majorHAnsi" w:hAnsiTheme="majorHAnsi" w:cstheme="majorHAnsi"/>
                <w:sz w:val="16"/>
                <w:szCs w:val="16"/>
                <w:lang w:val="en-US"/>
              </w:rPr>
              <w:t xml:space="preserve"> with national and diplomatic significance</w:t>
            </w:r>
          </w:p>
        </w:tc>
      </w:tr>
      <w:tr w:rsidR="002D101E" w:rsidRPr="002D101E" w14:paraId="102BFC38" w14:textId="77777777" w:rsidTr="00805BD7">
        <w:tc>
          <w:tcPr>
            <w:tcW w:w="0" w:type="auto"/>
            <w:tcBorders>
              <w:top w:val="nil"/>
              <w:bottom w:val="single" w:sz="4" w:space="0" w:color="auto"/>
            </w:tcBorders>
            <w:hideMark/>
          </w:tcPr>
          <w:p w14:paraId="01E748E4" w14:textId="77777777" w:rsidR="002D101E" w:rsidRPr="002D101E" w:rsidRDefault="002D101E" w:rsidP="002D101E">
            <w:pPr>
              <w:jc w:val="center"/>
              <w:rPr>
                <w:rFonts w:asciiTheme="majorHAnsi" w:hAnsiTheme="majorHAnsi" w:cstheme="majorHAnsi"/>
                <w:sz w:val="16"/>
                <w:szCs w:val="16"/>
                <w:lang w:val="en-US"/>
              </w:rPr>
            </w:pPr>
            <w:proofErr w:type="spellStart"/>
            <w:r w:rsidRPr="002D101E">
              <w:rPr>
                <w:rFonts w:asciiTheme="majorHAnsi" w:hAnsiTheme="majorHAnsi" w:cstheme="majorHAnsi"/>
                <w:sz w:val="16"/>
                <w:szCs w:val="16"/>
                <w:lang w:val="en-US"/>
              </w:rPr>
              <w:t>Hubbul</w:t>
            </w:r>
            <w:proofErr w:type="spellEnd"/>
            <w:r w:rsidRPr="002D101E">
              <w:rPr>
                <w:rFonts w:asciiTheme="majorHAnsi" w:hAnsiTheme="majorHAnsi" w:cstheme="majorHAnsi"/>
                <w:sz w:val="16"/>
                <w:szCs w:val="16"/>
                <w:lang w:val="en-US"/>
              </w:rPr>
              <w:t xml:space="preserve"> Wathan Mosque</w:t>
            </w:r>
          </w:p>
        </w:tc>
        <w:tc>
          <w:tcPr>
            <w:tcW w:w="0" w:type="auto"/>
            <w:tcBorders>
              <w:top w:val="nil"/>
              <w:bottom w:val="single" w:sz="4" w:space="0" w:color="auto"/>
            </w:tcBorders>
            <w:hideMark/>
          </w:tcPr>
          <w:p w14:paraId="20E40F26" w14:textId="77777777" w:rsidR="002D101E" w:rsidRPr="002D101E" w:rsidRDefault="002D101E" w:rsidP="002D101E">
            <w:pPr>
              <w:jc w:val="center"/>
              <w:rPr>
                <w:rFonts w:asciiTheme="majorHAnsi" w:hAnsiTheme="majorHAnsi" w:cstheme="majorHAnsi"/>
                <w:sz w:val="16"/>
                <w:szCs w:val="16"/>
                <w:lang w:val="en-US"/>
              </w:rPr>
            </w:pPr>
            <w:proofErr w:type="spellStart"/>
            <w:r w:rsidRPr="002D101E">
              <w:rPr>
                <w:rFonts w:asciiTheme="majorHAnsi" w:hAnsiTheme="majorHAnsi" w:cstheme="majorHAnsi"/>
                <w:sz w:val="16"/>
                <w:szCs w:val="16"/>
                <w:lang w:val="en-US"/>
              </w:rPr>
              <w:t>Mataram</w:t>
            </w:r>
            <w:proofErr w:type="spellEnd"/>
            <w:r w:rsidRPr="002D101E">
              <w:rPr>
                <w:rFonts w:asciiTheme="majorHAnsi" w:hAnsiTheme="majorHAnsi" w:cstheme="majorHAnsi"/>
                <w:sz w:val="16"/>
                <w:szCs w:val="16"/>
                <w:lang w:val="en-US"/>
              </w:rPr>
              <w:t>, Lombok</w:t>
            </w:r>
          </w:p>
        </w:tc>
        <w:tc>
          <w:tcPr>
            <w:tcW w:w="0" w:type="auto"/>
            <w:tcBorders>
              <w:top w:val="nil"/>
              <w:bottom w:val="single" w:sz="4" w:space="0" w:color="auto"/>
            </w:tcBorders>
            <w:hideMark/>
          </w:tcPr>
          <w:p w14:paraId="6825E0BF" w14:textId="77777777" w:rsidR="002D101E" w:rsidRPr="002D101E" w:rsidRDefault="002D101E" w:rsidP="002D101E">
            <w:pPr>
              <w:jc w:val="center"/>
              <w:rPr>
                <w:rFonts w:asciiTheme="majorHAnsi" w:hAnsiTheme="majorHAnsi" w:cstheme="majorHAnsi"/>
                <w:sz w:val="16"/>
                <w:szCs w:val="16"/>
                <w:lang w:val="en-US"/>
              </w:rPr>
            </w:pPr>
            <w:r w:rsidRPr="002D101E">
              <w:rPr>
                <w:rFonts w:asciiTheme="majorHAnsi" w:hAnsiTheme="majorHAnsi" w:cstheme="majorHAnsi"/>
                <w:sz w:val="16"/>
                <w:szCs w:val="16"/>
                <w:lang w:val="en-US"/>
              </w:rPr>
              <w:t>Largest mosque in NTB; integrates local (Sasak) cultural motifs with digital infrastructure.</w:t>
            </w:r>
          </w:p>
        </w:tc>
      </w:tr>
    </w:tbl>
    <w:p w14:paraId="0277BB5A" w14:textId="77777777" w:rsidR="002D101E" w:rsidRPr="002D101E" w:rsidRDefault="002D101E" w:rsidP="002D101E">
      <w:pPr>
        <w:ind w:firstLine="284"/>
        <w:jc w:val="both"/>
        <w:rPr>
          <w:rFonts w:asciiTheme="majorHAnsi" w:hAnsiTheme="majorHAnsi" w:cstheme="majorHAnsi"/>
          <w:sz w:val="20"/>
          <w:szCs w:val="20"/>
          <w:lang w:val="en-US"/>
        </w:rPr>
      </w:pPr>
    </w:p>
    <w:p w14:paraId="748937A7" w14:textId="77777777" w:rsidR="002D101E" w:rsidRPr="002D101E" w:rsidRDefault="002D101E" w:rsidP="002D101E">
      <w:pPr>
        <w:ind w:firstLine="284"/>
        <w:jc w:val="both"/>
        <w:rPr>
          <w:rFonts w:asciiTheme="majorHAnsi" w:hAnsiTheme="majorHAnsi" w:cstheme="majorHAnsi"/>
          <w:sz w:val="20"/>
          <w:szCs w:val="20"/>
          <w:lang w:val="en-US"/>
        </w:rPr>
      </w:pPr>
      <w:r w:rsidRPr="002D101E">
        <w:rPr>
          <w:rFonts w:asciiTheme="majorHAnsi" w:hAnsiTheme="majorHAnsi" w:cstheme="majorHAnsi"/>
          <w:sz w:val="20"/>
          <w:szCs w:val="20"/>
          <w:lang w:val="en-US"/>
        </w:rPr>
        <w:t xml:space="preserve">These cases were selected to represent diverse regional, architectural, and cultural contexts, enabling a comparative </w:t>
      </w:r>
      <w:r w:rsidRPr="002D101E">
        <w:rPr>
          <w:rFonts w:asciiTheme="majorHAnsi" w:hAnsiTheme="majorHAnsi" w:cstheme="majorHAnsi"/>
          <w:bCs/>
          <w:iCs/>
          <w:sz w:val="20"/>
          <w:szCs w:val="20"/>
          <w:lang w:val="en-US"/>
        </w:rPr>
        <w:t>understanding</w:t>
      </w:r>
      <w:r w:rsidRPr="002D101E">
        <w:rPr>
          <w:rFonts w:asciiTheme="majorHAnsi" w:hAnsiTheme="majorHAnsi" w:cstheme="majorHAnsi"/>
          <w:sz w:val="20"/>
          <w:szCs w:val="20"/>
          <w:lang w:val="en-US"/>
        </w:rPr>
        <w:t xml:space="preserve"> of QRIS implementation across mosque types. Each mosque has also adopted QRIS as part of its operational or donation system, making them suitable for evaluating the intersection of digital technology with mosque aesthetics and cultural identity.</w:t>
      </w:r>
    </w:p>
    <w:p w14:paraId="4F28E519" w14:textId="77777777" w:rsidR="002D101E" w:rsidRPr="002D101E" w:rsidRDefault="002D101E" w:rsidP="002D101E">
      <w:pPr>
        <w:ind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Data in this study were collected through a qualitative approach using semi-structured interviews, non-participant observations, and document analysis </w:t>
      </w:r>
      <w:r w:rsidRPr="002D101E">
        <w:rPr>
          <w:rFonts w:asciiTheme="majorHAnsi" w:hAnsiTheme="majorHAnsi" w:cstheme="majorHAnsi"/>
          <w:bCs/>
          <w:iCs/>
          <w:sz w:val="20"/>
          <w:szCs w:val="20"/>
          <w:lang w:val="en-US"/>
        </w:rPr>
        <w:fldChar w:fldCharType="begin"/>
      </w:r>
      <w:r w:rsidRPr="002D101E">
        <w:rPr>
          <w:rFonts w:asciiTheme="majorHAnsi" w:hAnsiTheme="majorHAnsi" w:cstheme="majorHAnsi"/>
          <w:bCs/>
          <w:iCs/>
          <w:sz w:val="20"/>
          <w:szCs w:val="20"/>
          <w:lang w:val="en-US"/>
        </w:rPr>
        <w:instrText xml:space="preserve"> ADDIN ZOTERO_ITEM CSL_CITATION {"citationID":"gHwN4WWK","properties":{"formattedCitation":"[7]","plainCitation":"[7]","noteIndex":0},"citationItems":[{"id":8706,"uris":["http://zotero.org/users/local/APPySEvW/items/EM6DPZUH"],"itemData":{"id":8706,"type":"article-journal","abstract":"The case study is a research approach carried out in a natural, holistic, and in-depth setting about a unique, best practice, and bounded phenomenon. Even though it was rooted in social sciences, the case study has characteristics that are almost the same as a process of studying past architectural works (precedent studies) that have long been carried out in architecture. Unfortunately, precedent studies are sometimes only limited to documentation and descriptions of architectural works as physical objects, without critical, in-depth and holistic analysis of the decisions behind the design decisions of a precedent. On the other hand, previous research that discussed the case study approach in architecture tended to understand this approach as just a social research method that was simply applied in architectural research. Therefore, it is crucial to understand the terms of the 'case' itself. This research aims to provide a complete and in-depth understanding of the case study approach, to filter and elaborate this approach for architectural research. This research examines and elaborates on credible and recent literature on case study, both in social and architectural research. Elaboration from the literature review is used to formulate an operational framework based on architectural function-form-meaning. It is hoped that the results of this research will enrich architectural knowledge. The in-depth understanding is ultimately beneficial for improving existing architectural practices and becoming a source of knowledge for the general public.","container-title":"ARTEKS : Jurnal Teknik Arsitektur","DOI":"10.30822/arteks.v9i1.3195","ISSN":"2541-1217","issue":"1","language":"en","license":"Copyright (c) 2024 Purnama Salura, Stephanie Clarissa","note":"number: 1","page":"109-120","source":"journal.unwira.ac.id","title":"Re-interpreting the case study approach in architectural research","volume":"9","author":[{"family":"Salura","given":"Purnama"},{"family":"Clarissa","given":"Stephanie"}],"issued":{"date-parts":[["2024",4,1]]}}}],"schema":"https://github.com/citation-style-language/schema/raw/master/csl-citation.json"} </w:instrText>
      </w:r>
      <w:r w:rsidRPr="002D101E">
        <w:rPr>
          <w:rFonts w:asciiTheme="majorHAnsi" w:hAnsiTheme="majorHAnsi" w:cstheme="majorHAnsi"/>
          <w:bCs/>
          <w:iCs/>
          <w:sz w:val="20"/>
          <w:szCs w:val="20"/>
          <w:lang w:val="en-US"/>
        </w:rPr>
        <w:fldChar w:fldCharType="separate"/>
      </w:r>
      <w:r w:rsidRPr="002D101E">
        <w:rPr>
          <w:rFonts w:asciiTheme="majorHAnsi" w:hAnsiTheme="majorHAnsi" w:cstheme="majorHAnsi"/>
          <w:sz w:val="20"/>
          <w:szCs w:val="20"/>
          <w:lang w:val="en-US"/>
        </w:rPr>
        <w:t>[7]</w:t>
      </w:r>
      <w:r w:rsidRPr="002D101E">
        <w:rPr>
          <w:rFonts w:asciiTheme="majorHAnsi" w:hAnsiTheme="majorHAnsi" w:cstheme="majorHAnsi"/>
          <w:sz w:val="20"/>
          <w:szCs w:val="20"/>
          <w:lang w:val="en-US"/>
        </w:rPr>
        <w:fldChar w:fldCharType="end"/>
      </w:r>
      <w:r w:rsidRPr="002D101E">
        <w:rPr>
          <w:rFonts w:asciiTheme="majorHAnsi" w:hAnsiTheme="majorHAnsi" w:cstheme="majorHAnsi"/>
          <w:bCs/>
          <w:iCs/>
          <w:sz w:val="20"/>
          <w:szCs w:val="20"/>
          <w:lang w:val="en-US"/>
        </w:rPr>
        <w:t xml:space="preserve">. A total of 15 respondents were interviewed, including nine mosque administrators and six visitors across three mosques: Al-Jabbar Mosque (Bandung), Sheikh Zayed Mosque (Solo), and </w:t>
      </w:r>
      <w:proofErr w:type="spellStart"/>
      <w:r w:rsidRPr="002D101E">
        <w:rPr>
          <w:rFonts w:asciiTheme="majorHAnsi" w:hAnsiTheme="majorHAnsi" w:cstheme="majorHAnsi"/>
          <w:bCs/>
          <w:iCs/>
          <w:sz w:val="20"/>
          <w:szCs w:val="20"/>
          <w:lang w:val="en-US"/>
        </w:rPr>
        <w:t>Hubbul</w:t>
      </w:r>
      <w:proofErr w:type="spellEnd"/>
      <w:r w:rsidRPr="002D101E">
        <w:rPr>
          <w:rFonts w:asciiTheme="majorHAnsi" w:hAnsiTheme="majorHAnsi" w:cstheme="majorHAnsi"/>
          <w:bCs/>
          <w:iCs/>
          <w:sz w:val="20"/>
          <w:szCs w:val="20"/>
          <w:lang w:val="en-US"/>
        </w:rPr>
        <w:t xml:space="preserve"> Wathan Mosque (Lombok). Respondents were selected through purposive sampling based on their involvement in mosque management, familiarity with QRIS, or regular interaction with mosque facilities as visitors. The interviews were conducted from May to July 2025, each lasting approximately 30 to 60 minutes. The interview guide focused on four main areas: perceptions of QRIS implementation, its impact on donation and public engagement, the compatibility of digital tools with architectural and cultural values, and the transformation of mosque functions in a digital context.</w:t>
      </w:r>
    </w:p>
    <w:p w14:paraId="6EE9CB6B" w14:textId="77777777" w:rsidR="002D101E" w:rsidRPr="002D101E" w:rsidRDefault="002D101E" w:rsidP="002D101E">
      <w:pPr>
        <w:ind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Observations were conducted over two to three days at each mosque to examine how QRIS was integrated into the spatial and operational dimensions of the mosque environment </w:t>
      </w:r>
      <w:r w:rsidRPr="002D101E">
        <w:rPr>
          <w:rFonts w:asciiTheme="majorHAnsi" w:hAnsiTheme="majorHAnsi" w:cstheme="majorHAnsi"/>
          <w:bCs/>
          <w:iCs/>
          <w:sz w:val="20"/>
          <w:szCs w:val="20"/>
          <w:lang w:val="en-US"/>
        </w:rPr>
        <w:fldChar w:fldCharType="begin"/>
      </w:r>
      <w:r w:rsidRPr="002D101E">
        <w:rPr>
          <w:rFonts w:asciiTheme="majorHAnsi" w:hAnsiTheme="majorHAnsi" w:cstheme="majorHAnsi"/>
          <w:bCs/>
          <w:iCs/>
          <w:sz w:val="20"/>
          <w:szCs w:val="20"/>
          <w:lang w:val="en-US"/>
        </w:rPr>
        <w:instrText xml:space="preserve"> ADDIN ZOTERO_ITEM CSL_CITATION {"citationID":"v3GDwta5","properties":{"formattedCitation":"[8]","plainCitation":"[8]","noteIndex":0},"citationItems":[{"id":8708,"uris":["http://zotero.org/users/local/APPySEvW/items/6BJT6GGM"],"itemData":{"id":8708,"type":"article-journal","abstract":"Qualitative research has gained increasing prominence in health-related research and is experiencing greater use in dermatology. A major strength of and reason to perform qualitative research is that it allows one to gain an understanding of the insider (e.g., patient, medical provider, other players in the healthcare system) perspectives on health and insights about their behaviors, motivations, and expectations. This is particularly important in the field of dermatology where most diseases are, fortunately, not directly fatal but have major effects on affected individuals’ lives in ways that are often not readily quantifiable. As such, it is important for dermatologists, both researchers and clinicians, to understand the basic tenets of qualitative methodology to properly utilize qualitative methods, evaluate the qualitative literature, and identify relevant findings to apply to clinical practice. In this article, we provide an overview of qualitative research and some of the more commonly used qualitative methods with an aim to increase awareness and appreciation of the power of qualitative studies.","container-title":"Journal of Investigative Dermatology","DOI":"10.1016/j.jid.2020.11.029","ISSN":"0022-202X","issue":"2","journalAbbreviation":"Journal of Investigative Dermatology","page":"241-247.e1","source":"ScienceDirect","title":"Research Techniques Made Simple: An Introduction to Qualitative Research","title-short":"Research Techniques Made Simple","volume":"141","author":[{"family":"Bazen","given":"Alexus"},{"family":"Barg","given":"Frances K."},{"family":"Takeshita","given":"Junko"}],"issued":{"date-parts":[["2021",2,1]]}}}],"schema":"https://github.com/citation-style-language/schema/raw/master/csl-citation.json"} </w:instrText>
      </w:r>
      <w:r w:rsidRPr="002D101E">
        <w:rPr>
          <w:rFonts w:asciiTheme="majorHAnsi" w:hAnsiTheme="majorHAnsi" w:cstheme="majorHAnsi"/>
          <w:bCs/>
          <w:iCs/>
          <w:sz w:val="20"/>
          <w:szCs w:val="20"/>
          <w:lang w:val="en-US"/>
        </w:rPr>
        <w:fldChar w:fldCharType="separate"/>
      </w:r>
      <w:r w:rsidRPr="002D101E">
        <w:rPr>
          <w:rFonts w:asciiTheme="majorHAnsi" w:hAnsiTheme="majorHAnsi" w:cstheme="majorHAnsi"/>
          <w:sz w:val="20"/>
          <w:szCs w:val="20"/>
          <w:lang w:val="en-US"/>
        </w:rPr>
        <w:t>[8]</w:t>
      </w:r>
      <w:r w:rsidRPr="002D101E">
        <w:rPr>
          <w:rFonts w:asciiTheme="majorHAnsi" w:hAnsiTheme="majorHAnsi" w:cstheme="majorHAnsi"/>
          <w:sz w:val="20"/>
          <w:szCs w:val="20"/>
          <w:lang w:val="en-US"/>
        </w:rPr>
        <w:fldChar w:fldCharType="end"/>
      </w:r>
      <w:r w:rsidRPr="002D101E">
        <w:rPr>
          <w:rFonts w:asciiTheme="majorHAnsi" w:hAnsiTheme="majorHAnsi" w:cstheme="majorHAnsi"/>
          <w:bCs/>
          <w:iCs/>
          <w:sz w:val="20"/>
          <w:szCs w:val="20"/>
          <w:lang w:val="en-US"/>
        </w:rPr>
        <w:t>. The researcher observed QRIS placement, signage visibility, visitor interaction patterns, and the aesthetic integration of digital devices into mosque architecture. Observations were conducted during both religious peak times, such as Friday prayers and daily midday prayers, as well as during peak tourism hours on weekends and public holidays, providing a comprehensive view of mosque activity. To minimize respondent bias, questions were designed to be neutral and open-ended, allowing participants to express their views freely. Researcher bias was reduced through team-based data collection and analysis, peer debriefing, and triangulation between interviews, observations, and official mosque documents.</w:t>
      </w:r>
    </w:p>
    <w:p w14:paraId="1A2DB1D3" w14:textId="77777777" w:rsidR="002D101E" w:rsidRPr="002D101E" w:rsidRDefault="002D101E" w:rsidP="002D101E">
      <w:pPr>
        <w:ind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For data analysis, this study employed thematic analysis following Braun and Clarke’s model. Interview transcripts were first transcribed and coded to identify recurring concepts and key categories. These codes were then refined into broader analytical themes, such as digital engagement, aesthetic adaptation, and symbolic preservation. The credibility of findings was further enhanced through triangulation, inter-coder agreement </w:t>
      </w:r>
      <w:r w:rsidRPr="002D101E">
        <w:rPr>
          <w:rFonts w:asciiTheme="majorHAnsi" w:hAnsiTheme="majorHAnsi" w:cstheme="majorHAnsi"/>
          <w:bCs/>
          <w:iCs/>
          <w:sz w:val="20"/>
          <w:szCs w:val="20"/>
          <w:lang w:val="en-US"/>
        </w:rPr>
        <w:lastRenderedPageBreak/>
        <w:t>checks among research team members, and member checking with selected mosque administrators to validate preliminary interpretations. This multi-layered approach enabled a robust analysis of how QRIS integration intersects with mosque tourism, architectural identity, and cultural heritage in contemporary Indonesia.</w:t>
      </w:r>
    </w:p>
    <w:p w14:paraId="660B9922" w14:textId="77777777" w:rsidR="002D101E" w:rsidRPr="002D101E" w:rsidRDefault="002D101E" w:rsidP="002D101E">
      <w:pPr>
        <w:ind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In the context of the research questions presented, this study aims to answer how digitalization through QRIS affects the architectural value of mosques and cultural heritage preservation, and how the implementation of QRIS impacts the integration of technology with existing mosque architectural designs. By observing the use of QRIS in the case study mosques, this research aims to provide insights into how digital technology can be applied without disrupting the aesthetic of traditional architecture or the cultural values embedded in mosque design </w:t>
      </w:r>
      <w:r w:rsidRPr="002D101E">
        <w:rPr>
          <w:rFonts w:asciiTheme="majorHAnsi" w:hAnsiTheme="majorHAnsi" w:cstheme="majorHAnsi"/>
          <w:bCs/>
          <w:iCs/>
          <w:sz w:val="20"/>
          <w:szCs w:val="20"/>
          <w:lang w:val="en-US"/>
        </w:rPr>
        <w:fldChar w:fldCharType="begin"/>
      </w:r>
      <w:r w:rsidRPr="002D101E">
        <w:rPr>
          <w:rFonts w:asciiTheme="majorHAnsi" w:hAnsiTheme="majorHAnsi" w:cstheme="majorHAnsi"/>
          <w:bCs/>
          <w:iCs/>
          <w:sz w:val="20"/>
          <w:szCs w:val="20"/>
          <w:lang w:val="en-US"/>
        </w:rPr>
        <w:instrText xml:space="preserve"> ADDIN ZOTERO_ITEM CSL_CITATION {"citationID":"H1mgNDsA","properties":{"formattedCitation":"[9]","plainCitation":"[9]","noteIndex":0},"citationItems":[{"id":8710,"uris":["http://zotero.org/users/local/APPySEvW/items/GKFWMBWX"],"itemData":{"id":8710,"type":"article-journal","abstract":"Objective\nTo provide health research teams with a practical, methodologically rigorous guide on how to conduct direct observation.\nMethods\nSynthesis of authors’ observation-based teaching and research experiences in social sciences and health services research.\nResults\nThis article serves as a guide for making key decisions in studies involving direct observation. Study development begins with determining if observation methods are warranted or feasible. Deciding what and how to observe entails reviewing literature and defining what abstract, theoretically informed concepts look like in practice. Data collection tools help systematically record phenomena of interest. Interdisciplinary teams--that include relevant community members-- increase relevance, rigor and reliability, distribute work, and facilitate scheduling. Piloting systematizes data collection across the team and proactively addresses issues.\nConclusion\nObservation can elucidate phenomena germane to healthcare research questions by adding unique insights. Careful selection and sampling are critical to rigor. Phenomena like taboo behaviors or rare events are difficult to capture. A thoughtful protocol can preempt Institutional Review Board concerns.\nInnovation\nThis novel guide provides a practical adaptation of traditional approaches to observation to meet contemporary healthcare research teams’ needs.","container-title":"PEC Innovation","DOI":"10.1016/j.pecinn.2022.100036","ISSN":"2772-6282","journalAbbreviation":"PEC Innovation","page":"100036","source":"ScienceDirect","title":"Direct observation methods: A practical guide for health researchers","title-short":"Direct observation methods","volume":"1","author":[{"family":"Fix","given":"Gemmae M."},{"family":"Kim","given":"Bo"},{"family":"Ruben","given":"Mollie A."},{"family":"McCullough","given":"Megan B."}],"issued":{"date-parts":[["2022",12,1]]}}}],"schema":"https://github.com/citation-style-language/schema/raw/master/csl-citation.json"} </w:instrText>
      </w:r>
      <w:r w:rsidRPr="002D101E">
        <w:rPr>
          <w:rFonts w:asciiTheme="majorHAnsi" w:hAnsiTheme="majorHAnsi" w:cstheme="majorHAnsi"/>
          <w:bCs/>
          <w:iCs/>
          <w:sz w:val="20"/>
          <w:szCs w:val="20"/>
          <w:lang w:val="en-US"/>
        </w:rPr>
        <w:fldChar w:fldCharType="separate"/>
      </w:r>
      <w:r w:rsidRPr="002D101E">
        <w:rPr>
          <w:rFonts w:asciiTheme="majorHAnsi" w:hAnsiTheme="majorHAnsi" w:cstheme="majorHAnsi"/>
          <w:sz w:val="20"/>
          <w:szCs w:val="20"/>
          <w:lang w:val="en-US"/>
        </w:rPr>
        <w:t>[9]</w:t>
      </w:r>
      <w:r w:rsidRPr="002D101E">
        <w:rPr>
          <w:rFonts w:asciiTheme="majorHAnsi" w:hAnsiTheme="majorHAnsi" w:cstheme="majorHAnsi"/>
          <w:sz w:val="20"/>
          <w:szCs w:val="20"/>
          <w:lang w:val="en-US"/>
        </w:rPr>
        <w:fldChar w:fldCharType="end"/>
      </w:r>
      <w:r w:rsidRPr="002D101E">
        <w:rPr>
          <w:rFonts w:asciiTheme="majorHAnsi" w:hAnsiTheme="majorHAnsi" w:cstheme="majorHAnsi"/>
          <w:bCs/>
          <w:iCs/>
          <w:sz w:val="20"/>
          <w:szCs w:val="20"/>
          <w:lang w:val="en-US"/>
        </w:rPr>
        <w:t>.</w:t>
      </w:r>
    </w:p>
    <w:p w14:paraId="65FE9101" w14:textId="77777777" w:rsidR="002D101E" w:rsidRPr="002D101E" w:rsidRDefault="002D101E" w:rsidP="002D101E">
      <w:pPr>
        <w:ind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This method is expected to offer a deeper understanding of how the implementation of QRIS affects mosque architecture, both in sustaining existing designs and in integrating digital technology with cultural elements. The data collected through interviews with mosque managers and visitors, along with direct observations of digital interactions at the mosques, will provide insights into how digital technology can support the sustainability of mosque philanthropy and enrich visitor experiences without altering the architectural integrity of the mosques.</w:t>
      </w:r>
    </w:p>
    <w:p w14:paraId="64F2BBA1" w14:textId="67F8C140" w:rsidR="002D101E" w:rsidRDefault="002D101E" w:rsidP="002D101E">
      <w:pPr>
        <w:ind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Overall, this study aims to highlight how digital technologies such as QRIS can serve as a supporting element rather than a disruptive force to existing mosque architecture. Additionally, this research will provide a new perspective on how mosques can adapt to modern advancements without losing their architectural and cultural identity</w:t>
      </w:r>
      <w:r>
        <w:rPr>
          <w:rFonts w:asciiTheme="majorHAnsi" w:hAnsiTheme="majorHAnsi" w:cstheme="majorHAnsi"/>
          <w:bCs/>
          <w:iCs/>
          <w:sz w:val="20"/>
          <w:szCs w:val="20"/>
          <w:lang w:val="en-US"/>
        </w:rPr>
        <w:t>.</w:t>
      </w:r>
    </w:p>
    <w:p w14:paraId="11A3F92F" w14:textId="77777777" w:rsidR="002D101E" w:rsidRDefault="002D101E" w:rsidP="002D101E">
      <w:pPr>
        <w:ind w:firstLine="284"/>
        <w:jc w:val="both"/>
        <w:rPr>
          <w:rFonts w:asciiTheme="majorHAnsi" w:hAnsiTheme="majorHAnsi" w:cstheme="majorHAnsi"/>
          <w:bCs/>
          <w:iCs/>
          <w:sz w:val="20"/>
          <w:szCs w:val="20"/>
          <w:lang w:val="en-US"/>
        </w:rPr>
      </w:pPr>
    </w:p>
    <w:p w14:paraId="1470A7A2" w14:textId="40DBB0A4" w:rsidR="002D101E" w:rsidRDefault="002D101E" w:rsidP="002D101E">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 xml:space="preserve">DISCUSSION </w:t>
      </w:r>
    </w:p>
    <w:p w14:paraId="4597B979" w14:textId="77777777" w:rsidR="002D101E" w:rsidRDefault="002D101E" w:rsidP="002D101E">
      <w:pPr>
        <w:pStyle w:val="ListParagraph"/>
        <w:ind w:left="284"/>
        <w:jc w:val="both"/>
        <w:rPr>
          <w:rFonts w:asciiTheme="minorHAnsi" w:hAnsiTheme="minorHAnsi" w:cstheme="minorHAnsi"/>
          <w:b/>
          <w:bCs/>
        </w:rPr>
      </w:pPr>
    </w:p>
    <w:p w14:paraId="53C22EA9" w14:textId="2F7A6472" w:rsidR="002D101E" w:rsidRDefault="002D101E" w:rsidP="002D101E">
      <w:pPr>
        <w:pStyle w:val="ListParagraph"/>
        <w:numPr>
          <w:ilvl w:val="1"/>
          <w:numId w:val="1"/>
        </w:numPr>
        <w:ind w:left="567" w:hanging="283"/>
        <w:jc w:val="both"/>
        <w:rPr>
          <w:rFonts w:asciiTheme="minorHAnsi" w:hAnsiTheme="minorHAnsi" w:cstheme="minorHAnsi"/>
          <w:b/>
          <w:bCs/>
          <w:sz w:val="18"/>
          <w:szCs w:val="18"/>
        </w:rPr>
      </w:pPr>
      <w:r w:rsidRPr="002D101E">
        <w:rPr>
          <w:rFonts w:asciiTheme="minorHAnsi" w:hAnsiTheme="minorHAnsi" w:cstheme="minorHAnsi"/>
          <w:b/>
          <w:bCs/>
          <w:iCs/>
          <w:sz w:val="18"/>
          <w:szCs w:val="18"/>
        </w:rPr>
        <w:t>THE IMPACT OF DIGITALIZATION THROUGH QRIS ON MOSQUE ARCHITECTURE AND CULTURAL HERITAGE PRESERVATION</w:t>
      </w:r>
      <w:r>
        <w:rPr>
          <w:rFonts w:asciiTheme="minorHAnsi" w:hAnsiTheme="minorHAnsi" w:cstheme="minorHAnsi"/>
          <w:b/>
          <w:bCs/>
          <w:iCs/>
          <w:sz w:val="18"/>
          <w:szCs w:val="18"/>
        </w:rPr>
        <w:t xml:space="preserve"> </w:t>
      </w:r>
    </w:p>
    <w:p w14:paraId="65AA6FF7" w14:textId="77777777" w:rsidR="002D101E" w:rsidRPr="002D101E" w:rsidRDefault="002D101E" w:rsidP="002D101E">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The implementation of QRIS (Quick Response Code Indonesia Standard) in the three mosques studied shows a significant influence on the preservation of architectural values and cultural heritage, while simultaneously enhancing the effectiveness and comfort of mosque operations. QRIS, as a form of digital innovation, has been successfully applied without damaging the aesthetics or spiritual structure of the mosque buildings. On the contrary, this technology serves as a supporting tool for visitor engagement, facilitating donations and opening new digital spaces for cultural preservation </w:t>
      </w:r>
      <w:r w:rsidRPr="002D101E">
        <w:rPr>
          <w:rFonts w:asciiTheme="majorHAnsi" w:hAnsiTheme="majorHAnsi" w:cstheme="majorHAnsi"/>
          <w:bCs/>
          <w:iCs/>
          <w:sz w:val="20"/>
          <w:szCs w:val="20"/>
          <w:lang w:val="en-US"/>
        </w:rPr>
        <w:fldChar w:fldCharType="begin"/>
      </w:r>
      <w:r w:rsidRPr="002D101E">
        <w:rPr>
          <w:rFonts w:asciiTheme="majorHAnsi" w:hAnsiTheme="majorHAnsi" w:cstheme="majorHAnsi"/>
          <w:bCs/>
          <w:iCs/>
          <w:sz w:val="20"/>
          <w:szCs w:val="20"/>
          <w:lang w:val="en-US"/>
        </w:rPr>
        <w:instrText xml:space="preserve"> ADDIN ZOTERO_ITEM CSL_CITATION {"citationID":"2GLDi5xX","properties":{"formattedCitation":"[10]","plainCitation":"[10]","noteIndex":0},"citationItems":[{"id":11349,"uris":["http://zotero.org/users/local/APPySEvW/items/8NEQQJPI"],"itemData":{"id":11349,"type":"webpage","title":"Quick Response Code Indonesian Standard (QRIS)","URL":"https://www.bi.go.id/id/fungsi-utama/sistem-pembayaran/ritel/kanal-layanan/qris/default.aspx","author":[{"family":"Bank Indonesia","given":""}],"accessed":{"date-parts":[["2025",8,2]]},"issued":{"date-parts":[["2020"]]}}}],"schema":"https://github.com/citation-style-language/schema/raw/master/csl-citation.json"} </w:instrText>
      </w:r>
      <w:r w:rsidRPr="002D101E">
        <w:rPr>
          <w:rFonts w:asciiTheme="majorHAnsi" w:hAnsiTheme="majorHAnsi" w:cstheme="majorHAnsi"/>
          <w:bCs/>
          <w:iCs/>
          <w:sz w:val="20"/>
          <w:szCs w:val="20"/>
          <w:lang w:val="en-US"/>
        </w:rPr>
        <w:fldChar w:fldCharType="separate"/>
      </w:r>
      <w:r w:rsidRPr="002D101E">
        <w:rPr>
          <w:rFonts w:asciiTheme="majorHAnsi" w:hAnsiTheme="majorHAnsi" w:cstheme="majorHAnsi"/>
          <w:sz w:val="20"/>
          <w:szCs w:val="20"/>
          <w:lang w:val="en-US"/>
        </w:rPr>
        <w:t>[10]</w:t>
      </w:r>
      <w:r w:rsidRPr="002D101E">
        <w:rPr>
          <w:rFonts w:asciiTheme="majorHAnsi" w:hAnsiTheme="majorHAnsi" w:cstheme="majorHAnsi"/>
          <w:sz w:val="20"/>
          <w:szCs w:val="20"/>
        </w:rPr>
        <w:fldChar w:fldCharType="end"/>
      </w:r>
      <w:r w:rsidRPr="002D101E">
        <w:rPr>
          <w:rFonts w:asciiTheme="majorHAnsi" w:hAnsiTheme="majorHAnsi" w:cstheme="majorHAnsi"/>
          <w:bCs/>
          <w:iCs/>
          <w:sz w:val="20"/>
          <w:szCs w:val="20"/>
          <w:lang w:val="en-US"/>
        </w:rPr>
        <w:t>.</w:t>
      </w:r>
    </w:p>
    <w:p w14:paraId="5696385C" w14:textId="77777777" w:rsidR="002D101E" w:rsidRPr="002D101E" w:rsidRDefault="002D101E" w:rsidP="002D101E">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The integration of QRIS across the studied mosques reveals a nuanced relationship between digitalization, spatial aesthetics, and cultural heritage. While initially designed as a tool for transactional efficiency, QRIS demonstrates a broader symbolic function when embedded thoughtfully into mosque architecture.</w:t>
      </w:r>
    </w:p>
    <w:p w14:paraId="5ED3C451" w14:textId="77777777" w:rsidR="002D101E" w:rsidRDefault="002D101E" w:rsidP="002D101E">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At Al-Jabbar Mosque in Bandung, QRIS devices are deliberately positioned in transitional areas, such as corridors and entrance foyers, avoiding sacred zones like the mihrab or main prayer hall. As noted by one mosque manager: </w:t>
      </w:r>
      <w:r w:rsidRPr="002D101E">
        <w:rPr>
          <w:rFonts w:asciiTheme="majorHAnsi" w:hAnsiTheme="majorHAnsi" w:cstheme="majorHAnsi"/>
          <w:bCs/>
          <w:i/>
          <w:iCs/>
          <w:sz w:val="20"/>
          <w:szCs w:val="20"/>
          <w:lang w:val="en-US"/>
        </w:rPr>
        <w:t>“We positioned it in a way that people can see and use it without making it feel commercialized or disrespectful to the prayer space.”</w:t>
      </w:r>
      <w:r w:rsidRPr="002D101E">
        <w:rPr>
          <w:rFonts w:asciiTheme="majorHAnsi" w:hAnsiTheme="majorHAnsi" w:cstheme="majorHAnsi"/>
          <w:bCs/>
          <w:iCs/>
          <w:sz w:val="20"/>
          <w:szCs w:val="20"/>
          <w:lang w:val="en-US"/>
        </w:rPr>
        <w:t xml:space="preserve"> This reflects an implicit application of Relph’s place attachment theory, where spatial meaning is not disrupted but extended through careful design mediation. Observational notes highlight how QRIS devices were visually harmonized with glass mosaics and decorative copper panels (Figure 1.1), suggesting a spatial negotiation between digital functionality and architectural integrity </w:t>
      </w:r>
      <w:r w:rsidRPr="002D101E">
        <w:rPr>
          <w:rFonts w:asciiTheme="majorHAnsi" w:hAnsiTheme="majorHAnsi" w:cstheme="majorHAnsi"/>
          <w:bCs/>
          <w:iCs/>
          <w:sz w:val="20"/>
          <w:szCs w:val="20"/>
          <w:lang w:val="en-US"/>
        </w:rPr>
        <w:fldChar w:fldCharType="begin"/>
      </w:r>
      <w:r w:rsidRPr="002D101E">
        <w:rPr>
          <w:rFonts w:asciiTheme="majorHAnsi" w:hAnsiTheme="majorHAnsi" w:cstheme="majorHAnsi"/>
          <w:bCs/>
          <w:iCs/>
          <w:sz w:val="20"/>
          <w:szCs w:val="20"/>
          <w:lang w:val="en-US"/>
        </w:rPr>
        <w:instrText xml:space="preserve"> ADDIN ZOTERO_ITEM CSL_CITATION {"citationID":"npbge2v5","properties":{"formattedCitation":"[11]","plainCitation":"[11]","noteIndex":0},"citationItems":[{"id":11351,"uris":["http://zotero.org/users/local/APPySEvW/items/3JJM437H"],"itemData":{"id":11351,"type":"article-journal","abstract":"Place attachment is a form of connection between a person and the environmental setting. In the production of urban places, planners and designers mainly focus on the quality of the physical components. However, the aspects of meanings and attachment are not adequately considered in the planning and decision-making process. This study utilizes semi-structured interview method to examine place attachment dimensions in understanding the values of a place in the life of the users. Sample cases include examining attachment to streets in the city centre of Kuala Lumpur, Malaysia. It was evident that users’ roles and ethnic backgrounds influenced their responses. Attachment to the places was economically, socially and culturally oriented and prevalent in their daily experience of the places, and the place memories recalled.","collection-title":"Asia Pacific International Conference on Environment-Behaviour Studies (AicE-Bs 2014Berlin), Sirius Business Park Berlin-yard field, Berlin, Germany, 24-26","container-title":"Procedia - Social and Behavioral Sciences","DOI":"10.1016/j.sbspro.2014.10.243","ISSN":"1877-0428","journalAbbreviation":"Procedia - Social and Behavioral Sciences","page":"373-380","source":"ScienceDirect","title":"Place Attachment and the Value of Place in the Life of the Users","volume":"168","author":[{"family":"Ujang","given":"Norsidah"},{"family":"Zakariya","given":"Khalilah"}],"issued":{"date-parts":[["2015",1,9]]}}}],"schema":"https://github.com/citation-style-language/schema/raw/master/csl-citation.json"} </w:instrText>
      </w:r>
      <w:r w:rsidRPr="002D101E">
        <w:rPr>
          <w:rFonts w:asciiTheme="majorHAnsi" w:hAnsiTheme="majorHAnsi" w:cstheme="majorHAnsi"/>
          <w:bCs/>
          <w:iCs/>
          <w:sz w:val="20"/>
          <w:szCs w:val="20"/>
          <w:lang w:val="en-US"/>
        </w:rPr>
        <w:fldChar w:fldCharType="separate"/>
      </w:r>
      <w:r w:rsidRPr="002D101E">
        <w:rPr>
          <w:rFonts w:asciiTheme="majorHAnsi" w:hAnsiTheme="majorHAnsi" w:cstheme="majorHAnsi"/>
          <w:sz w:val="20"/>
          <w:szCs w:val="20"/>
          <w:lang w:val="en-US"/>
        </w:rPr>
        <w:t>[11]</w:t>
      </w:r>
      <w:r w:rsidRPr="002D101E">
        <w:rPr>
          <w:rFonts w:asciiTheme="majorHAnsi" w:hAnsiTheme="majorHAnsi" w:cstheme="majorHAnsi"/>
          <w:sz w:val="20"/>
          <w:szCs w:val="20"/>
        </w:rPr>
        <w:fldChar w:fldCharType="end"/>
      </w:r>
      <w:r w:rsidRPr="002D101E">
        <w:rPr>
          <w:rFonts w:asciiTheme="majorHAnsi" w:hAnsiTheme="majorHAnsi" w:cstheme="majorHAnsi"/>
          <w:bCs/>
          <w:iCs/>
          <w:sz w:val="20"/>
          <w:szCs w:val="20"/>
          <w:lang w:val="en-US"/>
        </w:rPr>
        <w:t>.</w:t>
      </w:r>
    </w:p>
    <w:p w14:paraId="35A29679" w14:textId="77777777" w:rsidR="002D101E" w:rsidRDefault="002D101E" w:rsidP="002D101E">
      <w:pPr>
        <w:ind w:left="284" w:firstLine="284"/>
        <w:jc w:val="both"/>
        <w:rPr>
          <w:rFonts w:asciiTheme="majorHAnsi" w:hAnsiTheme="majorHAnsi" w:cstheme="majorHAnsi"/>
          <w:bCs/>
          <w:iCs/>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2D101E" w14:paraId="6F56A5D8" w14:textId="77777777" w:rsidTr="00E64BB9">
        <w:tc>
          <w:tcPr>
            <w:tcW w:w="9060" w:type="dxa"/>
          </w:tcPr>
          <w:p w14:paraId="76D89EF2" w14:textId="10D6B4F8" w:rsidR="002D101E" w:rsidRDefault="002D101E" w:rsidP="002D101E">
            <w:pPr>
              <w:jc w:val="center"/>
              <w:rPr>
                <w:rFonts w:asciiTheme="majorHAnsi" w:hAnsiTheme="majorHAnsi" w:cstheme="majorHAnsi"/>
                <w:bCs/>
                <w:iCs/>
                <w:sz w:val="20"/>
                <w:szCs w:val="20"/>
                <w:lang w:val="en-US"/>
              </w:rPr>
            </w:pPr>
            <w:r>
              <w:rPr>
                <w:noProof/>
              </w:rPr>
              <w:drawing>
                <wp:inline distT="0" distB="0" distL="0" distR="0" wp14:anchorId="17E93CED" wp14:editId="69D317BA">
                  <wp:extent cx="3027680" cy="1619250"/>
                  <wp:effectExtent l="0" t="0" r="1270" b="0"/>
                  <wp:docPr id="27329765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297655" name="Picture 12"/>
                          <pic:cNvPicPr>
                            <a:picLocks noChangeAspect="1"/>
                          </pic:cNvPicPr>
                        </pic:nvPicPr>
                        <pic:blipFill rotWithShape="1">
                          <a:blip r:embed="rId10" cstate="print">
                            <a:extLst>
                              <a:ext uri="{28A0092B-C50C-407E-A947-70E740481C1C}">
                                <a14:useLocalDpi xmlns:a14="http://schemas.microsoft.com/office/drawing/2010/main" val="0"/>
                              </a:ext>
                            </a:extLst>
                          </a:blip>
                          <a:srcRect l="4360" b="7843"/>
                          <a:stretch>
                            <a:fillRect/>
                          </a:stretch>
                        </pic:blipFill>
                        <pic:spPr bwMode="auto">
                          <a:xfrm>
                            <a:off x="0" y="0"/>
                            <a:ext cx="3027680" cy="16192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D101E" w:rsidRPr="002D101E" w14:paraId="3132707A" w14:textId="77777777" w:rsidTr="00E64BB9">
        <w:tc>
          <w:tcPr>
            <w:tcW w:w="9060" w:type="dxa"/>
          </w:tcPr>
          <w:p w14:paraId="3B597855" w14:textId="77777777" w:rsidR="002D101E" w:rsidRDefault="002D101E" w:rsidP="002D101E">
            <w:pPr>
              <w:jc w:val="center"/>
              <w:rPr>
                <w:rFonts w:asciiTheme="majorHAnsi" w:hAnsiTheme="majorHAnsi" w:cstheme="majorHAnsi"/>
                <w:bCs/>
                <w:iCs/>
                <w:sz w:val="16"/>
                <w:szCs w:val="16"/>
              </w:rPr>
            </w:pPr>
          </w:p>
          <w:p w14:paraId="6A253A17" w14:textId="473E47E8" w:rsidR="002D101E" w:rsidRPr="002D101E" w:rsidRDefault="002D101E" w:rsidP="002D101E">
            <w:pPr>
              <w:jc w:val="center"/>
              <w:rPr>
                <w:rFonts w:asciiTheme="majorHAnsi" w:hAnsiTheme="majorHAnsi" w:cstheme="majorHAnsi"/>
                <w:bCs/>
                <w:iCs/>
                <w:sz w:val="16"/>
                <w:szCs w:val="16"/>
                <w:lang w:val="en-US"/>
              </w:rPr>
            </w:pPr>
            <w:r w:rsidRPr="002D101E">
              <w:rPr>
                <w:rFonts w:asciiTheme="majorHAnsi" w:hAnsiTheme="majorHAnsi" w:cstheme="majorHAnsi"/>
                <w:bCs/>
                <w:iCs/>
                <w:sz w:val="16"/>
                <w:szCs w:val="16"/>
              </w:rPr>
              <w:t>Figure 1.1 Glass façade of Al-Jabbar</w:t>
            </w:r>
          </w:p>
        </w:tc>
      </w:tr>
    </w:tbl>
    <w:p w14:paraId="6CB3ACE3" w14:textId="77777777" w:rsidR="002D101E" w:rsidRDefault="002D101E" w:rsidP="002D101E">
      <w:pPr>
        <w:ind w:left="284" w:firstLine="284"/>
        <w:jc w:val="both"/>
        <w:rPr>
          <w:rFonts w:asciiTheme="majorHAnsi" w:hAnsiTheme="majorHAnsi" w:cstheme="majorHAnsi"/>
          <w:bCs/>
          <w:iCs/>
          <w:sz w:val="20"/>
          <w:szCs w:val="20"/>
          <w:lang w:val="en-US"/>
        </w:rPr>
      </w:pPr>
    </w:p>
    <w:p w14:paraId="2B67802A" w14:textId="3CAC9523" w:rsidR="002D101E" w:rsidRDefault="002D101E" w:rsidP="002D101E">
      <w:pPr>
        <w:ind w:left="284" w:firstLine="284"/>
        <w:jc w:val="both"/>
        <w:rPr>
          <w:rFonts w:asciiTheme="majorHAnsi" w:hAnsiTheme="majorHAnsi" w:cstheme="majorHAnsi"/>
          <w:bCs/>
          <w:iCs/>
          <w:sz w:val="20"/>
          <w:szCs w:val="20"/>
        </w:rPr>
      </w:pPr>
      <w:r w:rsidRPr="002D101E">
        <w:rPr>
          <w:rFonts w:asciiTheme="majorHAnsi" w:hAnsiTheme="majorHAnsi" w:cstheme="majorHAnsi"/>
          <w:bCs/>
          <w:iCs/>
          <w:sz w:val="20"/>
          <w:szCs w:val="20"/>
        </w:rPr>
        <w:t xml:space="preserve">At the Sheikh Zayed Mosque in Solo, the tension between imported Middle Eastern aesthetics and local digital culture is more visible </w:t>
      </w:r>
      <w:r w:rsidRPr="002D101E">
        <w:rPr>
          <w:rFonts w:asciiTheme="majorHAnsi" w:hAnsiTheme="majorHAnsi" w:cstheme="majorHAnsi"/>
          <w:bCs/>
          <w:iCs/>
          <w:sz w:val="20"/>
          <w:szCs w:val="20"/>
        </w:rPr>
        <w:fldChar w:fldCharType="begin"/>
      </w:r>
      <w:r w:rsidRPr="002D101E">
        <w:rPr>
          <w:rFonts w:asciiTheme="majorHAnsi" w:hAnsiTheme="majorHAnsi" w:cstheme="majorHAnsi"/>
          <w:bCs/>
          <w:iCs/>
          <w:sz w:val="20"/>
          <w:szCs w:val="20"/>
        </w:rPr>
        <w:instrText xml:space="preserve"> ADDIN ZOTERO_ITEM CSL_CITATION {"citationID":"xN9D8eFo","properties":{"formattedCitation":"[13]","plainCitation":"[13]","noteIndex":0},"citationItems":[{"id":11353,"uris":["http://zotero.org/users/local/APPySEvW/items/W5LMJ2XQ"],"itemData":{"id":11353,"type":"book","abstract":"Research in the 2010s by Americans for the Arts (AFTA) assembled what was perhaps the most comprehensive extant set of community arts indicators for counties across the United States as the ?Local Arts Index.? To present the indicators, AFTA researchers organized indicators into four categories that they dubbed a ?Community Arts Vitality Model.? However, the indicators were assigned to categories intuitively rather than according to statistical consideration of their inter-correlations. In an effort to either validate or reframe the Community Arts Vitality Model, we subject the data to factor analysis. This analysis re-categorizes the indicators, resulting in an empirically validated framing of arts in local communities: arts business, arts consumption, and arts nonprofit. Our resulting schema can provide conceptual guidance to researchers who seek to measure the role of arts in local community development.","publisher":"Routledge","source":"JSTOR","title":"Exploring the dimensional structure of the arts in communities","URL":"https://jstor.org/stable/community.31966876","author":[{"family":"Sung","given":"H."},{"family":"Hager","given":"M. A."},{"family":"Kushner","given":"Roland"}],"accessed":{"date-parts":[["2025",8,2]]},"issued":{"date-parts":[["2020"]]}}}],"schema":"https://github.com/citation-style-language/schema/raw/master/csl-citation.json"} </w:instrText>
      </w:r>
      <w:r w:rsidRPr="002D101E">
        <w:rPr>
          <w:rFonts w:asciiTheme="majorHAnsi" w:hAnsiTheme="majorHAnsi" w:cstheme="majorHAnsi"/>
          <w:bCs/>
          <w:iCs/>
          <w:sz w:val="20"/>
          <w:szCs w:val="20"/>
        </w:rPr>
        <w:fldChar w:fldCharType="separate"/>
      </w:r>
      <w:r w:rsidRPr="002D101E">
        <w:rPr>
          <w:rFonts w:asciiTheme="majorHAnsi" w:hAnsiTheme="majorHAnsi" w:cstheme="majorHAnsi"/>
          <w:bCs/>
          <w:sz w:val="20"/>
          <w:szCs w:val="20"/>
        </w:rPr>
        <w:t>[13]</w:t>
      </w:r>
      <w:r w:rsidRPr="002D101E">
        <w:rPr>
          <w:rFonts w:asciiTheme="majorHAnsi" w:hAnsiTheme="majorHAnsi" w:cstheme="majorHAnsi"/>
          <w:sz w:val="20"/>
          <w:szCs w:val="20"/>
        </w:rPr>
        <w:fldChar w:fldCharType="end"/>
      </w:r>
      <w:r w:rsidRPr="002D101E">
        <w:rPr>
          <w:rFonts w:asciiTheme="majorHAnsi" w:hAnsiTheme="majorHAnsi" w:cstheme="majorHAnsi"/>
          <w:bCs/>
          <w:iCs/>
          <w:sz w:val="20"/>
          <w:szCs w:val="20"/>
        </w:rPr>
        <w:t xml:space="preserve">. Here, QRIS is discreetly placed at the mosque’s secondary access points, visitor lobbies, and donation desks rather than in the main hall. A visitor commented: </w:t>
      </w:r>
      <w:r w:rsidRPr="002D101E">
        <w:rPr>
          <w:rFonts w:asciiTheme="majorHAnsi" w:hAnsiTheme="majorHAnsi" w:cstheme="majorHAnsi"/>
          <w:bCs/>
          <w:i/>
          <w:iCs/>
          <w:sz w:val="20"/>
          <w:szCs w:val="20"/>
        </w:rPr>
        <w:t>“It feels modern, but not intrusive. You don’t really notice the QRIS unless you’re looking to donate.”</w:t>
      </w:r>
      <w:r w:rsidRPr="002D101E">
        <w:rPr>
          <w:rFonts w:asciiTheme="majorHAnsi" w:hAnsiTheme="majorHAnsi" w:cstheme="majorHAnsi"/>
          <w:bCs/>
          <w:iCs/>
          <w:sz w:val="20"/>
          <w:szCs w:val="20"/>
        </w:rPr>
        <w:t xml:space="preserve"> This aligns with Schuster’s concept </w:t>
      </w:r>
      <w:r w:rsidRPr="002D101E">
        <w:rPr>
          <w:rFonts w:asciiTheme="majorHAnsi" w:hAnsiTheme="majorHAnsi" w:cstheme="majorHAnsi"/>
          <w:bCs/>
          <w:iCs/>
          <w:sz w:val="20"/>
          <w:szCs w:val="20"/>
        </w:rPr>
        <w:lastRenderedPageBreak/>
        <w:t xml:space="preserve">of cultural mediation, where technology operates in the background, enabling heritage engagement without overpowering it. Figure 1.2 captures this subtle coexistence QRIS kiosks are dwarfed by the grandeur of Arabic calligraphy, ensuring that the sacred text remains visually dominant </w:t>
      </w:r>
      <w:r w:rsidRPr="002D101E">
        <w:rPr>
          <w:rFonts w:asciiTheme="majorHAnsi" w:hAnsiTheme="majorHAnsi" w:cstheme="majorHAnsi"/>
          <w:bCs/>
          <w:iCs/>
          <w:sz w:val="20"/>
          <w:szCs w:val="20"/>
        </w:rPr>
        <w:fldChar w:fldCharType="begin"/>
      </w:r>
      <w:r w:rsidRPr="002D101E">
        <w:rPr>
          <w:rFonts w:asciiTheme="majorHAnsi" w:hAnsiTheme="majorHAnsi" w:cstheme="majorHAnsi"/>
          <w:bCs/>
          <w:iCs/>
          <w:sz w:val="20"/>
          <w:szCs w:val="20"/>
        </w:rPr>
        <w:instrText xml:space="preserve"> ADDIN ZOTERO_ITEM CSL_CITATION {"citationID":"Nmxzj77U","properties":{"formattedCitation":"[12]","plainCitation":"[12]","noteIndex":0},"citationItems":[{"id":11390,"uris":["http://zotero.org/users/local/APPySEvW/items/NIGYQIGX"],"itemData":{"id":11390,"type":"article-journal","abstract":"This study aims to evaluate the seismic behavior of the historical Kabasakal Mosque in Gaziantep and to understand the effects of reinforced concrete (RC) elements added after the 1950s. Considering the increasing threats to Turkey’s cultural heritage structures, the significance of scientific approaches in the preservation of historical buildings is emphasized. Initially, a detailed finite element model (R-Model) representing the current state of the mosque was developed. The material properties of the reinforced concrete elements were defined based on literature research and material behavior of similar structures. Subsequently, to reconstruct the mosque’s original state, other historical masonry mosques from the same period and region were studied. The architectural similarities and typological features of these structures were compiled. Based on this data, another finite element model (O-Model), entirely composed of masonry elements representing the mosque’s original condition, was created. In both models, macro modeling techniques were employed, and geometric details and material properties were meticulously defined. As part of the modeling studies, modal analyses, nonlinear pushover analyses, and nonlinear time-history analyses were conducted. Modal analysis results revealed that reinforced concrete elements increased the structural stiffness, elevating the modal frequencies and thereby altering the vibration characteristics of the structure. Pushover analyses showed that while reinforced concrete elements contributed marginally to the horizontal force capacity of the structure, they partially reduced displacement demands. Dynamic analyses indicated that the R-Model exhibited a more uniform stress distribution and improved damage mechanisms due to the reinforced concrete elements. However, in scaled 1.25 analyses, significant damage mechanisms were observed in both O-Model and R-Model. This finding demonstrates that while reinforced concrete interventions provide some level of improvement for the structure, they offer limited protection under large-scale earthquake scenarios. Specifically, the R-Model exhibited a “box effect” created by the reinforced concrete slab between the narthex and the north wall, preventing localized collapses. Nevertheless, critical damage mechanisms persisted in other regions of the structure. The results underscore the necessity of meticulous planning for strengthening interventions in the preservation of historical structures. This study highlights the effectiveness of finite element modeling techniques in analyzing historical masonry structures and shows that reinforced concrete elements improve local damage mechanisms. However, the impact of strengthening methods on the global seismic performance requires further investigation.","container-title":"Engineering Failure Analysis","DOI":"10.1016/j.engfailanal.2025.109504","ISSN":"1350-6307","journalAbbreviation":"Engineering Failure Analysis","page":"109504","source":"ScienceDirect","title":"Reinforced concrete interventions on the collapse mechanism of historical masonry structures with detailed finite element analyses: Kabasakal Mosque","title-short":"Reinforced concrete interventions on the collapse mechanism of historical masonry structures with detailed finite element analyses","volume":"174","author":[{"family":"Kocaman","given":"İrfan"},{"family":"Eroğlu","given":"Esma"},{"family":"Yıldız","given":"Merve Ertosun"},{"family":"Yıldız","given":"Mehmet Akif"},{"family":"Mercimek","given":"Ömer"},{"family":"Çetin","given":"Sedanur"}],"issued":{"date-parts":[["2025",6,1]]}}}],"schema":"https://github.com/citation-style-language/schema/raw/master/csl-citation.json"} </w:instrText>
      </w:r>
      <w:r w:rsidRPr="002D101E">
        <w:rPr>
          <w:rFonts w:asciiTheme="majorHAnsi" w:hAnsiTheme="majorHAnsi" w:cstheme="majorHAnsi"/>
          <w:bCs/>
          <w:iCs/>
          <w:sz w:val="20"/>
          <w:szCs w:val="20"/>
        </w:rPr>
        <w:fldChar w:fldCharType="separate"/>
      </w:r>
      <w:r w:rsidRPr="002D101E">
        <w:rPr>
          <w:rFonts w:asciiTheme="majorHAnsi" w:hAnsiTheme="majorHAnsi" w:cstheme="majorHAnsi"/>
          <w:sz w:val="20"/>
          <w:szCs w:val="20"/>
        </w:rPr>
        <w:t>[12]</w:t>
      </w:r>
      <w:r w:rsidRPr="002D101E">
        <w:rPr>
          <w:rFonts w:asciiTheme="majorHAnsi" w:hAnsiTheme="majorHAnsi" w:cstheme="majorHAnsi"/>
          <w:sz w:val="20"/>
          <w:szCs w:val="20"/>
        </w:rPr>
        <w:fldChar w:fldCharType="end"/>
      </w:r>
      <w:r w:rsidRPr="002D101E">
        <w:rPr>
          <w:rFonts w:asciiTheme="majorHAnsi" w:hAnsiTheme="majorHAnsi" w:cstheme="majorHAnsi"/>
          <w:bCs/>
          <w:iCs/>
          <w:sz w:val="20"/>
          <w:szCs w:val="20"/>
        </w:rPr>
        <w:t>.</w:t>
      </w:r>
    </w:p>
    <w:p w14:paraId="595687CA" w14:textId="77777777" w:rsidR="002D101E" w:rsidRDefault="002D101E" w:rsidP="002D101E">
      <w:pPr>
        <w:ind w:left="284" w:firstLine="284"/>
        <w:jc w:val="both"/>
        <w:rPr>
          <w:rFonts w:asciiTheme="majorHAnsi" w:hAnsiTheme="majorHAnsi" w:cstheme="majorHAnsi"/>
          <w:bCs/>
          <w:iCs/>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2D101E" w14:paraId="480AB813" w14:textId="77777777" w:rsidTr="00E64BB9">
        <w:tc>
          <w:tcPr>
            <w:tcW w:w="9060" w:type="dxa"/>
          </w:tcPr>
          <w:p w14:paraId="6D5DF19B" w14:textId="3899AC77" w:rsidR="002D101E" w:rsidRDefault="002D101E" w:rsidP="002D101E">
            <w:pPr>
              <w:jc w:val="center"/>
              <w:rPr>
                <w:rFonts w:asciiTheme="majorHAnsi" w:hAnsiTheme="majorHAnsi" w:cstheme="majorHAnsi"/>
                <w:bCs/>
                <w:iCs/>
                <w:sz w:val="20"/>
                <w:szCs w:val="20"/>
              </w:rPr>
            </w:pPr>
            <w:r>
              <w:rPr>
                <w:noProof/>
              </w:rPr>
              <w:drawing>
                <wp:inline distT="0" distB="0" distL="0" distR="0" wp14:anchorId="7A7A28BE" wp14:editId="3B7A0738">
                  <wp:extent cx="2959100" cy="1972310"/>
                  <wp:effectExtent l="0" t="0" r="0" b="8890"/>
                  <wp:docPr id="88412186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121860" name="Picture 13"/>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59100" cy="1972310"/>
                          </a:xfrm>
                          <a:prstGeom prst="rect">
                            <a:avLst/>
                          </a:prstGeom>
                          <a:noFill/>
                          <a:ln>
                            <a:noFill/>
                          </a:ln>
                        </pic:spPr>
                      </pic:pic>
                    </a:graphicData>
                  </a:graphic>
                </wp:inline>
              </w:drawing>
            </w:r>
          </w:p>
        </w:tc>
      </w:tr>
      <w:tr w:rsidR="002D101E" w:rsidRPr="002D101E" w14:paraId="08AD9421" w14:textId="77777777" w:rsidTr="00E64BB9">
        <w:tc>
          <w:tcPr>
            <w:tcW w:w="9060" w:type="dxa"/>
          </w:tcPr>
          <w:p w14:paraId="6C040F68" w14:textId="77777777" w:rsidR="002D101E" w:rsidRDefault="002D101E" w:rsidP="002D101E">
            <w:pPr>
              <w:jc w:val="center"/>
              <w:rPr>
                <w:rFonts w:asciiTheme="majorHAnsi" w:hAnsiTheme="majorHAnsi" w:cstheme="majorHAnsi"/>
                <w:bCs/>
                <w:iCs/>
                <w:sz w:val="16"/>
                <w:szCs w:val="16"/>
              </w:rPr>
            </w:pPr>
          </w:p>
          <w:p w14:paraId="5E4498FA" w14:textId="5F702338" w:rsidR="002D101E" w:rsidRPr="002D101E" w:rsidRDefault="002D101E" w:rsidP="002D101E">
            <w:pPr>
              <w:jc w:val="center"/>
              <w:rPr>
                <w:rFonts w:asciiTheme="majorHAnsi" w:hAnsiTheme="majorHAnsi" w:cstheme="majorHAnsi"/>
                <w:bCs/>
                <w:iCs/>
                <w:sz w:val="16"/>
                <w:szCs w:val="16"/>
              </w:rPr>
            </w:pPr>
            <w:r w:rsidRPr="002D101E">
              <w:rPr>
                <w:rFonts w:asciiTheme="majorHAnsi" w:hAnsiTheme="majorHAnsi" w:cstheme="majorHAnsi"/>
                <w:bCs/>
                <w:iCs/>
                <w:sz w:val="16"/>
                <w:szCs w:val="16"/>
              </w:rPr>
              <w:t>Figure 1.2. Sheikh Zayed Solo dome calligraphy</w:t>
            </w:r>
          </w:p>
        </w:tc>
      </w:tr>
    </w:tbl>
    <w:p w14:paraId="2380F584" w14:textId="77777777" w:rsidR="002D101E" w:rsidRDefault="002D101E" w:rsidP="002D101E">
      <w:pPr>
        <w:ind w:left="284" w:firstLine="284"/>
        <w:jc w:val="both"/>
        <w:rPr>
          <w:rFonts w:asciiTheme="majorHAnsi" w:hAnsiTheme="majorHAnsi" w:cstheme="majorHAnsi"/>
          <w:bCs/>
          <w:iCs/>
          <w:sz w:val="20"/>
          <w:szCs w:val="20"/>
        </w:rPr>
      </w:pPr>
    </w:p>
    <w:p w14:paraId="288C96CA" w14:textId="07E2861F" w:rsidR="002D101E" w:rsidRDefault="002D101E" w:rsidP="00805BD7">
      <w:pPr>
        <w:ind w:left="284" w:firstLine="284"/>
        <w:jc w:val="both"/>
        <w:rPr>
          <w:rFonts w:asciiTheme="majorHAnsi" w:hAnsiTheme="majorHAnsi" w:cstheme="majorHAnsi"/>
          <w:bCs/>
          <w:iCs/>
          <w:sz w:val="20"/>
          <w:szCs w:val="20"/>
        </w:rPr>
      </w:pPr>
      <w:r w:rsidRPr="002D101E">
        <w:rPr>
          <w:rFonts w:asciiTheme="majorHAnsi" w:hAnsiTheme="majorHAnsi" w:cstheme="majorHAnsi"/>
          <w:bCs/>
          <w:iCs/>
          <w:sz w:val="20"/>
          <w:szCs w:val="20"/>
        </w:rPr>
        <w:t xml:space="preserve">In contrast, the </w:t>
      </w:r>
      <w:proofErr w:type="spellStart"/>
      <w:r w:rsidRPr="002D101E">
        <w:rPr>
          <w:rFonts w:asciiTheme="majorHAnsi" w:hAnsiTheme="majorHAnsi" w:cstheme="majorHAnsi"/>
          <w:bCs/>
          <w:iCs/>
          <w:sz w:val="20"/>
          <w:szCs w:val="20"/>
        </w:rPr>
        <w:t>Hubbul</w:t>
      </w:r>
      <w:proofErr w:type="spellEnd"/>
      <w:r w:rsidRPr="002D101E">
        <w:rPr>
          <w:rFonts w:asciiTheme="majorHAnsi" w:hAnsiTheme="majorHAnsi" w:cstheme="majorHAnsi"/>
          <w:bCs/>
          <w:iCs/>
          <w:sz w:val="20"/>
          <w:szCs w:val="20"/>
        </w:rPr>
        <w:t xml:space="preserve"> Wathan Mosque in Lombok adopts a more integrative approach. QRIS is embedded not only in donation spaces but also near educational displays and tourism corners. This approach expands the utility of QRIS from financial to informational. As a local youth guide explained, </w:t>
      </w:r>
      <w:r w:rsidRPr="002D101E">
        <w:rPr>
          <w:rFonts w:asciiTheme="majorHAnsi" w:hAnsiTheme="majorHAnsi" w:cstheme="majorHAnsi"/>
          <w:bCs/>
          <w:i/>
          <w:iCs/>
          <w:sz w:val="20"/>
          <w:szCs w:val="20"/>
        </w:rPr>
        <w:t>“Visitors can scan the QR code near the minaret and listen to a short history of the mosque. It helps people connect more deeply with what they’re seeing.”</w:t>
      </w:r>
      <w:r w:rsidRPr="002D101E">
        <w:rPr>
          <w:rFonts w:asciiTheme="majorHAnsi" w:hAnsiTheme="majorHAnsi" w:cstheme="majorHAnsi"/>
          <w:bCs/>
          <w:iCs/>
          <w:sz w:val="20"/>
          <w:szCs w:val="20"/>
        </w:rPr>
        <w:t xml:space="preserve"> This application supports UNESCO’s digital heritage framework, in which digital tools serve as access points for disseminating cultural knowledge. Figure 1.3 shows a QRIS sign near the 99-meter tower symbolizing </w:t>
      </w:r>
      <w:proofErr w:type="spellStart"/>
      <w:r w:rsidRPr="002D101E">
        <w:rPr>
          <w:rFonts w:asciiTheme="majorHAnsi" w:hAnsiTheme="majorHAnsi" w:cstheme="majorHAnsi"/>
          <w:bCs/>
          <w:i/>
          <w:iCs/>
          <w:sz w:val="20"/>
          <w:szCs w:val="20"/>
        </w:rPr>
        <w:t>Asmaul</w:t>
      </w:r>
      <w:proofErr w:type="spellEnd"/>
      <w:r w:rsidRPr="002D101E">
        <w:rPr>
          <w:rFonts w:asciiTheme="majorHAnsi" w:hAnsiTheme="majorHAnsi" w:cstheme="majorHAnsi"/>
          <w:bCs/>
          <w:i/>
          <w:iCs/>
          <w:sz w:val="20"/>
          <w:szCs w:val="20"/>
        </w:rPr>
        <w:t xml:space="preserve"> Husna</w:t>
      </w:r>
      <w:r w:rsidRPr="002D101E">
        <w:rPr>
          <w:rFonts w:asciiTheme="majorHAnsi" w:hAnsiTheme="majorHAnsi" w:cstheme="majorHAnsi"/>
          <w:bCs/>
          <w:iCs/>
          <w:sz w:val="20"/>
          <w:szCs w:val="20"/>
        </w:rPr>
        <w:t xml:space="preserve">, directly linking spatial iconography with interactive Islamic learning </w:t>
      </w:r>
      <w:r w:rsidRPr="002D101E">
        <w:rPr>
          <w:rFonts w:asciiTheme="majorHAnsi" w:hAnsiTheme="majorHAnsi" w:cstheme="majorHAnsi"/>
          <w:bCs/>
          <w:iCs/>
          <w:sz w:val="20"/>
          <w:szCs w:val="20"/>
        </w:rPr>
        <w:fldChar w:fldCharType="begin"/>
      </w:r>
      <w:r w:rsidRPr="002D101E">
        <w:rPr>
          <w:rFonts w:asciiTheme="majorHAnsi" w:hAnsiTheme="majorHAnsi" w:cstheme="majorHAnsi"/>
          <w:bCs/>
          <w:iCs/>
          <w:sz w:val="20"/>
          <w:szCs w:val="20"/>
        </w:rPr>
        <w:instrText xml:space="preserve"> ADDIN ZOTERO_ITEM CSL_CITATION {"citationID":"3IlK2B1n","properties":{"formattedCitation":"[14]","plainCitation":"[14]","noteIndex":0},"citationItems":[{"id":11358,"uris":["http://zotero.org/users/local/APPySEvW/items/LCIGD7QV"],"itemData":{"id":11358,"type":"book","abstract":"Rarely has a book so packed with accurate and well researched factual information been so widely read and popularly acclaimed. This Second Edition of The Cambridge Encyclopedia of the English Language has been fully revised for a new generation of language-lovers. The book is longer and includes extensive new material on world English and Internet English, in addition to completely updated statistics, further reading suggestions and other references. First Edition Hb (1995): 0-521-40179-8 First Edition Pb (1997): 0-521-59655-6 David Crystal is a leading authority on language, and author of many books, including most recently Shakespeare's Words (Penguin, 2002), Language and the Internet (Cambridge, 2001) and Language Death (Cambridge, 2000). An internationally renowned writer, journal editor, lecturer and broadcaster, he received an Order of the British Empire in 1995 for his services to the English language.","ISBN":"978-0-521-82348-7","language":"en","note":"Google-Books-ID: Kh_RZhvHk0YC","number-of-pages":"230","publisher":"Cambridge University Press","source":"Google Books","title":"The Cambridge Encyclopedia of the English Language","author":[{"family":"Crystal","given":"David"}],"issued":{"date-parts":[["2003",8,25]]}}}],"schema":"https://github.com/citation-style-language/schema/raw/master/csl-citation.json"} </w:instrText>
      </w:r>
      <w:r w:rsidRPr="002D101E">
        <w:rPr>
          <w:rFonts w:asciiTheme="majorHAnsi" w:hAnsiTheme="majorHAnsi" w:cstheme="majorHAnsi"/>
          <w:bCs/>
          <w:iCs/>
          <w:sz w:val="20"/>
          <w:szCs w:val="20"/>
        </w:rPr>
        <w:fldChar w:fldCharType="separate"/>
      </w:r>
      <w:r w:rsidRPr="002D101E">
        <w:rPr>
          <w:rFonts w:asciiTheme="majorHAnsi" w:hAnsiTheme="majorHAnsi" w:cstheme="majorHAnsi"/>
          <w:bCs/>
          <w:iCs/>
          <w:sz w:val="20"/>
          <w:szCs w:val="20"/>
        </w:rPr>
        <w:t>[14]</w:t>
      </w:r>
      <w:r w:rsidRPr="002D101E">
        <w:rPr>
          <w:rFonts w:asciiTheme="majorHAnsi" w:hAnsiTheme="majorHAnsi" w:cstheme="majorHAnsi"/>
          <w:bCs/>
          <w:iCs/>
          <w:sz w:val="20"/>
          <w:szCs w:val="20"/>
        </w:rPr>
        <w:fldChar w:fldCharType="end"/>
      </w:r>
      <w:r w:rsidRPr="002D101E">
        <w:rPr>
          <w:rFonts w:asciiTheme="majorHAnsi" w:hAnsiTheme="majorHAnsi" w:cstheme="majorHAnsi"/>
          <w:bCs/>
          <w:iCs/>
          <w:sz w:val="20"/>
          <w:szCs w:val="20"/>
        </w:rPr>
        <w:t>.</w:t>
      </w:r>
    </w:p>
    <w:p w14:paraId="720F4917" w14:textId="77777777" w:rsidR="002D101E" w:rsidRDefault="002D101E" w:rsidP="002D101E">
      <w:pPr>
        <w:ind w:firstLine="284"/>
        <w:jc w:val="both"/>
        <w:rPr>
          <w:rFonts w:asciiTheme="majorHAnsi" w:hAnsiTheme="majorHAnsi" w:cstheme="majorHAnsi"/>
          <w:bCs/>
          <w:i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2D101E" w14:paraId="27747AE3" w14:textId="77777777" w:rsidTr="00E64BB9">
        <w:tc>
          <w:tcPr>
            <w:tcW w:w="9060" w:type="dxa"/>
          </w:tcPr>
          <w:p w14:paraId="5E1003F3" w14:textId="126E4008" w:rsidR="002D101E" w:rsidRDefault="002D101E" w:rsidP="002D101E">
            <w:pPr>
              <w:jc w:val="center"/>
              <w:rPr>
                <w:rFonts w:asciiTheme="majorHAnsi" w:hAnsiTheme="majorHAnsi" w:cstheme="majorHAnsi"/>
                <w:bCs/>
                <w:iCs/>
                <w:sz w:val="20"/>
                <w:szCs w:val="20"/>
              </w:rPr>
            </w:pPr>
            <w:r>
              <w:rPr>
                <w:noProof/>
              </w:rPr>
              <w:drawing>
                <wp:inline distT="0" distB="0" distL="0" distR="0" wp14:anchorId="2A9B2D47" wp14:editId="64F45850">
                  <wp:extent cx="3287932" cy="2467155"/>
                  <wp:effectExtent l="0" t="0" r="8255" b="0"/>
                  <wp:docPr id="10166131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613181" name="Picture 14"/>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01145" cy="2477070"/>
                          </a:xfrm>
                          <a:prstGeom prst="rect">
                            <a:avLst/>
                          </a:prstGeom>
                          <a:noFill/>
                          <a:ln>
                            <a:noFill/>
                          </a:ln>
                        </pic:spPr>
                      </pic:pic>
                    </a:graphicData>
                  </a:graphic>
                </wp:inline>
              </w:drawing>
            </w:r>
          </w:p>
        </w:tc>
      </w:tr>
      <w:tr w:rsidR="002D101E" w:rsidRPr="002D101E" w14:paraId="6D769F11" w14:textId="77777777" w:rsidTr="00E64BB9">
        <w:tc>
          <w:tcPr>
            <w:tcW w:w="9060" w:type="dxa"/>
          </w:tcPr>
          <w:p w14:paraId="382158E6" w14:textId="77777777" w:rsidR="002D101E" w:rsidRDefault="002D101E" w:rsidP="002D101E">
            <w:pPr>
              <w:jc w:val="both"/>
              <w:rPr>
                <w:rFonts w:asciiTheme="majorHAnsi" w:hAnsiTheme="majorHAnsi" w:cstheme="majorHAnsi"/>
                <w:bCs/>
                <w:iCs/>
                <w:sz w:val="16"/>
                <w:szCs w:val="16"/>
              </w:rPr>
            </w:pPr>
          </w:p>
          <w:p w14:paraId="3A9B28BD" w14:textId="7E7DB8A4" w:rsidR="002D101E" w:rsidRPr="002D101E" w:rsidRDefault="002D101E" w:rsidP="002D101E">
            <w:pPr>
              <w:jc w:val="both"/>
              <w:rPr>
                <w:rFonts w:asciiTheme="majorHAnsi" w:hAnsiTheme="majorHAnsi" w:cstheme="majorHAnsi"/>
                <w:bCs/>
                <w:iCs/>
                <w:sz w:val="16"/>
                <w:szCs w:val="16"/>
              </w:rPr>
            </w:pPr>
            <w:r w:rsidRPr="002D101E">
              <w:rPr>
                <w:rFonts w:asciiTheme="majorHAnsi" w:hAnsiTheme="majorHAnsi" w:cstheme="majorHAnsi"/>
                <w:bCs/>
                <w:iCs/>
                <w:sz w:val="16"/>
                <w:szCs w:val="16"/>
              </w:rPr>
              <w:t xml:space="preserve">Figure 1.3. </w:t>
            </w:r>
            <w:proofErr w:type="spellStart"/>
            <w:r w:rsidRPr="002D101E">
              <w:rPr>
                <w:rFonts w:asciiTheme="majorHAnsi" w:hAnsiTheme="majorHAnsi" w:cstheme="majorHAnsi"/>
                <w:bCs/>
                <w:iCs/>
                <w:sz w:val="16"/>
                <w:szCs w:val="16"/>
              </w:rPr>
              <w:t>Hubbul</w:t>
            </w:r>
            <w:proofErr w:type="spellEnd"/>
            <w:r w:rsidRPr="002D101E">
              <w:rPr>
                <w:rFonts w:asciiTheme="majorHAnsi" w:hAnsiTheme="majorHAnsi" w:cstheme="majorHAnsi"/>
                <w:bCs/>
                <w:iCs/>
                <w:sz w:val="16"/>
                <w:szCs w:val="16"/>
              </w:rPr>
              <w:t xml:space="preserve"> Wathan Mosque front tower. This tower is 99 meters high and symbolizes </w:t>
            </w:r>
            <w:proofErr w:type="spellStart"/>
            <w:r w:rsidRPr="002D101E">
              <w:rPr>
                <w:rFonts w:asciiTheme="majorHAnsi" w:hAnsiTheme="majorHAnsi" w:cstheme="majorHAnsi"/>
                <w:bCs/>
                <w:iCs/>
                <w:sz w:val="16"/>
                <w:szCs w:val="16"/>
              </w:rPr>
              <w:t>Asmaul</w:t>
            </w:r>
            <w:proofErr w:type="spellEnd"/>
            <w:r w:rsidRPr="002D101E">
              <w:rPr>
                <w:rFonts w:asciiTheme="majorHAnsi" w:hAnsiTheme="majorHAnsi" w:cstheme="majorHAnsi"/>
                <w:bCs/>
                <w:iCs/>
                <w:sz w:val="16"/>
                <w:szCs w:val="16"/>
              </w:rPr>
              <w:t xml:space="preserve"> Husna, namely the 99 names of Allah</w:t>
            </w:r>
          </w:p>
        </w:tc>
      </w:tr>
    </w:tbl>
    <w:p w14:paraId="2D940A37" w14:textId="77777777" w:rsidR="002D101E" w:rsidRDefault="002D101E" w:rsidP="002D101E">
      <w:pPr>
        <w:ind w:firstLine="284"/>
        <w:jc w:val="both"/>
        <w:rPr>
          <w:rFonts w:asciiTheme="majorHAnsi" w:hAnsiTheme="majorHAnsi" w:cstheme="majorHAnsi"/>
          <w:bCs/>
          <w:iCs/>
          <w:sz w:val="20"/>
          <w:szCs w:val="20"/>
        </w:rPr>
      </w:pPr>
    </w:p>
    <w:p w14:paraId="17276E55" w14:textId="77777777" w:rsidR="002D101E" w:rsidRPr="002D101E" w:rsidRDefault="002D101E" w:rsidP="00805BD7">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Utilizing QRIS as an educational portal opens opportunities for younger generations, who tend to be more familiar with visual and interactive media, to understand the philosophy of architectural forms, Islamic symbols, and local histories of each mosque. Using QRIS linked to content such as Google Street View, audio narratives, or infographics promotes </w:t>
      </w:r>
      <w:r w:rsidRPr="002D101E">
        <w:rPr>
          <w:rFonts w:asciiTheme="majorHAnsi" w:hAnsiTheme="majorHAnsi" w:cstheme="majorHAnsi"/>
          <w:bCs/>
          <w:i/>
          <w:iCs/>
          <w:sz w:val="20"/>
          <w:szCs w:val="20"/>
          <w:lang w:val="en-US"/>
        </w:rPr>
        <w:t>experiential learning</w:t>
      </w:r>
      <w:r w:rsidRPr="002D101E">
        <w:rPr>
          <w:rFonts w:asciiTheme="majorHAnsi" w:hAnsiTheme="majorHAnsi" w:cstheme="majorHAnsi"/>
          <w:bCs/>
          <w:iCs/>
          <w:sz w:val="20"/>
          <w:szCs w:val="20"/>
          <w:lang w:val="en-US"/>
        </w:rPr>
        <w:t xml:space="preserve">, as emphasized in Vygotsky’s </w:t>
      </w:r>
      <w:r w:rsidRPr="002D101E">
        <w:rPr>
          <w:rFonts w:asciiTheme="majorHAnsi" w:hAnsiTheme="majorHAnsi" w:cstheme="majorHAnsi"/>
          <w:bCs/>
          <w:i/>
          <w:iCs/>
          <w:sz w:val="20"/>
          <w:szCs w:val="20"/>
          <w:lang w:val="en-US"/>
        </w:rPr>
        <w:t xml:space="preserve">constructivist learning theory </w:t>
      </w:r>
      <w:r w:rsidRPr="002D101E">
        <w:rPr>
          <w:rFonts w:asciiTheme="majorHAnsi" w:hAnsiTheme="majorHAnsi" w:cstheme="majorHAnsi"/>
          <w:bCs/>
          <w:iCs/>
          <w:sz w:val="20"/>
          <w:szCs w:val="20"/>
          <w:lang w:val="en-US"/>
        </w:rPr>
        <w:fldChar w:fldCharType="begin"/>
      </w:r>
      <w:r w:rsidRPr="002D101E">
        <w:rPr>
          <w:rFonts w:asciiTheme="majorHAnsi" w:hAnsiTheme="majorHAnsi" w:cstheme="majorHAnsi"/>
          <w:bCs/>
          <w:iCs/>
          <w:sz w:val="20"/>
          <w:szCs w:val="20"/>
          <w:lang w:val="en-US"/>
        </w:rPr>
        <w:instrText xml:space="preserve"> ADDIN ZOTERO_ITEM CSL_CITATION {"citationID":"8Jik8XLn","properties":{"formattedCitation":"[15]","plainCitation":"[15]","noteIndex":0},"citationItems":[{"id":8123,"uris":["http://zotero.org/users/local/APPySEvW/items/2DNMMKIJ"],"itemData":{"id":8123,"type":"book","abstract":"Vygotsky’s sociocultural theory of cognitive development in his own words—collected and translated by an outstanding group of scholars.“A landmark book.” —Contemporary PsychologyThe great Russian psychologist L. S. Vygotsky has long been recognized as a pioneer in developmental psychology. But his theory of development has never been well understood in the West. Mind in Society corrects much of this misunderstanding. Carefully edited by a group of outstanding Vygotsky scholars, the book presents a unique selection of Vygotsky’s important essays, most of which have previously been unavailable in English.The mind, Vygotsky argues, cannot be understood in isolation from the surrounding society. Humans are the only animals who use tools to alter their own inner world as well as the world around them. Vygotsky characterizes the uniquely human aspects of behavior and offers hypotheses about the way these traits have been formed in the course of human history and the way they develop over an individual's lifetime.From the handkerchief knotted as a simple mnemonic device to the complexities of symbolic language, society provides the individual with technology that can be used to shape the private processes of the mind. In Mind in Society Vygotsky applies this theoretical framework to the development of perception, attention, memory, language, and play, and he examines its implications for education. The result is a remarkably interesting book that makes clear Vygotsky’s continuing influence in the areas of child development, cognitive psychology, education, and modern psychological thought.Chapters include:1. Tool and Symbol in Child Development2. The Development of Perception and Attention3. Mastery of Memory and Thinking4. Internalization of Higher Psychological Functions5. Problems of Method6. Interaction between Learning and Development7. The Role of Play in Development8. The Prehistory of Written Language","ISBN":"978-0-674-57629-2","language":"en","note":"Google-Books-ID: RxjjUefze_oC","number-of-pages":"180","publisher":"Harvard University Press","source":"Google Books","title":"Mind in Society: Development of Higher Psychological Processes","title-short":"Mind in Society","author":[{"family":"Vygotsky","given":"L. S."},{"family":"Cole","given":"Michael"}],"issued":{"date-parts":[["1978"]]}}}],"schema":"https://github.com/citation-style-language/schema/raw/master/csl-citation.json"} </w:instrText>
      </w:r>
      <w:r w:rsidRPr="002D101E">
        <w:rPr>
          <w:rFonts w:asciiTheme="majorHAnsi" w:hAnsiTheme="majorHAnsi" w:cstheme="majorHAnsi"/>
          <w:bCs/>
          <w:iCs/>
          <w:sz w:val="20"/>
          <w:szCs w:val="20"/>
          <w:lang w:val="en-US"/>
        </w:rPr>
        <w:fldChar w:fldCharType="separate"/>
      </w:r>
      <w:r w:rsidRPr="002D101E">
        <w:rPr>
          <w:rFonts w:asciiTheme="majorHAnsi" w:hAnsiTheme="majorHAnsi" w:cstheme="majorHAnsi"/>
          <w:sz w:val="20"/>
          <w:szCs w:val="20"/>
          <w:lang w:val="en-US"/>
        </w:rPr>
        <w:t>[15]</w:t>
      </w:r>
      <w:r w:rsidRPr="002D101E">
        <w:rPr>
          <w:rFonts w:asciiTheme="majorHAnsi" w:hAnsiTheme="majorHAnsi" w:cstheme="majorHAnsi"/>
          <w:sz w:val="20"/>
          <w:szCs w:val="20"/>
        </w:rPr>
        <w:fldChar w:fldCharType="end"/>
      </w:r>
      <w:r w:rsidRPr="002D101E">
        <w:rPr>
          <w:rFonts w:asciiTheme="majorHAnsi" w:hAnsiTheme="majorHAnsi" w:cstheme="majorHAnsi"/>
          <w:bCs/>
          <w:iCs/>
          <w:sz w:val="20"/>
          <w:szCs w:val="20"/>
          <w:lang w:val="en-US"/>
        </w:rPr>
        <w:t xml:space="preserve">. QRIS can transform mosque spaces into open digital museums that are not only places of worship but also centers of architectural and Islamic cultural knowledge </w:t>
      </w:r>
      <w:r w:rsidRPr="002D101E">
        <w:rPr>
          <w:rFonts w:asciiTheme="majorHAnsi" w:hAnsiTheme="majorHAnsi" w:cstheme="majorHAnsi"/>
          <w:bCs/>
          <w:iCs/>
          <w:sz w:val="20"/>
          <w:szCs w:val="20"/>
          <w:lang w:val="en-US"/>
        </w:rPr>
        <w:fldChar w:fldCharType="begin"/>
      </w:r>
      <w:r w:rsidRPr="002D101E">
        <w:rPr>
          <w:rFonts w:asciiTheme="majorHAnsi" w:hAnsiTheme="majorHAnsi" w:cstheme="majorHAnsi"/>
          <w:bCs/>
          <w:iCs/>
          <w:sz w:val="20"/>
          <w:szCs w:val="20"/>
          <w:lang w:val="en-US"/>
        </w:rPr>
        <w:instrText xml:space="preserve"> ADDIN ZOTERO_ITEM CSL_CITATION {"citationID":"yjWVvo9s","properties":{"formattedCitation":"[16]","plainCitation":"[16]","noteIndex":0},"citationItems":[{"id":11392,"uris":["http://zotero.org/users/local/APPySEvW/items/ARBB6QEH"],"itemData":{"id":11392,"type":"article-journal","abstract":"The Tillya-Kori Madrasah is one of three Muslim schools surrounding Registan Square, a jewel of Central Asia's and the Silk Road's material cultural heritage. In the Tillya-Kori madrassa, built according to the architectural assumptions of the Timurids, as in every religious university, there is a mosque. It is built on a square plan and covered with a double-shell dome on a circular plan. During the preparations for the reconstruction of the outer layer of the dome, documentation work was carried out on the inner layer of the dome, consisting of 3D scanning with a terrestrial laser scanner. The developed 3D models of the internal geometry of the dome, being an example of digital documentation of architectural objects, allowed for its accurate measurements. The main result of the works was proving the thesis that the building subsides unevenly under the excessive weight of the outer dome. This confirmed the necessity to reconstruct the outer layer of the dome in order to reduce its weight. The building subsidence parameters were measured by measuring the geometry of the lower layer of the internal dome – the highest horizontal layer in the discontinuous double-shell dome accessible from inside the building. The article presents the process of 3D scanning of the interior of the Golden Mosque and processing its results, the tools and software used, as well as the final results. An additional outcome of the work on digital documentation of the object was the development of a digital 3D model of the interior of the Golden Mosque for the purpose of disseminating information about the monument and making it available digitally in the form of a digital 3D model.","container-title":"Digital Applications in Archaeology and Cultural Heritage","DOI":"10.1016/j.daach.2021.e00199","ISSN":"2212-0548","journalAbbreviation":"Digital Applications in Archaeology and Cultural Heritage","page":"e00199","source":"ScienceDirect","title":"Documenting the geometry of large architectural monuments using 3D scanning – the case of the dome of the Golden Mosque of the Tillya-Kori Madrasah in Samarkand","volume":"22","author":[{"family":"Kęsik","given":"Jacek"},{"family":"Milosz","given":"Marek"},{"family":"Montusiewicz","given":"Jerzy"},{"family":"Samarov","given":"Khonkul"}],"issued":{"date-parts":[["2021",9,1]]}}}],"schema":"https://github.com/citation-style-language/schema/raw/master/csl-citation.json"} </w:instrText>
      </w:r>
      <w:r w:rsidRPr="002D101E">
        <w:rPr>
          <w:rFonts w:asciiTheme="majorHAnsi" w:hAnsiTheme="majorHAnsi" w:cstheme="majorHAnsi"/>
          <w:bCs/>
          <w:iCs/>
          <w:sz w:val="20"/>
          <w:szCs w:val="20"/>
          <w:lang w:val="en-US"/>
        </w:rPr>
        <w:fldChar w:fldCharType="separate"/>
      </w:r>
      <w:r w:rsidRPr="002D101E">
        <w:rPr>
          <w:rFonts w:asciiTheme="majorHAnsi" w:hAnsiTheme="majorHAnsi" w:cstheme="majorHAnsi"/>
          <w:sz w:val="20"/>
          <w:szCs w:val="20"/>
          <w:lang w:val="en-US"/>
        </w:rPr>
        <w:t>[16]</w:t>
      </w:r>
      <w:r w:rsidRPr="002D101E">
        <w:rPr>
          <w:rFonts w:asciiTheme="majorHAnsi" w:hAnsiTheme="majorHAnsi" w:cstheme="majorHAnsi"/>
          <w:sz w:val="20"/>
          <w:szCs w:val="20"/>
        </w:rPr>
        <w:fldChar w:fldCharType="end"/>
      </w:r>
      <w:r w:rsidRPr="002D101E">
        <w:rPr>
          <w:rFonts w:asciiTheme="majorHAnsi" w:hAnsiTheme="majorHAnsi" w:cstheme="majorHAnsi"/>
          <w:bCs/>
          <w:iCs/>
          <w:sz w:val="20"/>
          <w:szCs w:val="20"/>
          <w:lang w:val="en-US"/>
        </w:rPr>
        <w:t>.</w:t>
      </w:r>
    </w:p>
    <w:p w14:paraId="5EC06CDF" w14:textId="77777777" w:rsidR="002D101E" w:rsidRPr="002D101E" w:rsidRDefault="002D101E" w:rsidP="00805BD7">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Therefore, QRIS is not merely a transaction efficiency tool but can play a significant role in enriching visitors’ religious and cultural experiences </w:t>
      </w:r>
      <w:r w:rsidRPr="002D101E">
        <w:rPr>
          <w:rFonts w:asciiTheme="majorHAnsi" w:hAnsiTheme="majorHAnsi" w:cstheme="majorHAnsi"/>
          <w:bCs/>
          <w:iCs/>
          <w:sz w:val="20"/>
          <w:szCs w:val="20"/>
          <w:lang w:val="en-US"/>
        </w:rPr>
        <w:fldChar w:fldCharType="begin"/>
      </w:r>
      <w:r w:rsidRPr="002D101E">
        <w:rPr>
          <w:rFonts w:asciiTheme="majorHAnsi" w:hAnsiTheme="majorHAnsi" w:cstheme="majorHAnsi"/>
          <w:bCs/>
          <w:iCs/>
          <w:sz w:val="20"/>
          <w:szCs w:val="20"/>
          <w:lang w:val="en-US"/>
        </w:rPr>
        <w:instrText xml:space="preserve"> ADDIN ZOTERO_ITEM CSL_CITATION {"citationID":"uSgCcb8M","properties":{"formattedCitation":"[17]","plainCitation":"[17]","noteIndex":0},"citationItems":[{"id":11394,"uris":["http://zotero.org/users/local/APPySEvW/items/96IIU89K"],"itemData":{"id":11394,"type":"article-journal","abstract":"Tourism, a vital global industry, has faced significant setbacks due to health crises like COVID-19 and monkeypox, reshaping global travel perceptions around the world, including in Bangladesh. As a vital industry interconnected with the country's economy, it is crucial to understand the pandemic's impact on Bangladesh's tourism industry and identify ways to recover from its adverse effects. To that end, we employ a Computable General Equilibrium (CGE) modeling framework to analyze the impact of COVID-19 on Bangladesh's tourism industry and highlight the role of digital innovation in recovery. We simulate multiple policy experiments and find that expediting digital innovation can help the tourism industry recover from the adverse effects of the COVID-19 pandemic without any negative macroeconomic consequences. Moreover, we develop a conceptual framework that shows the interplay of stakeholders for augmenting digitization in the tourism industry, leading to green tourism development. To achieve sustainable tourism through digitization, we propose policies to ensure effective industry planning, diffusion, and decision-making among the stakeholders in the tourism industry.","container-title":"Sustainable Futures","DOI":"10.1016/j.sftr.2025.100841","ISSN":"2666-1888","journalAbbreviation":"Sustainable Futures","page":"100841","source":"ScienceDirect","title":"Fostering sustainable tourism through digital innovation and green tourism initiatives in Bangladesh","volume":"10","author":[{"family":"Amin","given":"Sakib Bin"},{"family":"Khandaker","given":"Mahatab Kabir"},{"family":"Samia","given":"Bismi Iqbal"},{"family":"Khan","given":"Farhan"},{"family":"Taghizadeh-Hesary","given":"Farhad"}],"issued":{"date-parts":[["2025",12,1]]}}}],"schema":"https://github.com/citation-style-language/schema/raw/master/csl-citation.json"} </w:instrText>
      </w:r>
      <w:r w:rsidRPr="002D101E">
        <w:rPr>
          <w:rFonts w:asciiTheme="majorHAnsi" w:hAnsiTheme="majorHAnsi" w:cstheme="majorHAnsi"/>
          <w:bCs/>
          <w:iCs/>
          <w:sz w:val="20"/>
          <w:szCs w:val="20"/>
          <w:lang w:val="en-US"/>
        </w:rPr>
        <w:fldChar w:fldCharType="separate"/>
      </w:r>
      <w:r w:rsidRPr="002D101E">
        <w:rPr>
          <w:rFonts w:asciiTheme="majorHAnsi" w:hAnsiTheme="majorHAnsi" w:cstheme="majorHAnsi"/>
          <w:sz w:val="20"/>
          <w:szCs w:val="20"/>
          <w:lang w:val="en-US"/>
        </w:rPr>
        <w:t>[17]</w:t>
      </w:r>
      <w:r w:rsidRPr="002D101E">
        <w:rPr>
          <w:rFonts w:asciiTheme="majorHAnsi" w:hAnsiTheme="majorHAnsi" w:cstheme="majorHAnsi"/>
          <w:sz w:val="20"/>
          <w:szCs w:val="20"/>
        </w:rPr>
        <w:fldChar w:fldCharType="end"/>
      </w:r>
      <w:r w:rsidRPr="002D101E">
        <w:rPr>
          <w:rFonts w:asciiTheme="majorHAnsi" w:hAnsiTheme="majorHAnsi" w:cstheme="majorHAnsi"/>
          <w:bCs/>
          <w:iCs/>
          <w:sz w:val="20"/>
          <w:szCs w:val="20"/>
          <w:lang w:val="en-US"/>
        </w:rPr>
        <w:t>. The integration of digital technology into mosque environments need not disrupt traditional values but can expand the meaning of mosques as spiritual, educational, and social spaces. When implemented sensitively with respect to spatial context and local values, QRIS can become part of an adaptive strategy for preserving Islamic culture in the digital age.</w:t>
      </w:r>
    </w:p>
    <w:p w14:paraId="171D977B" w14:textId="77777777" w:rsidR="002D101E" w:rsidRPr="002D101E" w:rsidRDefault="002D101E" w:rsidP="00805BD7">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lastRenderedPageBreak/>
        <w:t xml:space="preserve">However, despite these benefits, implementing QRIS is not without limitations. First, aesthetic concerns persist. Some respondents voiced discomfort about “too much technology” in sacred spaces: </w:t>
      </w:r>
      <w:r w:rsidRPr="002D101E">
        <w:rPr>
          <w:rFonts w:asciiTheme="majorHAnsi" w:hAnsiTheme="majorHAnsi" w:cstheme="majorHAnsi"/>
          <w:bCs/>
          <w:i/>
          <w:iCs/>
          <w:sz w:val="20"/>
          <w:szCs w:val="20"/>
          <w:lang w:val="en-US"/>
        </w:rPr>
        <w:t>“If every corner of the mosque has a screen or code, it feels like we’re in a mall, not a mosque,”</w:t>
      </w:r>
      <w:r w:rsidRPr="002D101E">
        <w:rPr>
          <w:rFonts w:asciiTheme="majorHAnsi" w:hAnsiTheme="majorHAnsi" w:cstheme="majorHAnsi"/>
          <w:bCs/>
          <w:iCs/>
          <w:sz w:val="20"/>
          <w:szCs w:val="20"/>
          <w:lang w:val="en-US"/>
        </w:rPr>
        <w:t xml:space="preserve"> one elderly congregant shared. Second, technological accessibility poses challenges, especially for older visitors unfamiliar with digital payments. Several mosque staff reported the need for “manual backup donation boxes” due to low QRIS adoption during major prayer times.</w:t>
      </w:r>
    </w:p>
    <w:p w14:paraId="654915CF" w14:textId="77777777" w:rsidR="002D101E" w:rsidRPr="002D101E" w:rsidRDefault="002D101E" w:rsidP="00805BD7">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Moreover, place attachment and user experience (UX) are not uniformly positive. While young visitors appreciated the convenience and multimedia access, some felt the technology lacked cultural nuance. A student noted, </w:t>
      </w:r>
      <w:r w:rsidRPr="002D101E">
        <w:rPr>
          <w:rFonts w:asciiTheme="majorHAnsi" w:hAnsiTheme="majorHAnsi" w:cstheme="majorHAnsi"/>
          <w:bCs/>
          <w:i/>
          <w:iCs/>
          <w:sz w:val="20"/>
          <w:szCs w:val="20"/>
          <w:lang w:val="en-US"/>
        </w:rPr>
        <w:t>“The QRIS takes you to a generic payment page. It would be better if it also showed mosque history or upcoming programs.”</w:t>
      </w:r>
      <w:r w:rsidRPr="002D101E">
        <w:rPr>
          <w:rFonts w:asciiTheme="majorHAnsi" w:hAnsiTheme="majorHAnsi" w:cstheme="majorHAnsi"/>
          <w:bCs/>
          <w:iCs/>
          <w:sz w:val="20"/>
          <w:szCs w:val="20"/>
          <w:lang w:val="en-US"/>
        </w:rPr>
        <w:t xml:space="preserve"> This highlights an opportunity for deeper integration, combining QRIS with dynamic digital content to enhance user emotional engagement, not just transaction flow.</w:t>
      </w:r>
    </w:p>
    <w:p w14:paraId="3FD69505" w14:textId="77777777" w:rsidR="002D101E" w:rsidRPr="002D101E" w:rsidRDefault="002D101E" w:rsidP="00805BD7">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These findings suggest that QRIS is not merely a financial instrument but a symbolic interface. It mediates between the sacred and the modern, the physical and the digital, tradition and innovation. When strategically deployed, it supports constructivist learning (Vygotsky), enabling users to build knowledge about Islamic architecture and heritage through interaction. However, its success depends on the technological infrastructure aligning with vernacular aesthetics, local customs, and visitor capabilities.</w:t>
      </w:r>
    </w:p>
    <w:p w14:paraId="598F7854" w14:textId="56513C41" w:rsidR="002D101E" w:rsidRDefault="002D101E" w:rsidP="00805BD7">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Therefore, rather than treating QRIS as a neutral tool, mosque stakeholders must view it as part of a broader cultural communication strategy. Its placement, design, and linked content should be co-developed with architects, community leaders, and digital designers. Only then can mosques fully harness their potential, not just to facilitate donations, but to serve as living archives of Islamic identity in a digitized era</w:t>
      </w:r>
      <w:r>
        <w:rPr>
          <w:rFonts w:asciiTheme="majorHAnsi" w:hAnsiTheme="majorHAnsi" w:cstheme="majorHAnsi"/>
          <w:bCs/>
          <w:iCs/>
          <w:sz w:val="20"/>
          <w:szCs w:val="20"/>
          <w:lang w:val="en-US"/>
        </w:rPr>
        <w:t>.</w:t>
      </w:r>
    </w:p>
    <w:p w14:paraId="3E57AF26" w14:textId="77777777" w:rsidR="002D101E" w:rsidRDefault="002D101E" w:rsidP="002D101E">
      <w:pPr>
        <w:ind w:firstLine="284"/>
        <w:jc w:val="both"/>
        <w:rPr>
          <w:rFonts w:asciiTheme="majorHAnsi" w:hAnsiTheme="majorHAnsi" w:cstheme="majorHAnsi"/>
          <w:bCs/>
          <w:iCs/>
          <w:sz w:val="20"/>
          <w:szCs w:val="20"/>
          <w:lang w:val="en-US"/>
        </w:rPr>
      </w:pPr>
    </w:p>
    <w:p w14:paraId="0AB6BD02" w14:textId="20943A83" w:rsidR="002D101E" w:rsidRDefault="002D101E" w:rsidP="002D101E">
      <w:pPr>
        <w:pStyle w:val="ListParagraph"/>
        <w:numPr>
          <w:ilvl w:val="1"/>
          <w:numId w:val="1"/>
        </w:numPr>
        <w:ind w:left="567" w:hanging="283"/>
        <w:jc w:val="both"/>
        <w:rPr>
          <w:rFonts w:asciiTheme="minorHAnsi" w:hAnsiTheme="minorHAnsi" w:cstheme="minorHAnsi"/>
          <w:b/>
          <w:bCs/>
          <w:sz w:val="18"/>
          <w:szCs w:val="18"/>
        </w:rPr>
      </w:pPr>
      <w:r w:rsidRPr="002D101E">
        <w:rPr>
          <w:rFonts w:asciiTheme="minorHAnsi" w:hAnsiTheme="minorHAnsi" w:cstheme="minorHAnsi"/>
          <w:b/>
          <w:bCs/>
          <w:iCs/>
          <w:sz w:val="18"/>
          <w:szCs w:val="18"/>
        </w:rPr>
        <w:t>SOCIAL AND VISUAL INTERACTION OF QRIS IN MOSQUE SPACES</w:t>
      </w:r>
      <w:r>
        <w:rPr>
          <w:rFonts w:asciiTheme="minorHAnsi" w:hAnsiTheme="minorHAnsi" w:cstheme="minorHAnsi"/>
          <w:b/>
          <w:bCs/>
          <w:iCs/>
          <w:sz w:val="18"/>
          <w:szCs w:val="18"/>
        </w:rPr>
        <w:t xml:space="preserve">  </w:t>
      </w:r>
    </w:p>
    <w:p w14:paraId="3EC0EB8A" w14:textId="77777777" w:rsidR="002D101E" w:rsidRPr="002D101E" w:rsidRDefault="002D101E" w:rsidP="002D101E">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Beyond its financial utility, QRIS reshapes how visitors socially and visually engage with mosque spaces. Rather than disrupting the sanctity of worship, it subtly introduces new layers of interaction, both human and technological, that redefine how religious spaces are navigated and experienced. Field observations conducted during four separate Friday prayer sessions and two tourist days at each site revealed that over 70% of young adult visitors (aged 18–35) scanned QRIS at least once during their visit, either to donate, access event schedules, or engage with historical content </w:t>
      </w:r>
      <w:r w:rsidRPr="002D101E">
        <w:rPr>
          <w:rFonts w:asciiTheme="majorHAnsi" w:hAnsiTheme="majorHAnsi" w:cstheme="majorHAnsi"/>
          <w:bCs/>
          <w:iCs/>
          <w:sz w:val="20"/>
          <w:szCs w:val="20"/>
          <w:lang w:val="en-US"/>
        </w:rPr>
        <w:fldChar w:fldCharType="begin"/>
      </w:r>
      <w:r w:rsidRPr="002D101E">
        <w:rPr>
          <w:rFonts w:asciiTheme="majorHAnsi" w:hAnsiTheme="majorHAnsi" w:cstheme="majorHAnsi"/>
          <w:bCs/>
          <w:iCs/>
          <w:sz w:val="20"/>
          <w:szCs w:val="20"/>
          <w:lang w:val="en-US"/>
        </w:rPr>
        <w:instrText xml:space="preserve"> ADDIN ZOTERO_ITEM CSL_CITATION {"citationID":"cmguh1f1","properties":{"formattedCitation":"[18]","plainCitation":"[18]","noteIndex":0},"citationItems":[{"id":6225,"uris":["http://zotero.org/users/local/APPySEvW/items/8WN395HE"],"itemData":{"id":6225,"type":"article-journal","abstract":"This paper aims to analyze human trafficking victims in the zakat distribution discourse in six philanthropic institutions in East Java and to describe the supporting and inhibiting factors in determining human trafficking victims as riqab. Human trafficking victims have not been touched by the zakat system in Indonesia, while the number of victims has simultaneously increased. This paper utilizes a field study that uses primary data from in-depth interviews with top leaders of six zakat institutions under the National Amil Zakat Agency. In addition, this paper also uses secondary data sourced from documentation and annual reports released by the research object. This paper concludes that, firstly, victims of human trafficking have met the criteria to be zakat recipients on behalf of riqab. Although in practice in the field, no East Java zakat institution distributes zakat to victims of human trafficking. Second, East Java zakat institutions have the potential for proportional support to distribute zakat in the name of riqab to victims of human trafficking. Its implementation still encounters obstacles but can be overcome with the current potential.","container-title":"Al-Risalah: Forum Kajian Hukum dan Sosial Kemasyarakatan","DOI":"10.30631/alrisalah.v22i1.1210","ISSN":"2540-9522","issue":"1","language":"en","license":"Copyright (c) 2022 Nur  Ibadi, Eja Armaz Hardi","note":"number: 1","page":"1-17","source":"shariajournals-uinjambi.ac.id","title":"Is Human Trafficking's Victim Receive Zakat as Riqab?: Zakat Distribution at East Java Philanthropic Organizations","title-short":"Is Human Trafficking's Victim Receive Zakat as Riqab?","volume":"22","author":[{"family":"Ibadi","given":"Nur"},{"family":"Hardi","given":"Eja Armaz"}],"issued":{"date-parts":[["2022",6,30]]}}}],"schema":"https://github.com/citation-style-language/schema/raw/master/csl-citation.json"} </w:instrText>
      </w:r>
      <w:r w:rsidRPr="002D101E">
        <w:rPr>
          <w:rFonts w:asciiTheme="majorHAnsi" w:hAnsiTheme="majorHAnsi" w:cstheme="majorHAnsi"/>
          <w:bCs/>
          <w:iCs/>
          <w:sz w:val="20"/>
          <w:szCs w:val="20"/>
          <w:lang w:val="en-US"/>
        </w:rPr>
        <w:fldChar w:fldCharType="separate"/>
      </w:r>
      <w:r w:rsidRPr="002D101E">
        <w:rPr>
          <w:rFonts w:asciiTheme="majorHAnsi" w:hAnsiTheme="majorHAnsi" w:cstheme="majorHAnsi"/>
          <w:bCs/>
          <w:iCs/>
          <w:sz w:val="20"/>
          <w:szCs w:val="20"/>
          <w:lang w:val="en-US"/>
        </w:rPr>
        <w:t>[18]</w:t>
      </w:r>
      <w:r w:rsidRPr="002D101E">
        <w:rPr>
          <w:rFonts w:asciiTheme="majorHAnsi" w:hAnsiTheme="majorHAnsi" w:cstheme="majorHAnsi"/>
          <w:bCs/>
          <w:iCs/>
          <w:sz w:val="20"/>
          <w:szCs w:val="20"/>
          <w:lang w:val="en-US"/>
        </w:rPr>
        <w:fldChar w:fldCharType="end"/>
      </w:r>
      <w:r w:rsidRPr="002D101E">
        <w:rPr>
          <w:rFonts w:asciiTheme="majorHAnsi" w:hAnsiTheme="majorHAnsi" w:cstheme="majorHAnsi"/>
          <w:bCs/>
          <w:iCs/>
          <w:sz w:val="20"/>
          <w:szCs w:val="20"/>
          <w:lang w:val="en-US"/>
        </w:rPr>
        <w:t>.</w:t>
      </w:r>
    </w:p>
    <w:p w14:paraId="0A18EFE4" w14:textId="77777777" w:rsidR="002D101E" w:rsidRPr="002D101E" w:rsidRDefault="002D101E" w:rsidP="002D101E">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The use of QRIS stimulated active social interaction, particularly among younger congregants. As one visitor at Al-Jabbar Mosque remarked: </w:t>
      </w:r>
      <w:r w:rsidRPr="002D101E">
        <w:rPr>
          <w:rFonts w:asciiTheme="majorHAnsi" w:hAnsiTheme="majorHAnsi" w:cstheme="majorHAnsi"/>
          <w:bCs/>
          <w:i/>
          <w:iCs/>
          <w:sz w:val="20"/>
          <w:szCs w:val="20"/>
          <w:lang w:val="en-US"/>
        </w:rPr>
        <w:t>“I showed my mother how to donate with my phone; she was surprised that a mosque can be this modern.”</w:t>
      </w:r>
      <w:r w:rsidRPr="002D101E">
        <w:rPr>
          <w:rFonts w:asciiTheme="majorHAnsi" w:hAnsiTheme="majorHAnsi" w:cstheme="majorHAnsi"/>
          <w:bCs/>
          <w:iCs/>
          <w:sz w:val="20"/>
          <w:szCs w:val="20"/>
          <w:lang w:val="en-US"/>
        </w:rPr>
        <w:t xml:space="preserve"> This form of intergenerational tech support reflects the core of digital inclusion theory, where access is not only about devices, but also about the social mechanisms enabling collective use. Mosque staff in Lombok noted that older visitors often required guidance but became curious and appreciative once introduced to the technology, reinforcing that QRIS can foster cooperative behaviors rather than individual isolation.</w:t>
      </w:r>
    </w:p>
    <w:p w14:paraId="79B7C0BC" w14:textId="77777777" w:rsidR="002D101E" w:rsidRPr="002D101E" w:rsidRDefault="002D101E" w:rsidP="002D101E">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While positive engagement dominated, the challenges of QRIS integration were evident as well. In Solo, for example, one mosque administrator reported: </w:t>
      </w:r>
      <w:r w:rsidRPr="002D101E">
        <w:rPr>
          <w:rFonts w:asciiTheme="majorHAnsi" w:hAnsiTheme="majorHAnsi" w:cstheme="majorHAnsi"/>
          <w:bCs/>
          <w:i/>
          <w:iCs/>
          <w:sz w:val="20"/>
          <w:szCs w:val="20"/>
          <w:lang w:val="en-US"/>
        </w:rPr>
        <w:t>“Some visitors hesitate to use QRIS due to concerns about the security of digital payments or simply not knowing how it works.”</w:t>
      </w:r>
      <w:r w:rsidRPr="002D101E">
        <w:rPr>
          <w:rFonts w:asciiTheme="majorHAnsi" w:hAnsiTheme="majorHAnsi" w:cstheme="majorHAnsi"/>
          <w:bCs/>
          <w:iCs/>
          <w:sz w:val="20"/>
          <w:szCs w:val="20"/>
          <w:lang w:val="en-US"/>
        </w:rPr>
        <w:t xml:space="preserve"> Moreover, the digital divide persists; QRIS usage was significantly lower in areas with poor internet connectivity and among elderly populations unfamiliar with smartphone applications. These findings challenge overly optimistic views and stress the importance of hybrid systems (digital and manual) to ensure inclusive access </w:t>
      </w:r>
      <w:r w:rsidRPr="002D101E">
        <w:rPr>
          <w:rFonts w:asciiTheme="majorHAnsi" w:hAnsiTheme="majorHAnsi" w:cstheme="majorHAnsi"/>
          <w:bCs/>
          <w:iCs/>
          <w:sz w:val="20"/>
          <w:szCs w:val="20"/>
          <w:lang w:val="en-US"/>
        </w:rPr>
        <w:fldChar w:fldCharType="begin"/>
      </w:r>
      <w:r w:rsidRPr="002D101E">
        <w:rPr>
          <w:rFonts w:asciiTheme="majorHAnsi" w:hAnsiTheme="majorHAnsi" w:cstheme="majorHAnsi"/>
          <w:bCs/>
          <w:iCs/>
          <w:sz w:val="20"/>
          <w:szCs w:val="20"/>
          <w:lang w:val="en-US"/>
        </w:rPr>
        <w:instrText xml:space="preserve"> ADDIN ZOTERO_ITEM CSL_CITATION {"citationID":"yApFh3gL","properties":{"formattedCitation":"[19]","plainCitation":"[19]","noteIndex":0},"citationItems":[{"id":935,"uris":["http://zotero.org/users/local/APPySEvW/items/4HX5UA5J"],"itemData":{"id":935,"type":"article-journal","abstract":"Philanthropy is a phenomenal and interesting issue to be researched in many countries today. Online donation raising during the Covid-19 Pandemic experienced a significant increase. This study aims to analyze the effect of income levels on Indonesian people's online donation intentions during the Covid-19 pandemic. The research method used is descriptive quantitative using a questionnaire that is distributed randomly via email, Whatsapp, and Facebook to 336 Indonesian respondents. Based on the data analysis, it was found that the highest frequency of donations was the smallest number of donations. While the lowest frequency of donations is the highest number of donations.","container-title":"International Conference on Islamic Studies (ICIS)","ISSN":"2963-9816","language":"en","license":"Copyright (c) 2022 International Conference on Islamic Studies (ICIS)","page":"283-301","source":"proceeding.uingusdur.ac.id","title":"Analysis of the Indonesian People Digital Philanthropic Behavior During the Pandemic Based on Income Levels","author":[{"family":"Purwatiningsih","given":"Aris Puji"}],"issued":{"date-parts":[["2021"]]}}}],"schema":"https://github.com/citation-style-language/schema/raw/master/csl-citation.json"} </w:instrText>
      </w:r>
      <w:r w:rsidRPr="002D101E">
        <w:rPr>
          <w:rFonts w:asciiTheme="majorHAnsi" w:hAnsiTheme="majorHAnsi" w:cstheme="majorHAnsi"/>
          <w:bCs/>
          <w:iCs/>
          <w:sz w:val="20"/>
          <w:szCs w:val="20"/>
          <w:lang w:val="en-US"/>
        </w:rPr>
        <w:fldChar w:fldCharType="separate"/>
      </w:r>
      <w:r w:rsidRPr="002D101E">
        <w:rPr>
          <w:rFonts w:asciiTheme="majorHAnsi" w:hAnsiTheme="majorHAnsi" w:cstheme="majorHAnsi"/>
          <w:bCs/>
          <w:iCs/>
          <w:sz w:val="20"/>
          <w:szCs w:val="20"/>
          <w:lang w:val="en-US"/>
        </w:rPr>
        <w:t>[19]</w:t>
      </w:r>
      <w:r w:rsidRPr="002D101E">
        <w:rPr>
          <w:rFonts w:asciiTheme="majorHAnsi" w:hAnsiTheme="majorHAnsi" w:cstheme="majorHAnsi"/>
          <w:bCs/>
          <w:iCs/>
          <w:sz w:val="20"/>
          <w:szCs w:val="20"/>
          <w:lang w:val="en-US"/>
        </w:rPr>
        <w:fldChar w:fldCharType="end"/>
      </w:r>
      <w:r w:rsidRPr="002D101E">
        <w:rPr>
          <w:rFonts w:asciiTheme="majorHAnsi" w:hAnsiTheme="majorHAnsi" w:cstheme="majorHAnsi"/>
          <w:bCs/>
          <w:iCs/>
          <w:sz w:val="20"/>
          <w:szCs w:val="20"/>
          <w:lang w:val="en-US"/>
        </w:rPr>
        <w:t xml:space="preserve">. </w:t>
      </w:r>
    </w:p>
    <w:p w14:paraId="58958B4B" w14:textId="2A7D3B28" w:rsidR="002D101E" w:rsidRDefault="002D101E" w:rsidP="002D101E">
      <w:pPr>
        <w:ind w:left="284" w:firstLine="284"/>
        <w:jc w:val="both"/>
        <w:rPr>
          <w:rFonts w:asciiTheme="majorHAnsi" w:hAnsiTheme="majorHAnsi" w:cstheme="majorHAnsi"/>
          <w:bCs/>
          <w:iCs/>
          <w:sz w:val="20"/>
          <w:szCs w:val="20"/>
          <w:lang w:val="en-US"/>
        </w:rPr>
      </w:pPr>
      <w:r w:rsidRPr="002D101E">
        <w:rPr>
          <w:rFonts w:asciiTheme="majorHAnsi" w:hAnsiTheme="majorHAnsi" w:cstheme="majorHAnsi"/>
          <w:bCs/>
          <w:iCs/>
          <w:sz w:val="20"/>
          <w:szCs w:val="20"/>
          <w:lang w:val="en-US"/>
        </w:rPr>
        <w:t xml:space="preserve">Visually, QRIS affects the aesthetic rhythm of mosque spaces. Rather than functioning as visual distractions, in many cases QRIS blends into existing informational or ornamental structures. As seen in </w:t>
      </w:r>
      <w:r w:rsidRPr="002D101E">
        <w:rPr>
          <w:rFonts w:asciiTheme="majorHAnsi" w:hAnsiTheme="majorHAnsi" w:cstheme="majorHAnsi"/>
          <w:bCs/>
          <w:i/>
          <w:iCs/>
          <w:sz w:val="20"/>
          <w:szCs w:val="20"/>
          <w:lang w:val="en-US"/>
        </w:rPr>
        <w:t>Figure 1.4</w:t>
      </w:r>
      <w:r w:rsidRPr="002D101E">
        <w:rPr>
          <w:rFonts w:asciiTheme="majorHAnsi" w:hAnsiTheme="majorHAnsi" w:cstheme="majorHAnsi"/>
          <w:bCs/>
          <w:iCs/>
          <w:sz w:val="20"/>
          <w:szCs w:val="20"/>
          <w:lang w:val="en-US"/>
        </w:rPr>
        <w:t xml:space="preserve">, the QRIS placement near Al-Jabbar’s main door mimics the geometry and palette of its stained-glass surroundings, allowing it to serve as a visual interface that invites interaction without demanding attention. This supports the notion from public interaction theory that well-designed interactive elements can enhance rather than detract from the spatial experience </w:t>
      </w:r>
      <w:r w:rsidRPr="002D101E">
        <w:rPr>
          <w:rFonts w:asciiTheme="majorHAnsi" w:hAnsiTheme="majorHAnsi" w:cstheme="majorHAnsi"/>
          <w:bCs/>
          <w:iCs/>
          <w:sz w:val="20"/>
          <w:szCs w:val="20"/>
          <w:lang w:val="en-US"/>
        </w:rPr>
        <w:fldChar w:fldCharType="begin"/>
      </w:r>
      <w:r w:rsidRPr="002D101E">
        <w:rPr>
          <w:rFonts w:asciiTheme="majorHAnsi" w:hAnsiTheme="majorHAnsi" w:cstheme="majorHAnsi"/>
          <w:bCs/>
          <w:iCs/>
          <w:sz w:val="20"/>
          <w:szCs w:val="20"/>
          <w:lang w:val="en-US"/>
        </w:rPr>
        <w:instrText xml:space="preserve"> ADDIN ZOTERO_ITEM CSL_CITATION {"citationID":"zw3mg9nq","properties":{"formattedCitation":"[20]","plainCitation":"[20]","noteIndex":0},"citationItems":[{"id":11364,"uris":["http://zotero.org/users/local/APPySEvW/items/DWHCM9PP"],"itemData":{"id":11364,"type":"article-journal","abstract":"Mosque building is characterized by its unique spatial requirements and intermittent occupancy pattern. In order to create a suitable ambiance for prayers, maintaining optimum thermal comfort of the interior is a must. As mosques are skin-load dominated buildings, the climatic conditions play a defining role in the thermal comfort of the users as well as the energy efficiency of the building. Therefore, appropriate building envelope designing that ensures optimal thermal performance is required to protect the interior from the external harsh climate and to ensure better thermal comfort for the users. Additionally, improving the overall thermal performance of the building allows reduced energy consumption and ensures improved energy efficiency. However, research in this niche is an emerging field and much work needs to be done to establish design standards. This review paper conducts a comprehensive literature review with the aim of identifying important aspects of mosque thermal performance. With this intent, the paper classifies findings from literature according to building design elements as well as different components of the mosque envelope such as walls, roofs and windows. Thereafter, it discusses the impact of the corresponding characteristics and parameters on the overall thermal performance of mosque buildings. As a result of this review, various research gaps and potential research prospects have been identified in different aspects of mosque designing. The paper concludes with suggesting prospective research scopes that may serve as a foundation for future research endeavors.","container-title":"Building and Environment","DOI":"10.1016/j.buildenv.2020.107305","ISSN":"0360-1323","journalAbbreviation":"Building and Environment","page":"107305","source":"ScienceDirect","title":"A comprehensive review on thermal performance and envelope thermal design of mosque buildings","volume":"185","author":[{"family":"Azmi","given":"Nabeeha Amatullah"},{"family":"Ibrahim","given":"Siti Halipah"}],"issued":{"date-parts":[["2020",11,1]]}}}],"schema":"https://github.com/citation-style-language/schema/raw/master/csl-citation.json"} </w:instrText>
      </w:r>
      <w:r w:rsidRPr="002D101E">
        <w:rPr>
          <w:rFonts w:asciiTheme="majorHAnsi" w:hAnsiTheme="majorHAnsi" w:cstheme="majorHAnsi"/>
          <w:bCs/>
          <w:iCs/>
          <w:sz w:val="20"/>
          <w:szCs w:val="20"/>
          <w:lang w:val="en-US"/>
        </w:rPr>
        <w:fldChar w:fldCharType="separate"/>
      </w:r>
      <w:r w:rsidRPr="002D101E">
        <w:rPr>
          <w:rFonts w:asciiTheme="majorHAnsi" w:hAnsiTheme="majorHAnsi" w:cstheme="majorHAnsi"/>
          <w:bCs/>
          <w:iCs/>
          <w:sz w:val="20"/>
          <w:szCs w:val="20"/>
          <w:lang w:val="en-US"/>
        </w:rPr>
        <w:t>[20]</w:t>
      </w:r>
      <w:r w:rsidRPr="002D101E">
        <w:rPr>
          <w:rFonts w:asciiTheme="majorHAnsi" w:hAnsiTheme="majorHAnsi" w:cstheme="majorHAnsi"/>
          <w:bCs/>
          <w:iCs/>
          <w:sz w:val="20"/>
          <w:szCs w:val="20"/>
          <w:lang w:val="en-US"/>
        </w:rPr>
        <w:fldChar w:fldCharType="end"/>
      </w:r>
      <w:r>
        <w:rPr>
          <w:rFonts w:asciiTheme="majorHAnsi" w:hAnsiTheme="majorHAnsi" w:cstheme="majorHAnsi"/>
          <w:bCs/>
          <w:iCs/>
          <w:sz w:val="20"/>
          <w:szCs w:val="20"/>
          <w:lang w:val="en-US"/>
        </w:rPr>
        <w:t>.</w:t>
      </w:r>
    </w:p>
    <w:p w14:paraId="2FDC2052" w14:textId="77777777" w:rsidR="002D101E" w:rsidRDefault="002D101E" w:rsidP="002D101E">
      <w:pPr>
        <w:ind w:left="284" w:firstLine="284"/>
        <w:jc w:val="both"/>
        <w:rPr>
          <w:rFonts w:asciiTheme="majorHAnsi" w:hAnsiTheme="majorHAnsi" w:cstheme="majorHAnsi"/>
          <w:bCs/>
          <w:iCs/>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2D101E" w14:paraId="14E66F74" w14:textId="77777777" w:rsidTr="00E64BB9">
        <w:tc>
          <w:tcPr>
            <w:tcW w:w="9060" w:type="dxa"/>
          </w:tcPr>
          <w:p w14:paraId="59A7C968" w14:textId="2BFBA669" w:rsidR="002D101E" w:rsidRDefault="002D101E" w:rsidP="002D101E">
            <w:pPr>
              <w:jc w:val="center"/>
              <w:rPr>
                <w:rFonts w:asciiTheme="majorHAnsi" w:hAnsiTheme="majorHAnsi" w:cstheme="majorHAnsi"/>
                <w:bCs/>
                <w:iCs/>
                <w:sz w:val="20"/>
                <w:szCs w:val="20"/>
                <w:lang w:val="en-US"/>
              </w:rPr>
            </w:pPr>
            <w:r>
              <w:rPr>
                <w:noProof/>
              </w:rPr>
              <w:lastRenderedPageBreak/>
              <w:drawing>
                <wp:inline distT="0" distB="0" distL="0" distR="0" wp14:anchorId="702BDE23" wp14:editId="5DF5D64E">
                  <wp:extent cx="1390650" cy="1852295"/>
                  <wp:effectExtent l="0" t="0" r="0" b="0"/>
                  <wp:docPr id="19606961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696188" name="Picture 15"/>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90650" cy="1852295"/>
                          </a:xfrm>
                          <a:prstGeom prst="rect">
                            <a:avLst/>
                          </a:prstGeom>
                          <a:noFill/>
                          <a:ln>
                            <a:noFill/>
                          </a:ln>
                        </pic:spPr>
                      </pic:pic>
                    </a:graphicData>
                  </a:graphic>
                </wp:inline>
              </w:drawing>
            </w:r>
          </w:p>
        </w:tc>
      </w:tr>
      <w:tr w:rsidR="002D101E" w:rsidRPr="00532B2C" w14:paraId="4785F642" w14:textId="77777777" w:rsidTr="00E64BB9">
        <w:tc>
          <w:tcPr>
            <w:tcW w:w="9060" w:type="dxa"/>
          </w:tcPr>
          <w:p w14:paraId="456200B5" w14:textId="77777777" w:rsidR="00805BD7" w:rsidRDefault="00805BD7" w:rsidP="00532B2C">
            <w:pPr>
              <w:jc w:val="center"/>
              <w:rPr>
                <w:rFonts w:asciiTheme="majorHAnsi" w:hAnsiTheme="majorHAnsi" w:cstheme="majorHAnsi"/>
                <w:bCs/>
                <w:iCs/>
                <w:sz w:val="16"/>
                <w:szCs w:val="16"/>
              </w:rPr>
            </w:pPr>
          </w:p>
          <w:p w14:paraId="674E725B" w14:textId="020643C1" w:rsidR="002D101E" w:rsidRPr="00532B2C" w:rsidRDefault="00532B2C" w:rsidP="00532B2C">
            <w:pPr>
              <w:jc w:val="center"/>
              <w:rPr>
                <w:rFonts w:asciiTheme="majorHAnsi" w:hAnsiTheme="majorHAnsi" w:cstheme="majorHAnsi"/>
                <w:bCs/>
                <w:iCs/>
                <w:sz w:val="16"/>
                <w:szCs w:val="16"/>
                <w:lang w:val="en-US"/>
              </w:rPr>
            </w:pPr>
            <w:r w:rsidRPr="00532B2C">
              <w:rPr>
                <w:rFonts w:asciiTheme="majorHAnsi" w:hAnsiTheme="majorHAnsi" w:cstheme="majorHAnsi"/>
                <w:bCs/>
                <w:iCs/>
                <w:sz w:val="16"/>
                <w:szCs w:val="16"/>
              </w:rPr>
              <w:t>Figure 1.4. QRIS near the main door of the Al-Jabbar Mosque</w:t>
            </w:r>
          </w:p>
        </w:tc>
      </w:tr>
    </w:tbl>
    <w:p w14:paraId="251ED279" w14:textId="77777777" w:rsidR="002D101E" w:rsidRDefault="002D101E" w:rsidP="002D101E">
      <w:pPr>
        <w:ind w:left="284" w:firstLine="284"/>
        <w:jc w:val="both"/>
        <w:rPr>
          <w:rFonts w:asciiTheme="majorHAnsi" w:hAnsiTheme="majorHAnsi" w:cstheme="majorHAnsi"/>
          <w:bCs/>
          <w:iCs/>
          <w:sz w:val="20"/>
          <w:szCs w:val="20"/>
          <w:lang w:val="en-US"/>
        </w:rPr>
      </w:pPr>
    </w:p>
    <w:p w14:paraId="37B79B4A" w14:textId="77777777" w:rsidR="00532B2C" w:rsidRPr="00532B2C" w:rsidRDefault="00532B2C" w:rsidP="00532B2C">
      <w:pPr>
        <w:ind w:left="284" w:firstLine="284"/>
        <w:jc w:val="both"/>
        <w:rPr>
          <w:rFonts w:asciiTheme="majorHAnsi" w:hAnsiTheme="majorHAnsi" w:cstheme="majorHAnsi"/>
          <w:bCs/>
          <w:iCs/>
          <w:sz w:val="20"/>
          <w:szCs w:val="20"/>
          <w:lang w:val="en-US"/>
        </w:rPr>
      </w:pPr>
      <w:r w:rsidRPr="00532B2C">
        <w:rPr>
          <w:rFonts w:asciiTheme="majorHAnsi" w:hAnsiTheme="majorHAnsi" w:cstheme="majorHAnsi"/>
          <w:bCs/>
          <w:iCs/>
          <w:sz w:val="20"/>
          <w:szCs w:val="20"/>
          <w:lang w:val="en-US"/>
        </w:rPr>
        <w:t xml:space="preserve">QRIS also introduces a layer of narrative interaction. In Lombok, for instance, QR codes near the mosque’s tower leads to audio clips explaining the symbolic meaning of the 99-meter height, which corresponds to </w:t>
      </w:r>
      <w:proofErr w:type="spellStart"/>
      <w:r w:rsidRPr="00532B2C">
        <w:rPr>
          <w:rFonts w:asciiTheme="majorHAnsi" w:hAnsiTheme="majorHAnsi" w:cstheme="majorHAnsi"/>
          <w:bCs/>
          <w:i/>
          <w:iCs/>
          <w:sz w:val="20"/>
          <w:szCs w:val="20"/>
          <w:lang w:val="en-US"/>
        </w:rPr>
        <w:t>Asmaul</w:t>
      </w:r>
      <w:proofErr w:type="spellEnd"/>
      <w:r w:rsidRPr="00532B2C">
        <w:rPr>
          <w:rFonts w:asciiTheme="majorHAnsi" w:hAnsiTheme="majorHAnsi" w:cstheme="majorHAnsi"/>
          <w:bCs/>
          <w:i/>
          <w:iCs/>
          <w:sz w:val="20"/>
          <w:szCs w:val="20"/>
          <w:lang w:val="en-US"/>
        </w:rPr>
        <w:t xml:space="preserve"> Husna</w:t>
      </w:r>
      <w:r w:rsidRPr="00532B2C">
        <w:rPr>
          <w:rFonts w:asciiTheme="majorHAnsi" w:hAnsiTheme="majorHAnsi" w:cstheme="majorHAnsi"/>
          <w:bCs/>
          <w:iCs/>
          <w:sz w:val="20"/>
          <w:szCs w:val="20"/>
          <w:lang w:val="en-US"/>
        </w:rPr>
        <w:t xml:space="preserve">. As several visitors reported, this content deepened their appreciation of the architectural symbolism. This confirms the relevance of experiential learning theory, particularly Vygotsky’s notion that learning is more effective when mediated by familiar tools, in this case smartphones and digital media </w:t>
      </w:r>
      <w:r w:rsidRPr="00532B2C">
        <w:rPr>
          <w:rFonts w:asciiTheme="majorHAnsi" w:hAnsiTheme="majorHAnsi" w:cstheme="majorHAnsi"/>
          <w:bCs/>
          <w:iCs/>
          <w:sz w:val="20"/>
          <w:szCs w:val="20"/>
          <w:lang w:val="en-US"/>
        </w:rPr>
        <w:fldChar w:fldCharType="begin"/>
      </w:r>
      <w:r w:rsidRPr="00532B2C">
        <w:rPr>
          <w:rFonts w:asciiTheme="majorHAnsi" w:hAnsiTheme="majorHAnsi" w:cstheme="majorHAnsi"/>
          <w:bCs/>
          <w:iCs/>
          <w:sz w:val="20"/>
          <w:szCs w:val="20"/>
          <w:lang w:val="en-US"/>
        </w:rPr>
        <w:instrText xml:space="preserve"> ADDIN ZOTERO_ITEM CSL_CITATION {"citationID":"oBtVDhRY","properties":{"formattedCitation":"[21]","plainCitation":"[21]","noteIndex":0},"citationItems":[{"id":11362,"uris":["http://zotero.org/users/local/APPySEvW/items/LSA9G3BF"],"itemData":{"id":11362,"type":"book","abstract":"\"Life Between Buildings is Jan Gehl's classic text on the importance of designing urban public space with the fundamental desires of people as guiding principles. The book describes essential elements that contribute to people's enjoyment of spaces in the public realm. These elements remain remarkably constant even as architectural styles go in and out of fashion and the character of the 'life between buildings' changes\"--Amazon.com.","ISBN":"978-0-442-23011-1","language":"en","note":"Google-Books-ID: 5DpiQgAACAAJ","number-of-pages":"202","publisher":"Van Nostrand Reinhold","source":"Google Books","title":"Life Between Buildings: Using Public Space","title-short":"Life Between Buildings","author":[{"family":"Gehl","given":"Jan"}],"issued":{"date-parts":[["1987"]]}}}],"schema":"https://github.com/citation-style-language/schema/raw/master/csl-citation.json"} </w:instrText>
      </w:r>
      <w:r w:rsidRPr="00532B2C">
        <w:rPr>
          <w:rFonts w:asciiTheme="majorHAnsi" w:hAnsiTheme="majorHAnsi" w:cstheme="majorHAnsi"/>
          <w:bCs/>
          <w:iCs/>
          <w:sz w:val="20"/>
          <w:szCs w:val="20"/>
          <w:lang w:val="en-US"/>
        </w:rPr>
        <w:fldChar w:fldCharType="separate"/>
      </w:r>
      <w:r w:rsidRPr="00532B2C">
        <w:rPr>
          <w:rFonts w:asciiTheme="majorHAnsi" w:hAnsiTheme="majorHAnsi" w:cstheme="majorHAnsi"/>
          <w:bCs/>
          <w:iCs/>
          <w:sz w:val="20"/>
          <w:szCs w:val="20"/>
          <w:lang w:val="en-US"/>
        </w:rPr>
        <w:t>[21]</w:t>
      </w:r>
      <w:r w:rsidRPr="00532B2C">
        <w:rPr>
          <w:rFonts w:asciiTheme="majorHAnsi" w:hAnsiTheme="majorHAnsi" w:cstheme="majorHAnsi"/>
          <w:bCs/>
          <w:iCs/>
          <w:sz w:val="20"/>
          <w:szCs w:val="20"/>
          <w:lang w:val="en-US"/>
        </w:rPr>
        <w:fldChar w:fldCharType="end"/>
      </w:r>
      <w:r w:rsidRPr="00532B2C">
        <w:rPr>
          <w:rFonts w:asciiTheme="majorHAnsi" w:hAnsiTheme="majorHAnsi" w:cstheme="majorHAnsi"/>
          <w:bCs/>
          <w:iCs/>
          <w:sz w:val="20"/>
          <w:szCs w:val="20"/>
          <w:lang w:val="en-US"/>
        </w:rPr>
        <w:t>.</w:t>
      </w:r>
    </w:p>
    <w:p w14:paraId="602A2BC9" w14:textId="596FDDC2" w:rsidR="00532B2C" w:rsidRDefault="00532B2C" w:rsidP="00532B2C">
      <w:pPr>
        <w:ind w:left="284" w:firstLine="284"/>
        <w:jc w:val="both"/>
        <w:rPr>
          <w:rFonts w:asciiTheme="majorHAnsi" w:hAnsiTheme="majorHAnsi" w:cstheme="majorHAnsi"/>
          <w:bCs/>
          <w:i/>
          <w:iCs/>
          <w:sz w:val="20"/>
          <w:szCs w:val="20"/>
          <w:lang w:val="en-US"/>
        </w:rPr>
      </w:pPr>
      <w:r w:rsidRPr="00532B2C">
        <w:rPr>
          <w:rFonts w:asciiTheme="majorHAnsi" w:hAnsiTheme="majorHAnsi" w:cstheme="majorHAnsi"/>
          <w:bCs/>
          <w:iCs/>
          <w:sz w:val="20"/>
          <w:szCs w:val="20"/>
          <w:lang w:val="en-US"/>
        </w:rPr>
        <w:t xml:space="preserve">Furthermore, the social performativity of scanning QRIS was evident in casual </w:t>
      </w:r>
      <w:proofErr w:type="spellStart"/>
      <w:r w:rsidRPr="00532B2C">
        <w:rPr>
          <w:rFonts w:asciiTheme="majorHAnsi" w:hAnsiTheme="majorHAnsi" w:cstheme="majorHAnsi"/>
          <w:bCs/>
          <w:iCs/>
          <w:sz w:val="20"/>
          <w:szCs w:val="20"/>
          <w:lang w:val="en-US"/>
        </w:rPr>
        <w:t>beh</w:t>
      </w:r>
      <w:proofErr w:type="spellEnd"/>
      <w:r w:rsidR="008C1797">
        <w:rPr>
          <w:rFonts w:asciiTheme="majorHAnsi" w:hAnsiTheme="majorHAnsi" w:cstheme="majorHAnsi"/>
          <w:bCs/>
          <w:iCs/>
          <w:sz w:val="20"/>
          <w:szCs w:val="20"/>
          <w:lang w:val="en-US"/>
        </w:rPr>
        <w:t xml:space="preserve"> </w:t>
      </w:r>
      <w:proofErr w:type="spellStart"/>
      <w:r w:rsidRPr="00532B2C">
        <w:rPr>
          <w:rFonts w:asciiTheme="majorHAnsi" w:hAnsiTheme="majorHAnsi" w:cstheme="majorHAnsi"/>
          <w:bCs/>
          <w:iCs/>
          <w:sz w:val="20"/>
          <w:szCs w:val="20"/>
          <w:lang w:val="en-US"/>
        </w:rPr>
        <w:t>aviors</w:t>
      </w:r>
      <w:proofErr w:type="spellEnd"/>
      <w:r w:rsidRPr="00532B2C">
        <w:rPr>
          <w:rFonts w:asciiTheme="majorHAnsi" w:hAnsiTheme="majorHAnsi" w:cstheme="majorHAnsi"/>
          <w:bCs/>
          <w:iCs/>
          <w:sz w:val="20"/>
          <w:szCs w:val="20"/>
          <w:lang w:val="en-US"/>
        </w:rPr>
        <w:t xml:space="preserve">, such as taking selfies with QRIS signs, sharing scanned content via WhatsApp groups, and comparing donation options. These actions may seem trivial, but they highlight how religious practice and cultural consumption increasingly intersect in shared digital rituals </w:t>
      </w:r>
      <w:r w:rsidRPr="00532B2C">
        <w:rPr>
          <w:rFonts w:asciiTheme="majorHAnsi" w:hAnsiTheme="majorHAnsi" w:cstheme="majorHAnsi"/>
          <w:bCs/>
          <w:iCs/>
          <w:sz w:val="20"/>
          <w:szCs w:val="20"/>
          <w:lang w:val="en-US"/>
        </w:rPr>
        <w:fldChar w:fldCharType="begin"/>
      </w:r>
      <w:r w:rsidRPr="00532B2C">
        <w:rPr>
          <w:rFonts w:asciiTheme="majorHAnsi" w:hAnsiTheme="majorHAnsi" w:cstheme="majorHAnsi"/>
          <w:bCs/>
          <w:iCs/>
          <w:sz w:val="20"/>
          <w:szCs w:val="20"/>
          <w:lang w:val="en-US"/>
        </w:rPr>
        <w:instrText xml:space="preserve"> ADDIN ZOTERO_ITEM CSL_CITATION {"citationID":"OoC0LVqs","properties":{"formattedCitation":"[23]","plainCitation":"[23]","noteIndex":0},"citationItems":[{"id":11368,"uris":["http://zotero.org/users/local/APPySEvW/items/XZS5AB2R"],"itemData":{"id":11368,"type":"article-journal","abstract":"This paper explores an international workshop where postgraduate students in international management and global business collaborated with non-governmental organisations (NGOs) to address real-world business challenges. The workshop, designed as an experiential and immersive educational experience, aimed to enhance students' practical skills, cultural competence, and understanding of global business dynamics and the Sustainable Development Goals (SDGs). The activities in the workshop modelled Kolb's (1984) experiential learning cycle as students were required to work on real-world projects and challenges, tackling issues ranging from strategic planning to marketing and operational efficiency. Using a post-module questionnaire to assess the outcomes of the workshop, students self-reported improvements in their problem-solving abilities, teamwork, and intercultural communication skills, as well as a greater understanding of how the theory can be applied in the real-world. Additionally, the collaboration with NGOs provided valuable insights into the social and economic impacts of business decisions in different cultural contexts. This study highlights the benefits of experiential learning in bridging academic theory and practice and underscores the importance of international exposure in developing the skillsets of future business leaders, equipping them to navigate complex global challenges and contribute to the SDGs.","container-title":"The International Journal of Management Education","DOI":"10.1016/j.ijme.2025.101243","ISSN":"1472-8117","issue":"3","journalAbbreviation":"The International Journal of Management Education","page":"101243","source":"ScienceDirect","title":"Global perspectives, local Impact: Facilitating responsible management learning outcomes through international experiential learning","title-short":"Global perspectives, local Impact","volume":"23","author":[{"family":"Daniels","given":"Matthew"},{"family":"O'Brien","given":"Michael P."},{"family":"Costin","given":"Yvonne"},{"family":"Slattery","given":"Darina M."}],"issued":{"date-parts":[["2025",12,1]]}}}],"schema":"https://github.com/citation-style-language/schema/raw/master/csl-citation.json"} </w:instrText>
      </w:r>
      <w:r w:rsidRPr="00532B2C">
        <w:rPr>
          <w:rFonts w:asciiTheme="majorHAnsi" w:hAnsiTheme="majorHAnsi" w:cstheme="majorHAnsi"/>
          <w:bCs/>
          <w:iCs/>
          <w:sz w:val="20"/>
          <w:szCs w:val="20"/>
          <w:lang w:val="en-US"/>
        </w:rPr>
        <w:fldChar w:fldCharType="separate"/>
      </w:r>
      <w:r w:rsidRPr="00532B2C">
        <w:rPr>
          <w:rFonts w:asciiTheme="majorHAnsi" w:hAnsiTheme="majorHAnsi" w:cstheme="majorHAnsi"/>
          <w:bCs/>
          <w:iCs/>
          <w:sz w:val="20"/>
          <w:szCs w:val="20"/>
          <w:lang w:val="en-US"/>
        </w:rPr>
        <w:t>[23]</w:t>
      </w:r>
      <w:r w:rsidRPr="00532B2C">
        <w:rPr>
          <w:rFonts w:asciiTheme="majorHAnsi" w:hAnsiTheme="majorHAnsi" w:cstheme="majorHAnsi"/>
          <w:bCs/>
          <w:iCs/>
          <w:sz w:val="20"/>
          <w:szCs w:val="20"/>
          <w:lang w:val="en-US"/>
        </w:rPr>
        <w:fldChar w:fldCharType="end"/>
      </w:r>
      <w:r w:rsidRPr="00532B2C">
        <w:rPr>
          <w:rFonts w:asciiTheme="majorHAnsi" w:hAnsiTheme="majorHAnsi" w:cstheme="majorHAnsi"/>
          <w:bCs/>
          <w:iCs/>
          <w:sz w:val="20"/>
          <w:szCs w:val="20"/>
          <w:lang w:val="en-US"/>
        </w:rPr>
        <w:t xml:space="preserve">. As one teenage visitor in Solo put it: </w:t>
      </w:r>
      <w:r w:rsidRPr="00532B2C">
        <w:rPr>
          <w:rFonts w:asciiTheme="majorHAnsi" w:hAnsiTheme="majorHAnsi" w:cstheme="majorHAnsi"/>
          <w:bCs/>
          <w:i/>
          <w:iCs/>
          <w:sz w:val="20"/>
          <w:szCs w:val="20"/>
          <w:lang w:val="en-US"/>
        </w:rPr>
        <w:t>“I donated, then shared the link on my Instagram story, it felt like a small but meaningful action</w:t>
      </w:r>
      <w:r>
        <w:rPr>
          <w:rFonts w:asciiTheme="majorHAnsi" w:hAnsiTheme="majorHAnsi" w:cstheme="majorHAnsi"/>
          <w:bCs/>
          <w:i/>
          <w:iCs/>
          <w:sz w:val="20"/>
          <w:szCs w:val="20"/>
          <w:lang w:val="en-US"/>
        </w:rPr>
        <w:t>”</w:t>
      </w:r>
      <w:r w:rsidRPr="00532B2C">
        <w:rPr>
          <w:rFonts w:asciiTheme="majorHAnsi" w:hAnsiTheme="majorHAnsi" w:cstheme="majorHAnsi"/>
          <w:bCs/>
          <w:i/>
          <w:iCs/>
          <w:sz w:val="20"/>
          <w:szCs w:val="20"/>
          <w:lang w:val="en-US"/>
        </w:rPr>
        <w:t>.</w:t>
      </w:r>
    </w:p>
    <w:p w14:paraId="48D6B304" w14:textId="77777777" w:rsidR="00532B2C" w:rsidRDefault="00532B2C" w:rsidP="00532B2C">
      <w:pPr>
        <w:ind w:left="284" w:firstLine="284"/>
        <w:jc w:val="both"/>
        <w:rPr>
          <w:rFonts w:asciiTheme="majorHAnsi" w:hAnsiTheme="majorHAnsi" w:cstheme="majorHAnsi"/>
          <w:bCs/>
          <w:i/>
          <w:iCs/>
          <w:sz w:val="20"/>
          <w:szCs w:val="20"/>
          <w:lang w:val="en-US"/>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8"/>
        <w:gridCol w:w="4388"/>
      </w:tblGrid>
      <w:tr w:rsidR="008C1797" w14:paraId="3BD7470F" w14:textId="77777777" w:rsidTr="00E64BB9">
        <w:tc>
          <w:tcPr>
            <w:tcW w:w="4388" w:type="dxa"/>
          </w:tcPr>
          <w:p w14:paraId="5940D823" w14:textId="28543D84" w:rsidR="008C1797" w:rsidRDefault="008C1797" w:rsidP="00805BD7">
            <w:pPr>
              <w:jc w:val="right"/>
              <w:rPr>
                <w:rFonts w:asciiTheme="majorHAnsi" w:hAnsiTheme="majorHAnsi" w:cstheme="majorHAnsi"/>
                <w:bCs/>
                <w:sz w:val="20"/>
                <w:szCs w:val="20"/>
                <w:lang w:val="en-US"/>
              </w:rPr>
            </w:pPr>
            <w:r>
              <w:rPr>
                <w:noProof/>
              </w:rPr>
              <w:drawing>
                <wp:inline distT="0" distB="0" distL="0" distR="0" wp14:anchorId="42C8C639" wp14:editId="66C00C2D">
                  <wp:extent cx="1339251" cy="1785668"/>
                  <wp:effectExtent l="0" t="0" r="0" b="5080"/>
                  <wp:docPr id="146997194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971944" name="Picture 17"/>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343070" cy="1790760"/>
                          </a:xfrm>
                          <a:prstGeom prst="rect">
                            <a:avLst/>
                          </a:prstGeom>
                          <a:noFill/>
                          <a:ln>
                            <a:noFill/>
                          </a:ln>
                        </pic:spPr>
                      </pic:pic>
                    </a:graphicData>
                  </a:graphic>
                </wp:inline>
              </w:drawing>
            </w:r>
          </w:p>
        </w:tc>
        <w:tc>
          <w:tcPr>
            <w:tcW w:w="4388" w:type="dxa"/>
          </w:tcPr>
          <w:p w14:paraId="27B091D4" w14:textId="670C23BE" w:rsidR="008C1797" w:rsidRDefault="008C1797" w:rsidP="00805BD7">
            <w:pPr>
              <w:rPr>
                <w:rFonts w:asciiTheme="majorHAnsi" w:hAnsiTheme="majorHAnsi" w:cstheme="majorHAnsi"/>
                <w:bCs/>
                <w:sz w:val="20"/>
                <w:szCs w:val="20"/>
                <w:lang w:val="en-US"/>
              </w:rPr>
            </w:pPr>
            <w:r>
              <w:rPr>
                <w:noProof/>
              </w:rPr>
              <w:drawing>
                <wp:inline distT="0" distB="0" distL="0" distR="0" wp14:anchorId="57C42A01" wp14:editId="2476548F">
                  <wp:extent cx="1339215" cy="1785620"/>
                  <wp:effectExtent l="0" t="0" r="0" b="5080"/>
                  <wp:docPr id="17831033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10330" name="Picture 18"/>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42711" cy="1790281"/>
                          </a:xfrm>
                          <a:prstGeom prst="rect">
                            <a:avLst/>
                          </a:prstGeom>
                          <a:noFill/>
                          <a:ln>
                            <a:noFill/>
                          </a:ln>
                        </pic:spPr>
                      </pic:pic>
                    </a:graphicData>
                  </a:graphic>
                </wp:inline>
              </w:drawing>
            </w:r>
          </w:p>
        </w:tc>
      </w:tr>
      <w:tr w:rsidR="008C1797" w:rsidRPr="008C1797" w14:paraId="2B11C1E7" w14:textId="77777777" w:rsidTr="00E64BB9">
        <w:tc>
          <w:tcPr>
            <w:tcW w:w="8776" w:type="dxa"/>
            <w:gridSpan w:val="2"/>
          </w:tcPr>
          <w:p w14:paraId="64275082" w14:textId="77777777" w:rsidR="00805BD7" w:rsidRDefault="00805BD7" w:rsidP="008C1797">
            <w:pPr>
              <w:jc w:val="center"/>
              <w:rPr>
                <w:rFonts w:asciiTheme="majorHAnsi" w:hAnsiTheme="majorHAnsi" w:cstheme="majorHAnsi"/>
                <w:bCs/>
                <w:iCs/>
                <w:sz w:val="16"/>
                <w:szCs w:val="16"/>
              </w:rPr>
            </w:pPr>
          </w:p>
          <w:p w14:paraId="12AA51D3" w14:textId="76BA4CF5" w:rsidR="008C1797" w:rsidRPr="008C1797" w:rsidRDefault="008C1797" w:rsidP="008C1797">
            <w:pPr>
              <w:jc w:val="center"/>
              <w:rPr>
                <w:rFonts w:asciiTheme="majorHAnsi" w:hAnsiTheme="majorHAnsi" w:cstheme="majorHAnsi"/>
                <w:bCs/>
                <w:sz w:val="16"/>
                <w:szCs w:val="16"/>
                <w:lang w:val="en-US"/>
              </w:rPr>
            </w:pPr>
            <w:r w:rsidRPr="008C1797">
              <w:rPr>
                <w:rFonts w:asciiTheme="majorHAnsi" w:hAnsiTheme="majorHAnsi" w:cstheme="majorHAnsi"/>
                <w:bCs/>
                <w:iCs/>
                <w:sz w:val="16"/>
                <w:szCs w:val="16"/>
              </w:rPr>
              <w:t>Figure 1.5. Photo of visitors scanning QRIS in the courtyard of the mosque</w:t>
            </w:r>
          </w:p>
        </w:tc>
      </w:tr>
    </w:tbl>
    <w:p w14:paraId="2E8F97DE" w14:textId="77777777" w:rsidR="00532B2C" w:rsidRPr="00532B2C" w:rsidRDefault="00532B2C" w:rsidP="00532B2C">
      <w:pPr>
        <w:ind w:left="284" w:firstLine="284"/>
        <w:jc w:val="both"/>
        <w:rPr>
          <w:rFonts w:asciiTheme="majorHAnsi" w:hAnsiTheme="majorHAnsi" w:cstheme="majorHAnsi"/>
          <w:bCs/>
          <w:sz w:val="20"/>
          <w:szCs w:val="20"/>
          <w:lang w:val="en-US"/>
        </w:rPr>
      </w:pPr>
    </w:p>
    <w:p w14:paraId="7C0B3F9F" w14:textId="77777777" w:rsidR="008C1797" w:rsidRPr="008C1797" w:rsidRDefault="008C1797" w:rsidP="008C1797">
      <w:pPr>
        <w:ind w:left="284" w:firstLine="284"/>
        <w:jc w:val="both"/>
        <w:rPr>
          <w:rFonts w:asciiTheme="majorHAnsi" w:hAnsiTheme="majorHAnsi" w:cstheme="majorHAnsi"/>
          <w:bCs/>
          <w:iCs/>
          <w:sz w:val="20"/>
          <w:szCs w:val="20"/>
          <w:lang w:val="en-US"/>
        </w:rPr>
      </w:pPr>
      <w:r w:rsidRPr="008C1797">
        <w:rPr>
          <w:rFonts w:asciiTheme="majorHAnsi" w:hAnsiTheme="majorHAnsi" w:cstheme="majorHAnsi"/>
          <w:bCs/>
          <w:iCs/>
          <w:sz w:val="20"/>
          <w:szCs w:val="20"/>
          <w:lang w:val="en-US"/>
        </w:rPr>
        <w:t xml:space="preserve">Yet not all implementations reached their potential. At one site in Bandung, a broken QRIS stand with a faded code went unmaintained for several weeks, reducing its effectiveness. This underscores that the success of QRIS is not merely a design issue but involves ongoing management, content curation, and technical upkeep. Technology, no matter how well-placed, can quickly lose relevance without proper stewardship </w:t>
      </w:r>
      <w:r w:rsidRPr="008C1797">
        <w:rPr>
          <w:rFonts w:asciiTheme="majorHAnsi" w:hAnsiTheme="majorHAnsi" w:cstheme="majorHAnsi"/>
          <w:bCs/>
          <w:iCs/>
          <w:sz w:val="20"/>
          <w:szCs w:val="20"/>
          <w:lang w:val="en-US"/>
        </w:rPr>
        <w:fldChar w:fldCharType="begin"/>
      </w:r>
      <w:r w:rsidRPr="008C1797">
        <w:rPr>
          <w:rFonts w:asciiTheme="majorHAnsi" w:hAnsiTheme="majorHAnsi" w:cstheme="majorHAnsi"/>
          <w:bCs/>
          <w:iCs/>
          <w:sz w:val="20"/>
          <w:szCs w:val="20"/>
          <w:lang w:val="en-US"/>
        </w:rPr>
        <w:instrText xml:space="preserve"> ADDIN ZOTERO_ITEM CSL_CITATION {"citationID":"5XKsZ0wa","properties":{"formattedCitation":"[22]","plainCitation":"[22]","noteIndex":0},"citationItems":[{"id":11366,"uris":["http://zotero.org/users/local/APPySEvW/items/NF9AZTJY"],"itemData":{"id":11366,"type":"article-journal","abstract":"Experiential entrepreneurship education programmes expose students to high levels of uncertainty and motivate them to take economic and emotional risks. Navigating educator roles in these programmes is difficult for educators. Although essential for effective student learning, a more theoretical understanding of educator roles within experiential entrepreneurship education programmes is needed. Following an extended case methodology, this study is among the first to validate and question the Kolb Educator Role Profile (KERP) in experiential entrepreneurship education. We theoretically extend the KERP typology by contextualising KERP within the experiential entrepreneurship education literature and incorporating insights from 18 experiential entrepreneurship education programmes. We reveal three anomalies that extend beyond the traditionally defined educator roles within the KERP typology: (1) educators need to initiate concrete experiences, (2) educators need to manage students' access to practical entrepreneurship competence, and (3) educators need to make students do entrepreneurship. By introducing KERP and discussing these anomalies, we provide clarity for experiential entrepreneurship educators, helping them navigate, commit to, and prioritise distinct educator roles. This paper implies a deeper understanding of educator roles in experiential entrepreneurship programmes, clarifying how educators manage effective student learning.","container-title":"The International Journal of Management Education","DOI":"10.1016/j.ijme.2024.101048","ISSN":"1472-8117","issue":"3","journalAbbreviation":"The International Journal of Management Education","page":"101048","source":"ScienceDirect","title":"Revealing three anomalies: Extending Kolb educator roles profile in experiential entrepreneurship education","title-short":"Revealing three anomalies","volume":"22","author":[{"family":"Larsen","given":"Even Sønnik Haug"},{"family":"Haneberg","given":"Dag Håkon"},{"family":"Lakså","given":"Sofie"}],"issued":{"date-parts":[["2024",11,1]]}}}],"schema":"https://github.com/citation-style-language/schema/raw/master/csl-citation.json"} </w:instrText>
      </w:r>
      <w:r w:rsidRPr="008C1797">
        <w:rPr>
          <w:rFonts w:asciiTheme="majorHAnsi" w:hAnsiTheme="majorHAnsi" w:cstheme="majorHAnsi"/>
          <w:bCs/>
          <w:iCs/>
          <w:sz w:val="20"/>
          <w:szCs w:val="20"/>
          <w:lang w:val="en-US"/>
        </w:rPr>
        <w:fldChar w:fldCharType="separate"/>
      </w:r>
      <w:r w:rsidRPr="008C1797">
        <w:rPr>
          <w:rFonts w:asciiTheme="majorHAnsi" w:hAnsiTheme="majorHAnsi" w:cstheme="majorHAnsi"/>
          <w:bCs/>
          <w:iCs/>
          <w:sz w:val="20"/>
          <w:szCs w:val="20"/>
          <w:lang w:val="en-US"/>
        </w:rPr>
        <w:t>[22]</w:t>
      </w:r>
      <w:r w:rsidRPr="008C1797">
        <w:rPr>
          <w:rFonts w:asciiTheme="majorHAnsi" w:hAnsiTheme="majorHAnsi" w:cstheme="majorHAnsi"/>
          <w:bCs/>
          <w:iCs/>
          <w:sz w:val="20"/>
          <w:szCs w:val="20"/>
          <w:lang w:val="en-US"/>
        </w:rPr>
        <w:fldChar w:fldCharType="end"/>
      </w:r>
      <w:r w:rsidRPr="008C1797">
        <w:rPr>
          <w:rFonts w:asciiTheme="majorHAnsi" w:hAnsiTheme="majorHAnsi" w:cstheme="majorHAnsi"/>
          <w:bCs/>
          <w:iCs/>
          <w:sz w:val="20"/>
          <w:szCs w:val="20"/>
          <w:lang w:val="en-US"/>
        </w:rPr>
        <w:t xml:space="preserve">. </w:t>
      </w:r>
    </w:p>
    <w:p w14:paraId="125DA5A2" w14:textId="2F93EF6C" w:rsidR="00532B2C" w:rsidRDefault="008C1797" w:rsidP="008C1797">
      <w:pPr>
        <w:ind w:left="284" w:firstLine="284"/>
        <w:jc w:val="both"/>
        <w:rPr>
          <w:rFonts w:asciiTheme="majorHAnsi" w:hAnsiTheme="majorHAnsi" w:cstheme="majorHAnsi"/>
          <w:bCs/>
          <w:iCs/>
          <w:sz w:val="20"/>
          <w:szCs w:val="20"/>
          <w:lang w:val="en-US"/>
        </w:rPr>
      </w:pPr>
      <w:r w:rsidRPr="008C1797">
        <w:rPr>
          <w:rFonts w:asciiTheme="majorHAnsi" w:hAnsiTheme="majorHAnsi" w:cstheme="majorHAnsi"/>
          <w:bCs/>
          <w:iCs/>
          <w:sz w:val="20"/>
          <w:szCs w:val="20"/>
          <w:lang w:val="en-US"/>
        </w:rPr>
        <w:t>In conclusion, QRIS in mosque environments serves as more than a financial medium; it is a cultural interface that mediates between generations, aesthetics, and spiritual practices. Its impact lies not only in accelerating transactions but also in shaping how mosques are experienced, learned from, and remembered. This potential can only be fully realized if implementation strategies are adaptive, inclusive, and contextually grounded, not just technologically functional but socially intelligent</w:t>
      </w:r>
      <w:r>
        <w:rPr>
          <w:rFonts w:asciiTheme="majorHAnsi" w:hAnsiTheme="majorHAnsi" w:cstheme="majorHAnsi"/>
          <w:bCs/>
          <w:iCs/>
          <w:sz w:val="20"/>
          <w:szCs w:val="20"/>
          <w:lang w:val="en-US"/>
        </w:rPr>
        <w:t>.</w:t>
      </w:r>
    </w:p>
    <w:p w14:paraId="24191E47" w14:textId="77777777" w:rsidR="008C1797" w:rsidRDefault="008C1797" w:rsidP="008C1797">
      <w:pPr>
        <w:ind w:left="284" w:firstLine="284"/>
        <w:jc w:val="both"/>
        <w:rPr>
          <w:rFonts w:asciiTheme="majorHAnsi" w:hAnsiTheme="majorHAnsi" w:cstheme="majorHAnsi"/>
          <w:bCs/>
          <w:iCs/>
          <w:sz w:val="20"/>
          <w:szCs w:val="20"/>
          <w:lang w:val="en-US"/>
        </w:rPr>
      </w:pPr>
    </w:p>
    <w:p w14:paraId="71D008D9" w14:textId="3983D139" w:rsidR="008C1797" w:rsidRDefault="008C1797" w:rsidP="008C1797">
      <w:pPr>
        <w:pStyle w:val="ListParagraph"/>
        <w:numPr>
          <w:ilvl w:val="1"/>
          <w:numId w:val="1"/>
        </w:numPr>
        <w:ind w:left="567" w:hanging="283"/>
        <w:jc w:val="both"/>
        <w:rPr>
          <w:rFonts w:asciiTheme="minorHAnsi" w:hAnsiTheme="minorHAnsi" w:cstheme="minorHAnsi"/>
          <w:b/>
          <w:bCs/>
          <w:sz w:val="18"/>
          <w:szCs w:val="18"/>
        </w:rPr>
      </w:pPr>
      <w:r w:rsidRPr="008C1797">
        <w:rPr>
          <w:rFonts w:asciiTheme="minorHAnsi" w:hAnsiTheme="minorHAnsi" w:cstheme="minorHAnsi"/>
          <w:b/>
          <w:bCs/>
          <w:iCs/>
          <w:sz w:val="18"/>
          <w:szCs w:val="18"/>
        </w:rPr>
        <w:t>INTEGRATION OF TECHNOLOGY AND MOSQUE ARCHITECTURE</w:t>
      </w:r>
    </w:p>
    <w:p w14:paraId="03EFF3F5" w14:textId="77777777" w:rsidR="008C1797" w:rsidRPr="008C1797" w:rsidRDefault="008C1797" w:rsidP="008C1797">
      <w:pPr>
        <w:ind w:left="284" w:firstLine="284"/>
        <w:jc w:val="both"/>
        <w:rPr>
          <w:rFonts w:asciiTheme="majorHAnsi" w:eastAsia="Times New Roman" w:hAnsiTheme="majorHAnsi" w:cstheme="majorHAnsi"/>
          <w:bCs/>
          <w:iCs/>
          <w:sz w:val="20"/>
          <w:szCs w:val="20"/>
          <w:lang w:val="en-US" w:eastAsia="ko-KR"/>
        </w:rPr>
      </w:pPr>
      <w:r w:rsidRPr="008C1797">
        <w:rPr>
          <w:rFonts w:asciiTheme="majorHAnsi" w:eastAsia="Times New Roman" w:hAnsiTheme="majorHAnsi" w:cstheme="majorHAnsi"/>
          <w:bCs/>
          <w:iCs/>
          <w:sz w:val="20"/>
          <w:szCs w:val="20"/>
          <w:lang w:val="en-US" w:eastAsia="ko-KR"/>
        </w:rPr>
        <w:t xml:space="preserve">The implementation of QRIS in the mosques studied clearly demonstrates that digital technology can be harmoniously integrated with traditional architectural design without altering the physical structure or diminishing the aesthetic and cultural values inherent to the buildings </w:t>
      </w:r>
      <w:r w:rsidRPr="008C1797">
        <w:rPr>
          <w:rFonts w:asciiTheme="majorHAnsi" w:eastAsia="Times New Roman" w:hAnsiTheme="majorHAnsi" w:cstheme="majorHAnsi"/>
          <w:bCs/>
          <w:iCs/>
          <w:sz w:val="20"/>
          <w:szCs w:val="20"/>
          <w:lang w:val="en-US" w:eastAsia="ko-KR"/>
        </w:rPr>
        <w:fldChar w:fldCharType="begin"/>
      </w:r>
      <w:r w:rsidRPr="008C1797">
        <w:rPr>
          <w:rFonts w:asciiTheme="majorHAnsi" w:eastAsia="Times New Roman" w:hAnsiTheme="majorHAnsi" w:cstheme="majorHAnsi"/>
          <w:bCs/>
          <w:iCs/>
          <w:sz w:val="20"/>
          <w:szCs w:val="20"/>
          <w:lang w:val="en-US" w:eastAsia="ko-KR"/>
        </w:rPr>
        <w:instrText xml:space="preserve"> ADDIN ZOTERO_ITEM CSL_CITATION {"citationID":"4WRaqhfb","properties":{"formattedCitation":"[24]","plainCitation":"[24]","noteIndex":0},"citationItems":[{"id":11386,"uris":["http://zotero.org/users/local/APPySEvW/items/YQ2Y6IRN"],"itemData":{"id":11386,"type":"article-journal","abstract":"This paper explores the situatedness of aesthetic emotions, emphasizing their cultural, historical, and contextual variability. It critiques the Western-centric framework that often dominates the study of aesthetic emotions, arguing for a more inclusive approach that recognizes the influence of diverse cultural practices and beliefs. The paper identifies key research gaps, including the need for a comprehensive lexicon of aesthetic emotions across languages, the impact of social and cultural factors on aesthetic evaluations, and the historical evolution of aesthetic emotion expressions. It integrates insights from psychological constructionist models, which view aesthetic emotions as emerging from the interplay of prior knowledge and contextual cues, rather than from a universal affective core. The study employs a sociocognitive framework and a corpus-based onomasiological methodology to analyze metaphorical patterns related to aesthetic emotions in multiple languages, including Spanish, English, Old English, and Japanese. The findings highlight the importance of linguistic diversity and cultural context in shaping aesthetic experiences. By addressing these gaps, the paper aims to contribute to more inclusive theories and models that reflect human diversity, ultimately informing broader debates on multiculturalism and inclusivity in the study of aesthetic emotions.","container-title":"Language Sciences","DOI":"10.1016/j.langsci.2025.101744","ISSN":"0388-0001","journalAbbreviation":"Language Sciences","page":"101744","source":"ScienceDirect","title":"The situatedness of aesthetic emotions: a review of the literature and a proposal for its study in variationist linguistics","title-short":"The situatedness of aesthetic emotions","volume":"111","author":[{"family":"Díaz-Vera","given":"Javier E."}],"issued":{"date-parts":[["2025",9,1]]}}}],"schema":"https://github.com/citation-style-language/schema/raw/master/csl-citation.json"} </w:instrText>
      </w:r>
      <w:r w:rsidRPr="008C1797">
        <w:rPr>
          <w:rFonts w:asciiTheme="majorHAnsi" w:eastAsia="Times New Roman" w:hAnsiTheme="majorHAnsi" w:cstheme="majorHAnsi"/>
          <w:bCs/>
          <w:iCs/>
          <w:sz w:val="20"/>
          <w:szCs w:val="20"/>
          <w:lang w:val="en-US" w:eastAsia="ko-KR"/>
        </w:rPr>
        <w:fldChar w:fldCharType="separate"/>
      </w:r>
      <w:r w:rsidRPr="008C1797">
        <w:rPr>
          <w:rFonts w:asciiTheme="majorHAnsi" w:eastAsia="Times New Roman" w:hAnsiTheme="majorHAnsi" w:cstheme="majorHAnsi"/>
          <w:sz w:val="20"/>
          <w:szCs w:val="20"/>
          <w:lang w:val="en-US" w:eastAsia="ko-KR"/>
        </w:rPr>
        <w:t>[24]</w:t>
      </w:r>
      <w:r w:rsidRPr="008C1797">
        <w:rPr>
          <w:rFonts w:asciiTheme="majorHAnsi" w:eastAsia="Times New Roman" w:hAnsiTheme="majorHAnsi" w:cstheme="majorHAnsi"/>
          <w:sz w:val="20"/>
          <w:szCs w:val="20"/>
          <w:lang w:val="id-ID" w:eastAsia="ko-KR"/>
        </w:rPr>
        <w:fldChar w:fldCharType="end"/>
      </w:r>
      <w:r w:rsidRPr="008C1797">
        <w:rPr>
          <w:rFonts w:asciiTheme="majorHAnsi" w:eastAsia="Times New Roman" w:hAnsiTheme="majorHAnsi" w:cstheme="majorHAnsi"/>
          <w:bCs/>
          <w:iCs/>
          <w:sz w:val="20"/>
          <w:szCs w:val="20"/>
          <w:lang w:val="en-US" w:eastAsia="ko-KR"/>
        </w:rPr>
        <w:t xml:space="preserve">. This successful integration affirms the concept of </w:t>
      </w:r>
      <w:r w:rsidRPr="008C1797">
        <w:rPr>
          <w:rFonts w:asciiTheme="majorHAnsi" w:eastAsia="Times New Roman" w:hAnsiTheme="majorHAnsi" w:cstheme="majorHAnsi"/>
          <w:bCs/>
          <w:i/>
          <w:iCs/>
          <w:sz w:val="20"/>
          <w:szCs w:val="20"/>
          <w:lang w:val="en-US" w:eastAsia="ko-KR"/>
        </w:rPr>
        <w:t>adaptive reuse</w:t>
      </w:r>
      <w:r w:rsidRPr="008C1797">
        <w:rPr>
          <w:rFonts w:asciiTheme="majorHAnsi" w:eastAsia="Times New Roman" w:hAnsiTheme="majorHAnsi" w:cstheme="majorHAnsi"/>
          <w:bCs/>
          <w:iCs/>
          <w:sz w:val="20"/>
          <w:szCs w:val="20"/>
          <w:lang w:val="en-US" w:eastAsia="ko-KR"/>
        </w:rPr>
        <w:t xml:space="preserve"> in architecture, which refers to the ability of historical buildings to adopt new functions while minimizing negative impacts on their original values and aesthetics </w:t>
      </w:r>
      <w:r w:rsidRPr="008C1797">
        <w:rPr>
          <w:rFonts w:asciiTheme="majorHAnsi" w:eastAsia="Times New Roman" w:hAnsiTheme="majorHAnsi" w:cstheme="majorHAnsi"/>
          <w:bCs/>
          <w:iCs/>
          <w:sz w:val="20"/>
          <w:szCs w:val="20"/>
          <w:lang w:val="en-US" w:eastAsia="ko-KR"/>
        </w:rPr>
        <w:fldChar w:fldCharType="begin"/>
      </w:r>
      <w:r w:rsidRPr="008C1797">
        <w:rPr>
          <w:rFonts w:asciiTheme="majorHAnsi" w:eastAsia="Times New Roman" w:hAnsiTheme="majorHAnsi" w:cstheme="majorHAnsi"/>
          <w:bCs/>
          <w:iCs/>
          <w:sz w:val="20"/>
          <w:szCs w:val="20"/>
          <w:lang w:val="en-US" w:eastAsia="ko-KR"/>
        </w:rPr>
        <w:instrText xml:space="preserve"> ADDIN ZOTERO_ITEM CSL_CITATION {"citationID":"kIGhLccS","properties":{"formattedCitation":"[25]","plainCitation":"[25]","noteIndex":0},"citationItems":[{"id":11370,"uris":["http://zotero.org/users/local/APPySEvW/items/QCY69TCG"],"itemData":{"id":11370,"type":"article-journal","abstract":"Whilst adaptive reuse is often applied with good outcomes, we are also faced with projects that have not achieved the desired results. There is little insight into why some projects succeed and others fail, or even what constitutes “success” at all – due in part to the intangibility of the word “success” and unsettled definitions and synonyms of “adaptive reuse. Accordingly, this paper seeks to answer the question: What are the factors that can be used to assess the success of heritage adaptive reuse projects? This study is framed as a systematic literature review of relevant articles published or in press. The methodology is based on using a PRISMA diagram to address a number of papers that are screened in each step of the diagram: identification, screening, eligibility and included. The literature review process started with 731 in the first step and ends with the final results of 72 papers. The results are classified into ten categories of success factors: architectural, structural, socio-cultural, economic, environmental, energy, authenticity, legal, management and functional factors. Together, these provide a comprehensive understanding of factors that affect the success of adaptive reuse as a strategy to regenerate heritage buildings. This insight facilitates adaptive reuse strategies for designers, architects and real estate developers.","container-title":"Habitat International","DOI":"10.1016/j.habitatint.2023.102926","ISSN":"0197-3975","journalAbbreviation":"Habitat International","page":"102926","source":"ScienceDirect","title":"Adaptive reuse of heritage buildings; a systematic literature review of success factors","volume":"142","author":[{"family":"Vafaie","given":"Fatemeh"},{"family":"Remøy","given":"Hilde"},{"family":"Gruis","given":"Vincent"}],"issued":{"date-parts":[["2023",12,1]]}}}],"schema":"https://github.com/citation-style-language/schema/raw/master/csl-citation.json"} </w:instrText>
      </w:r>
      <w:r w:rsidRPr="008C1797">
        <w:rPr>
          <w:rFonts w:asciiTheme="majorHAnsi" w:eastAsia="Times New Roman" w:hAnsiTheme="majorHAnsi" w:cstheme="majorHAnsi"/>
          <w:bCs/>
          <w:iCs/>
          <w:sz w:val="20"/>
          <w:szCs w:val="20"/>
          <w:lang w:val="en-US" w:eastAsia="ko-KR"/>
        </w:rPr>
        <w:fldChar w:fldCharType="separate"/>
      </w:r>
      <w:r w:rsidRPr="008C1797">
        <w:rPr>
          <w:rFonts w:asciiTheme="majorHAnsi" w:eastAsia="Times New Roman" w:hAnsiTheme="majorHAnsi" w:cstheme="majorHAnsi"/>
          <w:sz w:val="20"/>
          <w:szCs w:val="20"/>
          <w:lang w:val="en-US" w:eastAsia="ko-KR"/>
        </w:rPr>
        <w:t>[25]</w:t>
      </w:r>
      <w:r w:rsidRPr="008C1797">
        <w:rPr>
          <w:rFonts w:asciiTheme="majorHAnsi" w:eastAsia="Times New Roman" w:hAnsiTheme="majorHAnsi" w:cstheme="majorHAnsi"/>
          <w:sz w:val="20"/>
          <w:szCs w:val="20"/>
          <w:lang w:val="id-ID" w:eastAsia="ko-KR"/>
        </w:rPr>
        <w:fldChar w:fldCharType="end"/>
      </w:r>
      <w:r w:rsidRPr="008C1797">
        <w:rPr>
          <w:rFonts w:asciiTheme="majorHAnsi" w:eastAsia="Times New Roman" w:hAnsiTheme="majorHAnsi" w:cstheme="majorHAnsi"/>
          <w:bCs/>
          <w:iCs/>
          <w:sz w:val="20"/>
          <w:szCs w:val="20"/>
          <w:lang w:val="en-US" w:eastAsia="ko-KR"/>
        </w:rPr>
        <w:t xml:space="preserve">. When QRIS is placed in appropriate locations and thoughtfully aligned with the existing spatial layout, it does not merely serve as a </w:t>
      </w:r>
      <w:r w:rsidRPr="008C1797">
        <w:rPr>
          <w:rFonts w:asciiTheme="majorHAnsi" w:eastAsia="Times New Roman" w:hAnsiTheme="majorHAnsi" w:cstheme="majorHAnsi"/>
          <w:bCs/>
          <w:iCs/>
          <w:sz w:val="20"/>
          <w:szCs w:val="20"/>
          <w:lang w:val="en-US" w:eastAsia="ko-KR"/>
        </w:rPr>
        <w:lastRenderedPageBreak/>
        <w:t xml:space="preserve">digital payment tool; it becomes a functional element that enhances visitor comfort and supports the seamless operation of mosque activities without disrupting the visual harmony of the space </w:t>
      </w:r>
      <w:r w:rsidRPr="008C1797">
        <w:rPr>
          <w:rFonts w:asciiTheme="majorHAnsi" w:eastAsia="Times New Roman" w:hAnsiTheme="majorHAnsi" w:cstheme="majorHAnsi"/>
          <w:bCs/>
          <w:iCs/>
          <w:sz w:val="20"/>
          <w:szCs w:val="20"/>
          <w:lang w:val="en-US" w:eastAsia="ko-KR"/>
        </w:rPr>
        <w:fldChar w:fldCharType="begin"/>
      </w:r>
      <w:r w:rsidRPr="008C1797">
        <w:rPr>
          <w:rFonts w:asciiTheme="majorHAnsi" w:eastAsia="Times New Roman" w:hAnsiTheme="majorHAnsi" w:cstheme="majorHAnsi"/>
          <w:bCs/>
          <w:iCs/>
          <w:sz w:val="20"/>
          <w:szCs w:val="20"/>
          <w:lang w:val="en-US" w:eastAsia="ko-KR"/>
        </w:rPr>
        <w:instrText xml:space="preserve"> ADDIN ZOTERO_ITEM CSL_CITATION {"citationID":"BaWWiUye","properties":{"formattedCitation":"[26]","plainCitation":"[26]","noteIndex":0},"citationItems":[{"id":11372,"uris":["http://zotero.org/users/local/APPySEvW/items/SYNSWADB"],"itemData":{"id":11372,"type":"article-journal","abstract":"Türkiye has historically been a region prone to significant seismic activity, with over twenty major earthquakes occurring since 1900. Among these, the 1939 Erzincan earthquake was one of the most devastating, causing severe damage to historical masonry structures. This study investigates the failure mechanisms of two cultural heritage buildings affected by this earthquake: the Nafiz Pasha Bathhouse and the İzzet Pasha Mosque. These structures, previously unexplored in civil engineering studies, were modeled using advanced finite element techniques, employing the SOLID65 element and the Willam-Warnke material model to simulate nonlinear masonry behavior. Since no acceleration records from the 1939 Erzincan earthquake are available, nonlinear time history analyses were conducted using 11 ground motion records selected from real earthquakes recorded by AFAD, which were scaled in accordance with the Turkish Building Earthquake (TBEC-2018) considering the local soil class (ZD) and site-specific design spectrum. The results revealed significant differences in seismic performance: while the symmetrical geometry and box effect protected the bathhouse, the mosque suffered complete collapse due to weak column-arch connections and poor load transfer mechanisms. Damage patterns were further validated by comparisons with mosques affected during the 2023 Kahramanmaraş earthquakes, underscoring the broader applicability of the findings for seismic assessment and retrofitting of historical masonry mosques. This study highlights the critical role of advanced numerical methods and failure analysis in preserving cultural heritage structures in seismically active regions.","container-title":"Engineering Failure Analysis","DOI":"10.1016/j.engfailanal.2025.109811","ISSN":"1350-6307","journalAbbreviation":"Engineering Failure Analysis","page":"109811","source":"ScienceDirect","title":"Understanding roots of failure of historical Ottoman monumental buildings by means of advanced finite element modelling: The effect of the 1939 Erzincan earthquake on Nafiz Pasha Bath-house and Izzet Pasha Mosque","title-short":"Understanding roots of failure of historical Ottoman monumental buildings by means of advanced finite element modelling","volume":"179","author":[{"family":"Çelik","given":"Alper"},{"family":"Kocaman","given":"İrfan"},{"family":"Mercimek","given":"Ömer"},{"family":"Anıl","given":"Özgür"},{"family":"Fener","given":"Mustafa"},{"family":"Çelik","given":"Batuhan"},{"family":"Milani","given":"Gabriele"}],"issued":{"date-parts":[["2025",9,15]]}}}],"schema":"https://github.com/citation-style-language/schema/raw/master/csl-citation.json"} </w:instrText>
      </w:r>
      <w:r w:rsidRPr="008C1797">
        <w:rPr>
          <w:rFonts w:asciiTheme="majorHAnsi" w:eastAsia="Times New Roman" w:hAnsiTheme="majorHAnsi" w:cstheme="majorHAnsi"/>
          <w:bCs/>
          <w:iCs/>
          <w:sz w:val="20"/>
          <w:szCs w:val="20"/>
          <w:lang w:val="en-US" w:eastAsia="ko-KR"/>
        </w:rPr>
        <w:fldChar w:fldCharType="separate"/>
      </w:r>
      <w:r w:rsidRPr="008C1797">
        <w:rPr>
          <w:rFonts w:asciiTheme="majorHAnsi" w:eastAsia="Times New Roman" w:hAnsiTheme="majorHAnsi" w:cstheme="majorHAnsi"/>
          <w:sz w:val="20"/>
          <w:szCs w:val="20"/>
          <w:lang w:val="en-US" w:eastAsia="ko-KR"/>
        </w:rPr>
        <w:t>[26]</w:t>
      </w:r>
      <w:r w:rsidRPr="008C1797">
        <w:rPr>
          <w:rFonts w:asciiTheme="majorHAnsi" w:eastAsia="Times New Roman" w:hAnsiTheme="majorHAnsi" w:cstheme="majorHAnsi"/>
          <w:sz w:val="20"/>
          <w:szCs w:val="20"/>
          <w:lang w:val="id-ID" w:eastAsia="ko-KR"/>
        </w:rPr>
        <w:fldChar w:fldCharType="end"/>
      </w:r>
      <w:r w:rsidRPr="008C1797">
        <w:rPr>
          <w:rFonts w:asciiTheme="majorHAnsi" w:eastAsia="Times New Roman" w:hAnsiTheme="majorHAnsi" w:cstheme="majorHAnsi"/>
          <w:bCs/>
          <w:iCs/>
          <w:sz w:val="20"/>
          <w:szCs w:val="20"/>
          <w:lang w:val="en-US" w:eastAsia="ko-KR"/>
        </w:rPr>
        <w:t>.</w:t>
      </w:r>
    </w:p>
    <w:p w14:paraId="276EBCA5" w14:textId="77777777" w:rsidR="008C1797" w:rsidRPr="008C1797" w:rsidRDefault="008C1797" w:rsidP="008C1797">
      <w:pPr>
        <w:ind w:left="284" w:firstLine="284"/>
        <w:jc w:val="both"/>
        <w:rPr>
          <w:rFonts w:asciiTheme="majorHAnsi" w:eastAsia="Times New Roman" w:hAnsiTheme="majorHAnsi" w:cstheme="majorHAnsi"/>
          <w:bCs/>
          <w:iCs/>
          <w:sz w:val="20"/>
          <w:szCs w:val="20"/>
          <w:lang w:val="en-US" w:eastAsia="ko-KR"/>
        </w:rPr>
      </w:pPr>
      <w:r w:rsidRPr="008C1797">
        <w:rPr>
          <w:rFonts w:asciiTheme="majorHAnsi" w:eastAsia="Times New Roman" w:hAnsiTheme="majorHAnsi" w:cstheme="majorHAnsi"/>
          <w:bCs/>
          <w:iCs/>
          <w:sz w:val="20"/>
          <w:szCs w:val="20"/>
          <w:lang w:val="en-US" w:eastAsia="ko-KR"/>
        </w:rPr>
        <w:t xml:space="preserve">Beyond serving as a payment system, QRIS integration with digital content also holds significant potential to enhance religious tourism and Islamic architectural education on a broader scale </w:t>
      </w:r>
      <w:r w:rsidRPr="008C1797">
        <w:rPr>
          <w:rFonts w:asciiTheme="majorHAnsi" w:eastAsia="Times New Roman" w:hAnsiTheme="majorHAnsi" w:cstheme="majorHAnsi"/>
          <w:bCs/>
          <w:iCs/>
          <w:sz w:val="20"/>
          <w:szCs w:val="20"/>
          <w:lang w:val="en-US" w:eastAsia="ko-KR"/>
        </w:rPr>
        <w:fldChar w:fldCharType="begin"/>
      </w:r>
      <w:r w:rsidRPr="008C1797">
        <w:rPr>
          <w:rFonts w:asciiTheme="majorHAnsi" w:eastAsia="Times New Roman" w:hAnsiTheme="majorHAnsi" w:cstheme="majorHAnsi"/>
          <w:bCs/>
          <w:iCs/>
          <w:sz w:val="20"/>
          <w:szCs w:val="20"/>
          <w:lang w:val="en-US" w:eastAsia="ko-KR"/>
        </w:rPr>
        <w:instrText xml:space="preserve"> ADDIN ZOTERO_ITEM CSL_CITATION {"citationID":"H267EYuw","properties":{"formattedCitation":"[27]","plainCitation":"[27]","noteIndex":0},"citationItems":[{"id":11388,"uris":["http://zotero.org/users/local/APPySEvW/items/G8R6X79N"],"itemData":{"id":11388,"type":"article-journal","abstract":"Destination aesthetics are crucial in attracting and retaining tourists and have received considerable scholarly attention. Previous studies have overlooked the nature of the measurement of destination aesthetics by indiscriminately treating it as a unidimensional or reflective construct per conventional practice. To address this gap, this study develops a multidimensional measurement of Perceived Destination Aesthetic Quality (PDAQ), conceptualizing it as a formative construct. Through rigorous inquiry, a reflective-formative measurement consisting of 18 items and five dimensions—multi-sensory beauty, sublime, harmony, diversity, and cleanliness—is identified. The study tests this measurement within the underexplored rural tourism context and confirms its nomological validity through place attachment theory. The results reveal that perceived destination aesthetic quality significantly enhances place attachment, which mediates its effect on tourists’ post-visit behavioral intentions. These findings contribute to the theoretical understanding of tourism aesthetics by reconceptualizing its measurement as a formative construct and advancing knowledge of the destination aesthetic qualities, particularly in rural tourism contexts. Additionally, the study provides new insights into the broader effects of destination aesthetics on individual emotional and behavioral outcomes in rural tourism. The practical implications include actionable strategies for stakeholders to design and manage rural tourism destinations with enhanced aesthetic appeal.","container-title":"Journal of Destination Marketing &amp; Management","DOI":"10.1016/j.jdmm.2025.101035","ISSN":"2212-571X","journalAbbreviation":"Journal of Destination Marketing &amp; Management","page":"101035","source":"ScienceDirect","title":"Rethinking perceived destination aesthetic quality: Formative measurement development and validation in the rural tourism context","title-short":"Rethinking perceived destination aesthetic quality","volume":"38","author":[{"family":"Liu","given":"Chao"},{"family":"Li","given":"Jing"},{"family":"Mi","given":"Shankai"},{"family":"Zhang","given":"Ziang"}],"issued":{"date-parts":[["2025",12,1]]}}}],"schema":"https://github.com/citation-style-language/schema/raw/master/csl-citation.json"} </w:instrText>
      </w:r>
      <w:r w:rsidRPr="008C1797">
        <w:rPr>
          <w:rFonts w:asciiTheme="majorHAnsi" w:eastAsia="Times New Roman" w:hAnsiTheme="majorHAnsi" w:cstheme="majorHAnsi"/>
          <w:bCs/>
          <w:iCs/>
          <w:sz w:val="20"/>
          <w:szCs w:val="20"/>
          <w:lang w:val="en-US" w:eastAsia="ko-KR"/>
        </w:rPr>
        <w:fldChar w:fldCharType="separate"/>
      </w:r>
      <w:r w:rsidRPr="008C1797">
        <w:rPr>
          <w:rFonts w:asciiTheme="majorHAnsi" w:eastAsia="Times New Roman" w:hAnsiTheme="majorHAnsi" w:cstheme="majorHAnsi"/>
          <w:sz w:val="20"/>
          <w:szCs w:val="20"/>
          <w:lang w:val="en-US" w:eastAsia="ko-KR"/>
        </w:rPr>
        <w:t>[27]</w:t>
      </w:r>
      <w:r w:rsidRPr="008C1797">
        <w:rPr>
          <w:rFonts w:asciiTheme="majorHAnsi" w:eastAsia="Times New Roman" w:hAnsiTheme="majorHAnsi" w:cstheme="majorHAnsi"/>
          <w:sz w:val="20"/>
          <w:szCs w:val="20"/>
          <w:lang w:val="id-ID" w:eastAsia="ko-KR"/>
        </w:rPr>
        <w:fldChar w:fldCharType="end"/>
      </w:r>
      <w:r w:rsidRPr="008C1797">
        <w:rPr>
          <w:rFonts w:asciiTheme="majorHAnsi" w:eastAsia="Times New Roman" w:hAnsiTheme="majorHAnsi" w:cstheme="majorHAnsi"/>
          <w:bCs/>
          <w:iCs/>
          <w:sz w:val="20"/>
          <w:szCs w:val="20"/>
          <w:lang w:val="en-US" w:eastAsia="ko-KR"/>
        </w:rPr>
        <w:t xml:space="preserve">. By scanning QRIS codes, visitors and tourists can gain deeper insights into the history of a mosque, the symbolic meanings behind its architectural elements, such as domes, mihrabs, calligraphy, and the local cultural narratives embedded within it. This facilitates a richer and more interactive experience, all without compromising the spiritual sanctity of the prayer space. This approach aligns with the theory of </w:t>
      </w:r>
      <w:r w:rsidRPr="008C1797">
        <w:rPr>
          <w:rFonts w:asciiTheme="majorHAnsi" w:eastAsia="Times New Roman" w:hAnsiTheme="majorHAnsi" w:cstheme="majorHAnsi"/>
          <w:bCs/>
          <w:i/>
          <w:iCs/>
          <w:sz w:val="20"/>
          <w:szCs w:val="20"/>
          <w:lang w:val="en-US" w:eastAsia="ko-KR"/>
        </w:rPr>
        <w:t>interpretive heritage tourism</w:t>
      </w:r>
      <w:r w:rsidRPr="008C1797">
        <w:rPr>
          <w:rFonts w:asciiTheme="majorHAnsi" w:eastAsia="Times New Roman" w:hAnsiTheme="majorHAnsi" w:cstheme="majorHAnsi"/>
          <w:bCs/>
          <w:iCs/>
          <w:sz w:val="20"/>
          <w:szCs w:val="20"/>
          <w:lang w:val="en-US" w:eastAsia="ko-KR"/>
        </w:rPr>
        <w:t xml:space="preserve"> </w:t>
      </w:r>
      <w:r w:rsidRPr="008C1797">
        <w:rPr>
          <w:rFonts w:asciiTheme="majorHAnsi" w:eastAsia="Times New Roman" w:hAnsiTheme="majorHAnsi" w:cstheme="majorHAnsi"/>
          <w:bCs/>
          <w:iCs/>
          <w:sz w:val="20"/>
          <w:szCs w:val="20"/>
          <w:lang w:val="en-US" w:eastAsia="ko-KR"/>
        </w:rPr>
        <w:fldChar w:fldCharType="begin"/>
      </w:r>
      <w:r w:rsidRPr="008C1797">
        <w:rPr>
          <w:rFonts w:asciiTheme="majorHAnsi" w:eastAsia="Times New Roman" w:hAnsiTheme="majorHAnsi" w:cstheme="majorHAnsi"/>
          <w:bCs/>
          <w:iCs/>
          <w:sz w:val="20"/>
          <w:szCs w:val="20"/>
          <w:lang w:val="en-US" w:eastAsia="ko-KR"/>
        </w:rPr>
        <w:instrText xml:space="preserve"> ADDIN ZOTERO_ITEM CSL_CITATION {"citationID":"mXemcAWA","properties":{"formattedCitation":"[28]","plainCitation":"[28]","noteIndex":0},"citationItems":[{"id":11374,"uris":["http://zotero.org/users/local/APPySEvW/items/QUVWIQCP"],"itemData":{"id":11374,"type":"article-journal","abstract":"The current research has paid limited attention to the significant interplay among the concepts of perceived authenticity, the experience economy, and tourism satisfaction. This study aims to establish a comprehensive theoretical framework to examine the mechanism relationships among them. Perceived authenticity was expected to have positive direct and indirect effects on tourists' entertainment, esthetics, education, and escapism experience (i.e., the experience economy) and satisfaction, and heritage tourists' experience economy was hypothesized to influence their satisfaction. Moreover, this study explores the mediating effect of the experience economy on perceived authenticity and satisfaction. This study used structural equation modeling to evaluate questionnaire survey data from 360 Chinese heritage tourists. The results show that tourists' perceived authenticity of heritage sites is an important antecedent that significantly enhances heritage tourism entertainment (R2 = 0.141), esthetics (R2 = 0.349), education (R2 = 0.283), and escapism (R2 = 0.230) experience and promotes satisfaction (R2 = 0.650). Authenticity reflects culture, history or environment, thereby enhancing participants' emotional resonance, identification and satisfaction. In the experience economy framework, authenticity is not only sensory stimulation but also creates an immersive experience with “reality” through dimensions such as entertainment, esthetics, education and escapism. Therefore, this study clarifies the functional relationship between the research concepts and provides theoretical and practical significance for the development of heritage tourism and its competitive management strategies.","container-title":"Acta Psychologica","DOI":"10.1016/j.actpsy.2025.105118","ISSN":"0001-6918","journalAbbreviation":"Acta Psychologica","page":"105118","source":"ScienceDirect","title":"Experience economy and authenticity in the heritage tourism sector: A multiple-dimensional approach","title-short":"Experience economy and authenticity in the heritage tourism sector","volume":"257","author":[{"family":"Zhu","given":"Peng"},{"family":"Chi","given":"Xiaoting"},{"family":"Ryu","given":"Hyungseo Bobby"},{"family":"Han","given":"Heesup"}],"issued":{"date-parts":[["2025",7,1]]}}}],"schema":"https://github.com/citation-style-language/schema/raw/master/csl-citation.json"} </w:instrText>
      </w:r>
      <w:r w:rsidRPr="008C1797">
        <w:rPr>
          <w:rFonts w:asciiTheme="majorHAnsi" w:eastAsia="Times New Roman" w:hAnsiTheme="majorHAnsi" w:cstheme="majorHAnsi"/>
          <w:bCs/>
          <w:iCs/>
          <w:sz w:val="20"/>
          <w:szCs w:val="20"/>
          <w:lang w:val="en-US" w:eastAsia="ko-KR"/>
        </w:rPr>
        <w:fldChar w:fldCharType="separate"/>
      </w:r>
      <w:r w:rsidRPr="008C1797">
        <w:rPr>
          <w:rFonts w:asciiTheme="majorHAnsi" w:eastAsia="Times New Roman" w:hAnsiTheme="majorHAnsi" w:cstheme="majorHAnsi"/>
          <w:sz w:val="20"/>
          <w:szCs w:val="20"/>
          <w:lang w:val="en-US" w:eastAsia="ko-KR"/>
        </w:rPr>
        <w:t>[28]</w:t>
      </w:r>
      <w:r w:rsidRPr="008C1797">
        <w:rPr>
          <w:rFonts w:asciiTheme="majorHAnsi" w:eastAsia="Times New Roman" w:hAnsiTheme="majorHAnsi" w:cstheme="majorHAnsi"/>
          <w:sz w:val="20"/>
          <w:szCs w:val="20"/>
          <w:lang w:val="id-ID" w:eastAsia="ko-KR"/>
        </w:rPr>
        <w:fldChar w:fldCharType="end"/>
      </w:r>
      <w:r w:rsidRPr="008C1797">
        <w:rPr>
          <w:rFonts w:asciiTheme="majorHAnsi" w:eastAsia="Times New Roman" w:hAnsiTheme="majorHAnsi" w:cstheme="majorHAnsi"/>
          <w:bCs/>
          <w:iCs/>
          <w:sz w:val="20"/>
          <w:szCs w:val="20"/>
          <w:lang w:val="en-US" w:eastAsia="ko-KR"/>
        </w:rPr>
        <w:t xml:space="preserve"> in which technology serves as a medium of interpretation that enhances visitors’ understanding of cultural heritage while preserving its original spiritual and aesthetic values [23].</w:t>
      </w:r>
    </w:p>
    <w:p w14:paraId="5E47DA16" w14:textId="77777777" w:rsidR="008C1797" w:rsidRPr="008C1797" w:rsidRDefault="008C1797" w:rsidP="008C1797">
      <w:pPr>
        <w:ind w:left="284" w:firstLine="284"/>
        <w:jc w:val="both"/>
        <w:rPr>
          <w:rFonts w:asciiTheme="majorHAnsi" w:eastAsia="Times New Roman" w:hAnsiTheme="majorHAnsi" w:cstheme="majorHAnsi"/>
          <w:bCs/>
          <w:iCs/>
          <w:sz w:val="20"/>
          <w:szCs w:val="20"/>
          <w:lang w:val="en-US" w:eastAsia="ko-KR"/>
        </w:rPr>
      </w:pPr>
      <w:r w:rsidRPr="008C1797">
        <w:rPr>
          <w:rFonts w:asciiTheme="majorHAnsi" w:eastAsia="Times New Roman" w:hAnsiTheme="majorHAnsi" w:cstheme="majorHAnsi"/>
          <w:bCs/>
          <w:iCs/>
          <w:sz w:val="20"/>
          <w:szCs w:val="20"/>
          <w:lang w:val="en-US" w:eastAsia="ko-KR"/>
        </w:rPr>
        <w:t xml:space="preserve">From a management perspective, implementing QRIS increases the efficiency of donation and administrative processes within mosques while also serving as a medium for preserving Islamic architecture and cultural values through digital platforms </w:t>
      </w:r>
      <w:r w:rsidRPr="008C1797">
        <w:rPr>
          <w:rFonts w:asciiTheme="majorHAnsi" w:eastAsia="Times New Roman" w:hAnsiTheme="majorHAnsi" w:cstheme="majorHAnsi"/>
          <w:bCs/>
          <w:iCs/>
          <w:sz w:val="20"/>
          <w:szCs w:val="20"/>
          <w:lang w:val="en-US" w:eastAsia="ko-KR"/>
        </w:rPr>
        <w:fldChar w:fldCharType="begin"/>
      </w:r>
      <w:r w:rsidRPr="008C1797">
        <w:rPr>
          <w:rFonts w:asciiTheme="majorHAnsi" w:eastAsia="Times New Roman" w:hAnsiTheme="majorHAnsi" w:cstheme="majorHAnsi"/>
          <w:bCs/>
          <w:iCs/>
          <w:sz w:val="20"/>
          <w:szCs w:val="20"/>
          <w:lang w:val="en-US" w:eastAsia="ko-KR"/>
        </w:rPr>
        <w:instrText xml:space="preserve"> ADDIN ZOTERO_ITEM CSL_CITATION {"citationID":"SCklrMGx","properties":{"formattedCitation":"[29]","plainCitation":"[29]","noteIndex":0},"citationItems":[{"id":11376,"uris":["http://zotero.org/users/local/APPySEvW/items/EL45RCDQ"],"itemData":{"id":11376,"type":"article-journal","abstract":"Muslims congregate for prayers in mosques five times daily: at dawn, noon, afternoon, sunset, and evening. Because these times are governed by the sun, they change within the year but are perpetual. As such, mosque load profiles are highly predictable and witness little variation year over year. The relatively large size of mosque rooftops and their ubiquity in the Muslim world make them ideal candidates for solar photovoltaic (PV) installations. We perform a technoeconomic analysis on a 124 kW PV system commissioned in 2017 on a mosque rooftop in Riyadh, Saudi Arabia, under a net metering mechanism. At a capital cost of 1.18 US$/watt, it was found that net metering reduces the annual energy bill by more than 50%. If some prior planning were incorporated in the early stages of the mosque’s construction, PV can bring down the electricity bill to zero. We compare our theoretical modeling results with an actual commissioned system, serving as a pilot-project, and the field results confirm our a priori theoretical expectations. The capacity factor obtained from the physical system was 18.2%. The results of this study can be extended to other houses of worship and community halls with appropriate modifications.","container-title":"Journal of Building Engineering","DOI":"10.1016/j.jobe.2019.100809","ISSN":"2352-7102","journalAbbreviation":"Journal of Building Engineering","page":"100809","source":"ScienceDirect","title":"Solar PV on mosque rooftops: Results from a pilot study in Saudi Arabia","title-short":"Solar PV on mosque rooftops","volume":"25","author":[{"family":"Elshurafa","given":"Amro M."},{"family":"Alsubaie","given":"Abdullah M."},{"family":"Alabduljabbar","given":"Ayman A."},{"family":"Al-Hsaien","given":"Shafi A."}],"issued":{"date-parts":[["2019",9,1]]}}}],"schema":"https://github.com/citation-style-language/schema/raw/master/csl-citation.json"} </w:instrText>
      </w:r>
      <w:r w:rsidRPr="008C1797">
        <w:rPr>
          <w:rFonts w:asciiTheme="majorHAnsi" w:eastAsia="Times New Roman" w:hAnsiTheme="majorHAnsi" w:cstheme="majorHAnsi"/>
          <w:bCs/>
          <w:iCs/>
          <w:sz w:val="20"/>
          <w:szCs w:val="20"/>
          <w:lang w:val="en-US" w:eastAsia="ko-KR"/>
        </w:rPr>
        <w:fldChar w:fldCharType="separate"/>
      </w:r>
      <w:r w:rsidRPr="008C1797">
        <w:rPr>
          <w:rFonts w:asciiTheme="majorHAnsi" w:eastAsia="Times New Roman" w:hAnsiTheme="majorHAnsi" w:cstheme="majorHAnsi"/>
          <w:sz w:val="20"/>
          <w:szCs w:val="20"/>
          <w:lang w:val="en-US" w:eastAsia="ko-KR"/>
        </w:rPr>
        <w:t>[29]</w:t>
      </w:r>
      <w:r w:rsidRPr="008C1797">
        <w:rPr>
          <w:rFonts w:asciiTheme="majorHAnsi" w:eastAsia="Times New Roman" w:hAnsiTheme="majorHAnsi" w:cstheme="majorHAnsi"/>
          <w:sz w:val="20"/>
          <w:szCs w:val="20"/>
          <w:lang w:val="id-ID" w:eastAsia="ko-KR"/>
        </w:rPr>
        <w:fldChar w:fldCharType="end"/>
      </w:r>
      <w:r w:rsidRPr="008C1797">
        <w:rPr>
          <w:rFonts w:asciiTheme="majorHAnsi" w:eastAsia="Times New Roman" w:hAnsiTheme="majorHAnsi" w:cstheme="majorHAnsi"/>
          <w:bCs/>
          <w:iCs/>
          <w:sz w:val="20"/>
          <w:szCs w:val="20"/>
          <w:lang w:val="en-US" w:eastAsia="ko-KR"/>
        </w:rPr>
        <w:t xml:space="preserve">. By integrating features such as 360-degree virtual tours, voice narrations, videos, and interactive infographics, mosques can maintain their relevance and competitiveness in the modern era without losing their architectural and spiritual identity </w:t>
      </w:r>
      <w:r w:rsidRPr="008C1797">
        <w:rPr>
          <w:rFonts w:asciiTheme="majorHAnsi" w:eastAsia="Times New Roman" w:hAnsiTheme="majorHAnsi" w:cstheme="majorHAnsi"/>
          <w:bCs/>
          <w:iCs/>
          <w:sz w:val="20"/>
          <w:szCs w:val="20"/>
          <w:lang w:val="en-US" w:eastAsia="ko-KR"/>
        </w:rPr>
        <w:fldChar w:fldCharType="begin"/>
      </w:r>
      <w:r w:rsidRPr="008C1797">
        <w:rPr>
          <w:rFonts w:asciiTheme="majorHAnsi" w:eastAsia="Times New Roman" w:hAnsiTheme="majorHAnsi" w:cstheme="majorHAnsi"/>
          <w:bCs/>
          <w:iCs/>
          <w:sz w:val="20"/>
          <w:szCs w:val="20"/>
          <w:lang w:val="en-US" w:eastAsia="ko-KR"/>
        </w:rPr>
        <w:instrText xml:space="preserve"> ADDIN ZOTERO_ITEM CSL_CITATION {"citationID":"82SVFDUh","properties":{"formattedCitation":"[30]","plainCitation":"[30]","noteIndex":0},"citationItems":[{"id":11378,"uris":["http://zotero.org/users/local/APPySEvW/items/REDPEY4S"],"itemData":{"id":11378,"type":"article-journal","abstract":"A growing body of research has shown that tourists can have spiritual experiences through travel, but at present, no valid and reliable instrument is available for assessing this phenomenon. To address this gap, this research was conducted and comprised two studies. In Study 1, an instrument was developed for measuring the concept of tourist spiritual experience. A scale with 25 items measuring six factors was established. The six factors were inner peace, sense of social connection, self-awareness, self-transcendence, awareness of the environment, and meaningful travel. In Study 2, researchers utilized the scale to investigate the relationship between the sources of tourist spiritual experience (tourism authenticity, interpersonal interaction, transcendental connection, and activity immersion) and the consequences (memorable experience and well-being). This study expands the theoretical knowledge on spirituality in tourism. The findings of this study serve as a reference for activity planning and itinerary design by tourism operators.","container-title":"Tourism Management Perspectives","DOI":"10.1016/j.tmp.2025.101394","ISSN":"2211-9736","journalAbbreviation":"Tourism Management Perspectives","page":"101394","source":"ScienceDirect","title":"Tourist spiritual experience: A scale development and empirical study","title-short":"Tourist spiritual experience","volume":"58","author":[{"family":"Tsaur","given":"Sheng-Hshiung"},{"family":"Lin","given":"Ying-Syuan"}],"issued":{"date-parts":[["2025",9,1]]}}}],"schema":"https://github.com/citation-style-language/schema/raw/master/csl-citation.json"} </w:instrText>
      </w:r>
      <w:r w:rsidRPr="008C1797">
        <w:rPr>
          <w:rFonts w:asciiTheme="majorHAnsi" w:eastAsia="Times New Roman" w:hAnsiTheme="majorHAnsi" w:cstheme="majorHAnsi"/>
          <w:bCs/>
          <w:iCs/>
          <w:sz w:val="20"/>
          <w:szCs w:val="20"/>
          <w:lang w:val="en-US" w:eastAsia="ko-KR"/>
        </w:rPr>
        <w:fldChar w:fldCharType="separate"/>
      </w:r>
      <w:r w:rsidRPr="008C1797">
        <w:rPr>
          <w:rFonts w:asciiTheme="majorHAnsi" w:eastAsia="Times New Roman" w:hAnsiTheme="majorHAnsi" w:cstheme="majorHAnsi"/>
          <w:sz w:val="20"/>
          <w:szCs w:val="20"/>
          <w:lang w:val="en-US" w:eastAsia="ko-KR"/>
        </w:rPr>
        <w:t>[30]</w:t>
      </w:r>
      <w:r w:rsidRPr="008C1797">
        <w:rPr>
          <w:rFonts w:asciiTheme="majorHAnsi" w:eastAsia="Times New Roman" w:hAnsiTheme="majorHAnsi" w:cstheme="majorHAnsi"/>
          <w:sz w:val="20"/>
          <w:szCs w:val="20"/>
          <w:lang w:val="id-ID" w:eastAsia="ko-KR"/>
        </w:rPr>
        <w:fldChar w:fldCharType="end"/>
      </w:r>
      <w:r w:rsidRPr="008C1797">
        <w:rPr>
          <w:rFonts w:asciiTheme="majorHAnsi" w:eastAsia="Times New Roman" w:hAnsiTheme="majorHAnsi" w:cstheme="majorHAnsi"/>
          <w:bCs/>
          <w:iCs/>
          <w:sz w:val="20"/>
          <w:szCs w:val="20"/>
          <w:lang w:val="en-US" w:eastAsia="ko-KR"/>
        </w:rPr>
        <w:t xml:space="preserve">. This approach reflects the principle of </w:t>
      </w:r>
      <w:r w:rsidRPr="008C1797">
        <w:rPr>
          <w:rFonts w:asciiTheme="majorHAnsi" w:eastAsia="Times New Roman" w:hAnsiTheme="majorHAnsi" w:cstheme="majorHAnsi"/>
          <w:bCs/>
          <w:i/>
          <w:iCs/>
          <w:sz w:val="20"/>
          <w:szCs w:val="20"/>
          <w:lang w:val="en-US" w:eastAsia="ko-KR"/>
        </w:rPr>
        <w:t>cultural sustainability</w:t>
      </w:r>
      <w:r w:rsidRPr="008C1797">
        <w:rPr>
          <w:rFonts w:asciiTheme="majorHAnsi" w:eastAsia="Times New Roman" w:hAnsiTheme="majorHAnsi" w:cstheme="majorHAnsi"/>
          <w:bCs/>
          <w:iCs/>
          <w:sz w:val="20"/>
          <w:szCs w:val="20"/>
          <w:lang w:val="en-US" w:eastAsia="ko-KR"/>
        </w:rPr>
        <w:t xml:space="preserve">, which emphasizes maintaining the continuity of cultural values through adaptive innovation that respects and preserves original heritage </w:t>
      </w:r>
      <w:r w:rsidRPr="008C1797">
        <w:rPr>
          <w:rFonts w:asciiTheme="majorHAnsi" w:eastAsia="Times New Roman" w:hAnsiTheme="majorHAnsi" w:cstheme="majorHAnsi"/>
          <w:bCs/>
          <w:iCs/>
          <w:sz w:val="20"/>
          <w:szCs w:val="20"/>
          <w:lang w:val="en-US" w:eastAsia="ko-KR"/>
        </w:rPr>
        <w:fldChar w:fldCharType="begin"/>
      </w:r>
      <w:r w:rsidRPr="008C1797">
        <w:rPr>
          <w:rFonts w:asciiTheme="majorHAnsi" w:eastAsia="Times New Roman" w:hAnsiTheme="majorHAnsi" w:cstheme="majorHAnsi"/>
          <w:bCs/>
          <w:iCs/>
          <w:sz w:val="20"/>
          <w:szCs w:val="20"/>
          <w:lang w:val="en-US" w:eastAsia="ko-KR"/>
        </w:rPr>
        <w:instrText xml:space="preserve"> ADDIN ZOTERO_ITEM CSL_CITATION {"citationID":"nOtvxZyZ","properties":{"formattedCitation":"[31]","plainCitation":"[31]","noteIndex":0},"citationItems":[{"id":11380,"uris":["http://zotero.org/users/local/APPySEvW/items/PYF85RXR"],"itemData":{"id":11380,"type":"article-journal","abstract":"Spirituality focuses on understanding the purpose of human creation and the ways to make life meaningful. The inner quest combined with travels and experiences motivated by both internal and external factors forms the core of spiritual tourism, setting it apart from religious tourism. The research primarily aims to develop, test, and validate a scale for measuring the spiritual tourism experience. The study utilizes a hypercritical scale development procedure based on the mixed research method. The data collection and processing procedure included 11 face-to-face and 42 asynchronous online interviews, 30 participant observations, a thematic analysis of 2683 tourist statements from 818 reviews, 950 questionnaires conducted on spiritual tourists, and further confirmatory factor analysis performed on PLS. The spiritual tourism experience is ultimately structured into six dimensions: \"Transformation, Healing, Atmosphere, Transcendence, Escape, Divine Connectedness.\" The findings confirm that the 31-item \"Spiritual Tourism Experience Scale (STES)\" is both statistically valid and reliable. Based on the research findings, the paper presents the most comprehensive definition of spiritual tourism. The findings contradict the view that spiritual tourism is merely a subset of religious tourism. The psychometric properties of STES along with its practical and theoretical implications are discussed within the tourism industry and destination marketing framework.","container-title":"Journal of Destination Marketing &amp; Management","DOI":"10.1016/j.jdmm.2024.100955","ISSN":"2212-571X","journalAbbreviation":"Journal of Destination Marketing &amp; Management","page":"100955","source":"ScienceDirect","title":"Dimensions of spirituality in tourism: Developing the spiritual tourism experience scale (STES)","title-short":"Dimensions of spirituality in tourism","volume":"34","author":[{"family":"Şahin","given":"İlker"},{"family":"Güzel","given":"F. Özlem"}],"issued":{"date-parts":[["2024",12,1]]}}}],"schema":"https://github.com/citation-style-language/schema/raw/master/csl-citation.json"} </w:instrText>
      </w:r>
      <w:r w:rsidRPr="008C1797">
        <w:rPr>
          <w:rFonts w:asciiTheme="majorHAnsi" w:eastAsia="Times New Roman" w:hAnsiTheme="majorHAnsi" w:cstheme="majorHAnsi"/>
          <w:bCs/>
          <w:iCs/>
          <w:sz w:val="20"/>
          <w:szCs w:val="20"/>
          <w:lang w:val="en-US" w:eastAsia="ko-KR"/>
        </w:rPr>
        <w:fldChar w:fldCharType="separate"/>
      </w:r>
      <w:r w:rsidRPr="008C1797">
        <w:rPr>
          <w:rFonts w:asciiTheme="majorHAnsi" w:eastAsia="Times New Roman" w:hAnsiTheme="majorHAnsi" w:cstheme="majorHAnsi"/>
          <w:sz w:val="20"/>
          <w:szCs w:val="20"/>
          <w:lang w:val="en-US" w:eastAsia="ko-KR"/>
        </w:rPr>
        <w:t>[31]</w:t>
      </w:r>
      <w:r w:rsidRPr="008C1797">
        <w:rPr>
          <w:rFonts w:asciiTheme="majorHAnsi" w:eastAsia="Times New Roman" w:hAnsiTheme="majorHAnsi" w:cstheme="majorHAnsi"/>
          <w:sz w:val="20"/>
          <w:szCs w:val="20"/>
          <w:lang w:val="id-ID" w:eastAsia="ko-KR"/>
        </w:rPr>
        <w:fldChar w:fldCharType="end"/>
      </w:r>
      <w:r w:rsidRPr="008C1797">
        <w:rPr>
          <w:rFonts w:asciiTheme="majorHAnsi" w:eastAsia="Times New Roman" w:hAnsiTheme="majorHAnsi" w:cstheme="majorHAnsi"/>
          <w:bCs/>
          <w:iCs/>
          <w:sz w:val="20"/>
          <w:szCs w:val="20"/>
          <w:lang w:val="en-US" w:eastAsia="ko-KR"/>
        </w:rPr>
        <w:t>.</w:t>
      </w:r>
    </w:p>
    <w:p w14:paraId="0325FDEA" w14:textId="77777777" w:rsidR="008C1797" w:rsidRDefault="008C1797" w:rsidP="008C1797">
      <w:pPr>
        <w:ind w:left="284" w:firstLine="284"/>
        <w:jc w:val="both"/>
        <w:rPr>
          <w:rFonts w:asciiTheme="majorHAnsi" w:eastAsia="Times New Roman" w:hAnsiTheme="majorHAnsi" w:cstheme="majorHAnsi"/>
          <w:bCs/>
          <w:iCs/>
          <w:sz w:val="20"/>
          <w:szCs w:val="20"/>
          <w:lang w:val="en-US" w:eastAsia="ko-KR"/>
        </w:rPr>
      </w:pPr>
      <w:r w:rsidRPr="008C1797">
        <w:rPr>
          <w:rFonts w:asciiTheme="majorHAnsi" w:eastAsia="Times New Roman" w:hAnsiTheme="majorHAnsi" w:cstheme="majorHAnsi"/>
          <w:bCs/>
          <w:iCs/>
          <w:sz w:val="20"/>
          <w:szCs w:val="20"/>
          <w:lang w:val="en-US" w:eastAsia="ko-KR"/>
        </w:rPr>
        <w:t xml:space="preserve">A compelling example of this integration can be found at the Al-Jabbar Grand Mosque in Bandung, where QRIS has been combined with virtual tours and digital narration to create a balanced blend of technology and cultural heritage </w:t>
      </w:r>
      <w:r w:rsidRPr="008C1797">
        <w:rPr>
          <w:rFonts w:asciiTheme="majorHAnsi" w:eastAsia="Times New Roman" w:hAnsiTheme="majorHAnsi" w:cstheme="majorHAnsi"/>
          <w:bCs/>
          <w:iCs/>
          <w:sz w:val="20"/>
          <w:szCs w:val="20"/>
          <w:lang w:val="en-US" w:eastAsia="ko-KR"/>
        </w:rPr>
        <w:fldChar w:fldCharType="begin"/>
      </w:r>
      <w:r w:rsidRPr="008C1797">
        <w:rPr>
          <w:rFonts w:asciiTheme="majorHAnsi" w:eastAsia="Times New Roman" w:hAnsiTheme="majorHAnsi" w:cstheme="majorHAnsi"/>
          <w:bCs/>
          <w:iCs/>
          <w:sz w:val="20"/>
          <w:szCs w:val="20"/>
          <w:lang w:val="en-US" w:eastAsia="ko-KR"/>
        </w:rPr>
        <w:instrText xml:space="preserve"> ADDIN ZOTERO_ITEM CSL_CITATION {"citationID":"vLnsmkzn","properties":{"formattedCitation":"[32]","plainCitation":"[32]","noteIndex":0},"citationItems":[{"id":11382,"uris":["http://zotero.org/users/local/APPySEvW/items/N2N6ZI9I"],"itemData":{"id":11382,"type":"article-journal","abstract":"Cultural heritage plays an important social role in preserving collective identity and history, acting as a link between past, present and future. In this same context, the contribution of technological innovations plays a fundamental role as it provides the tools and solutions needed to address the issues of cultural heritage preservation and enhancement. This study presents a comprehensive review of the application of machine learning (ML) techniques in the field of cultural heritage (CH) protection, highlighting important developments and innovations in recent years. The main applications of ML and AI methodologies are analyzed, including artefact analysis, restoration, conservation strategies, and enhancing the visitor experience. The available studies are classified according to the areas of application, the types of data and technologies employed and the types of cultural heritage assets they focus on. The classification also highlights potential research challenges and provides indications for future directions. The study shows the increasing adoption of the multidisciplinary approach combining ML and AI with traditional tools of protection and conservation. The discussion is articulated through the reinterpretation of several case studies that demonstrate the real implications of such technologies, including the preventive maintenance of buildings, as well as the digitalization and three-dimensional recreation of artefacts and visitor experiences through virtual and augmented reality. This highlights the need for closer collaboration between technicians, conservators, and cultural workers to ensure thoughtful, ethical, and effective integration of these technologies into cultural heritage conservation.","container-title":"Journal of Cultural Heritage","DOI":"10.1016/j.culher.2025.07.019","ISSN":"1296-2074","journalAbbreviation":"Journal of Cultural Heritage","page":"168-193","source":"ScienceDirect","title":"New AI challenges for cultural heritage protection: A general overview","title-short":"New AI challenges for cultural heritage protection","volume":"75","author":[{"family":"Colace","given":"Francesco"},{"family":"Gaeta","given":"Rosario"},{"family":"Lorusso","given":"Angelo"},{"family":"Pellegrino","given":"Michele"},{"family":"Santaniello","given":"Domenico"}],"issued":{"date-parts":[["2025",9,1]]}}}],"schema":"https://github.com/citation-style-language/schema/raw/master/csl-citation.json"} </w:instrText>
      </w:r>
      <w:r w:rsidRPr="008C1797">
        <w:rPr>
          <w:rFonts w:asciiTheme="majorHAnsi" w:eastAsia="Times New Roman" w:hAnsiTheme="majorHAnsi" w:cstheme="majorHAnsi"/>
          <w:bCs/>
          <w:iCs/>
          <w:sz w:val="20"/>
          <w:szCs w:val="20"/>
          <w:lang w:val="en-US" w:eastAsia="ko-KR"/>
        </w:rPr>
        <w:fldChar w:fldCharType="separate"/>
      </w:r>
      <w:r w:rsidRPr="008C1797">
        <w:rPr>
          <w:rFonts w:asciiTheme="majorHAnsi" w:eastAsia="Times New Roman" w:hAnsiTheme="majorHAnsi" w:cstheme="majorHAnsi"/>
          <w:sz w:val="20"/>
          <w:szCs w:val="20"/>
          <w:lang w:val="en-US" w:eastAsia="ko-KR"/>
        </w:rPr>
        <w:t>[32]</w:t>
      </w:r>
      <w:r w:rsidRPr="008C1797">
        <w:rPr>
          <w:rFonts w:asciiTheme="majorHAnsi" w:eastAsia="Times New Roman" w:hAnsiTheme="majorHAnsi" w:cstheme="majorHAnsi"/>
          <w:sz w:val="20"/>
          <w:szCs w:val="20"/>
          <w:lang w:val="id-ID" w:eastAsia="ko-KR"/>
        </w:rPr>
        <w:fldChar w:fldCharType="end"/>
      </w:r>
      <w:r w:rsidRPr="008C1797">
        <w:rPr>
          <w:rFonts w:asciiTheme="majorHAnsi" w:eastAsia="Times New Roman" w:hAnsiTheme="majorHAnsi" w:cstheme="majorHAnsi"/>
          <w:bCs/>
          <w:iCs/>
          <w:sz w:val="20"/>
          <w:szCs w:val="20"/>
          <w:lang w:val="en-US" w:eastAsia="ko-KR"/>
        </w:rPr>
        <w:t xml:space="preserve">. QRIS is placed at strategic points near decorative elements such as mosaics and stained glass, and when scanned, these codes lead to digital content that explains the history and symbolic meaning of each element, offering a deeper level of understanding without compromising aesthetic integrity </w:t>
      </w:r>
      <w:r w:rsidRPr="008C1797">
        <w:rPr>
          <w:rFonts w:asciiTheme="majorHAnsi" w:eastAsia="Times New Roman" w:hAnsiTheme="majorHAnsi" w:cstheme="majorHAnsi"/>
          <w:bCs/>
          <w:iCs/>
          <w:sz w:val="20"/>
          <w:szCs w:val="20"/>
          <w:lang w:val="en-US" w:eastAsia="ko-KR"/>
        </w:rPr>
        <w:fldChar w:fldCharType="begin"/>
      </w:r>
      <w:r w:rsidRPr="008C1797">
        <w:rPr>
          <w:rFonts w:asciiTheme="majorHAnsi" w:eastAsia="Times New Roman" w:hAnsiTheme="majorHAnsi" w:cstheme="majorHAnsi"/>
          <w:bCs/>
          <w:iCs/>
          <w:sz w:val="20"/>
          <w:szCs w:val="20"/>
          <w:lang w:val="en-US" w:eastAsia="ko-KR"/>
        </w:rPr>
        <w:instrText xml:space="preserve"> ADDIN ZOTERO_ITEM CSL_CITATION {"citationID":"wcGuU5z0","properties":{"formattedCitation":"[33]","plainCitation":"[33]","noteIndex":0},"citationItems":[{"id":11384,"uris":["http://zotero.org/users/local/APPySEvW/items/STGTYKKS"],"itemData":{"id":11384,"type":"article-journal","abstract":"Cultural heritage embodies the profound cultural connotations accumulated during the evolution of human civilization. Its protection and development are of great significance for cultural continuity, the preservation of national spirit, and sustainable development. Existing studies mostly focus on large-scale regional or isolated cultural origin points, lacking attention to medium-scale, cross-regional cultural heritage systems at the meso- and micro-levels. This study takes 761 designated cultural heritage sites in western Henan as the research objects. Using Kernel Density Estimation (KDE), Nearest Neighbor Index (NNI), Analytic Hierarchy Process (AHP), Minimum Cumulative Resistance (MCR) model, and Gravity Model (GM), this research systematically analyzes the spatial distribution characteristics and evolutionary mechanisms of cultural heritage in the region. It further constructs a hierarchical network of significant cultural heritage corridors and proposes targeted strategies for protection and development. The results indicate that the spatial distribution of cultural heritage in western Henan is characterized by non-random clustering. Overall, it presents a spatial pattern of “three cores, multiple nodes, and belt-like distribution,” with Luoyang, Dengfeng, and Gongyi as the main centers. Based on comprehensive value assessment, 41 key cultural heritage origin sites are identified. Combining spatial distribution characteristics with resistance analysis, 36 major cultural heritage corridors are delineated, including 7 primary corridors, 12 secondary corridors, and 17 tertiary corridors.","container-title":"Ecological Indicators","DOI":"10.1016/j.ecolind.2025.113859","ISSN":"1470-160X","journalAbbreviation":"Ecological Indicators","page":"113859","source":"ScienceDirect","title":"Spatial identification and corridor network analysis of cultural heritage based on multi-model fusion: A case study of western Henan","title-short":"Spatial identification and corridor network analysis of cultural heritage based on multi-model fusion","volume":"178","author":[{"family":"Ge","given":"Yipeng"},{"family":"Liu","given":"Yang"},{"family":"Ma","given":"Yueshan"},{"family":"Wang","given":"Yitong"},{"family":"Guo","given":"Yafei"},{"family":"He","given":"Jie"},{"family":"Mao","given":"Yalong"}],"issued":{"date-parts":[["2025",9,1]]}}}],"schema":"https://github.com/citation-style-language/schema/raw/master/csl-citation.json"} </w:instrText>
      </w:r>
      <w:r w:rsidRPr="008C1797">
        <w:rPr>
          <w:rFonts w:asciiTheme="majorHAnsi" w:eastAsia="Times New Roman" w:hAnsiTheme="majorHAnsi" w:cstheme="majorHAnsi"/>
          <w:bCs/>
          <w:iCs/>
          <w:sz w:val="20"/>
          <w:szCs w:val="20"/>
          <w:lang w:val="en-US" w:eastAsia="ko-KR"/>
        </w:rPr>
        <w:fldChar w:fldCharType="separate"/>
      </w:r>
      <w:r w:rsidRPr="008C1797">
        <w:rPr>
          <w:rFonts w:asciiTheme="majorHAnsi" w:eastAsia="Times New Roman" w:hAnsiTheme="majorHAnsi" w:cstheme="majorHAnsi"/>
          <w:sz w:val="20"/>
          <w:szCs w:val="20"/>
          <w:lang w:val="en-US" w:eastAsia="ko-KR"/>
        </w:rPr>
        <w:t>[33]</w:t>
      </w:r>
      <w:r w:rsidRPr="008C1797">
        <w:rPr>
          <w:rFonts w:asciiTheme="majorHAnsi" w:eastAsia="Times New Roman" w:hAnsiTheme="majorHAnsi" w:cstheme="majorHAnsi"/>
          <w:sz w:val="20"/>
          <w:szCs w:val="20"/>
          <w:lang w:val="id-ID" w:eastAsia="ko-KR"/>
        </w:rPr>
        <w:fldChar w:fldCharType="end"/>
      </w:r>
      <w:r w:rsidRPr="008C1797">
        <w:rPr>
          <w:rFonts w:asciiTheme="majorHAnsi" w:eastAsia="Times New Roman" w:hAnsiTheme="majorHAnsi" w:cstheme="majorHAnsi"/>
          <w:bCs/>
          <w:iCs/>
          <w:sz w:val="20"/>
          <w:szCs w:val="20"/>
          <w:lang w:val="en-US" w:eastAsia="ko-KR"/>
        </w:rPr>
        <w:t>.</w:t>
      </w:r>
    </w:p>
    <w:p w14:paraId="5BFFEAC5" w14:textId="77777777" w:rsidR="008C1797" w:rsidRDefault="008C1797" w:rsidP="008C1797">
      <w:pPr>
        <w:ind w:left="284" w:firstLine="284"/>
        <w:jc w:val="both"/>
        <w:rPr>
          <w:rFonts w:asciiTheme="majorHAnsi" w:eastAsia="Times New Roman" w:hAnsiTheme="majorHAnsi" w:cstheme="majorHAnsi"/>
          <w:bCs/>
          <w:iCs/>
          <w:sz w:val="20"/>
          <w:szCs w:val="20"/>
          <w:lang w:val="en-US"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8C1797" w14:paraId="57BEC905" w14:textId="77777777" w:rsidTr="00805BD7">
        <w:tc>
          <w:tcPr>
            <w:tcW w:w="9060" w:type="dxa"/>
          </w:tcPr>
          <w:p w14:paraId="5A28512B" w14:textId="5F4776EE" w:rsidR="008C1797" w:rsidRDefault="008C1797" w:rsidP="008C1797">
            <w:pPr>
              <w:jc w:val="center"/>
              <w:rPr>
                <w:rFonts w:asciiTheme="majorHAnsi" w:eastAsia="Times New Roman" w:hAnsiTheme="majorHAnsi" w:cstheme="majorHAnsi"/>
                <w:bCs/>
                <w:iCs/>
                <w:sz w:val="20"/>
                <w:szCs w:val="20"/>
                <w:lang w:val="en-US" w:eastAsia="ko-KR"/>
              </w:rPr>
            </w:pPr>
            <w:r>
              <w:rPr>
                <w:noProof/>
              </w:rPr>
              <w:drawing>
                <wp:inline distT="0" distB="0" distL="0" distR="0" wp14:anchorId="53AA7362" wp14:editId="14D9DF96">
                  <wp:extent cx="1794294" cy="1794294"/>
                  <wp:effectExtent l="0" t="0" r="0" b="0"/>
                  <wp:docPr id="13573997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99761" name="Picture 19"/>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2015" cy="1802015"/>
                          </a:xfrm>
                          <a:prstGeom prst="rect">
                            <a:avLst/>
                          </a:prstGeom>
                          <a:noFill/>
                          <a:ln>
                            <a:noFill/>
                          </a:ln>
                        </pic:spPr>
                      </pic:pic>
                    </a:graphicData>
                  </a:graphic>
                </wp:inline>
              </w:drawing>
            </w:r>
          </w:p>
        </w:tc>
      </w:tr>
      <w:tr w:rsidR="008C1797" w:rsidRPr="008C1797" w14:paraId="2995E95C" w14:textId="77777777" w:rsidTr="00805BD7">
        <w:tc>
          <w:tcPr>
            <w:tcW w:w="9060" w:type="dxa"/>
          </w:tcPr>
          <w:p w14:paraId="0FF39EB8" w14:textId="77777777" w:rsidR="00805BD7" w:rsidRDefault="00805BD7" w:rsidP="008C1797">
            <w:pPr>
              <w:jc w:val="center"/>
              <w:rPr>
                <w:rFonts w:asciiTheme="majorHAnsi" w:eastAsia="Times New Roman" w:hAnsiTheme="majorHAnsi" w:cstheme="majorHAnsi"/>
                <w:bCs/>
                <w:iCs/>
                <w:sz w:val="16"/>
                <w:szCs w:val="16"/>
                <w:lang w:eastAsia="ko-KR"/>
              </w:rPr>
            </w:pPr>
          </w:p>
          <w:p w14:paraId="4D329BF5" w14:textId="5DB5510F" w:rsidR="008C1797" w:rsidRPr="008C1797" w:rsidRDefault="008C1797" w:rsidP="008C1797">
            <w:pPr>
              <w:jc w:val="center"/>
              <w:rPr>
                <w:rFonts w:asciiTheme="majorHAnsi" w:eastAsia="Times New Roman" w:hAnsiTheme="majorHAnsi" w:cstheme="majorHAnsi"/>
                <w:bCs/>
                <w:iCs/>
                <w:sz w:val="16"/>
                <w:szCs w:val="16"/>
                <w:lang w:val="en-US" w:eastAsia="ko-KR"/>
              </w:rPr>
            </w:pPr>
            <w:r w:rsidRPr="008C1797">
              <w:rPr>
                <w:rFonts w:asciiTheme="majorHAnsi" w:eastAsia="Times New Roman" w:hAnsiTheme="majorHAnsi" w:cstheme="majorHAnsi"/>
                <w:bCs/>
                <w:iCs/>
                <w:sz w:val="16"/>
                <w:szCs w:val="16"/>
                <w:lang w:eastAsia="ko-KR"/>
              </w:rPr>
              <w:t>Figure 1.6. QRIS is embedded in algebraic mosaic patterns, integrating digital functions with traditional ornamentation</w:t>
            </w:r>
          </w:p>
        </w:tc>
      </w:tr>
    </w:tbl>
    <w:p w14:paraId="065CB82C" w14:textId="77777777" w:rsidR="008C1797" w:rsidRDefault="008C1797" w:rsidP="008C1797">
      <w:pPr>
        <w:ind w:left="284" w:firstLine="284"/>
        <w:jc w:val="both"/>
        <w:rPr>
          <w:rFonts w:asciiTheme="majorHAnsi" w:eastAsia="Times New Roman" w:hAnsiTheme="majorHAnsi" w:cstheme="majorHAnsi"/>
          <w:bCs/>
          <w:iCs/>
          <w:sz w:val="20"/>
          <w:szCs w:val="20"/>
          <w:lang w:val="en-US" w:eastAsia="ko-KR"/>
        </w:rPr>
      </w:pPr>
    </w:p>
    <w:p w14:paraId="0A0CCED5" w14:textId="7EC3CFA8" w:rsidR="008C1797" w:rsidRDefault="008C1797" w:rsidP="008C1797">
      <w:pPr>
        <w:ind w:left="284" w:firstLine="284"/>
        <w:jc w:val="both"/>
        <w:rPr>
          <w:rFonts w:asciiTheme="majorHAnsi" w:eastAsia="Times New Roman" w:hAnsiTheme="majorHAnsi" w:cstheme="majorHAnsi"/>
          <w:bCs/>
          <w:iCs/>
          <w:sz w:val="20"/>
          <w:szCs w:val="20"/>
          <w:lang w:eastAsia="ko-KR"/>
        </w:rPr>
      </w:pPr>
      <w:r w:rsidRPr="008C1797">
        <w:rPr>
          <w:rFonts w:asciiTheme="majorHAnsi" w:eastAsia="Times New Roman" w:hAnsiTheme="majorHAnsi" w:cstheme="majorHAnsi"/>
          <w:bCs/>
          <w:iCs/>
          <w:sz w:val="20"/>
          <w:szCs w:val="20"/>
          <w:lang w:eastAsia="ko-KR"/>
        </w:rPr>
        <w:t xml:space="preserve">In conclusion, QRIS in mosques serves as a clear example of how technology and culture can operate in synergy, creating a worship space that is not only inclusive and informative but also deeply rooted in Islam's core values. This integration opens new opportunities for mosques to serve as </w:t>
      </w:r>
      <w:proofErr w:type="spellStart"/>
      <w:r w:rsidRPr="008C1797">
        <w:rPr>
          <w:rFonts w:asciiTheme="majorHAnsi" w:eastAsia="Times New Roman" w:hAnsiTheme="majorHAnsi" w:cstheme="majorHAnsi"/>
          <w:bCs/>
          <w:iCs/>
          <w:sz w:val="20"/>
          <w:szCs w:val="20"/>
          <w:lang w:eastAsia="ko-KR"/>
        </w:rPr>
        <w:t>centers</w:t>
      </w:r>
      <w:proofErr w:type="spellEnd"/>
      <w:r w:rsidRPr="008C1797">
        <w:rPr>
          <w:rFonts w:asciiTheme="majorHAnsi" w:eastAsia="Times New Roman" w:hAnsiTheme="majorHAnsi" w:cstheme="majorHAnsi"/>
          <w:bCs/>
          <w:iCs/>
          <w:sz w:val="20"/>
          <w:szCs w:val="20"/>
          <w:lang w:eastAsia="ko-KR"/>
        </w:rPr>
        <w:t xml:space="preserve"> of culture and education capable of attracting younger generations and tourists while preserving the authenticity and sanctity of sacred spaces that have been passed down for generations</w:t>
      </w:r>
      <w:r>
        <w:rPr>
          <w:rFonts w:asciiTheme="majorHAnsi" w:eastAsia="Times New Roman" w:hAnsiTheme="majorHAnsi" w:cstheme="majorHAnsi"/>
          <w:bCs/>
          <w:iCs/>
          <w:sz w:val="20"/>
          <w:szCs w:val="20"/>
          <w:lang w:eastAsia="ko-KR"/>
        </w:rPr>
        <w:t>.</w:t>
      </w:r>
    </w:p>
    <w:p w14:paraId="2D7EE859" w14:textId="77777777" w:rsidR="005E66A5" w:rsidRPr="00D132AE" w:rsidRDefault="005E66A5" w:rsidP="005E66A5">
      <w:pPr>
        <w:jc w:val="both"/>
        <w:rPr>
          <w:rFonts w:asciiTheme="minorHAnsi" w:hAnsiTheme="minorHAnsi" w:cstheme="minorHAnsi"/>
          <w:b/>
          <w:bCs/>
          <w:sz w:val="20"/>
          <w:szCs w:val="20"/>
        </w:rPr>
      </w:pPr>
    </w:p>
    <w:p w14:paraId="4397BC75" w14:textId="54F93880"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1EF5FB68" w14:textId="77777777" w:rsidR="008C1797" w:rsidRPr="008C1797" w:rsidRDefault="008C1797" w:rsidP="008C1797">
      <w:pPr>
        <w:ind w:firstLine="284"/>
        <w:jc w:val="both"/>
        <w:rPr>
          <w:rFonts w:asciiTheme="majorHAnsi" w:hAnsiTheme="majorHAnsi" w:cstheme="majorHAnsi"/>
          <w:bCs/>
          <w:iCs/>
          <w:sz w:val="20"/>
          <w:szCs w:val="20"/>
          <w:lang w:val="en-US"/>
        </w:rPr>
      </w:pPr>
      <w:r w:rsidRPr="008C1797">
        <w:rPr>
          <w:rFonts w:asciiTheme="majorHAnsi" w:hAnsiTheme="majorHAnsi" w:cstheme="majorHAnsi"/>
          <w:bCs/>
          <w:iCs/>
          <w:sz w:val="20"/>
          <w:szCs w:val="20"/>
          <w:lang w:val="en-US"/>
        </w:rPr>
        <w:t xml:space="preserve">This study demonstrates that integrating QRIS (Quick Response Code Indonesian Standard) into mosque architecture contributes meaningfully not only to operational efficiency and philanthropic engagement but also to the preservation of cultural and aesthetic values. Through case studies of three prominent Indonesian mosques, Al-Jabbar Mosque, Sheikh Zayed Mosque, and </w:t>
      </w:r>
      <w:proofErr w:type="spellStart"/>
      <w:r w:rsidRPr="008C1797">
        <w:rPr>
          <w:rFonts w:asciiTheme="majorHAnsi" w:hAnsiTheme="majorHAnsi" w:cstheme="majorHAnsi"/>
          <w:bCs/>
          <w:iCs/>
          <w:sz w:val="20"/>
          <w:szCs w:val="20"/>
          <w:lang w:val="en-US"/>
        </w:rPr>
        <w:t>Hubbul</w:t>
      </w:r>
      <w:proofErr w:type="spellEnd"/>
      <w:r w:rsidRPr="008C1797">
        <w:rPr>
          <w:rFonts w:asciiTheme="majorHAnsi" w:hAnsiTheme="majorHAnsi" w:cstheme="majorHAnsi"/>
          <w:bCs/>
          <w:iCs/>
          <w:sz w:val="20"/>
          <w:szCs w:val="20"/>
          <w:lang w:val="en-US"/>
        </w:rPr>
        <w:t xml:space="preserve"> Wathan Mosque, it becomes evident that QRIS can be integrated in a manner that respects sacred spatial logic and enhances visitor interaction without compromising the architectural integrity of the buildings.</w:t>
      </w:r>
    </w:p>
    <w:p w14:paraId="5DBA8571" w14:textId="77777777" w:rsidR="008C1797" w:rsidRPr="008C1797" w:rsidRDefault="008C1797" w:rsidP="008C1797">
      <w:pPr>
        <w:ind w:firstLine="284"/>
        <w:jc w:val="both"/>
        <w:rPr>
          <w:rFonts w:asciiTheme="majorHAnsi" w:hAnsiTheme="majorHAnsi" w:cstheme="majorHAnsi"/>
          <w:bCs/>
          <w:iCs/>
          <w:sz w:val="20"/>
          <w:szCs w:val="20"/>
          <w:lang w:val="en-US"/>
        </w:rPr>
      </w:pPr>
      <w:r w:rsidRPr="008C1797">
        <w:rPr>
          <w:rFonts w:asciiTheme="majorHAnsi" w:hAnsiTheme="majorHAnsi" w:cstheme="majorHAnsi"/>
          <w:bCs/>
          <w:iCs/>
          <w:sz w:val="20"/>
          <w:szCs w:val="20"/>
          <w:lang w:val="en-US"/>
        </w:rPr>
        <w:t xml:space="preserve">The findings refine and extend several theoretical frameworks. First, the Technology Acceptance Model (TAM) is supported by observable patterns of user engagement, particularly among younger visitors, indicating that perceived ease of use and perceived usefulness influence QRIS adoption in religious spaces. Second, vernacular architecture and place attachment theories are affirmed, as the placement and design of QRIS interfaces align with the mosque’s cultural symbolism and spatial hierarchy, demonstrating that digital tools can coexist with and even strengthen traditional architectural meanings. Third, from the lens of experiential learning theory, the use of QRIS to access educational content, such as mosque history and symbolic meanings, supports the idea that </w:t>
      </w:r>
      <w:r w:rsidRPr="008C1797">
        <w:rPr>
          <w:rFonts w:asciiTheme="majorHAnsi" w:hAnsiTheme="majorHAnsi" w:cstheme="majorHAnsi"/>
          <w:bCs/>
          <w:iCs/>
          <w:sz w:val="20"/>
          <w:szCs w:val="20"/>
          <w:lang w:val="en-US"/>
        </w:rPr>
        <w:lastRenderedPageBreak/>
        <w:t>interactive media enhances user experience and learning outcomes in sacred environments. Finally, digital inclusion theory is both confirmed and problematized: while QRIS promotes inclusivity among tech-savvy demographics, gaps remain for elderly or digitally underserved populations, revealing areas for further innovation.</w:t>
      </w:r>
    </w:p>
    <w:p w14:paraId="579E36E3" w14:textId="77777777" w:rsidR="008C1797" w:rsidRPr="008C1797" w:rsidRDefault="008C1797" w:rsidP="008C1797">
      <w:pPr>
        <w:ind w:firstLine="284"/>
        <w:jc w:val="both"/>
        <w:rPr>
          <w:rFonts w:asciiTheme="majorHAnsi" w:hAnsiTheme="majorHAnsi" w:cstheme="majorHAnsi"/>
          <w:bCs/>
          <w:iCs/>
          <w:sz w:val="20"/>
          <w:szCs w:val="20"/>
          <w:lang w:val="en-US"/>
        </w:rPr>
      </w:pPr>
      <w:r w:rsidRPr="008C1797">
        <w:rPr>
          <w:rFonts w:asciiTheme="majorHAnsi" w:hAnsiTheme="majorHAnsi" w:cstheme="majorHAnsi"/>
          <w:bCs/>
          <w:iCs/>
          <w:sz w:val="20"/>
          <w:szCs w:val="20"/>
          <w:lang w:val="en-US"/>
        </w:rPr>
        <w:t>Practically, this study shows that when implemented thoughtfully, QRIS does more than streamline donations; it enhances the emotional, social, and educational functions of mosques. It serves as a bridge between modern technology and Islamic architectural heritage, fostering a more participatory, digitally literate religious community. The success of such integration depends on contextual sensitivity, regular maintenance, and inclusive design strategies that accommodate diverse user groups.</w:t>
      </w:r>
    </w:p>
    <w:p w14:paraId="6BAC7F73" w14:textId="77777777" w:rsidR="008C1797" w:rsidRPr="008C1797" w:rsidRDefault="008C1797" w:rsidP="008C1797">
      <w:pPr>
        <w:ind w:firstLine="284"/>
        <w:jc w:val="both"/>
        <w:rPr>
          <w:rFonts w:asciiTheme="majorHAnsi" w:hAnsiTheme="majorHAnsi" w:cstheme="majorHAnsi"/>
          <w:bCs/>
          <w:iCs/>
          <w:sz w:val="20"/>
          <w:szCs w:val="20"/>
          <w:lang w:val="en-US"/>
        </w:rPr>
      </w:pPr>
      <w:r w:rsidRPr="008C1797">
        <w:rPr>
          <w:rFonts w:asciiTheme="majorHAnsi" w:hAnsiTheme="majorHAnsi" w:cstheme="majorHAnsi"/>
          <w:bCs/>
          <w:iCs/>
          <w:sz w:val="20"/>
          <w:szCs w:val="20"/>
          <w:lang w:val="en-US"/>
        </w:rPr>
        <w:t>Nonetheless, the research is limited by its qualitative focus on high-profile mosques with sufficient digital and financial infrastructure. It does not quantify the financial impact of QRIS or compare it directly with conventional donation methods. Future research should address these gaps by including quantitative metrics, exploring longitudinal effects, and examining QRIS implementation in smaller or rural mosques to assess scalability and inclusiveness.</w:t>
      </w:r>
    </w:p>
    <w:p w14:paraId="56346EB4" w14:textId="237CAB22" w:rsidR="008C1797" w:rsidRDefault="008C1797" w:rsidP="008C1797">
      <w:pPr>
        <w:ind w:firstLine="284"/>
        <w:jc w:val="both"/>
        <w:rPr>
          <w:rFonts w:asciiTheme="majorHAnsi" w:hAnsiTheme="majorHAnsi" w:cstheme="majorHAnsi"/>
          <w:bCs/>
          <w:iCs/>
          <w:sz w:val="20"/>
          <w:szCs w:val="20"/>
          <w:lang w:val="en-US"/>
        </w:rPr>
      </w:pPr>
      <w:r w:rsidRPr="008C1797">
        <w:rPr>
          <w:rFonts w:asciiTheme="majorHAnsi" w:hAnsiTheme="majorHAnsi" w:cstheme="majorHAnsi"/>
          <w:bCs/>
          <w:iCs/>
          <w:sz w:val="20"/>
          <w:szCs w:val="20"/>
          <w:lang w:val="en-US"/>
        </w:rPr>
        <w:t>In sum, this study highlights the potential of digital tools like QRIS to redefine the role of mosques in contemporary society, not only as places of worship but as digitally augmented spaces of culture, education, and community engagement. The successful integration of technology and tradition requires not just technical implementation but also cultural and architectural negotiation, a synergy that this research seeks to illuminate</w:t>
      </w:r>
      <w:r>
        <w:rPr>
          <w:rFonts w:asciiTheme="majorHAnsi" w:hAnsiTheme="majorHAnsi" w:cstheme="majorHAnsi"/>
          <w:bCs/>
          <w:iCs/>
          <w:sz w:val="20"/>
          <w:szCs w:val="20"/>
          <w:lang w:val="en-US"/>
        </w:rPr>
        <w:t>.</w:t>
      </w:r>
    </w:p>
    <w:p w14:paraId="13DA96AE" w14:textId="77777777" w:rsidR="008C1797" w:rsidRDefault="008C1797" w:rsidP="00554438">
      <w:pPr>
        <w:jc w:val="both"/>
        <w:rPr>
          <w:rFonts w:asciiTheme="minorHAnsi" w:hAnsiTheme="minorHAnsi" w:cstheme="minorHAnsi"/>
          <w:b/>
          <w:bCs/>
        </w:rPr>
      </w:pPr>
    </w:p>
    <w:p w14:paraId="4272776B" w14:textId="197AE293"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 xml:space="preserve">REFERENCES </w:t>
      </w:r>
    </w:p>
    <w:p w14:paraId="514BF129" w14:textId="77777777" w:rsidR="008C1797" w:rsidRDefault="008C1797" w:rsidP="00477FC8">
      <w:pPr>
        <w:widowControl w:val="0"/>
        <w:autoSpaceDE w:val="0"/>
        <w:autoSpaceDN w:val="0"/>
        <w:adjustRightInd w:val="0"/>
        <w:spacing w:before="20" w:after="20"/>
        <w:ind w:left="567" w:hanging="283"/>
        <w:jc w:val="both"/>
        <w:rPr>
          <w:rFonts w:asciiTheme="majorHAnsi" w:hAnsiTheme="majorHAnsi" w:cstheme="majorHAnsi"/>
          <w:sz w:val="20"/>
          <w:szCs w:val="20"/>
          <w:lang w:val="id-ID"/>
        </w:rPr>
      </w:pPr>
    </w:p>
    <w:p w14:paraId="311EFA71" w14:textId="77777777" w:rsidR="00E64BB9" w:rsidRPr="00E64BB9" w:rsidRDefault="00477FC8" w:rsidP="00E64BB9">
      <w:pPr>
        <w:widowControl w:val="0"/>
        <w:autoSpaceDE w:val="0"/>
        <w:autoSpaceDN w:val="0"/>
        <w:adjustRightInd w:val="0"/>
        <w:spacing w:before="20" w:after="20"/>
        <w:ind w:left="709" w:hanging="425"/>
        <w:rPr>
          <w:rFonts w:asciiTheme="majorHAnsi" w:hAnsiTheme="majorHAnsi" w:cstheme="majorHAnsi"/>
          <w:noProof/>
          <w:sz w:val="20"/>
          <w:szCs w:val="28"/>
          <w:lang w:val="en-US"/>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Pr="00477FC8">
        <w:rPr>
          <w:rFonts w:asciiTheme="majorHAnsi" w:hAnsiTheme="majorHAnsi" w:cstheme="majorHAnsi"/>
          <w:noProof/>
          <w:sz w:val="20"/>
          <w:szCs w:val="28"/>
        </w:rPr>
        <w:t>[1]</w:t>
      </w:r>
      <w:r w:rsidRPr="00477FC8">
        <w:rPr>
          <w:rFonts w:asciiTheme="majorHAnsi" w:hAnsiTheme="majorHAnsi" w:cstheme="majorHAnsi"/>
          <w:noProof/>
          <w:sz w:val="20"/>
          <w:szCs w:val="28"/>
        </w:rPr>
        <w:tab/>
      </w:r>
      <w:r w:rsidR="00E64BB9" w:rsidRPr="00E64BB9">
        <w:rPr>
          <w:rFonts w:asciiTheme="majorHAnsi" w:hAnsiTheme="majorHAnsi" w:cstheme="majorHAnsi"/>
          <w:noProof/>
          <w:sz w:val="20"/>
          <w:szCs w:val="28"/>
          <w:lang w:val="en-US"/>
        </w:rPr>
        <w:t xml:space="preserve">T. Aryanti, T. Megayanti, I. Susanti, and D. Fitria, “Gender and Socio-Spatial Assemblage at Masjid Al-Irsyad Kota Baru Parahyangan, Indonesia,” </w:t>
      </w:r>
      <w:r w:rsidR="00E64BB9" w:rsidRPr="00E64BB9">
        <w:rPr>
          <w:rFonts w:asciiTheme="majorHAnsi" w:hAnsiTheme="majorHAnsi" w:cstheme="majorHAnsi"/>
          <w:i/>
          <w:iCs/>
          <w:noProof/>
          <w:sz w:val="20"/>
          <w:szCs w:val="28"/>
          <w:lang w:val="en-US"/>
        </w:rPr>
        <w:t>Journal of Islamic Architecture</w:t>
      </w:r>
      <w:r w:rsidR="00E64BB9" w:rsidRPr="00E64BB9">
        <w:rPr>
          <w:rFonts w:asciiTheme="majorHAnsi" w:hAnsiTheme="majorHAnsi" w:cstheme="majorHAnsi"/>
          <w:noProof/>
          <w:sz w:val="20"/>
          <w:szCs w:val="28"/>
          <w:lang w:val="en-US"/>
        </w:rPr>
        <w:t>, vol. 8, no. 2, Art. no. 2, Dec. 2024, doi: 10.18860/jia.v8i2.23476.</w:t>
      </w:r>
    </w:p>
    <w:p w14:paraId="0C7A9F04"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[2]</w:t>
      </w:r>
      <w:r w:rsidRPr="00E64BB9">
        <w:rPr>
          <w:rFonts w:asciiTheme="majorHAnsi" w:hAnsiTheme="majorHAnsi" w:cstheme="majorHAnsi"/>
          <w:noProof/>
          <w:sz w:val="20"/>
          <w:szCs w:val="28"/>
          <w:lang w:val="en-US"/>
        </w:rPr>
        <w:tab/>
        <w:t xml:space="preserve">M. Rosyid, “Hinduism and Islamic Ornaments in Langgar Dalem Mosque of Kudus,” </w:t>
      </w:r>
      <w:r w:rsidRPr="00E64BB9">
        <w:rPr>
          <w:rFonts w:asciiTheme="majorHAnsi" w:hAnsiTheme="majorHAnsi" w:cstheme="majorHAnsi"/>
          <w:i/>
          <w:iCs/>
          <w:noProof/>
          <w:sz w:val="20"/>
          <w:szCs w:val="28"/>
          <w:lang w:val="en-US"/>
        </w:rPr>
        <w:t>Journal of Islamic Architecture</w:t>
      </w:r>
      <w:r w:rsidRPr="00E64BB9">
        <w:rPr>
          <w:rFonts w:asciiTheme="majorHAnsi" w:hAnsiTheme="majorHAnsi" w:cstheme="majorHAnsi"/>
          <w:noProof/>
          <w:sz w:val="20"/>
          <w:szCs w:val="28"/>
          <w:lang w:val="en-US"/>
        </w:rPr>
        <w:t>, vol. 7, no. 1, Art. no. 1, Jun. 2022, doi: 10.18860/jia.v7i1.12999.</w:t>
      </w:r>
    </w:p>
    <w:p w14:paraId="57330763"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[3]</w:t>
      </w:r>
      <w:r w:rsidRPr="00E64BB9">
        <w:rPr>
          <w:rFonts w:asciiTheme="majorHAnsi" w:hAnsiTheme="majorHAnsi" w:cstheme="majorHAnsi"/>
          <w:noProof/>
          <w:sz w:val="20"/>
          <w:szCs w:val="28"/>
          <w:lang w:val="en-US"/>
        </w:rPr>
        <w:tab/>
        <w:t xml:space="preserve">A. R. Rakhmatulloh and D. I. K. Dewi, “Design of Pedestrian Ways Based on Tourist Characteristics in the Religious Tourism Area of Menara Kudus,” </w:t>
      </w:r>
      <w:r w:rsidRPr="00E64BB9">
        <w:rPr>
          <w:rFonts w:asciiTheme="majorHAnsi" w:hAnsiTheme="majorHAnsi" w:cstheme="majorHAnsi"/>
          <w:i/>
          <w:iCs/>
          <w:noProof/>
          <w:sz w:val="20"/>
          <w:szCs w:val="28"/>
          <w:lang w:val="en-US"/>
        </w:rPr>
        <w:t>Journal of Islamic Architecture</w:t>
      </w:r>
      <w:r w:rsidRPr="00E64BB9">
        <w:rPr>
          <w:rFonts w:asciiTheme="majorHAnsi" w:hAnsiTheme="majorHAnsi" w:cstheme="majorHAnsi"/>
          <w:noProof/>
          <w:sz w:val="20"/>
          <w:szCs w:val="28"/>
          <w:lang w:val="en-US"/>
        </w:rPr>
        <w:t>, vol. 8, no. 2, Art. no. 2, Dec. 2024, doi: 10.18860/jia.v8i2.21617.</w:t>
      </w:r>
    </w:p>
    <w:p w14:paraId="5BAF3DE0"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[4]</w:t>
      </w:r>
      <w:r w:rsidRPr="00E64BB9">
        <w:rPr>
          <w:rFonts w:asciiTheme="majorHAnsi" w:hAnsiTheme="majorHAnsi" w:cstheme="majorHAnsi"/>
          <w:noProof/>
          <w:sz w:val="20"/>
          <w:szCs w:val="28"/>
          <w:lang w:val="en-US"/>
        </w:rPr>
        <w:tab/>
        <w:t xml:space="preserve">A. Moradi, “Transition Zone in Seljuq Dome Chambers,” </w:t>
      </w:r>
      <w:r w:rsidRPr="00E64BB9">
        <w:rPr>
          <w:rFonts w:asciiTheme="majorHAnsi" w:hAnsiTheme="majorHAnsi" w:cstheme="majorHAnsi"/>
          <w:i/>
          <w:iCs/>
          <w:noProof/>
          <w:sz w:val="20"/>
          <w:szCs w:val="28"/>
          <w:lang w:val="en-US"/>
        </w:rPr>
        <w:t>Journal of Islamic Architecture</w:t>
      </w:r>
      <w:r w:rsidRPr="00E64BB9">
        <w:rPr>
          <w:rFonts w:asciiTheme="majorHAnsi" w:hAnsiTheme="majorHAnsi" w:cstheme="majorHAnsi"/>
          <w:noProof/>
          <w:sz w:val="20"/>
          <w:szCs w:val="28"/>
          <w:lang w:val="en-US"/>
        </w:rPr>
        <w:t>, vol. 6, no. 1, Art. no. 1, Jun. 2020, doi: 10.18860/jia.v6i1.7488.</w:t>
      </w:r>
    </w:p>
    <w:p w14:paraId="6CE59D34"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[5]</w:t>
      </w:r>
      <w:r w:rsidRPr="00E64BB9">
        <w:rPr>
          <w:rFonts w:asciiTheme="majorHAnsi" w:hAnsiTheme="majorHAnsi" w:cstheme="majorHAnsi"/>
          <w:noProof/>
          <w:sz w:val="20"/>
          <w:szCs w:val="28"/>
          <w:lang w:val="en-US"/>
        </w:rPr>
        <w:tab/>
        <w:t xml:space="preserve">A. M. Mahmoud, “The Negative Effects of the Separation Wall on the Architectural and Urban Heritage of Al-Quds,” </w:t>
      </w:r>
      <w:r w:rsidRPr="00E64BB9">
        <w:rPr>
          <w:rFonts w:asciiTheme="majorHAnsi" w:hAnsiTheme="majorHAnsi" w:cstheme="majorHAnsi"/>
          <w:i/>
          <w:iCs/>
          <w:noProof/>
          <w:sz w:val="20"/>
          <w:szCs w:val="28"/>
          <w:lang w:val="en-US"/>
        </w:rPr>
        <w:t>Journal of Islamic Architecture</w:t>
      </w:r>
      <w:r w:rsidRPr="00E64BB9">
        <w:rPr>
          <w:rFonts w:asciiTheme="majorHAnsi" w:hAnsiTheme="majorHAnsi" w:cstheme="majorHAnsi"/>
          <w:noProof/>
          <w:sz w:val="20"/>
          <w:szCs w:val="28"/>
          <w:lang w:val="en-US"/>
        </w:rPr>
        <w:t>, vol. 4, no. 4, Art. no. 4, Dec. 2017, doi: 10.18860/jia.v4i4.4392.</w:t>
      </w:r>
    </w:p>
    <w:p w14:paraId="3FCCC422"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[6]</w:t>
      </w:r>
      <w:r w:rsidRPr="00E64BB9">
        <w:rPr>
          <w:rFonts w:asciiTheme="majorHAnsi" w:hAnsiTheme="majorHAnsi" w:cstheme="majorHAnsi"/>
          <w:noProof/>
          <w:sz w:val="20"/>
          <w:szCs w:val="28"/>
          <w:lang w:val="en-US"/>
        </w:rPr>
        <w:tab/>
        <w:t xml:space="preserve">S. B. Merriam and E. J. Tisdell, </w:t>
      </w:r>
      <w:r w:rsidRPr="00E64BB9">
        <w:rPr>
          <w:rFonts w:asciiTheme="majorHAnsi" w:hAnsiTheme="majorHAnsi" w:cstheme="majorHAnsi"/>
          <w:i/>
          <w:iCs/>
          <w:noProof/>
          <w:sz w:val="20"/>
          <w:szCs w:val="28"/>
          <w:lang w:val="en-US"/>
        </w:rPr>
        <w:t>Qualitative Research: A Guide to Design and Implementation</w:t>
      </w:r>
      <w:r w:rsidRPr="00E64BB9">
        <w:rPr>
          <w:rFonts w:asciiTheme="majorHAnsi" w:hAnsiTheme="majorHAnsi" w:cstheme="majorHAnsi"/>
          <w:noProof/>
          <w:sz w:val="20"/>
          <w:szCs w:val="28"/>
          <w:lang w:val="en-US"/>
        </w:rPr>
        <w:t>. John Wiley &amp; Sons, 2015.</w:t>
      </w:r>
    </w:p>
    <w:p w14:paraId="2D8D2A17"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[7]</w:t>
      </w:r>
      <w:r w:rsidRPr="00E64BB9">
        <w:rPr>
          <w:rFonts w:asciiTheme="majorHAnsi" w:hAnsiTheme="majorHAnsi" w:cstheme="majorHAnsi"/>
          <w:noProof/>
          <w:sz w:val="20"/>
          <w:szCs w:val="28"/>
          <w:lang w:val="en-US"/>
        </w:rPr>
        <w:tab/>
        <w:t xml:space="preserve">P. Salura and S. Clarissa, “Re-interpreting the case study approach in architectural research,” </w:t>
      </w:r>
      <w:r w:rsidRPr="00E64BB9">
        <w:rPr>
          <w:rFonts w:asciiTheme="majorHAnsi" w:hAnsiTheme="majorHAnsi" w:cstheme="majorHAnsi"/>
          <w:i/>
          <w:iCs/>
          <w:noProof/>
          <w:sz w:val="20"/>
          <w:szCs w:val="28"/>
          <w:lang w:val="en-US"/>
        </w:rPr>
        <w:t>ARTEKS : Jurnal Teknik Arsitektur</w:t>
      </w:r>
      <w:r w:rsidRPr="00E64BB9">
        <w:rPr>
          <w:rFonts w:asciiTheme="majorHAnsi" w:hAnsiTheme="majorHAnsi" w:cstheme="majorHAnsi"/>
          <w:noProof/>
          <w:sz w:val="20"/>
          <w:szCs w:val="28"/>
          <w:lang w:val="en-US"/>
        </w:rPr>
        <w:t>, vol. 9, no. 1, Art. no. 1, Apr. 2024, doi: 10.30822/arteks.v9i1.3195.</w:t>
      </w:r>
    </w:p>
    <w:p w14:paraId="1B9470C0"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[8]</w:t>
      </w:r>
      <w:r w:rsidRPr="00E64BB9">
        <w:rPr>
          <w:rFonts w:asciiTheme="majorHAnsi" w:hAnsiTheme="majorHAnsi" w:cstheme="majorHAnsi"/>
          <w:noProof/>
          <w:sz w:val="20"/>
          <w:szCs w:val="28"/>
          <w:lang w:val="en-US"/>
        </w:rPr>
        <w:tab/>
        <w:t xml:space="preserve">A. Bazen, F. K. Barg, and J. Takeshita, “Research Techniques Made Simple: An Introduction to Qualitative Research,” </w:t>
      </w:r>
      <w:r w:rsidRPr="00E64BB9">
        <w:rPr>
          <w:rFonts w:asciiTheme="majorHAnsi" w:hAnsiTheme="majorHAnsi" w:cstheme="majorHAnsi"/>
          <w:i/>
          <w:iCs/>
          <w:noProof/>
          <w:sz w:val="20"/>
          <w:szCs w:val="28"/>
          <w:lang w:val="en-US"/>
        </w:rPr>
        <w:t>Journal of Investigative Dermatology</w:t>
      </w:r>
      <w:r w:rsidRPr="00E64BB9">
        <w:rPr>
          <w:rFonts w:asciiTheme="majorHAnsi" w:hAnsiTheme="majorHAnsi" w:cstheme="majorHAnsi"/>
          <w:noProof/>
          <w:sz w:val="20"/>
          <w:szCs w:val="28"/>
          <w:lang w:val="en-US"/>
        </w:rPr>
        <w:t>, vol. 141, no. 2, pp. 241-247.e1, Feb. 2021, doi: 10.1016/j.jid.2020.11.029.</w:t>
      </w:r>
    </w:p>
    <w:p w14:paraId="28B638AA"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[9]</w:t>
      </w:r>
      <w:r w:rsidRPr="00E64BB9">
        <w:rPr>
          <w:rFonts w:asciiTheme="majorHAnsi" w:hAnsiTheme="majorHAnsi" w:cstheme="majorHAnsi"/>
          <w:noProof/>
          <w:sz w:val="20"/>
          <w:szCs w:val="28"/>
          <w:lang w:val="en-US"/>
        </w:rPr>
        <w:tab/>
        <w:t xml:space="preserve">G. M. Fix, B. Kim, M. A. Ruben, and M. B. McCullough, “Direct observation methods: A practical guide for health researchers,” </w:t>
      </w:r>
      <w:r w:rsidRPr="00E64BB9">
        <w:rPr>
          <w:rFonts w:asciiTheme="majorHAnsi" w:hAnsiTheme="majorHAnsi" w:cstheme="majorHAnsi"/>
          <w:i/>
          <w:iCs/>
          <w:noProof/>
          <w:sz w:val="20"/>
          <w:szCs w:val="28"/>
          <w:lang w:val="en-US"/>
        </w:rPr>
        <w:t>PEC Innovation</w:t>
      </w:r>
      <w:r w:rsidRPr="00E64BB9">
        <w:rPr>
          <w:rFonts w:asciiTheme="majorHAnsi" w:hAnsiTheme="majorHAnsi" w:cstheme="majorHAnsi"/>
          <w:noProof/>
          <w:sz w:val="20"/>
          <w:szCs w:val="28"/>
          <w:lang w:val="en-US"/>
        </w:rPr>
        <w:t>, vol. 1, p. 100036, Dec. 2022, doi: 10.1016/j.pecinn.2022.100036.</w:t>
      </w:r>
    </w:p>
    <w:p w14:paraId="71A88D19"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[10]</w:t>
      </w:r>
      <w:r w:rsidRPr="00E64BB9">
        <w:rPr>
          <w:rFonts w:asciiTheme="majorHAnsi" w:hAnsiTheme="majorHAnsi" w:cstheme="majorHAnsi"/>
          <w:noProof/>
          <w:sz w:val="20"/>
          <w:szCs w:val="28"/>
          <w:lang w:val="en-US"/>
        </w:rPr>
        <w:tab/>
        <w:t>Bank Indonesia, “Quick Response Code Indonesian Standard (QRIS).” Accessed: Aug. 02, 2025. [Online]. Available: https://www.bi.go.id/id/fungsi-utama/sistem-pembayaran/ritel/kanal-layanan/qris/default.aspx</w:t>
      </w:r>
    </w:p>
    <w:p w14:paraId="6A39F2E3"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[11]</w:t>
      </w:r>
      <w:r w:rsidRPr="00E64BB9">
        <w:rPr>
          <w:rFonts w:asciiTheme="majorHAnsi" w:hAnsiTheme="majorHAnsi" w:cstheme="majorHAnsi"/>
          <w:noProof/>
          <w:sz w:val="20"/>
          <w:szCs w:val="28"/>
          <w:lang w:val="en-US"/>
        </w:rPr>
        <w:tab/>
        <w:t xml:space="preserve">N. Ujang and K. Zakariya, “Place Attachment and the Value of Place in the Life of the Users,” </w:t>
      </w:r>
      <w:r w:rsidRPr="00E64BB9">
        <w:rPr>
          <w:rFonts w:asciiTheme="majorHAnsi" w:hAnsiTheme="majorHAnsi" w:cstheme="majorHAnsi"/>
          <w:i/>
          <w:iCs/>
          <w:noProof/>
          <w:sz w:val="20"/>
          <w:szCs w:val="28"/>
          <w:lang w:val="en-US"/>
        </w:rPr>
        <w:t>Procedia - Social and Behavioral Sciences</w:t>
      </w:r>
      <w:r w:rsidRPr="00E64BB9">
        <w:rPr>
          <w:rFonts w:asciiTheme="majorHAnsi" w:hAnsiTheme="majorHAnsi" w:cstheme="majorHAnsi"/>
          <w:noProof/>
          <w:sz w:val="20"/>
          <w:szCs w:val="28"/>
          <w:lang w:val="en-US"/>
        </w:rPr>
        <w:t>, vol. 168, pp. 373–380, Jan. 2015, doi: 10.1016/j.sbspro.2014.10.243.</w:t>
      </w:r>
    </w:p>
    <w:p w14:paraId="4C27E394"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[12]</w:t>
      </w:r>
      <w:r w:rsidRPr="00E64BB9">
        <w:rPr>
          <w:rFonts w:asciiTheme="majorHAnsi" w:hAnsiTheme="majorHAnsi" w:cstheme="majorHAnsi"/>
          <w:noProof/>
          <w:sz w:val="20"/>
          <w:szCs w:val="28"/>
          <w:lang w:val="en-US"/>
        </w:rPr>
        <w:tab/>
        <w:t xml:space="preserve">İ. Kocaman, E. Eroğlu, M. E. Yıldız, M. A. Yıldız, Ö. Mercimek, and S. Çetin, “Reinforced concrete interventions on the collapse mechanism of historical masonry structures with detailed finite element analyses: Kabasakal Mosque,” </w:t>
      </w:r>
      <w:r w:rsidRPr="00E64BB9">
        <w:rPr>
          <w:rFonts w:asciiTheme="majorHAnsi" w:hAnsiTheme="majorHAnsi" w:cstheme="majorHAnsi"/>
          <w:i/>
          <w:iCs/>
          <w:noProof/>
          <w:sz w:val="20"/>
          <w:szCs w:val="28"/>
          <w:lang w:val="en-US"/>
        </w:rPr>
        <w:t>Engineering Failure Analysis</w:t>
      </w:r>
      <w:r w:rsidRPr="00E64BB9">
        <w:rPr>
          <w:rFonts w:asciiTheme="majorHAnsi" w:hAnsiTheme="majorHAnsi" w:cstheme="majorHAnsi"/>
          <w:noProof/>
          <w:sz w:val="20"/>
          <w:szCs w:val="28"/>
          <w:lang w:val="en-US"/>
        </w:rPr>
        <w:t>, vol. 174, p. 109504, Jun. 2025, doi: 10.1016/j.engfailanal.2025.109504.</w:t>
      </w:r>
    </w:p>
    <w:p w14:paraId="31527AEF"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[13]</w:t>
      </w:r>
      <w:r w:rsidRPr="00E64BB9">
        <w:rPr>
          <w:rFonts w:asciiTheme="majorHAnsi" w:hAnsiTheme="majorHAnsi" w:cstheme="majorHAnsi"/>
          <w:noProof/>
          <w:sz w:val="20"/>
          <w:szCs w:val="28"/>
          <w:lang w:val="en-US"/>
        </w:rPr>
        <w:tab/>
        <w:t xml:space="preserve">H. Sung, M. A. Hager, and R. Kushner, </w:t>
      </w:r>
      <w:r w:rsidRPr="00E64BB9">
        <w:rPr>
          <w:rFonts w:asciiTheme="majorHAnsi" w:hAnsiTheme="majorHAnsi" w:cstheme="majorHAnsi"/>
          <w:i/>
          <w:iCs/>
          <w:noProof/>
          <w:sz w:val="20"/>
          <w:szCs w:val="28"/>
          <w:lang w:val="en-US"/>
        </w:rPr>
        <w:t>Exploring the dimensional structure of the arts in communities</w:t>
      </w:r>
      <w:r w:rsidRPr="00E64BB9">
        <w:rPr>
          <w:rFonts w:asciiTheme="majorHAnsi" w:hAnsiTheme="majorHAnsi" w:cstheme="majorHAnsi"/>
          <w:noProof/>
          <w:sz w:val="20"/>
          <w:szCs w:val="28"/>
          <w:lang w:val="en-US"/>
        </w:rPr>
        <w:t>. Routledge, 2020. Accessed: Aug. 02, 2025. [Online]. Available: https://jstor.org/stable/community.31966876</w:t>
      </w:r>
    </w:p>
    <w:p w14:paraId="4442F851"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[14]</w:t>
      </w:r>
      <w:r w:rsidRPr="00E64BB9">
        <w:rPr>
          <w:rFonts w:asciiTheme="majorHAnsi" w:hAnsiTheme="majorHAnsi" w:cstheme="majorHAnsi"/>
          <w:noProof/>
          <w:sz w:val="20"/>
          <w:szCs w:val="28"/>
          <w:lang w:val="en-US"/>
        </w:rPr>
        <w:tab/>
        <w:t xml:space="preserve">D. Crystal, </w:t>
      </w:r>
      <w:r w:rsidRPr="00E64BB9">
        <w:rPr>
          <w:rFonts w:asciiTheme="majorHAnsi" w:hAnsiTheme="majorHAnsi" w:cstheme="majorHAnsi"/>
          <w:i/>
          <w:iCs/>
          <w:noProof/>
          <w:sz w:val="20"/>
          <w:szCs w:val="28"/>
          <w:lang w:val="en-US"/>
        </w:rPr>
        <w:t>The Cambridge Encyclopedia of the English Language</w:t>
      </w:r>
      <w:r w:rsidRPr="00E64BB9">
        <w:rPr>
          <w:rFonts w:asciiTheme="majorHAnsi" w:hAnsiTheme="majorHAnsi" w:cstheme="majorHAnsi"/>
          <w:noProof/>
          <w:sz w:val="20"/>
          <w:szCs w:val="28"/>
          <w:lang w:val="en-US"/>
        </w:rPr>
        <w:t>. Cambridge University Press, 2003.</w:t>
      </w:r>
    </w:p>
    <w:p w14:paraId="583D1EEE"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lastRenderedPageBreak/>
        <w:t>[15]</w:t>
      </w:r>
      <w:r w:rsidRPr="00E64BB9">
        <w:rPr>
          <w:rFonts w:asciiTheme="majorHAnsi" w:hAnsiTheme="majorHAnsi" w:cstheme="majorHAnsi"/>
          <w:noProof/>
          <w:sz w:val="20"/>
          <w:szCs w:val="28"/>
          <w:lang w:val="en-US"/>
        </w:rPr>
        <w:tab/>
        <w:t xml:space="preserve">L. S. Vygotsky and M. Cole, </w:t>
      </w:r>
      <w:r w:rsidRPr="00E64BB9">
        <w:rPr>
          <w:rFonts w:asciiTheme="majorHAnsi" w:hAnsiTheme="majorHAnsi" w:cstheme="majorHAnsi"/>
          <w:i/>
          <w:iCs/>
          <w:noProof/>
          <w:sz w:val="20"/>
          <w:szCs w:val="28"/>
          <w:lang w:val="en-US"/>
        </w:rPr>
        <w:t>Mind in Society: Development of Higher Psychological Processes</w:t>
      </w:r>
      <w:r w:rsidRPr="00E64BB9">
        <w:rPr>
          <w:rFonts w:asciiTheme="majorHAnsi" w:hAnsiTheme="majorHAnsi" w:cstheme="majorHAnsi"/>
          <w:noProof/>
          <w:sz w:val="20"/>
          <w:szCs w:val="28"/>
          <w:lang w:val="en-US"/>
        </w:rPr>
        <w:t>. Harvard University Press, 1978.</w:t>
      </w:r>
    </w:p>
    <w:p w14:paraId="3BD872B1"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[16]</w:t>
      </w:r>
      <w:r w:rsidRPr="00E64BB9">
        <w:rPr>
          <w:rFonts w:asciiTheme="majorHAnsi" w:hAnsiTheme="majorHAnsi" w:cstheme="majorHAnsi"/>
          <w:noProof/>
          <w:sz w:val="20"/>
          <w:szCs w:val="28"/>
          <w:lang w:val="en-US"/>
        </w:rPr>
        <w:tab/>
        <w:t xml:space="preserve">J. Kęsik, M. Milosz, J. Montusiewicz, and K. Samarov, “Documenting the geometry of large architectural monuments using 3D scanning – the case of the dome of the Golden Mosque of the Tillya-Kori Madrasah in Samarkand,” </w:t>
      </w:r>
      <w:r w:rsidRPr="00E64BB9">
        <w:rPr>
          <w:rFonts w:asciiTheme="majorHAnsi" w:hAnsiTheme="majorHAnsi" w:cstheme="majorHAnsi"/>
          <w:i/>
          <w:iCs/>
          <w:noProof/>
          <w:sz w:val="20"/>
          <w:szCs w:val="28"/>
          <w:lang w:val="en-US"/>
        </w:rPr>
        <w:t>Digital Applications in Archaeology and Cultural Heritage</w:t>
      </w:r>
      <w:r w:rsidRPr="00E64BB9">
        <w:rPr>
          <w:rFonts w:asciiTheme="majorHAnsi" w:hAnsiTheme="majorHAnsi" w:cstheme="majorHAnsi"/>
          <w:noProof/>
          <w:sz w:val="20"/>
          <w:szCs w:val="28"/>
          <w:lang w:val="en-US"/>
        </w:rPr>
        <w:t>, vol. 22, p. e00199, Sep. 2021, doi: 10.1016/j.daach.2021.e00199.</w:t>
      </w:r>
    </w:p>
    <w:p w14:paraId="79B4CF28"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[17]</w:t>
      </w:r>
      <w:r w:rsidRPr="00E64BB9">
        <w:rPr>
          <w:rFonts w:asciiTheme="majorHAnsi" w:hAnsiTheme="majorHAnsi" w:cstheme="majorHAnsi"/>
          <w:noProof/>
          <w:sz w:val="20"/>
          <w:szCs w:val="28"/>
          <w:lang w:val="en-US"/>
        </w:rPr>
        <w:tab/>
        <w:t xml:space="preserve">S. B. Amin, M. K. Khandaker, B. I. Samia, F. Khan, and F. Taghizadeh-Hesary, “Fostering sustainable tourism through digital innovation and green tourism initiatives in Bangladesh,” </w:t>
      </w:r>
      <w:r w:rsidRPr="00E64BB9">
        <w:rPr>
          <w:rFonts w:asciiTheme="majorHAnsi" w:hAnsiTheme="majorHAnsi" w:cstheme="majorHAnsi"/>
          <w:i/>
          <w:iCs/>
          <w:noProof/>
          <w:sz w:val="20"/>
          <w:szCs w:val="28"/>
          <w:lang w:val="en-US"/>
        </w:rPr>
        <w:t>Sustainable Futures</w:t>
      </w:r>
      <w:r w:rsidRPr="00E64BB9">
        <w:rPr>
          <w:rFonts w:asciiTheme="majorHAnsi" w:hAnsiTheme="majorHAnsi" w:cstheme="majorHAnsi"/>
          <w:noProof/>
          <w:sz w:val="20"/>
          <w:szCs w:val="28"/>
          <w:lang w:val="en-US"/>
        </w:rPr>
        <w:t>, vol. 10, p. 100841, Dec. 2025, doi: 10.1016/j.sftr.2025.100841.</w:t>
      </w:r>
    </w:p>
    <w:p w14:paraId="287C3016"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[18]</w:t>
      </w:r>
      <w:r w:rsidRPr="00E64BB9">
        <w:rPr>
          <w:rFonts w:asciiTheme="majorHAnsi" w:hAnsiTheme="majorHAnsi" w:cstheme="majorHAnsi"/>
          <w:noProof/>
          <w:sz w:val="20"/>
          <w:szCs w:val="28"/>
          <w:lang w:val="en-US"/>
        </w:rPr>
        <w:tab/>
        <w:t xml:space="preserve">N. Ibadi and E. A. Hardi, “Is Human Trafficking’s Victim Receive Zakat as Riqab?: Zakat Distribution at East Java Philanthropic Organizations,” </w:t>
      </w:r>
      <w:r w:rsidRPr="00E64BB9">
        <w:rPr>
          <w:rFonts w:asciiTheme="majorHAnsi" w:hAnsiTheme="majorHAnsi" w:cstheme="majorHAnsi"/>
          <w:i/>
          <w:iCs/>
          <w:noProof/>
          <w:sz w:val="20"/>
          <w:szCs w:val="28"/>
          <w:lang w:val="en-US"/>
        </w:rPr>
        <w:t>Al-Risalah: Forum Kajian Hukum dan Sosial Kemasyarakatan</w:t>
      </w:r>
      <w:r w:rsidRPr="00E64BB9">
        <w:rPr>
          <w:rFonts w:asciiTheme="majorHAnsi" w:hAnsiTheme="majorHAnsi" w:cstheme="majorHAnsi"/>
          <w:noProof/>
          <w:sz w:val="20"/>
          <w:szCs w:val="28"/>
          <w:lang w:val="en-US"/>
        </w:rPr>
        <w:t>, vol. 22, no. 1, Art. no. 1, Jun. 2022, doi: 10.30631/alrisalah.v22i1.1210.</w:t>
      </w:r>
    </w:p>
    <w:p w14:paraId="3F4D8DE4"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[19]</w:t>
      </w:r>
      <w:r w:rsidRPr="00E64BB9">
        <w:rPr>
          <w:rFonts w:asciiTheme="majorHAnsi" w:hAnsiTheme="majorHAnsi" w:cstheme="majorHAnsi"/>
          <w:noProof/>
          <w:sz w:val="20"/>
          <w:szCs w:val="28"/>
          <w:lang w:val="en-US"/>
        </w:rPr>
        <w:tab/>
        <w:t xml:space="preserve">A. P. Purwatiningsih, “Analysis of the Indonesian People Digital Philanthropic Behavior During the Pandemic Based on Income Levels,” </w:t>
      </w:r>
      <w:r w:rsidRPr="00E64BB9">
        <w:rPr>
          <w:rFonts w:asciiTheme="majorHAnsi" w:hAnsiTheme="majorHAnsi" w:cstheme="majorHAnsi"/>
          <w:i/>
          <w:iCs/>
          <w:noProof/>
          <w:sz w:val="20"/>
          <w:szCs w:val="28"/>
          <w:lang w:val="en-US"/>
        </w:rPr>
        <w:t>International Conference on Islamic Studies (ICIS)</w:t>
      </w:r>
      <w:r w:rsidRPr="00E64BB9">
        <w:rPr>
          <w:rFonts w:asciiTheme="majorHAnsi" w:hAnsiTheme="majorHAnsi" w:cstheme="majorHAnsi"/>
          <w:noProof/>
          <w:sz w:val="20"/>
          <w:szCs w:val="28"/>
          <w:lang w:val="en-US"/>
        </w:rPr>
        <w:t>, pp. 283–301, 2021.</w:t>
      </w:r>
    </w:p>
    <w:p w14:paraId="1D492BC3"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[20]</w:t>
      </w:r>
      <w:r w:rsidRPr="00E64BB9">
        <w:rPr>
          <w:rFonts w:asciiTheme="majorHAnsi" w:hAnsiTheme="majorHAnsi" w:cstheme="majorHAnsi"/>
          <w:noProof/>
          <w:sz w:val="20"/>
          <w:szCs w:val="28"/>
          <w:lang w:val="en-US"/>
        </w:rPr>
        <w:tab/>
        <w:t xml:space="preserve">N. A. Azmi and S. H. Ibrahim, “A comprehensive review on thermal performance and envelope thermal design of mosque buildings,” </w:t>
      </w:r>
      <w:r w:rsidRPr="00E64BB9">
        <w:rPr>
          <w:rFonts w:asciiTheme="majorHAnsi" w:hAnsiTheme="majorHAnsi" w:cstheme="majorHAnsi"/>
          <w:i/>
          <w:iCs/>
          <w:noProof/>
          <w:sz w:val="20"/>
          <w:szCs w:val="28"/>
          <w:lang w:val="en-US"/>
        </w:rPr>
        <w:t>Building and Environment</w:t>
      </w:r>
      <w:r w:rsidRPr="00E64BB9">
        <w:rPr>
          <w:rFonts w:asciiTheme="majorHAnsi" w:hAnsiTheme="majorHAnsi" w:cstheme="majorHAnsi"/>
          <w:noProof/>
          <w:sz w:val="20"/>
          <w:szCs w:val="28"/>
          <w:lang w:val="en-US"/>
        </w:rPr>
        <w:t>, vol. 185, p. 107305, Nov. 2020, doi: 10.1016/j.buildenv.2020.107305.</w:t>
      </w:r>
    </w:p>
    <w:p w14:paraId="1B2099B4"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[21]</w:t>
      </w:r>
      <w:r w:rsidRPr="00E64BB9">
        <w:rPr>
          <w:rFonts w:asciiTheme="majorHAnsi" w:hAnsiTheme="majorHAnsi" w:cstheme="majorHAnsi"/>
          <w:noProof/>
          <w:sz w:val="20"/>
          <w:szCs w:val="28"/>
          <w:lang w:val="en-US"/>
        </w:rPr>
        <w:tab/>
        <w:t xml:space="preserve">J. Gehl, </w:t>
      </w:r>
      <w:r w:rsidRPr="00E64BB9">
        <w:rPr>
          <w:rFonts w:asciiTheme="majorHAnsi" w:hAnsiTheme="majorHAnsi" w:cstheme="majorHAnsi"/>
          <w:i/>
          <w:iCs/>
          <w:noProof/>
          <w:sz w:val="20"/>
          <w:szCs w:val="28"/>
          <w:lang w:val="en-US"/>
        </w:rPr>
        <w:t>Life Between Buildings: Using Public Space</w:t>
      </w:r>
      <w:r w:rsidRPr="00E64BB9">
        <w:rPr>
          <w:rFonts w:asciiTheme="majorHAnsi" w:hAnsiTheme="majorHAnsi" w:cstheme="majorHAnsi"/>
          <w:noProof/>
          <w:sz w:val="20"/>
          <w:szCs w:val="28"/>
          <w:lang w:val="en-US"/>
        </w:rPr>
        <w:t>. Van Nostrand Reinhold, 1987.</w:t>
      </w:r>
    </w:p>
    <w:p w14:paraId="4CB55B44"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[22]</w:t>
      </w:r>
      <w:r w:rsidRPr="00E64BB9">
        <w:rPr>
          <w:rFonts w:asciiTheme="majorHAnsi" w:hAnsiTheme="majorHAnsi" w:cstheme="majorHAnsi"/>
          <w:noProof/>
          <w:sz w:val="20"/>
          <w:szCs w:val="28"/>
          <w:lang w:val="en-US"/>
        </w:rPr>
        <w:tab/>
        <w:t xml:space="preserve">E. S. H. Larsen, D. H. Haneberg, and S. Lakså, “Revealing three anomalies: Extending Kolb educator roles profile in experiential entrepreneurship education,” </w:t>
      </w:r>
      <w:r w:rsidRPr="00E64BB9">
        <w:rPr>
          <w:rFonts w:asciiTheme="majorHAnsi" w:hAnsiTheme="majorHAnsi" w:cstheme="majorHAnsi"/>
          <w:i/>
          <w:iCs/>
          <w:noProof/>
          <w:sz w:val="20"/>
          <w:szCs w:val="28"/>
          <w:lang w:val="en-US"/>
        </w:rPr>
        <w:t>The International Journal of Management Education</w:t>
      </w:r>
      <w:r w:rsidRPr="00E64BB9">
        <w:rPr>
          <w:rFonts w:asciiTheme="majorHAnsi" w:hAnsiTheme="majorHAnsi" w:cstheme="majorHAnsi"/>
          <w:noProof/>
          <w:sz w:val="20"/>
          <w:szCs w:val="28"/>
          <w:lang w:val="en-US"/>
        </w:rPr>
        <w:t>, vol. 22, no. 3, p. 101048, Nov. 2024, doi: 10.1016/j.ijme.2024.101048.</w:t>
      </w:r>
    </w:p>
    <w:p w14:paraId="647B277A"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[23]</w:t>
      </w:r>
      <w:r w:rsidRPr="00E64BB9">
        <w:rPr>
          <w:rFonts w:asciiTheme="majorHAnsi" w:hAnsiTheme="majorHAnsi" w:cstheme="majorHAnsi"/>
          <w:noProof/>
          <w:sz w:val="20"/>
          <w:szCs w:val="28"/>
          <w:lang w:val="en-US"/>
        </w:rPr>
        <w:tab/>
        <w:t xml:space="preserve">M. Daniels, M. P. O’Brien, Y. Costin, and D. M. Slattery, “Global perspectives, local Impact: Facilitating responsible management learning outcomes through international experiential learning,” </w:t>
      </w:r>
      <w:r w:rsidRPr="00E64BB9">
        <w:rPr>
          <w:rFonts w:asciiTheme="majorHAnsi" w:hAnsiTheme="majorHAnsi" w:cstheme="majorHAnsi"/>
          <w:i/>
          <w:iCs/>
          <w:noProof/>
          <w:sz w:val="20"/>
          <w:szCs w:val="28"/>
          <w:lang w:val="en-US"/>
        </w:rPr>
        <w:t>The International Journal of Management Education</w:t>
      </w:r>
      <w:r w:rsidRPr="00E64BB9">
        <w:rPr>
          <w:rFonts w:asciiTheme="majorHAnsi" w:hAnsiTheme="majorHAnsi" w:cstheme="majorHAnsi"/>
          <w:noProof/>
          <w:sz w:val="20"/>
          <w:szCs w:val="28"/>
          <w:lang w:val="en-US"/>
        </w:rPr>
        <w:t>, vol. 23, no. 3, p. 101243, Dec. 2025, doi: 10.1016/j.ijme.2025.101243.</w:t>
      </w:r>
    </w:p>
    <w:p w14:paraId="63A6631D"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[24]</w:t>
      </w:r>
      <w:r w:rsidRPr="00E64BB9">
        <w:rPr>
          <w:rFonts w:asciiTheme="majorHAnsi" w:hAnsiTheme="majorHAnsi" w:cstheme="majorHAnsi"/>
          <w:noProof/>
          <w:sz w:val="20"/>
          <w:szCs w:val="28"/>
          <w:lang w:val="en-US"/>
        </w:rPr>
        <w:tab/>
        <w:t xml:space="preserve">J. E. Díaz-Vera, “The situatedness of aesthetic emotions: a review of the literature and a proposal for its study in variationist linguistics,” </w:t>
      </w:r>
      <w:r w:rsidRPr="00E64BB9">
        <w:rPr>
          <w:rFonts w:asciiTheme="majorHAnsi" w:hAnsiTheme="majorHAnsi" w:cstheme="majorHAnsi"/>
          <w:i/>
          <w:iCs/>
          <w:noProof/>
          <w:sz w:val="20"/>
          <w:szCs w:val="28"/>
          <w:lang w:val="en-US"/>
        </w:rPr>
        <w:t>Language Sciences</w:t>
      </w:r>
      <w:r w:rsidRPr="00E64BB9">
        <w:rPr>
          <w:rFonts w:asciiTheme="majorHAnsi" w:hAnsiTheme="majorHAnsi" w:cstheme="majorHAnsi"/>
          <w:noProof/>
          <w:sz w:val="20"/>
          <w:szCs w:val="28"/>
          <w:lang w:val="en-US"/>
        </w:rPr>
        <w:t>, vol. 111, p. 101744, Sep. 2025, doi: 10.1016/j.langsci.2025.101744.</w:t>
      </w:r>
    </w:p>
    <w:p w14:paraId="013529AE"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[25]</w:t>
      </w:r>
      <w:r w:rsidRPr="00E64BB9">
        <w:rPr>
          <w:rFonts w:asciiTheme="majorHAnsi" w:hAnsiTheme="majorHAnsi" w:cstheme="majorHAnsi"/>
          <w:noProof/>
          <w:sz w:val="20"/>
          <w:szCs w:val="28"/>
          <w:lang w:val="en-US"/>
        </w:rPr>
        <w:tab/>
        <w:t xml:space="preserve">F. Vafaie, H. Remøy, and V. Gruis, “Adaptive reuse of heritage buildings; a systematic literature review of success factors,” </w:t>
      </w:r>
      <w:r w:rsidRPr="00E64BB9">
        <w:rPr>
          <w:rFonts w:asciiTheme="majorHAnsi" w:hAnsiTheme="majorHAnsi" w:cstheme="majorHAnsi"/>
          <w:i/>
          <w:iCs/>
          <w:noProof/>
          <w:sz w:val="20"/>
          <w:szCs w:val="28"/>
          <w:lang w:val="en-US"/>
        </w:rPr>
        <w:t>Habitat International</w:t>
      </w:r>
      <w:r w:rsidRPr="00E64BB9">
        <w:rPr>
          <w:rFonts w:asciiTheme="majorHAnsi" w:hAnsiTheme="majorHAnsi" w:cstheme="majorHAnsi"/>
          <w:noProof/>
          <w:sz w:val="20"/>
          <w:szCs w:val="28"/>
          <w:lang w:val="en-US"/>
        </w:rPr>
        <w:t>, vol. 142, p. 102926, Dec. 2023, doi: 10.1016/j.habitatint.2023.102926.</w:t>
      </w:r>
    </w:p>
    <w:p w14:paraId="6F8C9907"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[26]</w:t>
      </w:r>
      <w:r w:rsidRPr="00E64BB9">
        <w:rPr>
          <w:rFonts w:asciiTheme="majorHAnsi" w:hAnsiTheme="majorHAnsi" w:cstheme="majorHAnsi"/>
          <w:noProof/>
          <w:sz w:val="20"/>
          <w:szCs w:val="28"/>
          <w:lang w:val="en-US"/>
        </w:rPr>
        <w:tab/>
        <w:t xml:space="preserve">A. Çelik </w:t>
      </w:r>
      <w:r w:rsidRPr="00E64BB9">
        <w:rPr>
          <w:rFonts w:asciiTheme="majorHAnsi" w:hAnsiTheme="majorHAnsi" w:cstheme="majorHAnsi"/>
          <w:i/>
          <w:iCs/>
          <w:noProof/>
          <w:sz w:val="20"/>
          <w:szCs w:val="28"/>
          <w:lang w:val="en-US"/>
        </w:rPr>
        <w:t>et al.</w:t>
      </w:r>
      <w:r w:rsidRPr="00E64BB9">
        <w:rPr>
          <w:rFonts w:asciiTheme="majorHAnsi" w:hAnsiTheme="majorHAnsi" w:cstheme="majorHAnsi"/>
          <w:noProof/>
          <w:sz w:val="20"/>
          <w:szCs w:val="28"/>
          <w:lang w:val="en-US"/>
        </w:rPr>
        <w:t xml:space="preserve">, “Understanding roots of failure of historical Ottoman monumental buildings by means of advanced finite element modelling: The effect of the 1939 Erzincan earthquake on Nafiz Pasha Bath-house and Izzet Pasha Mosque,” </w:t>
      </w:r>
      <w:r w:rsidRPr="00E64BB9">
        <w:rPr>
          <w:rFonts w:asciiTheme="majorHAnsi" w:hAnsiTheme="majorHAnsi" w:cstheme="majorHAnsi"/>
          <w:i/>
          <w:iCs/>
          <w:noProof/>
          <w:sz w:val="20"/>
          <w:szCs w:val="28"/>
          <w:lang w:val="en-US"/>
        </w:rPr>
        <w:t>Engineering Failure Analysis</w:t>
      </w:r>
      <w:r w:rsidRPr="00E64BB9">
        <w:rPr>
          <w:rFonts w:asciiTheme="majorHAnsi" w:hAnsiTheme="majorHAnsi" w:cstheme="majorHAnsi"/>
          <w:noProof/>
          <w:sz w:val="20"/>
          <w:szCs w:val="28"/>
          <w:lang w:val="en-US"/>
        </w:rPr>
        <w:t>, vol. 179, p. 109811, Sep. 2025, doi: 10.1016/j.engfailanal.2025.109811.</w:t>
      </w:r>
    </w:p>
    <w:p w14:paraId="7FD790CF"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[27]</w:t>
      </w:r>
      <w:r w:rsidRPr="00E64BB9">
        <w:rPr>
          <w:rFonts w:asciiTheme="majorHAnsi" w:hAnsiTheme="majorHAnsi" w:cstheme="majorHAnsi"/>
          <w:noProof/>
          <w:sz w:val="20"/>
          <w:szCs w:val="28"/>
          <w:lang w:val="en-US"/>
        </w:rPr>
        <w:tab/>
        <w:t xml:space="preserve">C. Liu, J. Li, S. Mi, and Z. Zhang, “Rethinking perceived destination aesthetic quality: Formative measurement development and validation in the rural tourism context,” </w:t>
      </w:r>
      <w:r w:rsidRPr="00E64BB9">
        <w:rPr>
          <w:rFonts w:asciiTheme="majorHAnsi" w:hAnsiTheme="majorHAnsi" w:cstheme="majorHAnsi"/>
          <w:i/>
          <w:iCs/>
          <w:noProof/>
          <w:sz w:val="20"/>
          <w:szCs w:val="28"/>
          <w:lang w:val="en-US"/>
        </w:rPr>
        <w:t>Journal of Destination Marketing &amp; Management</w:t>
      </w:r>
      <w:r w:rsidRPr="00E64BB9">
        <w:rPr>
          <w:rFonts w:asciiTheme="majorHAnsi" w:hAnsiTheme="majorHAnsi" w:cstheme="majorHAnsi"/>
          <w:noProof/>
          <w:sz w:val="20"/>
          <w:szCs w:val="28"/>
          <w:lang w:val="en-US"/>
        </w:rPr>
        <w:t>, vol. 38, p. 101035, Dec. 2025, doi: 10.1016/j.jdmm.2025.101035.</w:t>
      </w:r>
    </w:p>
    <w:p w14:paraId="0BDB56E7"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[28]</w:t>
      </w:r>
      <w:r w:rsidRPr="00E64BB9">
        <w:rPr>
          <w:rFonts w:asciiTheme="majorHAnsi" w:hAnsiTheme="majorHAnsi" w:cstheme="majorHAnsi"/>
          <w:noProof/>
          <w:sz w:val="20"/>
          <w:szCs w:val="28"/>
          <w:lang w:val="en-US"/>
        </w:rPr>
        <w:tab/>
        <w:t xml:space="preserve">P. Zhu, X. Chi, H. B. Ryu, and H. Han, “Experience economy and authenticity in the heritage tourism sector: A multiple-dimensional approach,” </w:t>
      </w:r>
      <w:r w:rsidRPr="00E64BB9">
        <w:rPr>
          <w:rFonts w:asciiTheme="majorHAnsi" w:hAnsiTheme="majorHAnsi" w:cstheme="majorHAnsi"/>
          <w:i/>
          <w:iCs/>
          <w:noProof/>
          <w:sz w:val="20"/>
          <w:szCs w:val="28"/>
          <w:lang w:val="en-US"/>
        </w:rPr>
        <w:t>Acta Psychologica</w:t>
      </w:r>
      <w:r w:rsidRPr="00E64BB9">
        <w:rPr>
          <w:rFonts w:asciiTheme="majorHAnsi" w:hAnsiTheme="majorHAnsi" w:cstheme="majorHAnsi"/>
          <w:noProof/>
          <w:sz w:val="20"/>
          <w:szCs w:val="28"/>
          <w:lang w:val="en-US"/>
        </w:rPr>
        <w:t>, vol. 257, p. 105118, Jul. 2025, doi: 10.1016/j.actpsy.2025.105118.</w:t>
      </w:r>
    </w:p>
    <w:p w14:paraId="78A19F93"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[29]</w:t>
      </w:r>
      <w:r w:rsidRPr="00E64BB9">
        <w:rPr>
          <w:rFonts w:asciiTheme="majorHAnsi" w:hAnsiTheme="majorHAnsi" w:cstheme="majorHAnsi"/>
          <w:noProof/>
          <w:sz w:val="20"/>
          <w:szCs w:val="28"/>
          <w:lang w:val="en-US"/>
        </w:rPr>
        <w:tab/>
        <w:t xml:space="preserve">A. M. Elshurafa, A. M. Alsubaie, A. A. Alabduljabbar, and S. A. Al-Hsaien, “Solar PV on mosque rooftops: Results from a pilot study in Saudi Arabia,” </w:t>
      </w:r>
      <w:r w:rsidRPr="00E64BB9">
        <w:rPr>
          <w:rFonts w:asciiTheme="majorHAnsi" w:hAnsiTheme="majorHAnsi" w:cstheme="majorHAnsi"/>
          <w:i/>
          <w:iCs/>
          <w:noProof/>
          <w:sz w:val="20"/>
          <w:szCs w:val="28"/>
          <w:lang w:val="en-US"/>
        </w:rPr>
        <w:t>Journal of Building Engineering</w:t>
      </w:r>
      <w:r w:rsidRPr="00E64BB9">
        <w:rPr>
          <w:rFonts w:asciiTheme="majorHAnsi" w:hAnsiTheme="majorHAnsi" w:cstheme="majorHAnsi"/>
          <w:noProof/>
          <w:sz w:val="20"/>
          <w:szCs w:val="28"/>
          <w:lang w:val="en-US"/>
        </w:rPr>
        <w:t>, vol. 25, p. 100809, Sep. 2019, doi: 10.1016/j.jobe.2019.100809.</w:t>
      </w:r>
    </w:p>
    <w:p w14:paraId="6B73CB6D"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[30]</w:t>
      </w:r>
      <w:r w:rsidRPr="00E64BB9">
        <w:rPr>
          <w:rFonts w:asciiTheme="majorHAnsi" w:hAnsiTheme="majorHAnsi" w:cstheme="majorHAnsi"/>
          <w:noProof/>
          <w:sz w:val="20"/>
          <w:szCs w:val="28"/>
          <w:lang w:val="en-US"/>
        </w:rPr>
        <w:tab/>
        <w:t xml:space="preserve">S.-H. Tsaur and Y.-S. Lin, “Tourist spiritual experience: A scale development and empirical study,” </w:t>
      </w:r>
      <w:r w:rsidRPr="00E64BB9">
        <w:rPr>
          <w:rFonts w:asciiTheme="majorHAnsi" w:hAnsiTheme="majorHAnsi" w:cstheme="majorHAnsi"/>
          <w:i/>
          <w:iCs/>
          <w:noProof/>
          <w:sz w:val="20"/>
          <w:szCs w:val="28"/>
          <w:lang w:val="en-US"/>
        </w:rPr>
        <w:t>Tourism Management Perspectives</w:t>
      </w:r>
      <w:r w:rsidRPr="00E64BB9">
        <w:rPr>
          <w:rFonts w:asciiTheme="majorHAnsi" w:hAnsiTheme="majorHAnsi" w:cstheme="majorHAnsi"/>
          <w:noProof/>
          <w:sz w:val="20"/>
          <w:szCs w:val="28"/>
          <w:lang w:val="en-US"/>
        </w:rPr>
        <w:t>, vol. 58, p. 101394, Sep. 2025, doi: 10.1016/j.tmp.2025.101394.</w:t>
      </w:r>
    </w:p>
    <w:p w14:paraId="54500CB5"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[31]</w:t>
      </w:r>
      <w:r w:rsidRPr="00E64BB9">
        <w:rPr>
          <w:rFonts w:asciiTheme="majorHAnsi" w:hAnsiTheme="majorHAnsi" w:cstheme="majorHAnsi"/>
          <w:noProof/>
          <w:sz w:val="20"/>
          <w:szCs w:val="28"/>
          <w:lang w:val="en-US"/>
        </w:rPr>
        <w:tab/>
        <w:t xml:space="preserve">İ. Şahin and F. Ö. Güzel, “Dimensions of spirituality in tourism: Developing the spiritual tourism experience scale (STES),” </w:t>
      </w:r>
      <w:r w:rsidRPr="00E64BB9">
        <w:rPr>
          <w:rFonts w:asciiTheme="majorHAnsi" w:hAnsiTheme="majorHAnsi" w:cstheme="majorHAnsi"/>
          <w:i/>
          <w:iCs/>
          <w:noProof/>
          <w:sz w:val="20"/>
          <w:szCs w:val="28"/>
          <w:lang w:val="en-US"/>
        </w:rPr>
        <w:t>Journal of Destination Marketing &amp; Management</w:t>
      </w:r>
      <w:r w:rsidRPr="00E64BB9">
        <w:rPr>
          <w:rFonts w:asciiTheme="majorHAnsi" w:hAnsiTheme="majorHAnsi" w:cstheme="majorHAnsi"/>
          <w:noProof/>
          <w:sz w:val="20"/>
          <w:szCs w:val="28"/>
          <w:lang w:val="en-US"/>
        </w:rPr>
        <w:t>, vol. 34, p. 100955, Dec. 2024, doi: 10.1016/j.jdmm.2024.100955.</w:t>
      </w:r>
    </w:p>
    <w:p w14:paraId="1E045C30" w14:textId="77777777" w:rsidR="00E64BB9" w:rsidRPr="00E64BB9" w:rsidRDefault="00E64BB9" w:rsidP="00E64BB9">
      <w:pPr>
        <w:widowControl w:val="0"/>
        <w:autoSpaceDE w:val="0"/>
        <w:autoSpaceDN w:val="0"/>
        <w:adjustRightInd w:val="0"/>
        <w:spacing w:before="20" w:after="20"/>
        <w:ind w:left="709" w:hanging="425"/>
        <w:jc w:val="both"/>
        <w:rPr>
          <w:rFonts w:asciiTheme="majorHAnsi" w:hAnsiTheme="majorHAnsi" w:cstheme="majorHAnsi"/>
          <w:noProof/>
          <w:sz w:val="20"/>
          <w:szCs w:val="28"/>
          <w:lang w:val="en-US"/>
        </w:rPr>
      </w:pPr>
      <w:r w:rsidRPr="00E64BB9">
        <w:rPr>
          <w:rFonts w:asciiTheme="majorHAnsi" w:hAnsiTheme="majorHAnsi" w:cstheme="majorHAnsi"/>
          <w:noProof/>
          <w:sz w:val="20"/>
          <w:szCs w:val="28"/>
          <w:lang w:val="en-US"/>
        </w:rPr>
        <w:t>[32]</w:t>
      </w:r>
      <w:r w:rsidRPr="00E64BB9">
        <w:rPr>
          <w:rFonts w:asciiTheme="majorHAnsi" w:hAnsiTheme="majorHAnsi" w:cstheme="majorHAnsi"/>
          <w:noProof/>
          <w:sz w:val="20"/>
          <w:szCs w:val="28"/>
          <w:lang w:val="en-US"/>
        </w:rPr>
        <w:tab/>
        <w:t xml:space="preserve">F. Colace, R. Gaeta, A. Lorusso, M. Pellegrino, and D. Santaniello, “New AI challenges for cultural heritage protection: A general overview,” </w:t>
      </w:r>
      <w:r w:rsidRPr="00E64BB9">
        <w:rPr>
          <w:rFonts w:asciiTheme="majorHAnsi" w:hAnsiTheme="majorHAnsi" w:cstheme="majorHAnsi"/>
          <w:i/>
          <w:iCs/>
          <w:noProof/>
          <w:sz w:val="20"/>
          <w:szCs w:val="28"/>
          <w:lang w:val="en-US"/>
        </w:rPr>
        <w:t>Journal of Cultural Heritage</w:t>
      </w:r>
      <w:r w:rsidRPr="00E64BB9">
        <w:rPr>
          <w:rFonts w:asciiTheme="majorHAnsi" w:hAnsiTheme="majorHAnsi" w:cstheme="majorHAnsi"/>
          <w:noProof/>
          <w:sz w:val="20"/>
          <w:szCs w:val="28"/>
          <w:lang w:val="en-US"/>
        </w:rPr>
        <w:t>, vol. 75, pp. 168–193, Sep. 2025, doi: 10.1016/j.culher.2025.07.019.</w:t>
      </w:r>
    </w:p>
    <w:p w14:paraId="34D0241F" w14:textId="30EB5C19" w:rsidR="00605B4D" w:rsidRPr="00477FC8" w:rsidRDefault="00E64BB9" w:rsidP="00805BD7">
      <w:pPr>
        <w:widowControl w:val="0"/>
        <w:autoSpaceDE w:val="0"/>
        <w:autoSpaceDN w:val="0"/>
        <w:adjustRightInd w:val="0"/>
        <w:spacing w:before="20" w:after="20"/>
        <w:ind w:left="709" w:hanging="425"/>
        <w:jc w:val="both"/>
        <w:rPr>
          <w:rFonts w:asciiTheme="majorHAnsi" w:hAnsiTheme="majorHAnsi" w:cstheme="majorHAnsi"/>
          <w:noProof/>
          <w:sz w:val="20"/>
          <w:szCs w:val="20"/>
          <w:lang w:val="id-ID"/>
        </w:rPr>
      </w:pPr>
      <w:r w:rsidRPr="00E64BB9">
        <w:rPr>
          <w:rFonts w:asciiTheme="majorHAnsi" w:hAnsiTheme="majorHAnsi" w:cstheme="majorHAnsi"/>
          <w:noProof/>
          <w:sz w:val="20"/>
          <w:szCs w:val="28"/>
          <w:lang w:val="en-US"/>
        </w:rPr>
        <w:t>[33]</w:t>
      </w:r>
      <w:r w:rsidRPr="00E64BB9">
        <w:rPr>
          <w:rFonts w:asciiTheme="majorHAnsi" w:hAnsiTheme="majorHAnsi" w:cstheme="majorHAnsi"/>
          <w:noProof/>
          <w:sz w:val="20"/>
          <w:szCs w:val="28"/>
          <w:lang w:val="en-US"/>
        </w:rPr>
        <w:tab/>
        <w:t xml:space="preserve">Y. Ge </w:t>
      </w:r>
      <w:r w:rsidRPr="00E64BB9">
        <w:rPr>
          <w:rFonts w:asciiTheme="majorHAnsi" w:hAnsiTheme="majorHAnsi" w:cstheme="majorHAnsi"/>
          <w:i/>
          <w:iCs/>
          <w:noProof/>
          <w:sz w:val="20"/>
          <w:szCs w:val="28"/>
          <w:lang w:val="en-US"/>
        </w:rPr>
        <w:t>et al.</w:t>
      </w:r>
      <w:r w:rsidRPr="00E64BB9">
        <w:rPr>
          <w:rFonts w:asciiTheme="majorHAnsi" w:hAnsiTheme="majorHAnsi" w:cstheme="majorHAnsi"/>
          <w:noProof/>
          <w:sz w:val="20"/>
          <w:szCs w:val="28"/>
          <w:lang w:val="en-US"/>
        </w:rPr>
        <w:t xml:space="preserve">, “Spatial identification and corridor network analysis of cultural heritage based on multi-model fusion: A case study of western Henan,” </w:t>
      </w:r>
      <w:r w:rsidRPr="00E64BB9">
        <w:rPr>
          <w:rFonts w:asciiTheme="majorHAnsi" w:hAnsiTheme="majorHAnsi" w:cstheme="majorHAnsi"/>
          <w:i/>
          <w:iCs/>
          <w:noProof/>
          <w:sz w:val="20"/>
          <w:szCs w:val="28"/>
          <w:lang w:val="en-US"/>
        </w:rPr>
        <w:t>Ecological Indicators</w:t>
      </w:r>
      <w:r w:rsidRPr="00E64BB9">
        <w:rPr>
          <w:rFonts w:asciiTheme="majorHAnsi" w:hAnsiTheme="majorHAnsi" w:cstheme="majorHAnsi"/>
          <w:noProof/>
          <w:sz w:val="20"/>
          <w:szCs w:val="28"/>
          <w:lang w:val="en-US"/>
        </w:rPr>
        <w:t>, vol. 178, p. 113859, Sep. 2025, doi: 10.1016/j.ecolind.2025.113859</w:t>
      </w:r>
      <w:r w:rsidR="00477FC8" w:rsidRPr="00477FC8">
        <w:rPr>
          <w:rFonts w:asciiTheme="majorHAnsi" w:hAnsiTheme="majorHAnsi" w:cstheme="majorHAnsi"/>
          <w:sz w:val="20"/>
          <w:szCs w:val="20"/>
          <w:lang w:val="id-ID"/>
        </w:rPr>
        <w:fldChar w:fldCharType="end"/>
      </w:r>
    </w:p>
    <w:sectPr w:rsidR="00605B4D" w:rsidRPr="00477FC8" w:rsidSect="00E64BB9">
      <w:headerReference w:type="even" r:id="rId17"/>
      <w:headerReference w:type="default" r:id="rId18"/>
      <w:footerReference w:type="even" r:id="rId19"/>
      <w:footerReference w:type="default" r:id="rId20"/>
      <w:footerReference w:type="first" r:id="rId21"/>
      <w:pgSz w:w="11906" w:h="16838" w:code="9"/>
      <w:pgMar w:top="1418" w:right="1418" w:bottom="1418" w:left="1418" w:header="709" w:footer="709" w:gutter="0"/>
      <w:pgNumType w:start="108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51E0E" w14:textId="77777777" w:rsidR="00FD6FE2" w:rsidRDefault="00FD6FE2" w:rsidP="001101DA">
      <w:r>
        <w:separator/>
      </w:r>
    </w:p>
  </w:endnote>
  <w:endnote w:type="continuationSeparator" w:id="0">
    <w:p w14:paraId="0478CB6B" w14:textId="77777777" w:rsidR="00FD6FE2" w:rsidRDefault="00FD6FE2"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41EFEDCD"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E64BB9">
          <w:rPr>
            <w:sz w:val="16"/>
            <w:szCs w:val="16"/>
          </w:rPr>
          <w:t>8</w:t>
        </w:r>
        <w:r w:rsidRPr="00920627">
          <w:rPr>
            <w:sz w:val="16"/>
            <w:szCs w:val="16"/>
          </w:rPr>
          <w:t>(4), December 202</w:t>
        </w:r>
        <w:r w:rsidR="00E64BB9">
          <w:rPr>
            <w:sz w:val="16"/>
            <w:szCs w:val="16"/>
          </w:rPr>
          <w:t>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771A4EA2" w:rsidR="001101DA" w:rsidRPr="00920627" w:rsidRDefault="00920627" w:rsidP="00920627">
        <w:pPr>
          <w:pStyle w:val="Footer"/>
          <w:jc w:val="right"/>
          <w:rPr>
            <w:sz w:val="16"/>
            <w:szCs w:val="16"/>
          </w:rPr>
        </w:pPr>
        <w:r w:rsidRPr="00920627">
          <w:rPr>
            <w:sz w:val="16"/>
            <w:szCs w:val="16"/>
          </w:rPr>
          <w:t xml:space="preserve">Journal of Islamic Architecture </w:t>
        </w:r>
        <w:r w:rsidR="00E64BB9">
          <w:rPr>
            <w:sz w:val="16"/>
            <w:szCs w:val="16"/>
          </w:rPr>
          <w:t>8</w:t>
        </w:r>
        <w:r w:rsidRPr="00920627">
          <w:rPr>
            <w:sz w:val="16"/>
            <w:szCs w:val="16"/>
          </w:rPr>
          <w:t>(4), December 202</w:t>
        </w:r>
        <w:r w:rsidR="00E64BB9">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6623B" w14:textId="77777777" w:rsidR="00FD6FE2" w:rsidRDefault="00FD6FE2" w:rsidP="001101DA">
      <w:r>
        <w:separator/>
      </w:r>
    </w:p>
  </w:footnote>
  <w:footnote w:type="continuationSeparator" w:id="0">
    <w:p w14:paraId="04B08F54" w14:textId="77777777" w:rsidR="00FD6FE2" w:rsidRDefault="00FD6FE2"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367EEBF9" w:rsidR="001101DA" w:rsidRPr="001101DA" w:rsidRDefault="00E64BB9" w:rsidP="001101DA">
    <w:pPr>
      <w:pStyle w:val="Header"/>
      <w:rPr>
        <w:sz w:val="16"/>
        <w:szCs w:val="16"/>
      </w:rPr>
    </w:pPr>
    <w:r w:rsidRPr="00E64BB9">
      <w:rPr>
        <w:sz w:val="16"/>
        <w:szCs w:val="16"/>
      </w:rPr>
      <w:t>Digital Integration in Mosque Architecture: QRIS, Visitor Experience, and Cultural Heritage Preservation in Indonesia</w:t>
    </w:r>
    <w:r>
      <w:rPr>
        <w:sz w:val="16"/>
        <w:szCs w:val="16"/>
      </w:rPr>
      <w:t xml:space="preserve"> </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6D224309" w:rsidR="001101DA" w:rsidRPr="001101DA" w:rsidRDefault="00E64BB9" w:rsidP="001101DA">
    <w:pPr>
      <w:pStyle w:val="Header"/>
      <w:jc w:val="right"/>
      <w:rPr>
        <w:sz w:val="16"/>
        <w:szCs w:val="16"/>
      </w:rPr>
    </w:pPr>
    <w:r w:rsidRPr="00E64BB9">
      <w:rPr>
        <w:bCs/>
        <w:sz w:val="16"/>
        <w:szCs w:val="16"/>
      </w:rPr>
      <w:t xml:space="preserve">Haris Maiza Putra, Aji </w:t>
    </w:r>
    <w:proofErr w:type="spellStart"/>
    <w:r w:rsidRPr="00E64BB9">
      <w:rPr>
        <w:bCs/>
        <w:sz w:val="16"/>
        <w:szCs w:val="16"/>
      </w:rPr>
      <w:t>Sofanudin</w:t>
    </w:r>
    <w:proofErr w:type="spellEnd"/>
    <w:r w:rsidRPr="00E64BB9">
      <w:rPr>
        <w:bCs/>
        <w:sz w:val="16"/>
        <w:szCs w:val="16"/>
      </w:rPr>
      <w:t xml:space="preserve">, </w:t>
    </w:r>
    <w:proofErr w:type="spellStart"/>
    <w:r w:rsidRPr="00E64BB9">
      <w:rPr>
        <w:bCs/>
        <w:sz w:val="16"/>
        <w:szCs w:val="16"/>
      </w:rPr>
      <w:t>Hisam</w:t>
    </w:r>
    <w:proofErr w:type="spellEnd"/>
    <w:r w:rsidRPr="00E64BB9">
      <w:rPr>
        <w:bCs/>
        <w:sz w:val="16"/>
        <w:szCs w:val="16"/>
      </w:rPr>
      <w:t xml:space="preserve"> </w:t>
    </w:r>
    <w:proofErr w:type="spellStart"/>
    <w:r w:rsidRPr="00E64BB9">
      <w:rPr>
        <w:bCs/>
        <w:sz w:val="16"/>
        <w:szCs w:val="16"/>
      </w:rPr>
      <w:t>Ahyani</w:t>
    </w:r>
    <w:proofErr w:type="spellEnd"/>
    <w:r w:rsidRPr="00E64BB9">
      <w:rPr>
        <w:bCs/>
        <w:sz w:val="16"/>
        <w:szCs w:val="16"/>
      </w:rPr>
      <w:t>,</w:t>
    </w:r>
    <w:r w:rsidRPr="00E64BB9">
      <w:rPr>
        <w:sz w:val="16"/>
        <w:szCs w:val="16"/>
      </w:rPr>
      <w:t xml:space="preserve"> </w:t>
    </w:r>
    <w:r w:rsidRPr="00E64BB9">
      <w:rPr>
        <w:bCs/>
        <w:sz w:val="16"/>
        <w:szCs w:val="16"/>
      </w:rPr>
      <w:t xml:space="preserve">Mhd </w:t>
    </w:r>
    <w:proofErr w:type="spellStart"/>
    <w:r w:rsidRPr="00E64BB9">
      <w:rPr>
        <w:bCs/>
        <w:sz w:val="16"/>
        <w:szCs w:val="16"/>
      </w:rPr>
      <w:t>Handika</w:t>
    </w:r>
    <w:proofErr w:type="spellEnd"/>
    <w:r w:rsidRPr="00E64BB9">
      <w:rPr>
        <w:bCs/>
        <w:sz w:val="16"/>
        <w:szCs w:val="16"/>
      </w:rPr>
      <w:t xml:space="preserve"> Surbakti, </w:t>
    </w:r>
    <w:proofErr w:type="spellStart"/>
    <w:r w:rsidRPr="00E64BB9">
      <w:rPr>
        <w:bCs/>
        <w:sz w:val="16"/>
        <w:szCs w:val="16"/>
      </w:rPr>
      <w:t>Adang</w:t>
    </w:r>
    <w:proofErr w:type="spellEnd"/>
    <w:r w:rsidRPr="00E64BB9">
      <w:rPr>
        <w:bCs/>
        <w:sz w:val="16"/>
        <w:szCs w:val="16"/>
      </w:rPr>
      <w:t xml:space="preserve"> </w:t>
    </w:r>
    <w:proofErr w:type="spellStart"/>
    <w:r w:rsidRPr="00E64BB9">
      <w:rPr>
        <w:bCs/>
        <w:sz w:val="16"/>
        <w:szCs w:val="16"/>
      </w:rPr>
      <w:t>Sonjaya</w:t>
    </w:r>
    <w:proofErr w:type="spellEnd"/>
    <w:r w:rsidRPr="00E64BB9">
      <w:rPr>
        <w:bCs/>
        <w:sz w:val="16"/>
        <w:szCs w:val="16"/>
      </w:rPr>
      <w:t xml:space="preserve">, Dwi </w:t>
    </w:r>
    <w:proofErr w:type="spellStart"/>
    <w:r w:rsidRPr="00E64BB9">
      <w:rPr>
        <w:bCs/>
        <w:sz w:val="16"/>
        <w:szCs w:val="16"/>
      </w:rPr>
      <w:t>Martiningsih</w:t>
    </w:r>
    <w:proofErr w:type="spellEnd"/>
    <w:r w:rsidRPr="00E64BB9">
      <w:rPr>
        <w:bCs/>
        <w:sz w:val="16"/>
        <w:szCs w:val="16"/>
      </w:rPr>
      <w:t>,</w:t>
    </w:r>
    <w:r w:rsidRPr="00E64BB9">
      <w:rPr>
        <w:sz w:val="16"/>
        <w:szCs w:val="16"/>
      </w:rPr>
      <w:t xml:space="preserve"> </w:t>
    </w:r>
    <w:proofErr w:type="spellStart"/>
    <w:r w:rsidRPr="00E64BB9">
      <w:rPr>
        <w:bCs/>
        <w:sz w:val="16"/>
        <w:szCs w:val="16"/>
      </w:rPr>
      <w:t>Raudatul</w:t>
    </w:r>
    <w:proofErr w:type="spellEnd"/>
    <w:r w:rsidRPr="00E64BB9">
      <w:rPr>
        <w:bCs/>
        <w:sz w:val="16"/>
        <w:szCs w:val="16"/>
      </w:rPr>
      <w:t xml:space="preserve"> </w:t>
    </w:r>
    <w:proofErr w:type="spellStart"/>
    <w:r w:rsidRPr="00E64BB9">
      <w:rPr>
        <w:bCs/>
        <w:sz w:val="16"/>
        <w:szCs w:val="16"/>
      </w:rPr>
      <w:t>Ulum</w:t>
    </w:r>
    <w:proofErr w:type="spellEnd"/>
    <w:r w:rsidRPr="00E64BB9">
      <w:rPr>
        <w:bCs/>
        <w:sz w:val="16"/>
        <w:szCs w:val="16"/>
      </w:rPr>
      <w:t xml:space="preserve">, </w:t>
    </w:r>
    <w:proofErr w:type="spellStart"/>
    <w:r w:rsidRPr="00E64BB9">
      <w:rPr>
        <w:bCs/>
        <w:sz w:val="16"/>
        <w:szCs w:val="16"/>
      </w:rPr>
      <w:t>Nangkula</w:t>
    </w:r>
    <w:proofErr w:type="spellEnd"/>
    <w:r w:rsidRPr="00E64BB9">
      <w:rPr>
        <w:bCs/>
        <w:sz w:val="16"/>
        <w:szCs w:val="16"/>
      </w:rPr>
      <w:t xml:space="preserve"> </w:t>
    </w:r>
    <w:proofErr w:type="spellStart"/>
    <w:r w:rsidRPr="00E64BB9">
      <w:rPr>
        <w:bCs/>
        <w:sz w:val="16"/>
        <w:szCs w:val="16"/>
      </w:rPr>
      <w:t>Utaberta</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1D9AE4A0"/>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448504515">
    <w:abstractNumId w:val="1"/>
  </w:num>
  <w:num w:numId="2" w16cid:durableId="160144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2212DC"/>
    <w:rsid w:val="00221499"/>
    <w:rsid w:val="002676BA"/>
    <w:rsid w:val="00283372"/>
    <w:rsid w:val="002D101E"/>
    <w:rsid w:val="002D1CEA"/>
    <w:rsid w:val="00330A7A"/>
    <w:rsid w:val="003C0164"/>
    <w:rsid w:val="003F7AA4"/>
    <w:rsid w:val="00417EF0"/>
    <w:rsid w:val="00447F10"/>
    <w:rsid w:val="00464461"/>
    <w:rsid w:val="00477FC8"/>
    <w:rsid w:val="004C7CB9"/>
    <w:rsid w:val="00502594"/>
    <w:rsid w:val="00532B2C"/>
    <w:rsid w:val="00536D0C"/>
    <w:rsid w:val="00554438"/>
    <w:rsid w:val="005E66A5"/>
    <w:rsid w:val="00605B4D"/>
    <w:rsid w:val="006C55A1"/>
    <w:rsid w:val="00727ABB"/>
    <w:rsid w:val="00745A2A"/>
    <w:rsid w:val="0077330B"/>
    <w:rsid w:val="007771EC"/>
    <w:rsid w:val="0079305C"/>
    <w:rsid w:val="007B2C0D"/>
    <w:rsid w:val="007C62F4"/>
    <w:rsid w:val="00805BD7"/>
    <w:rsid w:val="008535AE"/>
    <w:rsid w:val="00883F54"/>
    <w:rsid w:val="008C1797"/>
    <w:rsid w:val="008D73E0"/>
    <w:rsid w:val="00920392"/>
    <w:rsid w:val="00920627"/>
    <w:rsid w:val="00926CF7"/>
    <w:rsid w:val="00944AD0"/>
    <w:rsid w:val="009927B6"/>
    <w:rsid w:val="009E6DE8"/>
    <w:rsid w:val="00A055B3"/>
    <w:rsid w:val="00AC1C31"/>
    <w:rsid w:val="00AC4F01"/>
    <w:rsid w:val="00B45E75"/>
    <w:rsid w:val="00BE2239"/>
    <w:rsid w:val="00C26026"/>
    <w:rsid w:val="00CB6F5A"/>
    <w:rsid w:val="00CE135F"/>
    <w:rsid w:val="00D132AE"/>
    <w:rsid w:val="00D57761"/>
    <w:rsid w:val="00D869DB"/>
    <w:rsid w:val="00E4204D"/>
    <w:rsid w:val="00E64BB9"/>
    <w:rsid w:val="00E837BE"/>
    <w:rsid w:val="00FD6FE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paragraph" w:styleId="Bibliography">
    <w:name w:val="Bibliography"/>
    <w:basedOn w:val="Normal"/>
    <w:next w:val="Normal"/>
    <w:uiPriority w:val="37"/>
    <w:semiHidden/>
    <w:unhideWhenUsed/>
    <w:rsid w:val="00E64BB9"/>
    <w:pPr>
      <w:spacing w:after="200" w:line="276" w:lineRule="auto"/>
    </w:pPr>
    <w:rPr>
      <w:rFonts w:asciiTheme="minorHAnsi" w:eastAsiaTheme="minorEastAsia" w:hAnsi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i064@brin.go.id" TargetMode="Externa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Nangkula@ucsiuniversity.edu.my" TargetMode="External"/><Relationship Id="rId14" Type="http://schemas.openxmlformats.org/officeDocument/2006/relationships/image" Target="media/image6.jpe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10</Pages>
  <Words>17427</Words>
  <Characters>99339</Characters>
  <Application>Microsoft Office Word</Application>
  <DocSecurity>0</DocSecurity>
  <Lines>827</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4</cp:revision>
  <dcterms:created xsi:type="dcterms:W3CDTF">2025-12-16T12:43:00Z</dcterms:created>
  <dcterms:modified xsi:type="dcterms:W3CDTF">2025-12-18T12:33:00Z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