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7ECA" w:rsidRPr="00FA3E0F" w:rsidRDefault="00C47ECA" w:rsidP="00C47ECA">
      <w:pPr>
        <w:keepNext/>
        <w:pBdr>
          <w:top w:val="nil"/>
          <w:left w:val="nil"/>
          <w:bottom w:val="nil"/>
          <w:right w:val="nil"/>
          <w:between w:val="nil"/>
        </w:pBdr>
        <w:spacing w:line="240" w:lineRule="auto"/>
        <w:ind w:left="1" w:hanging="3"/>
        <w:jc w:val="center"/>
        <w:rPr>
          <w:rFonts w:ascii="Cambria" w:eastAsia="Cambria" w:hAnsi="Cambria" w:cs="Cambria"/>
          <w:b/>
          <w:smallCaps/>
          <w:color w:val="000000"/>
          <w:sz w:val="26"/>
          <w:szCs w:val="26"/>
        </w:rPr>
      </w:pPr>
    </w:p>
    <w:p w:rsidR="00C47ECA" w:rsidRPr="004028B3" w:rsidRDefault="00C47ECA" w:rsidP="00C47ECA">
      <w:pPr>
        <w:spacing w:line="240" w:lineRule="auto"/>
        <w:ind w:left="0" w:hanging="2"/>
        <w:jc w:val="center"/>
        <w:rPr>
          <w:rFonts w:ascii="Cambria" w:hAnsi="Cambria" w:cs="Times New Roman"/>
          <w:b/>
          <w:bCs/>
          <w:color w:val="000000"/>
          <w:szCs w:val="24"/>
        </w:rPr>
      </w:pPr>
      <w:r w:rsidRPr="004028B3">
        <w:rPr>
          <w:rFonts w:ascii="Cambria" w:hAnsi="Cambria"/>
          <w:b/>
          <w:bCs/>
          <w:color w:val="000000"/>
          <w:szCs w:val="24"/>
          <w:lang w:val="en"/>
        </w:rPr>
        <w:t>INTERNAL FACTOR ATTRIBUTE IN ISLAMIC BANKS: WHICH ONES THE MOST CONTRIBUTES TO PROFIT DISTRIBUTION? EVIDENCE FROM MUAMALAT BANK</w:t>
      </w:r>
    </w:p>
    <w:p w:rsidR="00C47ECA" w:rsidRPr="00FA3E0F" w:rsidRDefault="00C47ECA" w:rsidP="00C47ECA">
      <w:pPr>
        <w:pBdr>
          <w:top w:val="nil"/>
          <w:left w:val="nil"/>
          <w:bottom w:val="nil"/>
          <w:right w:val="nil"/>
          <w:between w:val="nil"/>
        </w:pBdr>
        <w:spacing w:line="276" w:lineRule="auto"/>
        <w:ind w:left="0" w:hanging="2"/>
        <w:jc w:val="center"/>
        <w:rPr>
          <w:rFonts w:ascii="Cambria" w:eastAsia="Cambria" w:hAnsi="Cambria" w:cs="Cambria"/>
          <w:color w:val="000000"/>
          <w:szCs w:val="24"/>
        </w:rPr>
      </w:pPr>
    </w:p>
    <w:p w:rsidR="00C47ECA" w:rsidRPr="00FC2EC1" w:rsidRDefault="00C47ECA" w:rsidP="00C47ECA">
      <w:pPr>
        <w:pBdr>
          <w:top w:val="nil"/>
          <w:left w:val="nil"/>
          <w:bottom w:val="nil"/>
          <w:right w:val="nil"/>
          <w:between w:val="nil"/>
        </w:pBdr>
        <w:spacing w:line="276" w:lineRule="auto"/>
        <w:ind w:left="0" w:hanging="2"/>
        <w:jc w:val="center"/>
        <w:rPr>
          <w:rFonts w:ascii="Cambria" w:eastAsia="Cambria" w:hAnsi="Cambria" w:cs="Cambria"/>
          <w:color w:val="000000"/>
          <w:szCs w:val="24"/>
          <w:lang w:val="en-US"/>
        </w:rPr>
      </w:pPr>
      <w:r>
        <w:rPr>
          <w:rFonts w:ascii="Cambria" w:eastAsia="Cambria" w:hAnsi="Cambria" w:cs="Cambria"/>
          <w:b/>
          <w:color w:val="000000"/>
          <w:szCs w:val="24"/>
          <w:lang w:val="en-US"/>
        </w:rPr>
        <w:t>Bambang Iswanto</w:t>
      </w:r>
      <w:r w:rsidRPr="00FA3E0F">
        <w:rPr>
          <w:rFonts w:ascii="Cambria" w:eastAsia="Cambria" w:hAnsi="Cambria" w:cs="Cambria"/>
          <w:b/>
          <w:color w:val="000000"/>
          <w:szCs w:val="24"/>
          <w:vertAlign w:val="superscript"/>
        </w:rPr>
        <w:t>1</w:t>
      </w:r>
      <w:r w:rsidRPr="00FA3E0F">
        <w:rPr>
          <w:rFonts w:ascii="Cambria" w:eastAsia="Cambria" w:hAnsi="Cambria" w:cs="Cambria"/>
          <w:b/>
          <w:color w:val="000000"/>
          <w:szCs w:val="24"/>
        </w:rPr>
        <w:t xml:space="preserve">, , </w:t>
      </w:r>
      <w:r>
        <w:rPr>
          <w:rFonts w:ascii="Cambria" w:eastAsia="Cambria" w:hAnsi="Cambria" w:cs="Cambria"/>
          <w:b/>
          <w:color w:val="000000"/>
          <w:szCs w:val="24"/>
          <w:lang w:val="en-US"/>
        </w:rPr>
        <w:t>Sauci Fisa’i Sabna</w:t>
      </w:r>
      <w:r w:rsidR="00FC2EC1">
        <w:rPr>
          <w:rFonts w:ascii="Cambria" w:eastAsia="Cambria" w:hAnsi="Cambria" w:cs="Cambria"/>
          <w:b/>
          <w:color w:val="000000"/>
          <w:szCs w:val="24"/>
          <w:vertAlign w:val="superscript"/>
          <w:lang w:val="en-US"/>
        </w:rPr>
        <w:t>2</w:t>
      </w:r>
      <w:r>
        <w:rPr>
          <w:rFonts w:ascii="Cambria" w:eastAsia="Cambria" w:hAnsi="Cambria" w:cs="Cambria"/>
          <w:b/>
          <w:color w:val="000000"/>
          <w:szCs w:val="24"/>
          <w:vertAlign w:val="superscript"/>
          <w:lang w:val="en-US"/>
        </w:rPr>
        <w:t xml:space="preserve">, </w:t>
      </w:r>
      <w:r w:rsidR="00FC2EC1">
        <w:rPr>
          <w:rFonts w:ascii="Cambria" w:eastAsia="Cambria" w:hAnsi="Cambria" w:cs="Cambria"/>
          <w:b/>
          <w:color w:val="000000"/>
          <w:szCs w:val="24"/>
          <w:lang w:val="en-US"/>
        </w:rPr>
        <w:t>Irma Yuliani</w:t>
      </w:r>
      <w:r w:rsidR="00FC2EC1">
        <w:rPr>
          <w:rFonts w:ascii="Cambria" w:eastAsia="Cambria" w:hAnsi="Cambria" w:cs="Cambria"/>
          <w:b/>
          <w:color w:val="000000"/>
          <w:szCs w:val="24"/>
          <w:vertAlign w:val="superscript"/>
          <w:lang w:val="en-US"/>
        </w:rPr>
        <w:t>3</w:t>
      </w:r>
      <w:r w:rsidR="00FC2EC1">
        <w:rPr>
          <w:rFonts w:ascii="Cambria" w:eastAsia="Cambria" w:hAnsi="Cambria" w:cs="Cambria"/>
          <w:b/>
          <w:color w:val="000000"/>
          <w:szCs w:val="24"/>
          <w:lang w:val="en-US"/>
        </w:rPr>
        <w:t xml:space="preserve">, </w:t>
      </w:r>
      <w:r w:rsidR="00FC2EC1">
        <w:rPr>
          <w:rFonts w:ascii="Cambria" w:eastAsia="Cambria" w:hAnsi="Cambria" w:cs="Cambria"/>
          <w:b/>
          <w:color w:val="000000"/>
          <w:szCs w:val="24"/>
          <w:lang w:val="en-US"/>
        </w:rPr>
        <w:t>Misbahul Munir</w:t>
      </w:r>
      <w:r w:rsidR="00FC2EC1">
        <w:rPr>
          <w:rFonts w:ascii="Cambria" w:eastAsia="Cambria" w:hAnsi="Cambria" w:cs="Cambria"/>
          <w:b/>
          <w:color w:val="000000"/>
          <w:szCs w:val="24"/>
          <w:vertAlign w:val="superscript"/>
          <w:lang w:val="en-US"/>
        </w:rPr>
        <w:t>4</w:t>
      </w:r>
      <w:r w:rsidR="00FC2EC1">
        <w:rPr>
          <w:rFonts w:ascii="Cambria" w:eastAsia="Cambria" w:hAnsi="Cambria" w:cs="Cambria"/>
          <w:b/>
          <w:color w:val="000000"/>
          <w:szCs w:val="24"/>
          <w:lang w:val="en-US"/>
        </w:rPr>
        <w:t>, dan Muhammad Nur Faaiz Fathah</w:t>
      </w:r>
      <w:r w:rsidR="00FC2EC1" w:rsidRPr="00FC2EC1">
        <w:rPr>
          <w:rFonts w:ascii="Cambria" w:eastAsia="Cambria" w:hAnsi="Cambria" w:cs="Cambria"/>
          <w:b/>
          <w:color w:val="000000"/>
          <w:szCs w:val="24"/>
          <w:vertAlign w:val="superscript"/>
          <w:lang w:val="en-US"/>
        </w:rPr>
        <w:t>5</w:t>
      </w:r>
    </w:p>
    <w:p w:rsidR="00C47ECA" w:rsidRPr="00FA3E0F" w:rsidRDefault="00C47ECA" w:rsidP="00C47ECA">
      <w:pPr>
        <w:spacing w:line="276" w:lineRule="auto"/>
        <w:ind w:left="0" w:hanging="2"/>
        <w:jc w:val="center"/>
        <w:rPr>
          <w:rFonts w:ascii="Cambria" w:eastAsia="Cambria" w:hAnsi="Cambria" w:cs="Cambria"/>
          <w:color w:val="000000"/>
          <w:sz w:val="20"/>
          <w:szCs w:val="20"/>
          <w:vertAlign w:val="superscript"/>
        </w:rPr>
      </w:pPr>
    </w:p>
    <w:p w:rsidR="00C47ECA" w:rsidRPr="00970431" w:rsidRDefault="00C47ECA" w:rsidP="00C47ECA">
      <w:pPr>
        <w:spacing w:line="276" w:lineRule="auto"/>
        <w:ind w:left="0" w:hanging="2"/>
        <w:jc w:val="center"/>
        <w:rPr>
          <w:rFonts w:ascii="Cambria" w:eastAsia="Cambria" w:hAnsi="Cambria" w:cs="Cambria"/>
          <w:i/>
          <w:color w:val="000000"/>
          <w:sz w:val="22"/>
          <w:szCs w:val="22"/>
          <w:lang w:val="en-US"/>
        </w:rPr>
      </w:pPr>
      <w:r w:rsidRPr="00FA3E0F">
        <w:rPr>
          <w:rFonts w:ascii="Cambria" w:eastAsia="Cambria" w:hAnsi="Cambria" w:cs="Cambria"/>
          <w:i/>
          <w:color w:val="000000"/>
          <w:sz w:val="22"/>
          <w:szCs w:val="22"/>
          <w:vertAlign w:val="superscript"/>
        </w:rPr>
        <w:t>1</w:t>
      </w:r>
      <w:r w:rsidR="00FC2EC1">
        <w:rPr>
          <w:rFonts w:ascii="Cambria" w:eastAsia="Cambria" w:hAnsi="Cambria" w:cs="Cambria"/>
          <w:i/>
          <w:color w:val="000000"/>
          <w:sz w:val="22"/>
          <w:szCs w:val="22"/>
          <w:vertAlign w:val="superscript"/>
          <w:lang w:val="en-US"/>
        </w:rPr>
        <w:t>,2,3</w:t>
      </w:r>
      <w:r>
        <w:rPr>
          <w:rFonts w:ascii="Cambria" w:eastAsia="Cambria" w:hAnsi="Cambria" w:cs="Cambria"/>
          <w:i/>
          <w:color w:val="000000"/>
          <w:sz w:val="22"/>
          <w:szCs w:val="22"/>
          <w:lang w:val="en-US"/>
        </w:rPr>
        <w:t>Fakultas Ekonomi dan Bisnis Islam Universitas Islam Negeri Sultan  Aji Muhammad Idris Samarinda, Jalan H.A.M. Rifaddin Loa Janan Ilir Samarinda</w:t>
      </w:r>
    </w:p>
    <w:p w:rsidR="00C47ECA" w:rsidRPr="003B5E1C" w:rsidRDefault="00FC2EC1" w:rsidP="00C47ECA">
      <w:pPr>
        <w:spacing w:line="276" w:lineRule="auto"/>
        <w:ind w:left="0" w:hanging="2"/>
        <w:jc w:val="center"/>
        <w:rPr>
          <w:rFonts w:ascii="Cambria" w:eastAsia="Cambria" w:hAnsi="Cambria" w:cs="Cambria"/>
          <w:color w:val="000000"/>
          <w:sz w:val="22"/>
          <w:szCs w:val="22"/>
          <w:lang w:val="en-US"/>
        </w:rPr>
      </w:pPr>
      <w:r>
        <w:rPr>
          <w:rFonts w:ascii="Cambria" w:eastAsia="Cambria" w:hAnsi="Cambria" w:cs="Cambria"/>
          <w:i/>
          <w:color w:val="000000"/>
          <w:sz w:val="22"/>
          <w:szCs w:val="22"/>
          <w:vertAlign w:val="superscript"/>
          <w:lang w:val="en-US"/>
        </w:rPr>
        <w:t>4</w:t>
      </w:r>
      <w:r w:rsidR="00C47ECA" w:rsidRPr="00FA3E0F">
        <w:rPr>
          <w:rFonts w:ascii="Cambria" w:eastAsia="Cambria" w:hAnsi="Cambria" w:cs="Cambria"/>
          <w:i/>
          <w:color w:val="000000"/>
          <w:sz w:val="22"/>
          <w:szCs w:val="22"/>
          <w:vertAlign w:val="superscript"/>
        </w:rPr>
        <w:t xml:space="preserve"> </w:t>
      </w:r>
      <w:r w:rsidR="00C47ECA" w:rsidRPr="00CE7FCF">
        <w:rPr>
          <w:rFonts w:ascii="Cambria" w:hAnsi="Cambria" w:cs="Arial"/>
          <w:i/>
          <w:iCs/>
          <w:color w:val="000000"/>
          <w:sz w:val="22"/>
          <w:szCs w:val="22"/>
          <w:shd w:val="clear" w:color="auto" w:fill="FFFFFF"/>
        </w:rPr>
        <w:t>Fakultas Ekonomi Universitas Islam Negeri Maulana Malik Ibrahim Malang</w:t>
      </w:r>
      <w:r w:rsidR="00C47ECA" w:rsidRPr="00CE7FCF">
        <w:rPr>
          <w:rFonts w:ascii="Cambria" w:hAnsi="Cambria" w:cs="Arial"/>
          <w:i/>
          <w:iCs/>
          <w:color w:val="000000"/>
          <w:sz w:val="22"/>
          <w:szCs w:val="22"/>
          <w:shd w:val="clear" w:color="auto" w:fill="FFFFFF"/>
          <w:lang w:val="en-US"/>
        </w:rPr>
        <w:t>, Jalan Gajayana, Lowokwaru Kota Malang</w:t>
      </w:r>
    </w:p>
    <w:p w:rsidR="00C47ECA" w:rsidRDefault="00FC2EC1" w:rsidP="00C47ECA">
      <w:pPr>
        <w:spacing w:line="276" w:lineRule="auto"/>
        <w:ind w:left="0" w:hanging="2"/>
        <w:jc w:val="center"/>
        <w:rPr>
          <w:rFonts w:ascii="Cambria" w:eastAsia="Cambria" w:hAnsi="Cambria" w:cs="Cambria"/>
          <w:i/>
          <w:color w:val="000000"/>
          <w:sz w:val="22"/>
          <w:szCs w:val="22"/>
          <w:lang w:val="en-US"/>
        </w:rPr>
      </w:pPr>
      <w:r w:rsidRPr="00FC2EC1">
        <w:rPr>
          <w:rFonts w:ascii="Cambria" w:eastAsia="Cambria" w:hAnsi="Cambria" w:cs="Cambria"/>
          <w:i/>
          <w:color w:val="000000"/>
          <w:sz w:val="22"/>
          <w:szCs w:val="22"/>
          <w:vertAlign w:val="superscript"/>
          <w:lang w:val="en-US"/>
        </w:rPr>
        <w:t>5</w:t>
      </w:r>
      <w:r>
        <w:rPr>
          <w:rFonts w:ascii="Cambria" w:eastAsia="Cambria" w:hAnsi="Cambria" w:cs="Cambria"/>
          <w:i/>
          <w:color w:val="000000"/>
          <w:sz w:val="22"/>
          <w:szCs w:val="22"/>
          <w:lang w:val="en-US"/>
        </w:rPr>
        <w:t xml:space="preserve"> IIUM Institute of Islamic Banking and Finance</w:t>
      </w:r>
    </w:p>
    <w:p w:rsidR="00FC2EC1" w:rsidRPr="00FC2EC1" w:rsidRDefault="00FC2EC1" w:rsidP="00C47ECA">
      <w:pPr>
        <w:spacing w:line="276" w:lineRule="auto"/>
        <w:ind w:left="0" w:hanging="2"/>
        <w:jc w:val="center"/>
        <w:rPr>
          <w:rFonts w:ascii="Cambria" w:eastAsia="Cambria" w:hAnsi="Cambria" w:cs="Cambria"/>
          <w:i/>
          <w:color w:val="000000"/>
          <w:sz w:val="22"/>
          <w:szCs w:val="22"/>
          <w:lang w:val="en-US"/>
        </w:rPr>
      </w:pPr>
      <w:bookmarkStart w:id="0" w:name="_GoBack"/>
      <w:bookmarkEnd w:id="0"/>
    </w:p>
    <w:p w:rsidR="00C47ECA" w:rsidRPr="00FA3E0F" w:rsidRDefault="00C47ECA" w:rsidP="00C47ECA">
      <w:pPr>
        <w:spacing w:line="240" w:lineRule="auto"/>
        <w:ind w:left="0" w:hanging="2"/>
        <w:rPr>
          <w:rFonts w:ascii="Cambria" w:eastAsia="Cambria" w:hAnsi="Cambria" w:cs="Cambria"/>
          <w:color w:val="FF0000"/>
          <w:sz w:val="20"/>
          <w:szCs w:val="20"/>
        </w:rPr>
      </w:pPr>
      <w:r w:rsidRPr="00FA3E0F">
        <w:rPr>
          <w:rFonts w:ascii="Cambria" w:eastAsia="Cambria" w:hAnsi="Cambria" w:cs="Cambria"/>
          <w:noProof/>
          <w:sz w:val="20"/>
          <w:szCs w:val="20"/>
        </w:rPr>
        <w:drawing>
          <wp:inline distT="0" distB="0" distL="0" distR="0">
            <wp:extent cx="146050" cy="146050"/>
            <wp:effectExtent l="0" t="0" r="6350" b="6350"/>
            <wp:docPr id="1" name="Picture 1" descr="Image result for symbol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Image result for symbol emai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FA3E0F">
        <w:rPr>
          <w:rFonts w:ascii="Cambria" w:eastAsia="Cambria" w:hAnsi="Cambria" w:cs="Cambria"/>
          <w:sz w:val="20"/>
          <w:szCs w:val="20"/>
        </w:rPr>
        <w:t xml:space="preserve"> Corresponding Author:</w:t>
      </w:r>
    </w:p>
    <w:p w:rsidR="00C47ECA" w:rsidRPr="00970431" w:rsidRDefault="00C47ECA" w:rsidP="00C47ECA">
      <w:pPr>
        <w:spacing w:line="240" w:lineRule="auto"/>
        <w:ind w:left="0" w:hanging="2"/>
        <w:rPr>
          <w:rFonts w:ascii="Cambria" w:eastAsia="Cambria" w:hAnsi="Cambria" w:cs="Cambria"/>
          <w:sz w:val="20"/>
          <w:szCs w:val="20"/>
          <w:lang w:val="en-US"/>
        </w:rPr>
      </w:pPr>
      <w:r>
        <w:rPr>
          <w:rFonts w:ascii="Cambria" w:eastAsia="Cambria" w:hAnsi="Cambria" w:cs="Cambria"/>
          <w:sz w:val="20"/>
          <w:szCs w:val="20"/>
          <w:lang w:val="en-US"/>
        </w:rPr>
        <w:t>Bambang Iswanto</w:t>
      </w:r>
    </w:p>
    <w:p w:rsidR="00C47ECA" w:rsidRPr="00970431" w:rsidRDefault="00C47ECA" w:rsidP="00C47ECA">
      <w:pPr>
        <w:spacing w:line="240" w:lineRule="auto"/>
        <w:ind w:left="0" w:hanging="2"/>
        <w:rPr>
          <w:rFonts w:ascii="Cambria" w:eastAsia="Cambria" w:hAnsi="Cambria" w:cs="Cambria"/>
          <w:color w:val="000000"/>
          <w:sz w:val="20"/>
          <w:szCs w:val="20"/>
          <w:lang w:val="en-US"/>
        </w:rPr>
      </w:pPr>
      <w:r w:rsidRPr="00FA3E0F">
        <w:rPr>
          <w:rFonts w:ascii="Cambria" w:eastAsia="Cambria" w:hAnsi="Cambria" w:cs="Cambria"/>
          <w:sz w:val="20"/>
          <w:szCs w:val="20"/>
        </w:rPr>
        <w:t xml:space="preserve">E-mail: </w:t>
      </w:r>
      <w:r>
        <w:rPr>
          <w:rFonts w:ascii="Cambria" w:eastAsia="Cambria" w:hAnsi="Cambria" w:cs="Cambria"/>
          <w:sz w:val="20"/>
          <w:szCs w:val="20"/>
          <w:lang w:val="en-US"/>
        </w:rPr>
        <w:t>bambang.assamarindi@gmail.com</w:t>
      </w:r>
    </w:p>
    <w:p w:rsidR="00C47ECA" w:rsidRPr="00FA3E0F" w:rsidRDefault="00C47ECA" w:rsidP="00C47ECA">
      <w:pPr>
        <w:pBdr>
          <w:top w:val="nil"/>
          <w:left w:val="nil"/>
          <w:bottom w:val="nil"/>
          <w:right w:val="nil"/>
          <w:between w:val="nil"/>
        </w:pBdr>
        <w:spacing w:line="240" w:lineRule="auto"/>
        <w:ind w:left="0" w:hanging="2"/>
        <w:rPr>
          <w:rFonts w:ascii="Cambria" w:eastAsia="Cambria" w:hAnsi="Cambria" w:cs="Cambria"/>
          <w:color w:val="000000"/>
          <w:sz w:val="22"/>
          <w:szCs w:val="22"/>
        </w:rPr>
      </w:pPr>
    </w:p>
    <w:p w:rsidR="00C47ECA" w:rsidRPr="00C47ECA" w:rsidRDefault="00C47ECA" w:rsidP="00C47ECA">
      <w:pPr>
        <w:pBdr>
          <w:top w:val="nil"/>
          <w:left w:val="nil"/>
          <w:bottom w:val="nil"/>
          <w:right w:val="nil"/>
          <w:between w:val="nil"/>
        </w:pBdr>
        <w:spacing w:line="240" w:lineRule="auto"/>
        <w:ind w:left="0" w:hanging="2"/>
        <w:rPr>
          <w:rFonts w:ascii="Cambria" w:eastAsia="Cambria" w:hAnsi="Cambria" w:cs="Cambria"/>
          <w:color w:val="000000"/>
          <w:sz w:val="22"/>
          <w:szCs w:val="22"/>
          <w:lang w:val="en-US"/>
        </w:rPr>
      </w:pPr>
      <w:r w:rsidRPr="00FA3E0F">
        <w:rPr>
          <w:rFonts w:ascii="Cambria" w:eastAsia="Cambria" w:hAnsi="Cambria" w:cs="Cambria"/>
          <w:b/>
          <w:i/>
          <w:color w:val="000000"/>
          <w:sz w:val="22"/>
          <w:szCs w:val="22"/>
        </w:rPr>
        <w:t>Keywords</w:t>
      </w:r>
      <w:r w:rsidRPr="00FA3E0F">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Sharia Banking</w:t>
      </w:r>
      <w:r w:rsidRPr="00FA3E0F">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Bank Muamalat Indonesia</w:t>
      </w:r>
      <w:r w:rsidRPr="00FA3E0F">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Profit Distribution Management</w:t>
      </w:r>
    </w:p>
    <w:p w:rsidR="00C47ECA" w:rsidRPr="00FA3E0F" w:rsidRDefault="00C47ECA" w:rsidP="00C47ECA">
      <w:pPr>
        <w:pBdr>
          <w:top w:val="nil"/>
          <w:left w:val="nil"/>
          <w:bottom w:val="nil"/>
          <w:right w:val="nil"/>
          <w:between w:val="nil"/>
        </w:pBdr>
        <w:spacing w:line="240" w:lineRule="auto"/>
        <w:ind w:left="0" w:hanging="2"/>
        <w:rPr>
          <w:rFonts w:ascii="Cambria" w:eastAsia="Cambria" w:hAnsi="Cambria" w:cs="Cambria"/>
          <w:color w:val="000000"/>
          <w:sz w:val="22"/>
          <w:szCs w:val="22"/>
        </w:rPr>
      </w:pPr>
    </w:p>
    <w:p w:rsidR="00C47ECA" w:rsidRPr="00FA3E0F" w:rsidRDefault="00C47ECA" w:rsidP="00C47ECA">
      <w:pPr>
        <w:pBdr>
          <w:top w:val="nil"/>
          <w:left w:val="nil"/>
          <w:bottom w:val="nil"/>
          <w:right w:val="nil"/>
          <w:between w:val="nil"/>
        </w:pBdr>
        <w:spacing w:line="240" w:lineRule="auto"/>
        <w:ind w:left="0" w:hanging="2"/>
        <w:jc w:val="left"/>
        <w:rPr>
          <w:rFonts w:ascii="Cambria" w:eastAsia="Cambria" w:hAnsi="Cambria" w:cs="Cambria"/>
          <w:b/>
          <w:color w:val="000000"/>
          <w:sz w:val="22"/>
          <w:szCs w:val="22"/>
        </w:rPr>
      </w:pPr>
      <w:r w:rsidRPr="00FA3E0F">
        <w:rPr>
          <w:rFonts w:ascii="Cambria" w:eastAsia="Cambria" w:hAnsi="Cambria" w:cs="Cambria"/>
          <w:b/>
          <w:color w:val="000000"/>
          <w:sz w:val="22"/>
          <w:szCs w:val="22"/>
        </w:rPr>
        <w:t>Abstrak</w:t>
      </w:r>
    </w:p>
    <w:p w:rsidR="00C47ECA" w:rsidRPr="004028B3" w:rsidRDefault="00C47ECA" w:rsidP="00C47ECA">
      <w:pPr>
        <w:spacing w:line="240" w:lineRule="auto"/>
        <w:ind w:left="0" w:right="141" w:hanging="2"/>
        <w:rPr>
          <w:rFonts w:ascii="Cambria" w:hAnsi="Cambria" w:cs="Calibri"/>
          <w:color w:val="000000"/>
          <w:szCs w:val="24"/>
          <w:lang w:val="en"/>
        </w:rPr>
      </w:pPr>
      <w:r w:rsidRPr="004028B3">
        <w:rPr>
          <w:rFonts w:ascii="Cambria" w:hAnsi="Cambria" w:cs="Calibri"/>
          <w:color w:val="000000"/>
          <w:szCs w:val="24"/>
          <w:lang w:val="en"/>
        </w:rPr>
        <w:t>Competition between financial institutions will have a positive and negative impact on the development of a bank. In this case, the existence of Bank Muamalat Indonesia as the first pioneer of banks operating with sharia principles for 30 years needs to be assessed for its financial performance.   This study aims to determine and analyze the effect of the ratio of  CAR, ROA, FDR, NPF, and BOPO on Profit Distribution Management at Bank Muamalat Indonesia for the  2014-2021 period. The data used in this study includes data on  Bank Muamalat Indonesia's quarterly financial statements from 2014 to 2021. The statistical test method used to analyze data in this study is Multiple Regression Analysis. The results of this study shows that the  ratio of  ROA and FDR has a significant effect on  Profit Distribution Management, while the ratio of  CAR, NPF, and BOPO does not have a significant effect on Profit Distribution Management. Simultaneously,  the ratio of  CAR, ROA, FDR, NPF, and BOPO affects  Profit Distribution Management. This research has several implications on bank policy regarding the importance of maintaining financial performance ratios and opinions through increasing bank financing disbursements to optimization of Profit Distribution Management.</w:t>
      </w:r>
    </w:p>
    <w:p w:rsidR="00C47ECA" w:rsidRDefault="00C47ECA" w:rsidP="00C47ECA">
      <w:pPr>
        <w:spacing w:line="240" w:lineRule="auto"/>
        <w:ind w:left="0" w:right="141" w:hanging="2"/>
        <w:rPr>
          <w:rFonts w:ascii="Cambria" w:hAnsi="Cambria"/>
          <w:iCs/>
          <w:color w:val="000000"/>
          <w:szCs w:val="24"/>
          <w:lang w:val="en"/>
        </w:rPr>
      </w:pPr>
      <w:r w:rsidRPr="00584945">
        <w:rPr>
          <w:rFonts w:ascii="Cambria" w:hAnsi="Cambria"/>
          <w:b/>
          <w:bCs/>
          <w:szCs w:val="24"/>
          <w:lang w:val="en"/>
        </w:rPr>
        <w:t xml:space="preserve">Keywords: </w:t>
      </w:r>
      <w:r w:rsidRPr="00584945">
        <w:rPr>
          <w:rFonts w:ascii="Cambria" w:hAnsi="Cambria"/>
          <w:szCs w:val="24"/>
          <w:lang w:val="en"/>
        </w:rPr>
        <w:t>Sharia</w:t>
      </w:r>
      <w:r w:rsidRPr="00584945">
        <w:rPr>
          <w:rFonts w:ascii="Cambria" w:hAnsi="Cambria"/>
          <w:iCs/>
          <w:color w:val="000000"/>
          <w:szCs w:val="24"/>
          <w:lang w:val="en"/>
        </w:rPr>
        <w:t xml:space="preserve"> Banking, Bank Muamalat, Profit Distribution Management</w:t>
      </w:r>
    </w:p>
    <w:p w:rsidR="00584945" w:rsidRPr="00584945" w:rsidRDefault="00584945" w:rsidP="00C47ECA">
      <w:pPr>
        <w:spacing w:line="240" w:lineRule="auto"/>
        <w:ind w:left="0" w:right="141" w:hanging="2"/>
        <w:rPr>
          <w:rFonts w:ascii="Cambria" w:hAnsi="Cambria"/>
          <w:iCs/>
          <w:szCs w:val="24"/>
          <w:lang w:val="en-US"/>
        </w:rPr>
      </w:pPr>
    </w:p>
    <w:p w:rsidR="00C47ECA" w:rsidRPr="00FA3E0F" w:rsidRDefault="00C47ECA" w:rsidP="00C47ECA">
      <w:pPr>
        <w:pBdr>
          <w:top w:val="nil"/>
          <w:left w:val="nil"/>
          <w:bottom w:val="nil"/>
          <w:right w:val="nil"/>
          <w:between w:val="nil"/>
        </w:pBdr>
        <w:spacing w:before="100" w:after="100" w:line="276" w:lineRule="auto"/>
        <w:ind w:left="0" w:hanging="2"/>
        <w:rPr>
          <w:rFonts w:ascii="Cambria" w:eastAsia="Cambria" w:hAnsi="Cambria" w:cs="Cambria"/>
          <w:b/>
          <w:color w:val="000000"/>
          <w:szCs w:val="24"/>
        </w:rPr>
      </w:pPr>
      <w:r w:rsidRPr="00C47ECA">
        <w:rPr>
          <w:rFonts w:ascii="Cambria" w:eastAsia="Cambria" w:hAnsi="Cambria" w:cs="Cambria"/>
          <w:b/>
          <w:color w:val="000000"/>
          <w:szCs w:val="24"/>
        </w:rPr>
        <w:t>INTRODUCTION</w:t>
      </w:r>
      <w:r w:rsidRPr="00FA3E0F">
        <w:rPr>
          <w:rFonts w:ascii="Cambria" w:eastAsia="Cambria" w:hAnsi="Cambria" w:cs="Cambria"/>
          <w:b/>
          <w:color w:val="000000"/>
          <w:szCs w:val="24"/>
        </w:rPr>
        <w:t xml:space="preserve"> </w:t>
      </w:r>
    </w:p>
    <w:p w:rsidR="00C47ECA" w:rsidRPr="003905F5" w:rsidRDefault="00C47ECA" w:rsidP="00C47ECA">
      <w:pPr>
        <w:spacing w:line="276" w:lineRule="auto"/>
        <w:ind w:left="-2" w:firstLineChars="177" w:firstLine="425"/>
        <w:rPr>
          <w:rFonts w:ascii="Cambria" w:hAnsi="Cambria"/>
          <w:color w:val="000000"/>
          <w:szCs w:val="24"/>
          <w:lang w:val="en" w:eastAsia="id-ID"/>
        </w:rPr>
      </w:pPr>
      <w:r w:rsidRPr="003905F5">
        <w:rPr>
          <w:rFonts w:ascii="Cambria" w:hAnsi="Cambria"/>
          <w:color w:val="000000"/>
          <w:szCs w:val="24"/>
          <w:lang w:val="en" w:eastAsia="id-ID"/>
        </w:rPr>
        <w:t xml:space="preserve">The banking and finance sector has been integrated into the financial system globally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{"citationItems":[{"id":"ITEM-1","itemData":{"author":[{"dropping-particle":"","family":"Zaheer","given":"Sajjad","non-dropping-particle":"","parse-names":false,"suffix":""}],"id":"ITEM-1","issued":{"date-parts":[["2013"]]},"publisher":"Rozenberg Publishing Service","publisher-place":"Amsterdam","title":"Financial Intermediation and Monetery Transmission Through Conventional and Islamic Channels","type":"book"},"uris":["http://www.mendeley.com/documents/?uuid=729cdda9-49e6-45e5-9c3f-a08a38a74276"]}],"mendeley":{"formattedCitation":"(Zaheer, 2013)","plainTextFormattedCitation":"(Zaheer, 2013)","previouslyFormattedCitation":"(Zaheer, 2013)"},"properties":{"noteIndex":0},"schema":"https://github.com/citation-style-language/schema/raw/master/csl-citation.json"}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(Zaheer, 2013)</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t xml:space="preserve"> As an essential aspect of the global economy, </w:t>
      </w:r>
      <w:r w:rsidRPr="003905F5">
        <w:rPr>
          <w:rFonts w:ascii="Cambria" w:hAnsi="Cambria"/>
          <w:color w:val="000000"/>
          <w:szCs w:val="24"/>
          <w:lang w:val="en" w:eastAsia="id-ID"/>
        </w:rPr>
        <w:lastRenderedPageBreak/>
        <w:t xml:space="preserve">Islamic banking has experienced a relatively rapid increase in expansion in recent years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10.1108/IMEFM-06-2012-0047","author":[{"dropping-particle":"","family":"Lahrech","given":"Nada","non-dropping-particle":"","parse-names":false,"suffix":""},{"dropping-particle":"","family":"Lahrech","given":"Abdelmounaim","non-dropping-particle":"","parse-names":false,"suffix":""},{"dropping-particle":"","family":"Boulaksil","given":"Youssef","non-dropping-particle":"","parse-names":false,"suffix":""}],"container-title":"International Journal of Islamic and Middle Eastern Finance and Management","id":"ITEM-1","issue":"01","issued":{"date-parts":[["2014"]]},"page":"61-88","title":"Transparency and Performance in Islamic Banking: Implications on Profit Distribution","type":"article-journal","volume":"07"},"uris":["http://www.mendeley.com/documents/?uuid=639dac7c-209a-43bc-95f9-6331e3a918a1"]}],"mendeley":{"formattedCitation":"(Lahrech, Lahrech, &amp; Boulaksil, 2014)","plainTextFormattedCitation":"(Lahrech, Lahrech, &amp; Boulaksil, 2014)","previouslyFormattedCitation":"(Lahrech, Lahrech, &amp; Boulaksil, 2014)"},"properties":{"noteIndex":0},"schema":"https://github.com/citation-style-language/schema/raw/master/csl-citation.json"}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(Lahrech, Lahrech, &amp; Boulaksil, 2014)</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t xml:space="preserve">  Thus, the impact of competition between Islamic and conventional banks gradually has a positive or negative impact on the development of a bank. The positive impact in question is that it can motivate each bank to compete with each other to be the best. However, at the same time, the negative impact that occurs if it experiences defeat in the competition will slow down the pace of bank development</w:t>
      </w:r>
      <w:r w:rsidRPr="003905F5">
        <w:rPr>
          <w:rFonts w:ascii="Cambria" w:hAnsi="Cambria"/>
          <w:lang w:val="en"/>
        </w:rPr>
        <w:t xml:space="preserve">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{"citationItems":[{"id":"ITEM-1","itemData":{"DOI":"10.35448/jiec.v2i1.3415","author":[{"dropping-particle":"","family":"Aprilianto","given":"Arief Supri","non-dropping-particle":"","parse-names":false,"suffix":""},{"dropping-particle":"","family":"Badina","given":"Tenny","non-dropping-particle":"","parse-names":false,"suffix":""},{"dropping-particle":"","family":"Ma’zumi","given":"","non-dropping-particle":"","parse-names":false,"suffix":""}],"container-title":"Syi’ar Iqtishadi: Journal of Islamic Economics, Finance and Banking","id":"ITEM-1","issue":"01","issued":{"date-parts":[["2018"]]},"page":"45-58","title":"Determinants of Profit Management","type":"article-journal","volume":"02"},"uris":["http://www.mendeley.com/documents/?uuid=47148f21-13e9-4005-a2e9-9921ee356592"]}],"mendeley":{"formattedCitation":"(Aprilianto, Badina, &amp; Ma’zumi, 2018)","plainTextFormattedCitation":"(Aprilianto, Badina, &amp; Ma’zumi, 2018)","previouslyFormattedCitation":"(Aprilianto, Badina, &amp; Ma’zumi, 2018)"},"properties":{"noteIndex":0},"schema":"https://github.com/citation-style-language/schema/raw/master/csl-citation.json"}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(Aprilianto, Badina, &amp; Ma'zumi, 2018)</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w:t>
      </w:r>
      <w:r w:rsidRPr="003905F5">
        <w:rPr>
          <w:rFonts w:ascii="Cambria" w:hAnsi="Cambria"/>
          <w:lang w:val="en"/>
        </w:rPr>
        <w:t xml:space="preserve"> </w:t>
      </w:r>
      <w:r w:rsidRPr="003905F5">
        <w:rPr>
          <w:rFonts w:ascii="Cambria" w:hAnsi="Cambria"/>
          <w:color w:val="000000"/>
          <w:szCs w:val="24"/>
          <w:lang w:val="en" w:eastAsia="id-ID"/>
        </w:rPr>
        <w:t xml:space="preserve"> According to</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10.1108/AJAR-08-2019-0065","author":[{"dropping-particle":"","family":"Abbas","given":"Ahmad","non-dropping-particle":"","parse-names":false,"suffix":""},{"dropping-particle":"","family":"Arizah","given":"Ainun","non-dropping-particle":"","parse-names":false,"suffix":""}],"container-title":"Asian Journal of Accounting Research","id":"ITEM-1","issue":"02","issued":{"date-parts":[["2019"]]},"page":"315-326","title":"Marketability, Profitability, and Profit-Loss Sharing: Evidence from Sharia Banking in Indonesia","type":"article-journal","volume":"04"},"uris":["http://www.mendeley.com/documents/?uuid=ea152d98-96a1-4af3-855a-02095b8ed519"]}],"mendeley":{"formattedCitation":"(Abbas &amp; Arizah, 2019)","manualFormatting":"Abbas &amp; Arizah (2019)","plainTextFormattedCitation":"(Abbas &amp; Arizah, 2019)","previouslyFormattedCitation":"(Abbas &amp; Arizah, 2019)"},"properties":{"noteIndex":0},"schema":"https://github.com/citation-style-language/schema/raw/master/csl-citation.json"}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Abbas &amp; Arizah (2019)</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 bank sharia operates under different principles from conventional systems. Islamic principles applied by Islamic banks include oriented toward profit and loss sharing.</w:t>
      </w:r>
    </w:p>
    <w:p w:rsidR="00C47ECA" w:rsidRPr="003905F5" w:rsidRDefault="00C47ECA" w:rsidP="00C47ECA">
      <w:pPr>
        <w:spacing w:line="276" w:lineRule="auto"/>
        <w:ind w:left="-2" w:firstLineChars="177" w:firstLine="425"/>
        <w:rPr>
          <w:rFonts w:ascii="Cambria" w:hAnsi="Cambria"/>
          <w:color w:val="000000"/>
          <w:szCs w:val="24"/>
          <w:lang w:val="en" w:eastAsia="id-ID"/>
        </w:rPr>
      </w:pPr>
      <w:r w:rsidRPr="003905F5">
        <w:rPr>
          <w:rFonts w:ascii="Cambria" w:hAnsi="Cambria"/>
          <w:color w:val="000000"/>
          <w:szCs w:val="24"/>
          <w:lang w:val="en" w:eastAsia="id-ID"/>
        </w:rPr>
        <w:t xml:space="preserve"> In this regard, when carrying out its  principles and roles, Islamic banks  have an obligation in explicit contracts to share the profits earned or return opinions with customers</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{"citationItems":[{"id":"ITEM-1","itemData":{"DOI":"10.1016/j.qref.2012.04.007","author":[{"dropping-particle":"","family":"Farook","given":"Sayd","non-dropping-particle":"","parse-names":false,"suffix":""},{"dropping-particle":"","family":"Hassan","given":"M. Kabir","non-dropping-particle":"","parse-names":false,"suffix":""},{"dropping-particle":"","family":"Linch","given":"Gregory","non-dropping-particle":"","parse-names":false,"suffix":""}],"container-title":"The Quarterly Review of Economics and Finance","id":"ITEM-1","issue":"03","issued":{"date-parts":[["2012"]]},"page":"333-347","title":"Profit Distribution Management by Islamic Banks: An Empirical Investigation","type":"article-journal","volume":"52"},"uris":["http://www.mendeley.com/documents/?uuid=229b8773-9dc4-42a4-94d0-deae8a94cf70"]}],"mendeley":{"formattedCitation":"(Farook, Hassan, &amp; Linch, 2012)","plainTextFormattedCitation":"(Farook, Hassan, &amp; Linch, 2012)","previouslyFormattedCitation":"(Farook, Hassan, &amp; Linch, 2012)"},"properties":{"noteIndex":0},"schema":"https://github.com/citation-style-language/schema/raw/master/csl-citation.json"}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(Farook, Hassan, &amp; Linch, 2012)</w:t>
      </w:r>
      <w:r w:rsidRPr="003905F5">
        <w:rPr>
          <w:rFonts w:ascii="Cambria" w:hAnsi="Cambria"/>
          <w:lang w:val="en"/>
        </w:rPr>
        <w:t xml:space="preserve"> </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{"citationItems":[{"id":"ITEM-1","itemData":{"author":[{"dropping-particle":"","family":"Wahasusmiah","given":"Rolia","non-dropping-particle":"","parse-names":false,"suffix":""}],"container-title":"Sintama: Jurnal Sistem Informasi, Akuntansi &amp; Manajemen","id":"ITEM-1","issue":"01","issued":{"date-parts":[["2022"]]},"page":"1-13","title":"Determinan Profit Distribution Management Pada Perbankan Syariah di Indonesia","type":"article-journal","volume":"02"},"uris":["http://www.mendeley.com/documents/?uuid=486751d6-11c3-453c-994f-d8116ef0da6c"]}],"mendeley":{"formattedCitation":"(Wahasusmiah, 2022)","manualFormatting":"Wahasusmiah (2022)","plainTextFormattedCitation":"(Wahasusmiah, 2022)","previouslyFormattedCitation":"(Wahasusmiah, 2022)"},"properties":{"noteIndex":0},"schema":"https://github.com/citation-style-language/schema/raw/master/csl-citation.json"}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Wahasusmiah (2022)</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explained that the portion of profit to customers is regulated based on the product, profit generation, and agreed ratio approval. In practice,</w:t>
      </w:r>
      <w:r w:rsidRPr="003905F5">
        <w:rPr>
          <w:rFonts w:ascii="Cambria" w:hAnsi="Cambria"/>
          <w:iCs/>
          <w:noProof/>
          <w:color w:val="000000"/>
          <w:szCs w:val="24"/>
          <w:lang w:val="en" w:eastAsia="id-ID"/>
        </w:rPr>
        <w:t xml:space="preserve"> Wafaretta, Rosidi, &amp; Rahman </w:t>
      </w:r>
      <w:r w:rsidRPr="003905F5">
        <w:rPr>
          <w:rFonts w:ascii="Cambria" w:hAnsi="Cambria"/>
          <w:color w:val="000000"/>
          <w:szCs w:val="24"/>
          <w:lang w:val="en" w:eastAsia="id-ID"/>
        </w:rPr>
        <w:t>stated that Islamic banks have the authority as managers to manage and distribute profits. Profit Distribution Management as stipulated in the fatwa of the National Sharia Council of MUI No 87 / DSN-MUI / XII / 2012 concerning income smoothing methods of third-party funds.</w:t>
      </w:r>
    </w:p>
    <w:p w:rsidR="00C47ECA" w:rsidRPr="003905F5" w:rsidRDefault="00C47ECA" w:rsidP="00C47ECA">
      <w:pPr>
        <w:spacing w:line="276" w:lineRule="auto"/>
        <w:ind w:left="-2" w:firstLineChars="177" w:firstLine="425"/>
        <w:rPr>
          <w:rFonts w:ascii="Cambria" w:hAnsi="Cambria"/>
          <w:color w:val="000000"/>
          <w:szCs w:val="24"/>
          <w:lang w:val="en" w:eastAsia="id-ID"/>
        </w:rPr>
      </w:pPr>
      <w:r w:rsidRPr="003905F5">
        <w:rPr>
          <w:rFonts w:ascii="Cambria" w:hAnsi="Cambria"/>
          <w:color w:val="000000"/>
          <w:szCs w:val="24"/>
          <w:lang w:val="en" w:eastAsia="id-ID"/>
        </w:rPr>
        <w:t>Utilizing Profit Distribution Management, Islamic banks take strategic steps to compete competitively with other banks, especially with conventional banks, increasing operating income</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10.32350/ibfr","author":[{"dropping-particle":"","family":"Shahzadi","given":"Kiran","non-dropping-particle":"","parse-names":false,"suffix":""},{"dropping-particle":"","family":"Ayub","given":"Huma","non-dropping-particle":"","parse-names":false,"suffix":""},{"dropping-particle":"","family":"Shabbir","given":"Malik Shahzad","non-dropping-particle":"","parse-names":false,"suffix":""},{"dropping-particle":"","family":"Yasmin","given":"Attiya","non-dropping-particle":"","parse-names":false,"suffix":""}],"container-title":"Islamic Banking and Finance Review","id":"ITEM-1","issue":"01","issued":{"date-parts":[["2021"]]},"page":"78-102","title":"Factors Affecting Profit Distribution Management of Islamic Banks: Moderating Role of Corporate Governance","type":"article-journal","volume":"08"},"uris":["http://www.mendeley.com/documents/?uuid=63cb7b52-17a0-46c5-a18b-3ecb974b7e37"]}],"mendeley":{"formattedCitation":"(Shahzadi, Ayub, Shabbir, &amp; Yasmin, 2021)","plainTextFormattedCitation":"(Shahzadi, Ayub, Shabbir, &amp; Yasmin, 2021)","previouslyFormattedCitation":"(Shahzadi, Ayub, Shabbir, &amp; Yasmin, 2021)"},"properties":{"noteIndex":0},"schema":"https://github.com/citation-style-language/schema/raw/master/csl-citation.json"}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(Shahzadi, Ayub, Shabbir, &amp; Yasmin, 2021)</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w:t>
      </w:r>
      <w:r w:rsidRPr="003905F5">
        <w:rPr>
          <w:rFonts w:ascii="Cambria" w:hAnsi="Cambria"/>
          <w:lang w:val="en"/>
        </w:rPr>
        <w:t xml:space="preserve"> </w:t>
      </w:r>
      <w:r w:rsidRPr="003905F5">
        <w:rPr>
          <w:rFonts w:ascii="Cambria" w:hAnsi="Cambria"/>
          <w:color w:val="000000"/>
          <w:szCs w:val="24"/>
          <w:lang w:val="en" w:eastAsia="id-ID"/>
        </w:rPr>
        <w:t>However, an opinion arises that interest rates may still indirectly affect the Islamic financial system's operation</w:t>
      </w:r>
      <w:r w:rsidRPr="003905F5">
        <w:rPr>
          <w:rFonts w:ascii="Cambria" w:hAnsi="Cambria"/>
          <w:noProof/>
          <w:color w:val="000000"/>
          <w:szCs w:val="24"/>
          <w:lang w:val="en" w:eastAsia="id-ID"/>
        </w:rPr>
        <w:t xml:space="preserve"> (Anuar, Mohamad, &amp; Shah, 2014)</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10.4197/Islec.27-2.2","author":[{"dropping-particle":"","family":"Anuar","given":"Khairul","non-dropping-particle":"","parse-names":false,"suffix":""},{"dropping-particle":"","family":"Mohamad","given":"Shamser","non-dropping-particle":"","parse-names":false,"suffix":""},{"dropping-particle":"","family":"Shah","given":"Mohamed","non-dropping-particle":"","parse-names":false,"suffix":""}],"container-title":"Journal of King Abdulaziz University: Islamic Economics","id":"ITEM-1","issue":"02","issued":{"date-parts":[["2014"]]},"page":"29-58","title":"Are Deposit and Investment Accounts in Islamic Banks in Malaysia Interest-Free?","type":"article-journal","volume":"27"},"uris":["http://www.mendeley.com/documents/?uuid=d3783ee8-32db-44a6-993a-65a74181cff0"]}],"mendeley":{"formattedCitation":"(Anuar, Mohamad, &amp; Shah, 2014)","plainTextFormattedCitation":"(Anuar, Mohamad, &amp; Shah, 2014)","previouslyFormattedCitation":"(Anuar, Mohamad, &amp; Shah, 2014)"},"properties":{"noteIndex":0},"schema":"https://github.com/citation-style-language/schema/raw/master/csl-citation.json"}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color w:val="000000"/>
          <w:szCs w:val="24"/>
          <w:lang w:val="en" w:eastAsia="id-ID"/>
        </w:rPr>
        <w:t xml:space="preserve">. </w:t>
      </w:r>
      <w:r w:rsidRPr="003905F5">
        <w:rPr>
          <w:rFonts w:ascii="Cambria" w:hAnsi="Cambria"/>
          <w:color w:val="000000"/>
          <w:szCs w:val="24"/>
          <w:lang w:val="en" w:eastAsia="id-ID"/>
        </w:rPr>
        <w:fldChar w:fldCharType="end"/>
      </w:r>
      <w:r w:rsidRPr="003905F5">
        <w:rPr>
          <w:rFonts w:ascii="Cambria" w:hAnsi="Cambria"/>
          <w:lang w:val="en"/>
        </w:rPr>
        <w:t xml:space="preserve"> </w:t>
      </w:r>
      <w:r w:rsidRPr="003905F5">
        <w:rPr>
          <w:rFonts w:ascii="Cambria" w:hAnsi="Cambria"/>
          <w:color w:val="000000"/>
          <w:szCs w:val="24"/>
          <w:lang w:val="en" w:eastAsia="id-ID"/>
        </w:rPr>
        <w:t>Thus, there is a gap in the opinion that in its implementation, Profit Distribution Management (PDM) in  Islamic banking still refers to interest rates</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{"citationItems":[{"id":"ITEM-1","itemData":{"DOI":"10.1016/j.qref.2012.04.007","author":[{"dropping-particle":"","family":"Farook","given":"Sayd","non-dropping-particle":"","parse-names":false,"suffix":""},{"dropping-particle":"","family":"Hassan","given":"M. Kabir","non-dropping-particle":"","parse-names":false,"suffix":""},{"dropping-particle":"","family":"Linch","given":"Gregory","non-dropping-particle":"","parse-names":false,"suffix":""}],"container-title":"The Quarterly Review of Economics and Finance","id":"ITEM-1","issue":"03","issued":{"date-parts":[["2012"]]},"page":"333-347","title":"Profit Distribution Management by Islamic Banks: An Empirical Investigation","type":"article-journal","volume":"52"},"uris":["http://www.mendeley.com/documents/?uuid=229b8773-9dc4-42a4-94d0-deae8a94cf70"]},{"id":"ITEM-2","itemData":{"DOI":"10.34202/imanensi.1.1.2013.31-41","author":[{"dropping-particle":"","family":"Mulyo","given":"Gagat Panggah","non-dropping-particle":"","parse-names":false,"suffix":""},{"dropping-particle":"","family":"Mutmainah","given":"Siti","non-dropping-particle":"","parse-names":false,"suffix":""}],"container-title":"Imanensi: Jurnal Ekonomi, Manajemen, dan Akuntansi Islam","id":"ITEM-2","issue":"01","issued":{"date-parts":[["2013"]]},"page":"31-41","title":"Determinan Profit Distribution Management Bank Syariah di Indonesia Periode 2008- 2011","type":"article-journal","volume":"01"},"uris":["http://www.mendeley.com/documents/?uuid=272b0cd2-9417-441b-96da-d489f620b5f4"]}],"mendeley":{"formattedCitation":"(Farook et al., 2012; Mulyo &amp; Mutmainah, 2013)","plainTextFormattedCitation":"(Farook et al., 2012; Mulyo &amp; Mutmainah, 2013)","previouslyFormattedCitation":"(Farook et al., 2012; Mulyo &amp; Mutmainah, 2013)"},"properties":{"noteIndex":0},"schema":"https://github.com/citation-style-language/schema/raw/master/csl-citation.json"}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(Farook et al., 2012; Mulyo &amp; Mutmainah, 2013)</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t xml:space="preserve"> proved that changes in conventional bank interest rates affect the level of profit distribution of Islamic banks. Similarly,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10.1016/j.sbspro.2016.05.066","author":[{"dropping-particle":"","family":"Wafaretta","given":"Vega","non-dropping-particle":"","parse-names":false,"suffix":""},{"dropping-particle":"","family":"Rosidi","given":"","non-dropping-particle":"","parse-names":false,"suffix":""},{"dropping-particle":"","family":"Rahman","given":"Aulia Fuad","non-dropping-particle":"","parse-names":false,"suffix":""}],"container-title":"Procedia – Social and Behavioural Sciences","id":"ITEM-1","issued":{"date-parts":[["2016"]]},"page":"769-776","title":"The Impact of Banks’ Characteristics on Profit Distribution Management of Islamic Banks","type":"article-journal","volume":"219"},"uris":["http://www.mendeley.com/documents/?uuid=53384f19-b667-4181-9c37-c0d075fbfb74"]}],"mendeley":{"formattedCitation":"(Wafaretta et al., 2016)","manualFormatting":"Wafaretta et al. (2016)","plainTextFormattedCitation":"(Wafaretta et al., 2016)","previouslyFormattedCitation":"(Wafaretta et al., 2016)"},"properties":{"noteIndex":0},"schema":"https://github.com/citation-style-language/schema/raw/master/csl-citation.json"}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Wafaretta et al. </w:t>
      </w:r>
      <w:r w:rsidRPr="003905F5">
        <w:rPr>
          <w:rFonts w:ascii="Cambria" w:hAnsi="Cambria"/>
          <w:lang w:val="en"/>
        </w:rPr>
        <w:t xml:space="preserve"> </w:t>
      </w:r>
      <w:r w:rsidRPr="003905F5">
        <w:rPr>
          <w:rFonts w:ascii="Cambria" w:hAnsi="Cambria"/>
          <w:noProof/>
          <w:color w:val="000000"/>
          <w:szCs w:val="24"/>
          <w:lang w:val="en" w:eastAsia="id-ID"/>
        </w:rPr>
        <w:t>(2016)</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concluded that interest rates positively affect the distribution of profits.</w:t>
      </w:r>
    </w:p>
    <w:p w:rsidR="00C47ECA" w:rsidRPr="003905F5" w:rsidRDefault="00C47ECA" w:rsidP="00C47ECA">
      <w:pPr>
        <w:spacing w:line="276" w:lineRule="auto"/>
        <w:ind w:left="-2" w:firstLineChars="177" w:firstLine="425"/>
        <w:rPr>
          <w:rFonts w:ascii="Cambria" w:hAnsi="Cambria" w:cs="Times New Roman"/>
          <w:color w:val="000000"/>
          <w:szCs w:val="24"/>
          <w:lang w:eastAsia="id-ID"/>
        </w:rPr>
      </w:pPr>
      <w:r w:rsidRPr="003905F5">
        <w:rPr>
          <w:rFonts w:ascii="Cambria" w:hAnsi="Cambria"/>
          <w:color w:val="000000"/>
          <w:szCs w:val="24"/>
          <w:lang w:val="en" w:eastAsia="id-ID"/>
        </w:rPr>
        <w:t>Bank Muamalat Indonesia, the first reporting bank operating with sharia principles in Indonesia, has continued to maintain its existence until now after being established for 30 years. To compete with conventional banks that have dominated the banking industry in Indonesia, Islamic banks, especially Bank Muamalat Indonesia, must continue to strive to improve financial performance</w:t>
      </w:r>
      <w:r w:rsidRPr="003905F5">
        <w:rPr>
          <w:rFonts w:ascii="Cambria" w:hAnsi="Cambria"/>
          <w:lang w:val="en"/>
        </w:rPr>
        <w:t xml:space="preserve">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{"citationItems":[{"id":"ITEM-1","itemData":{"DOI":"10.31332/lifalah.v2i2.653","author":[{"dropping-particle":"","family":"Alteza","given":"Muniya","non-dropping-particle":"","parse-names":false,"suffix":""}],"container-title":"Falah: Journal of Islamic Economics and Business Studies","id":"ITEM-1","issue":"02","issued":{"date-parts":[["2017"]]},"page":"39-55","title":"Analisis Determinan Profit Distribution Management Bank Umum Syariah Periode 2013-2016","type":"article-journal","volume":"02"},"uris":["http://www.mendeley.com/documents/?uuid=ed690e34-6792-4e43-bbac-38f1e310c237"]}],"mendeley":{"formattedCitation":"(Alteza, 2017)","plainTextFormattedCitation":"(Alteza, 2017)","previouslyFormattedCitation":"(Alteza, 2017)"},"properties":{"noteIndex":0},"schema":"https://github.com/citation-style-language/schema/raw/master/csl-citation.json"}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(Alteza, 2017)</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t xml:space="preserve"> According to</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10.29040/jiei.v7i3.2908","author":[{"dropping-particle":"","family":"Mulato","given":"Tri","non-dropping-particle":"","parse-names":false,"suffix":""},{"dropping-particle":"","family":"Mustamin","given":"Asyraf","non-dropping-particle":"","parse-names":false,"suffix":""},{"dropping-particle":"","family":"Supriadi","given":"Supriadi","non-dropping-particle":"","parse-names":false,"suffix":""},{"dropping-particle":"","family":"Umar","given":"St Hafsah","non-dropping-particle":"","parse-names":false,"suffix":""},{"dropping-particle":"","family":"Ningsih","given":"Surya","non-dropping-particle":"","parse-names":false,"suffix":""}],"container-title":"Jurnal Ilmiah Ekonomi Islam","id":"ITEM-1","issue":"03","issued":{"date-parts":[["2021"]]},"page":"1293-1305","title":"Strategi Bisnis Bank Syariah di Masa Pandemi Covid-19 pada PT. Bank Panin Dubai Syariah Cabang Makassar","type":"article-journal","volume":"07"},"uris":["http://www.mendeley.com/documents/?uuid=b0a3bd4a-b9dd-40dd-8612-921f4e07da5f"]}],"mendeley":{"formattedCitation":"(Mulato, Mustamin, Supriadi, Umar, &amp; Ningsih, 2021)","manualFormatting":"Mulato, Mustamin, Supriadi, Umar, &amp; Ningsih (2021)","plainTextFormattedCitation":"(Mulato, Mustamin, Supriadi, Umar, &amp; Ningsih, 2021)","previouslyFormattedCitation":"(Mulato, Mustamin, Supriadi, Umar, &amp; Ningsih, 2021)"},"properties":{"noteIndex":0},"schema":"https://github.com/citation-style-language/schema/raw/master/csl-citation.json"}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Mulato, Mustamin, Supriadi, Umar, &amp; Ningsih (2021)</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what needs to be developed by Islamic banks, including Bank Muamalat, to improve financial performance is how the bank's ability to manage funds in order to provide optimal profit-sharing to customers</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{"citationItems":[{"id":"ITEM-1","itemData":{"author":[{"dropping-particle":"","family":"Nengsih","given":"Sri Wida","non-dropping-particle":"","parse-names":false,"suffix":""}],"container-title":"Prisma: Platform Riset Mahasiswa Akuntansi","id":"ITEM-1","issue":"06","issued":{"date-parts":[["2020"]]},"page":"15-25","title":"Faktor-Faktor yang Mempengaruhi Profit Distribution Management pada BPR Syariah di Indonesia Periode 2017-2019","type":"article-journal","volume":"01"},"uris":["http://www.mendeley.com/documents/?uuid=2649a6c0-3b30-48e3-8301-4f1e66f0000e"]}],"mendeley":{"formattedCitation":"(Nengsih, 2020)","plainTextFormattedCitation":"(Nengsih, 2020)","previouslyFormattedCitation":"(Nengsih, 2020)"},"properties":{"noteIndex":0},"schema":"https://github.com/citation-style-language/schema/raw/master/csl-citation.json"}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w:t>
      </w:r>
      <w:r w:rsidRPr="003905F5">
        <w:rPr>
          <w:rFonts w:ascii="Cambria" w:hAnsi="Cambria"/>
          <w:noProof/>
          <w:color w:val="000000"/>
          <w:szCs w:val="24"/>
          <w:lang w:val="en" w:eastAsia="id-ID"/>
        </w:rPr>
        <w:lastRenderedPageBreak/>
        <w:t>(Nengsih, 2020)</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 The profit-sharing system makes the amount of profit obtained by the customer follow the amount of profit obtained by the bank. The distribution of customer funds collected can be placed by Islamic banks into business sectors that generate profits (profits)</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{"citationItems":[{"id":"ITEM-1","itemData":{"DOI":"10.19109/nurani.v18i1.1920","author":[{"dropping-particle":"","family":"Mismiwati","given":"","non-dropping-particle":"","parse-names":false,"suffix":""}],"container-title":"Nurani: Jurnal Kajian Syariah dan Masyarakat","id":"ITEM-1","issue":"01","issued":{"date-parts":[["2018"]]},"page":"19-34","title":"Bank Internal Factors and Profit Distribution Management of Syariah Banks in Indonesia","type":"article-journal","volume":"18"},"uris":["http://www.mendeley.com/documents/?uuid=c9a6fbd3-b316-4757-ba60-50f719fd4692"]}],"mendeley":{"formattedCitation":"(Mismiwati, 2018)","plainTextFormattedCitation":"(Mismiwati, 2018)","previouslyFormattedCitation":"(Mismiwati, 2018)"},"properties":{"noteIndex":0},"schema":"https://github.com/citation-style-language/schema/raw/master/csl-citation.json"}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(Mismiwati, 2018)</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p>
    <w:p w:rsidR="00C47ECA" w:rsidRPr="003905F5" w:rsidRDefault="00C47ECA" w:rsidP="00C47ECA">
      <w:pPr>
        <w:spacing w:line="276" w:lineRule="auto"/>
        <w:ind w:left="-2" w:firstLineChars="177" w:firstLine="425"/>
        <w:rPr>
          <w:rFonts w:ascii="Cambria" w:hAnsi="Cambria" w:cs="Times New Roman"/>
          <w:color w:val="000000"/>
          <w:szCs w:val="24"/>
          <w:lang w:val="en-US" w:eastAsia="id-ID"/>
        </w:rPr>
      </w:pPr>
      <w:r w:rsidRPr="003905F5">
        <w:rPr>
          <w:rFonts w:ascii="Cambria" w:hAnsi="Cambria"/>
          <w:color w:val="000000"/>
          <w:szCs w:val="24"/>
          <w:lang w:val="en" w:eastAsia="id-ID"/>
        </w:rPr>
        <w:t>Several previous studies have shown that financial performance indicators in Islamic banks have a relationship with Profit Distribution Management (PDM)</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10.14414/jebav.v20i2.1055","author":[{"dropping-particle":"","family":"Ernayani","given":"Rihfenti","non-dropping-particle":"","parse-names":false,"suffix":""},{"dropping-particle":"","family":"Robiyanto","given":"","non-dropping-particle":"","parse-names":false,"suffix":""},{"dropping-particle":"","family":"Sudjinan","given":"","non-dropping-particle":"","parse-names":false,"suffix":""}],"container-title":"Ventura: Journal of Economics, Business &amp; Accutancy","id":"ITEM-1","issue":"02","issued":{"date-parts":[["2017"]]},"page":"187-192","title":"Factors Influencing Profit Distribution Management of Sharia Commercial Banks in Indonesia","type":"article-journal","volume":"20"},"uris":["http://www.mendeley.com/documents/?uuid=9541b2dd-56e6-40aa-908b-ba52103260a9"]},{"id":"ITEM-2","itemData":{"DOI":"10.1166/asl.2017.9324","author":[{"dropping-particle":"","family":"Africano","given":"Fernando","non-dropping-particle":"","parse-names":false,"suffix":""},{"dropping-particle":"","family":"Elizabeth","given":"P. Sri Megawati","non-dropping-particle":"","parse-names":false,"suffix":""},{"dropping-particle":"","family":"Parlindungan","given":"Ricardo","non-dropping-particle":"","parse-names":false,"suffix":""}],"container-title":"Advanced Science Letters","id":"ITEM-2","issue":"08","issued":{"date-parts":[["2017"]]},"page":"7183-7186","title":"Factor Affecting Profit Distribution Management of Syariah Banks in Indonesia,","type":"article-journal","volume":"23"},"uris":["http://www.mendeley.com/documents/?uuid=7e992fe6-c8ea-4ce5-98c0-c8ddae496670"]}],"mendeley":{"formattedCitation":"(Africano, Elizabeth, &amp; Parlindungan, 2017; Ernayani, Robiyanto, &amp; Sudjinan, 2017)","manualFormatting":"(Africano et al., 2017; Ernayani, Robiyanto, &amp; Sudjinan, 2017)","plainTextFormattedCitation":"(Africano, Elizabeth, &amp; Parlindungan, 2017; Ernayani, Robiyanto, &amp; Sudjinan, 2017)","previouslyFormattedCitation":"(Africano, Elizabeth, &amp; Parlindungan, 2017; Ernayani, Robiyanto, &amp; Sudjinan, 2017)"},"properties":{"noteIndex":0},"schema":"https://github.com/citation-style-language/schema/raw/master/csl-citation.json"}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 xml:space="preserve"> (</w:t>
      </w:r>
      <w:r w:rsidRPr="003905F5">
        <w:rPr>
          <w:rFonts w:ascii="Cambria" w:hAnsi="Cambria"/>
          <w:noProof/>
          <w:szCs w:val="24"/>
          <w:lang w:val="en"/>
        </w:rPr>
        <w:fldChar w:fldCharType="begin" w:fldLock="1"/>
      </w:r>
      <w:r w:rsidRPr="003905F5">
        <w:rPr>
          <w:rFonts w:ascii="Cambria" w:hAnsi="Cambria"/>
          <w:noProof/>
          <w:szCs w:val="24"/>
          <w:lang w:val="en"/>
        </w:rPr>
        <w:instrText>ADDIN CSL_CITATION {"citationItems":[{"id":"ITEM-1","itemData":{"DOI":"10.1166/asl.2017.9324","author":[{"dropping-particle":"","family":"Africano","given":"Fernando","non-dropping-particle":"","parse-names":false,"suffix":""},{"dropping-particle":"","family":"Elizabeth","given":"P. Sri Megawati","non-dropping-particle":"","parse-names":false,"suffix":""},{"dropping-particle":"","family":"Parlindungan","given":"Ricardo","non-dropping-particle":"","parse-names":false,"suffix":""}],"container-title":"Advanced Science Letters","id":"ITEM-1","issue":"08","issued":{"date-parts":[["2017"]]},"page":"7183-7186","title":"Factor Affecting Profit Distribution Management of Syariah Banks in Indonesia,","type":"article-journal","volume":"23"},"uris":["http://www.mendeley.com/documents/?uuid=7e992fe6-c8ea-4ce5-98c0-c8ddae496670"]}],"mendeley":{"formattedCitation":"(Africano et al., 2017)","manualFormatting":"Africano et al., 2017","plainTextFormattedCitation":"(Africano et al., 2017)","previouslyFormattedCitation":"(Africano et al., 2017)"},"properties":{"noteIndex":0},"schema":"https://github.com/citation-style-language/schema/raw/master/csl-citation.json"}</w:instrText>
      </w:r>
      <w:r w:rsidRPr="003905F5">
        <w:rPr>
          <w:rFonts w:ascii="Cambria" w:hAnsi="Cambria"/>
          <w:noProof/>
          <w:szCs w:val="24"/>
          <w:lang w:val="en"/>
        </w:rPr>
        <w:fldChar w:fldCharType="separate"/>
      </w:r>
      <w:r w:rsidRPr="003905F5">
        <w:rPr>
          <w:rFonts w:ascii="Cambria" w:hAnsi="Cambria"/>
          <w:noProof/>
          <w:szCs w:val="24"/>
          <w:lang w:val="en"/>
        </w:rPr>
        <w:t>Africano et al., 2017</w:t>
      </w:r>
      <w:r w:rsidRPr="003905F5">
        <w:rPr>
          <w:rFonts w:ascii="Cambria" w:hAnsi="Cambria"/>
          <w:noProof/>
          <w:szCs w:val="24"/>
          <w:lang w:val="en"/>
        </w:rPr>
        <w:fldChar w:fldCharType="end"/>
      </w:r>
      <w:r w:rsidRPr="003905F5">
        <w:rPr>
          <w:rFonts w:ascii="Cambria" w:hAnsi="Cambria"/>
          <w:noProof/>
          <w:color w:val="000000"/>
          <w:szCs w:val="24"/>
          <w:lang w:val="en" w:eastAsia="id-ID"/>
        </w:rPr>
        <w:t>; Ernayani, Robiyanto, &amp; Sudjinan, 2017)</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w:t>
      </w:r>
      <w:r w:rsidRPr="003905F5">
        <w:rPr>
          <w:rFonts w:ascii="Cambria" w:hAnsi="Cambria"/>
          <w:lang w:val="en"/>
        </w:rPr>
        <w:t xml:space="preserve"> </w:t>
      </w:r>
      <w:r w:rsidRPr="003905F5">
        <w:rPr>
          <w:rFonts w:ascii="Cambria" w:hAnsi="Cambria"/>
          <w:color w:val="000000"/>
          <w:szCs w:val="24"/>
          <w:lang w:val="en" w:eastAsia="id-ID"/>
        </w:rPr>
        <w:t xml:space="preserve"> One of the leading indicators for assessing financial performance is the bank's financial statements in question. </w:t>
      </w:r>
      <w:r w:rsidRPr="003905F5">
        <w:rPr>
          <w:rFonts w:ascii="Cambria" w:hAnsi="Cambria"/>
          <w:color w:val="000000"/>
          <w:szCs w:val="24"/>
          <w:lang w:val="en" w:eastAsia="id-ID"/>
        </w:rPr>
        <w:fldChar w:fldCharType="begin" w:fldLock="1"/>
      </w:r>
      <w:r w:rsidRPr="003905F5">
        <w:rPr>
          <w:rFonts w:ascii="Cambria" w:hAnsi="Cambria"/>
          <w:color w:val="000000"/>
          <w:szCs w:val="24"/>
          <w:lang w:val="en" w:eastAsia="id-ID"/>
        </w:rPr>
        <w:instrText>ADDIN CSL_CITATION {"citationItems":[{"id":"ITEM-1","itemData":{"DOI":"10.21043/malia.v2i1.4758","author":[{"dropping-particle":"","family":"Fitri","given":"Fitriyana","non-dropping-particle":"","parse-names":false,"suffix":""},{"dropping-particle":"","family":"Adriyani","given":"Komala","non-dropping-particle":"","parse-names":false,"suffix":""},{"dropping-particle":"","family":"Sutrisno","given":"Catur Ragil","non-dropping-particle":"","parse-names":false,"suffix":""}],"container-title":"Journal of Islamic Banking and Finance","id":"ITEM-1","issue":"01","issued":{"date-parts":[["2018"]]},"page":"31-46","title":"Profit Distribution Management Pada Bank Syariah","type":"article-journal","volume":"02"},"uris":["http://www.mendeley.com/documents/?uuid=a50c311a-00cd-411c-bec6-fdcfd7ef56d4"]}],"mendeley":{"formattedCitation":"(Fitri, Adriyani, &amp; Sutrisno, 2018)","manualFormatting":"Fitri, Adriyani, &amp; Sutrisno (2018)","plainTextFormattedCitation":"(Fitri, Adriyani, &amp; Sutrisno, 2018)","previouslyFormattedCitation":"(Fitri, Adriyani, &amp; Sutrisno, 2018)"},"properties":{"noteIndex":0},"schema":"https://github.com/citation-style-language/schema/raw/master/csl-citation.json"}</w:instrText>
      </w:r>
      <w:r w:rsidRPr="003905F5">
        <w:rPr>
          <w:rFonts w:ascii="Cambria" w:hAnsi="Cambria"/>
          <w:color w:val="000000"/>
          <w:szCs w:val="24"/>
          <w:lang w:val="en" w:eastAsia="id-ID"/>
        </w:rPr>
        <w:fldChar w:fldCharType="separate"/>
      </w:r>
      <w:r w:rsidRPr="003905F5">
        <w:rPr>
          <w:rFonts w:ascii="Cambria" w:hAnsi="Cambria"/>
          <w:noProof/>
          <w:color w:val="000000"/>
          <w:szCs w:val="24"/>
          <w:lang w:val="en" w:eastAsia="id-ID"/>
        </w:rPr>
        <w:t>Fitri, Adriyani, &amp; Sutrisno (2018)</w:t>
      </w:r>
      <w:r w:rsidRPr="003905F5">
        <w:rPr>
          <w:rFonts w:ascii="Cambria" w:hAnsi="Cambria"/>
          <w:color w:val="000000"/>
          <w:szCs w:val="24"/>
          <w:lang w:val="en" w:eastAsia="id-ID"/>
        </w:rPr>
        <w:fldChar w:fldCharType="end"/>
      </w:r>
      <w:r w:rsidRPr="003905F5">
        <w:rPr>
          <w:rFonts w:ascii="Cambria" w:hAnsi="Cambria"/>
          <w:color w:val="000000"/>
          <w:szCs w:val="24"/>
          <w:lang w:val="en" w:eastAsia="id-ID"/>
        </w:rPr>
        <w:t xml:space="preserve"> factors that determine the level of profit sharing (profit distribution), one of which is internal factors that arise from within the company's operations, such as operating costs and other internal conditions contained in the financial statements. In financial statements, there are financial ratios that are useful for analyzing financial statements and the performance of a company. Therefore, financial ratios are internal factors that can be used as a benchmark in measuring Profit Distribution Management (PDM), including the ratios of CAR, ROA, FDR, NPF, and BOPO used in this study. This study focuses on determining and analyzing internal bank factors that affect Profit Distribution Management at Bank Muamalat Indonesia.</w:t>
      </w:r>
    </w:p>
    <w:p w:rsidR="00C47ECA" w:rsidRPr="004028B3" w:rsidRDefault="00C47ECA" w:rsidP="00C47ECA">
      <w:pPr>
        <w:pBdr>
          <w:top w:val="nil"/>
          <w:left w:val="nil"/>
          <w:bottom w:val="nil"/>
          <w:right w:val="nil"/>
          <w:between w:val="nil"/>
        </w:pBdr>
        <w:spacing w:line="276" w:lineRule="auto"/>
        <w:ind w:left="-2" w:firstLineChars="177" w:firstLine="425"/>
        <w:rPr>
          <w:rFonts w:ascii="Cambria" w:eastAsia="Cambria" w:hAnsi="Cambria" w:cs="Cambria"/>
          <w:color w:val="000000"/>
          <w:szCs w:val="24"/>
          <w:lang w:val="en-US"/>
        </w:rPr>
      </w:pPr>
    </w:p>
    <w:p w:rsidR="00C47ECA" w:rsidRDefault="00C47ECA" w:rsidP="00C47ECA">
      <w:pPr>
        <w:pBdr>
          <w:top w:val="nil"/>
          <w:left w:val="nil"/>
          <w:bottom w:val="nil"/>
          <w:right w:val="nil"/>
          <w:between w:val="nil"/>
        </w:pBdr>
        <w:spacing w:before="100" w:after="100" w:line="276" w:lineRule="auto"/>
        <w:ind w:left="0" w:hanging="2"/>
        <w:rPr>
          <w:rFonts w:ascii="Cambria" w:eastAsia="Cambria" w:hAnsi="Cambria" w:cs="Cambria"/>
          <w:b/>
          <w:color w:val="000000"/>
          <w:szCs w:val="24"/>
        </w:rPr>
      </w:pPr>
      <w:r w:rsidRPr="00FA3E0F">
        <w:rPr>
          <w:rFonts w:ascii="Cambria" w:eastAsia="Cambria" w:hAnsi="Cambria" w:cs="Cambria"/>
          <w:b/>
          <w:color w:val="000000"/>
          <w:szCs w:val="24"/>
          <w:lang w:val="en-US"/>
        </w:rPr>
        <w:t>LITERATURE REVIEW</w:t>
      </w:r>
      <w:r w:rsidRPr="00FA3E0F">
        <w:rPr>
          <w:rFonts w:ascii="Cambria" w:eastAsia="Cambria" w:hAnsi="Cambria" w:cs="Cambria"/>
          <w:b/>
          <w:color w:val="000000"/>
          <w:szCs w:val="24"/>
        </w:rPr>
        <w:t xml:space="preserve"> </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Profit Distribution Management (PDM) is a form of profit sharing obtained by Islamic banks for customers who deposit their funds based on an agreed monthly ratio.</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The amount of profit to be distributed depends on the profit sharing from the bank's income, the amount and term of the deposit so that, in this case, the customer will get his share and will not lose the principal of his deposit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{"citationItems":[{"id":"ITEM-1","itemData":{"DOI":"10.13140/RG.2.2.13151.82087","author":[{"dropping-particle":"","family":"Dewi","given":"Ratna Mutia","non-dropping-particle":"","parse-names":false,"suffix":""},{"dropping-particle":"","family":"Wibowo","given":"Agus Satya","non-dropping-particle":"","parse-names":false,"suffix":""},{"dropping-particle":"","family":"Diarsyad","given":"M. Ichsan","non-dropping-particle":"","parse-names":false,"suffix":""}],"id":"ITEM-1","issued":{"date-parts":[["2020"]]},"page":"1-28","title":"Bukti Empiris Penentu Profit Distribution Management Pada Bank Umum Syariah di Indonesia","type":"article-journal"},"uris":["http://www.mendeley.com/documents/?uuid=01bb8b11-42e7-42ad-836a-ea9b18e58d14"]}],"mendeley":{"formattedCitation":"(Dewi et al., 2020)","plainTextFormattedCitation":"(Dewi et al., 2020)","previouslyFormattedCitation":"(Dewi et al., 2020)"},"properties":{"noteIndex":0},"schema":"https://github.com/citation-style-language/schema/raw/master/csl-citation.json"}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(Dewi et al., 2020)</w:t>
      </w:r>
      <w:r w:rsidRPr="00FA3E0F">
        <w:rPr>
          <w:rFonts w:ascii="Cambria" w:eastAsia="Cambria" w:hAnsi="Cambria" w:cs="Cambria"/>
          <w:color w:val="000000"/>
          <w:szCs w:val="24"/>
        </w:rPr>
        <w:fldChar w:fldCharType="end"/>
      </w:r>
      <w:r w:rsidRPr="00890BA4">
        <w:rPr>
          <w:rFonts w:ascii="Cambria" w:eastAsia="Cambria" w:hAnsi="Cambria" w:cs="Cambria"/>
          <w:bCs/>
          <w:color w:val="000000"/>
          <w:szCs w:val="24"/>
        </w:rPr>
        <w:t xml:space="preserve">So it can be said that Profit Distribution Management is part of the bank's activities to fulfill its obligations to distribute profit sharing to its customers. </w:t>
      </w:r>
      <w:r w:rsidRPr="00FA3E0F">
        <w:rPr>
          <w:rFonts w:ascii="Cambria" w:eastAsia="Cambria" w:hAnsi="Cambria" w:cs="Cambria"/>
          <w:bCs/>
          <w:color w:val="000000"/>
          <w:szCs w:val="24"/>
          <w:lang w:val="en-US"/>
        </w:rPr>
        <w:t xml:space="preserve">.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DOI":"10.1007/s10693-010-0089-0","author":[{"dropping-particle":"","family":"Cihak","given":"Martin","non-dropping-particle":"","parse-names":false,"suffix":""},{"dropping-particle":"","family":"Hesse","given":"Heiko","non-dropping-particle":"","parse-names":false,"suffix":""}],"container-title":"Journal of Financial Services Research","id":"ITEM-1","issue":"02","issued":{"date-parts":[["2010"]]},"page":"95-113","title":"Islamic Banks and Financial Stability: An Empirical Analysis","type":"article-journal","volume":"38"},"uris":["http://www.mendeley.com/documents/?uuid=27b61e2e-38e7-4126-9642-ad1ca05db368"]}],"mendeley":{"formattedCitation":"(Cihak &amp; Hesse, 2010)","manualFormatting":"Cihak &amp; Hesse (2010)","plainTextFormattedCitation":"(Cihak &amp; Hesse, 2010)","previouslyFormattedCitation":"(Cihak &amp; Hesse, 2010)"},"properties":{"noteIndex":0},"schema":"https://github.com/citation-style-language/schema/raw/master/csl-citation.json"}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Cihak &amp; Hesse (2010)</w:t>
      </w:r>
      <w:r w:rsidRPr="00FA3E0F">
        <w:rPr>
          <w:rFonts w:ascii="Cambria" w:eastAsia="Cambria" w:hAnsi="Cambria" w:cs="Cambria"/>
          <w:color w:val="000000"/>
          <w:szCs w:val="24"/>
        </w:rPr>
        <w:fldChar w:fldCharType="end"/>
      </w:r>
      <w:r w:rsidRPr="00FA3E0F">
        <w:rPr>
          <w:rFonts w:ascii="Cambria" w:eastAsia="Cambria" w:hAnsi="Cambria" w:cs="Cambria"/>
          <w:bCs/>
          <w:color w:val="000000"/>
          <w:szCs w:val="24"/>
          <w:lang w:val="en-US"/>
        </w:rPr>
        <w:t xml:space="preserve"> </w:t>
      </w:r>
      <w:r w:rsidRPr="00890BA4">
        <w:rPr>
          <w:rFonts w:ascii="Cambria" w:eastAsia="Cambria" w:hAnsi="Cambria" w:cs="Cambria"/>
          <w:bCs/>
          <w:color w:val="000000"/>
          <w:szCs w:val="24"/>
        </w:rPr>
        <w:t xml:space="preserve"> stated that the profit-sharing mechanism allows Islamic banks to maintain net assets and prevent balance sheet damage under difficult economic situations. This is partly due to the prohibition of usury and gharar, which are limits for Islamic banks to contribute to specific instruments that are considered to have contributed to the financial crisis, such as debt obligations that are guaranteed to conventional banks that borrow funds to pay interest and those whose borrowers charge interest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author":[{"dropping-particle":"","family":"Iqbal","given":"Munawar","non-dropping-particle":"","parse-names":false,"suffix":""},{"dropping-particle":"","family":"Molyneux","given":"Philip","non-dropping-particle":"","parse-names":false,"suffix":""}],"container-title":"Journal of King Abdul Aziz University: Islamic Economics2","id":"ITEM-1","issue":"01","issued":{"date-parts":[["2006"]]},"page":"37-39","title":"Thirty Years of Islamic Banking: History, Performance, and Prospect","type":"article-journal","volume":"19"},"uris":["http://www.mendeley.com/documents/?uuid=09315b1c-5657-4ad2-bbb1-4d6a2700bb4e"]}],"mendeley":{"formattedCitation":"(Iqbal &amp; Molyneux, 2006)","plainTextFormattedCitation":"(Iqbal &amp; Molyneux, 2006)","previouslyFormattedCitation":"(Iqbal &amp; Molyneux, 2006)"},"properties":{"noteIndex":0},"schema":"https://github.com/citation-style-language/schema/raw/master/csl-citation.json"}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(Iqbal &amp; Molyneux, 2006)</w:t>
      </w:r>
      <w:r w:rsidRPr="00FA3E0F">
        <w:rPr>
          <w:rFonts w:ascii="Cambria" w:eastAsia="Cambria" w:hAnsi="Cambria" w:cs="Cambria"/>
          <w:color w:val="000000"/>
          <w:szCs w:val="24"/>
        </w:rPr>
        <w:fldChar w:fldCharType="end"/>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According to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author":[{"dropping-particle":"","family":"Evayani","given":"","non-dropping-particle":"","parse-names":false,"suffix":""},{"dropping-particle":"","family":"Mutia","given":"Evi","non-dropping-particle":"","parse-names":false,"suffix":""},{"dropping-particle":"","family":"Maulina","given":"","non-dropping-particle":"","parse-names":false,"suffix":""}],"container-title":"The 2nd Corporate Sustainability Conference \"The Green Economy and Demographic Challenges for Sustainable Development\"","id":"ITEM-1","issued":{"date-parts":[["2014"]]},"page":"568-592","title":"Faktor-Faktor Yang Mempengaruhi Profit Distribution Management atas Simpanan Deposan Pada Bank Syariah Di Indonesia","type":"paper-conference"},"uris":["http://www.mendeley.com/documents/?uuid=54369ca6-98e1-46df-9d4d-7be3e21d9faf"]}],"mendeley":{"formattedCitation":"(Evayani et al., 2014)","manualFormatting":"Evayani, Mutia, &amp; Maulina (2014)","plainTextFormattedCitation":"(Evayani et al., 2014)","previouslyFormattedCitation":"(Evayani et al., 2014)"},"properties":{"noteIndex":0},"schema":"https://github.com/citation-style-language/schema/raw/master/csl-citation.json"}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Evayani, Mutia, &amp; Maulina (2014)</w:t>
      </w:r>
      <w:r w:rsidRPr="00FA3E0F">
        <w:rPr>
          <w:rFonts w:ascii="Cambria" w:eastAsia="Cambria" w:hAnsi="Cambria" w:cs="Cambria"/>
          <w:color w:val="000000"/>
          <w:szCs w:val="24"/>
        </w:rPr>
        <w:fldChar w:fldCharType="end"/>
      </w:r>
      <w:r w:rsidRPr="00890BA4">
        <w:rPr>
          <w:rFonts w:ascii="Cambria" w:eastAsia="Cambria" w:hAnsi="Cambria" w:cs="Cambria"/>
          <w:bCs/>
          <w:color w:val="000000"/>
          <w:szCs w:val="24"/>
        </w:rPr>
        <w:t xml:space="preserve">, Profit Distribution Management in Islamic banks has a relationship with financial performance. </w:t>
      </w:r>
      <w:r w:rsidRPr="00890BA4">
        <w:rPr>
          <w:rFonts w:ascii="Cambria" w:eastAsia="Cambria" w:hAnsi="Cambria" w:cs="Cambria"/>
          <w:bCs/>
          <w:color w:val="000000"/>
          <w:szCs w:val="24"/>
        </w:rPr>
        <w:lastRenderedPageBreak/>
        <w:t xml:space="preserve">In this case, bank management is shown through the role of bank management in carrying out bank operations and then realizing through profit distribution management. Internal factors influence a bank's financial performance. Internal factors in banks represent factors that can be controlled by bank management. These factors will also show differences in each bank regarding policies and decisions related to asset quality, use of funds, capital, liquidity, and expenses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{"citationItems":[{"id":"ITEM-1","itemData":{"DOI":"10.5430/ijfr.v5n3p176","author":[{"dropping-particle":"","family":"Almanaseer","given":"Mousa","non-dropping-particle":"","parse-names":false,"suffix":""}],"container-title":"International Journal of Financial Research","id":"ITEM-1","issue":"03","issued":{"date-parts":[["2014"]]},"page":"176-187","title":"The Impact of the Financial Crisis on the Islamic Banks Profitability - Evidence from GCC","type":"article-journal","volume":"05"},"uris":["http://www.mendeley.com/documents/?uuid=bc71e68a-612f-4064-8fc0-08ae3fc8901f"]}],"mendeley":{"formattedCitation":"(Almanaseer, 2014)","plainTextFormattedCitation":"(Almanaseer, 2014)","previouslyFormattedCitation":"(Almanaseer, 2014)"},"properties":{"noteIndex":0},"schema":"https://github.com/citation-style-language/schema/raw/master/csl-citation.json"}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(Almanaseer, 2014)</w:t>
      </w:r>
      <w:r w:rsidRPr="00FA3E0F">
        <w:rPr>
          <w:rFonts w:ascii="Cambria" w:eastAsia="Cambria" w:hAnsi="Cambria" w:cs="Cambria"/>
          <w:color w:val="000000"/>
          <w:szCs w:val="24"/>
        </w:rPr>
        <w:fldChar w:fldCharType="end"/>
      </w:r>
      <w:r w:rsidRPr="00FA3E0F">
        <w:rPr>
          <w:rFonts w:ascii="Cambria" w:eastAsia="Cambria" w:hAnsi="Cambria" w:cs="Cambria"/>
          <w:bCs/>
          <w:color w:val="000000"/>
          <w:szCs w:val="24"/>
          <w:lang w:val="en-US"/>
        </w:rPr>
        <w:t>.</w:t>
      </w:r>
      <w:r w:rsidRPr="00890BA4">
        <w:rPr>
          <w:rFonts w:ascii="Cambria" w:eastAsia="Cambria" w:hAnsi="Cambria" w:cs="Cambria"/>
          <w:bCs/>
          <w:color w:val="000000"/>
          <w:szCs w:val="24"/>
        </w:rPr>
        <w:t>.</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Capital is a significant factor for banks to develop their business and continue operational activities. After Islamic banks carry out their operational activities, the Minimum Capital Adequacy Ratio (KPMM) is also applied, often referred to as the Capital Adequacy Ratio </w:t>
      </w:r>
      <w:r w:rsidRPr="00FA3E0F">
        <w:rPr>
          <w:rFonts w:ascii="Cambria" w:eastAsia="Cambria" w:hAnsi="Cambria" w:cs="Cambria"/>
          <w:bCs/>
          <w:i/>
          <w:iCs/>
          <w:color w:val="000000"/>
          <w:szCs w:val="24"/>
          <w:lang w:val="en-US"/>
        </w:rPr>
        <w:fldChar w:fldCharType="begin" w:fldLock="1"/>
      </w:r>
      <w:r w:rsidRPr="00FA3E0F">
        <w:rPr>
          <w:rFonts w:ascii="Cambria" w:eastAsia="Cambria" w:hAnsi="Cambria" w:cs="Cambria"/>
          <w:bCs/>
          <w:i/>
          <w:iCs/>
          <w:color w:val="000000"/>
          <w:szCs w:val="24"/>
          <w:lang w:val="en-US"/>
        </w:rPr>
        <w:instrText>ADDIN CSL_CITATION {"citationItems":[{"id":"ITEM-1","itemData":{"DOI":"10.21093/at.v3i1.960","author":[{"dropping-particle":"","family":"Mainata","given":"Dedy","non-dropping-particle":"","parse-names":false,"suffix":""},{"dropping-particle":"","family":"Ardiani","given":"Addien Fahma","non-dropping-particle":"","parse-names":false,"suffix":""}],"container-title":"Al-Tijary: Jurnal Ekonomi dan Bisnis Islam","id":"ITEM-1","issue":"03","issued":{"date-parts":[["2017"]]},"page":"19-28","title":"Pengaruh Capital Adequacy Ratio (CAR) Terhadap Return On Aset (ROA) Pada Bank Umum Syariah","type":"article-journal","volume":"01"},"uris":["http://www.mendeley.com/documents/?uuid=5de207e4-d123-4a1a-bf50-53c733d984a6"]}],"mendeley":{"formattedCitation":"(Mainata &amp; Ardiani, 2017)","plainTextFormattedCitation":"(Mainata &amp; Ardiani, 2017)","previouslyFormattedCitation":"(Mainata &amp; Ardiani, 2017)"},"properties":{"noteIndex":0},"schema":"https://github.com/citation-style-language/schema/raw/master/csl-citation.json"}</w:instrText>
      </w:r>
      <w:r w:rsidRPr="00FA3E0F">
        <w:rPr>
          <w:rFonts w:ascii="Cambria" w:eastAsia="Cambria" w:hAnsi="Cambria" w:cs="Cambria"/>
          <w:bCs/>
          <w:i/>
          <w:iCs/>
          <w:color w:val="000000"/>
          <w:szCs w:val="24"/>
          <w:lang w:val="en-US"/>
        </w:rPr>
        <w:fldChar w:fldCharType="separate"/>
      </w:r>
      <w:r w:rsidRPr="00FA3E0F">
        <w:rPr>
          <w:rFonts w:ascii="Cambria" w:eastAsia="Cambria" w:hAnsi="Cambria" w:cs="Cambria"/>
          <w:bCs/>
          <w:iCs/>
          <w:noProof/>
          <w:color w:val="000000"/>
          <w:szCs w:val="24"/>
          <w:lang w:val="en-US"/>
        </w:rPr>
        <w:t>(Mainata &amp; Ardiani, 2017)</w:t>
      </w:r>
      <w:r w:rsidRPr="00FA3E0F">
        <w:rPr>
          <w:rFonts w:ascii="Cambria" w:eastAsia="Cambria" w:hAnsi="Cambria" w:cs="Cambria"/>
          <w:bCs/>
          <w:i/>
          <w:iCs/>
          <w:color w:val="000000"/>
          <w:szCs w:val="24"/>
          <w:lang w:val="en-US"/>
        </w:rPr>
        <w:fldChar w:fldCharType="end"/>
      </w:r>
      <w:r w:rsidRPr="00890BA4">
        <w:rPr>
          <w:rFonts w:ascii="Cambria" w:eastAsia="Cambria" w:hAnsi="Cambria" w:cs="Cambria"/>
          <w:bCs/>
          <w:color w:val="000000"/>
          <w:szCs w:val="24"/>
        </w:rPr>
        <w:t xml:space="preserve">. CAR is a tool for assessing and measuring the capital ratio to the bank's soundness. The findings of the research conducted by </w:t>
      </w:r>
      <w:r w:rsidRPr="00FA3E0F">
        <w:rPr>
          <w:rFonts w:ascii="Cambria" w:eastAsia="Cambria" w:hAnsi="Cambria" w:cs="Cambria"/>
          <w:iCs/>
          <w:color w:val="000000"/>
          <w:szCs w:val="24"/>
          <w:lang w:val="en-US"/>
        </w:rPr>
        <w:fldChar w:fldCharType="begin" w:fldLock="1"/>
      </w:r>
      <w:r w:rsidRPr="00FA3E0F">
        <w:rPr>
          <w:rFonts w:ascii="Cambria" w:eastAsia="Cambria" w:hAnsi="Cambria" w:cs="Cambria"/>
          <w:iCs/>
          <w:color w:val="000000"/>
          <w:szCs w:val="24"/>
          <w:lang w:val="en-US"/>
        </w:rPr>
        <w:instrText>ADDIN CSL_CITATION {"citationItems":[{"id":"ITEM-1","itemData":{"DOI":"10.4108/eai.20-1-2018.2282448","author":[{"dropping-particle":"","family":"Yunita","given":"Nur Afni","non-dropping-particle":"","parse-names":false,"suffix":""},{"dropping-particle":"","family":"Yunina","given":"","non-dropping-particle":"","parse-names":false,"suffix":""},{"dropping-particle":"","family":"Mulyati","given":"Sri","non-dropping-particle":"","parse-names":false,"suffix":""},{"dropping-particle":"","family":"Khaddafi","given":"Muammar","non-dropping-particle":"","parse-names":false,"suffix":""},{"dropping-particle":"","family":"Satria","given":"Dy Ilham","non-dropping-particle":"","parse-names":false,"suffix":""},{"dropping-particle":"","family":"Albra","given":"Wahyuddin","non-dropping-particle":"","parse-names":false,"suffix":""}],"container-title":"Conference: Proceedings of the 1st Workshop on Multidisciplinary and Its Applications Part 1","id":"ITEM-1","issued":{"date-parts":[["2018"]]},"page":"19-20","publisher-place":"Aceh","title":"Factors Affecting Profit Distribution Management ofGeneral Islamic Banks In Indonesia","type":"paper-conference"},"uris":["http://www.mendeley.com/documents/?uuid=84bf62dc-3abd-4f7b-b427-38bd58661a53"]}],"mendeley":{"formattedCitation":"(Yunita et al., 2018)","manualFormatting":"Yunita et al. (2018)","plainTextFormattedCitation":"(Yunita et al., 2018)","previouslyFormattedCitation":"(Yunita et al., 2018)"},"properties":{"noteIndex":0},"schema":"https://github.com/citation-style-language/schema/raw/master/csl-citation.json"}</w:instrText>
      </w:r>
      <w:r w:rsidRPr="00FA3E0F">
        <w:rPr>
          <w:rFonts w:ascii="Cambria" w:eastAsia="Cambria" w:hAnsi="Cambria" w:cs="Cambria"/>
          <w:iCs/>
          <w:color w:val="000000"/>
          <w:szCs w:val="24"/>
          <w:lang w:val="en-US"/>
        </w:rPr>
        <w:fldChar w:fldCharType="separate"/>
      </w:r>
      <w:r w:rsidRPr="00FA3E0F">
        <w:rPr>
          <w:rFonts w:ascii="Cambria" w:eastAsia="Cambria" w:hAnsi="Cambria" w:cs="Cambria"/>
          <w:iCs/>
          <w:noProof/>
          <w:color w:val="000000"/>
          <w:szCs w:val="24"/>
          <w:lang w:val="en-US"/>
        </w:rPr>
        <w:t>Yunita et al. (2018)</w:t>
      </w:r>
      <w:r w:rsidRPr="00FA3E0F">
        <w:rPr>
          <w:rFonts w:ascii="Cambria" w:eastAsia="Cambria" w:hAnsi="Cambria" w:cs="Cambria"/>
          <w:color w:val="000000"/>
          <w:szCs w:val="24"/>
        </w:rPr>
        <w:fldChar w:fldCharType="end"/>
      </w:r>
      <w:r>
        <w:rPr>
          <w:rFonts w:ascii="Cambria" w:eastAsia="Cambria" w:hAnsi="Cambria" w:cs="Cambria"/>
          <w:color w:val="000000"/>
          <w:szCs w:val="24"/>
          <w:lang w:val="en-US"/>
        </w:rPr>
        <w:t xml:space="preserve"> </w:t>
      </w:r>
      <w:r w:rsidRPr="00890BA4">
        <w:rPr>
          <w:rFonts w:ascii="Cambria" w:eastAsia="Cambria" w:hAnsi="Cambria" w:cs="Cambria"/>
          <w:bCs/>
          <w:color w:val="000000"/>
          <w:szCs w:val="24"/>
        </w:rPr>
        <w:t>show that the Capital Adequacy Ratio affects Profit Distribution Management.</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Return on Assets (ROA) is a ratio used to measure the activity level investment banks make using their assets. ROA is considered an important factor vital in bank operational performance because it is related to bank profitability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{"citationItems":[{"id":"ITEM-1","itemData":{"author":[{"dropping-particle":"","family":"Tirmizi","given":"Syed Muhammad Ali","non-dropping-particle":"","parse-names":false,"suffix":""},{"dropping-particle":"","family":"Ghazi","given":"Mohammad Rohan Shahbaz Khan","non-dropping-particle":"","parse-names":false,"suffix":""},{"dropping-particle":"","family":"Hussain","given":"Shahzad","non-dropping-particle":"","parse-names":false,"suffix":""},{"dropping-particle":"","family":"Shah","given":"Syed Mutahir Hussain","non-dropping-particle":"","parse-names":false,"suffix":""}],"container-title":"International Journal of Innovation, Creativity and Change","id":"ITEM-1","issue":"08","issued":{"date-parts":[["2021"]]},"page":"681-702","title":"The Return on Assets and Profitability Growth of Islamic Banks","type":"article-journal","volume":"15"},"uris":["http://www.mendeley.com/documents/?uuid=df8e5767-bc0c-4e17-ba91-4d00e270da6d"]}],"mendeley":{"formattedCitation":"(Tirmizi et al., 2021)","plainTextFormattedCitation":"(Tirmizi et al., 2021)","previouslyFormattedCitation":"(Tirmizi et al., 2021)"},"properties":{"noteIndex":0},"schema":"https://github.com/citation-style-language/schema/raw/master/csl-citation.json"}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(Tirmizi et al., 2021)</w:t>
      </w:r>
      <w:r w:rsidRPr="00FA3E0F">
        <w:rPr>
          <w:rFonts w:ascii="Cambria" w:eastAsia="Cambria" w:hAnsi="Cambria" w:cs="Cambria"/>
          <w:bCs/>
          <w:color w:val="000000"/>
          <w:szCs w:val="24"/>
          <w:lang w:val="en-US"/>
        </w:rPr>
        <w:fldChar w:fldCharType="end"/>
      </w:r>
      <w:r w:rsidRPr="00890BA4">
        <w:rPr>
          <w:rFonts w:ascii="Cambria" w:eastAsia="Cambria" w:hAnsi="Cambria" w:cs="Cambria"/>
          <w:bCs/>
          <w:color w:val="000000"/>
          <w:szCs w:val="24"/>
        </w:rPr>
        <w:t xml:space="preserve">. The findings of research conducted by </w:t>
      </w:r>
      <w:r w:rsidRPr="00FA3E0F">
        <w:rPr>
          <w:rFonts w:ascii="Cambria" w:eastAsia="Cambria" w:hAnsi="Cambria" w:cs="Cambria"/>
          <w:iCs/>
          <w:color w:val="000000"/>
          <w:szCs w:val="24"/>
        </w:rPr>
        <w:fldChar w:fldCharType="begin" w:fldLock="1"/>
      </w:r>
      <w:r w:rsidRPr="00FA3E0F">
        <w:rPr>
          <w:rFonts w:ascii="Cambria" w:eastAsia="Cambria" w:hAnsi="Cambria" w:cs="Cambria"/>
          <w:iCs/>
          <w:color w:val="000000"/>
          <w:szCs w:val="24"/>
        </w:rPr>
        <w:instrText>ADDIN CSL_CITATION {"citationItems":[{"id":"ITEM-1","itemData":{"author":[{"dropping-particle":"","family":"Arafiah","given":"Lailatul","non-dropping-particle":"","parse-names":false,"suffix":""},{"dropping-particle":"","family":"Poerwati","given":"Rr. Tjahjaning","non-dropping-particle":"","parse-names":false,"suffix":""}],"container-title":"Students’ Journal Accounting and Banking","id":"ITEM-1","issue":"01","issued":{"date-parts":[["2014"]]},"title":"Faktor-faktor yang Mempengaruhi Profit Distribution Management atas Simpanan Deposan pada Bank Syariah di Indonesia Periode 2009-2012","type":"article-journal","volume":"03"},"uris":["http://www.mendeley.com/documents/?uuid=579c5aef-8d51-4f32-967b-731380f22545"]}],"mendeley":{"formattedCitation":"(Arafiah &amp; Poerwati, 2014)","manualFormatting":"Arafiah &amp; Poerwati (2014)","plainTextFormattedCitation":"(Arafiah &amp; Poerwati, 2014)","previouslyFormattedCitation":"(Arafiah &amp; Poerwati, 2014)"},"properties":{"noteIndex":0},"schema":"https://github.com/citation-style-language/schema/raw/master/csl-citation.json"}</w:instrText>
      </w:r>
      <w:r w:rsidRPr="00FA3E0F">
        <w:rPr>
          <w:rFonts w:ascii="Cambria" w:eastAsia="Cambria" w:hAnsi="Cambria" w:cs="Cambria"/>
          <w:iCs/>
          <w:color w:val="000000"/>
          <w:szCs w:val="24"/>
        </w:rPr>
        <w:fldChar w:fldCharType="separate"/>
      </w:r>
      <w:r w:rsidRPr="00FA3E0F">
        <w:rPr>
          <w:rFonts w:ascii="Cambria" w:eastAsia="Cambria" w:hAnsi="Cambria" w:cs="Cambria"/>
          <w:iCs/>
          <w:noProof/>
          <w:color w:val="000000"/>
          <w:szCs w:val="24"/>
        </w:rPr>
        <w:t xml:space="preserve">Arafiah &amp; Poerwati </w:t>
      </w:r>
      <w:r w:rsidRPr="00FA3E0F">
        <w:rPr>
          <w:rFonts w:ascii="Cambria" w:eastAsia="Cambria" w:hAnsi="Cambria" w:cs="Cambria"/>
          <w:iCs/>
          <w:noProof/>
          <w:color w:val="000000"/>
          <w:szCs w:val="24"/>
          <w:lang w:val="en-US"/>
        </w:rPr>
        <w:t>(</w:t>
      </w:r>
      <w:r w:rsidRPr="00FA3E0F">
        <w:rPr>
          <w:rFonts w:ascii="Cambria" w:eastAsia="Cambria" w:hAnsi="Cambria" w:cs="Cambria"/>
          <w:iCs/>
          <w:noProof/>
          <w:color w:val="000000"/>
          <w:szCs w:val="24"/>
        </w:rPr>
        <w:t>2014)</w:t>
      </w:r>
      <w:r w:rsidRPr="00FA3E0F">
        <w:rPr>
          <w:rFonts w:ascii="Cambria" w:eastAsia="Cambria" w:hAnsi="Cambria" w:cs="Cambria"/>
          <w:color w:val="000000"/>
          <w:szCs w:val="24"/>
        </w:rPr>
        <w:fldChar w:fldCharType="end"/>
      </w:r>
      <w:r w:rsidRPr="00890BA4">
        <w:rPr>
          <w:rFonts w:ascii="Cambria" w:eastAsia="Cambria" w:hAnsi="Cambria" w:cs="Cambria"/>
          <w:bCs/>
          <w:color w:val="000000"/>
          <w:szCs w:val="24"/>
        </w:rPr>
        <w:t xml:space="preserve"> show that Return on Assets significantly affects Profit Distribution Management.</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Financing Deposit Ratio (FDR) is a ratio that shows how much the bank's ability to contribute to mobilizing funds from the public through the function of disbursing financing with productive purposes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DOI":"10.14421/grieb.2020.082-04","author":[{"dropping-particle":"","family":"Nugroho","given":"Lucky","non-dropping-particle":"","parse-names":false,"suffix":""},{"dropping-particle":"","family":"Nugraha","given":"Erik","non-dropping-particle":"","parse-names":false,"suffix":""},{"dropping-particle":"","family":"Badawi","given":"Ahmad","non-dropping-particle":"","parse-names":false,"suffix":""}],"container-title":"Global Review of Islamic Economics and Business","id":"ITEM-1","issue":"02","issued":{"date-parts":[["2020"]]},"page":"113-122","title":"The Determinant of Islamic Performance Ratio: Do Financing Deposit Ratio, Financing Quality, and Return on Asset Ratio Matters?","type":"article-journal","volume":"08"},"uris":["http://www.mendeley.com/documents/?uuid=bc8fb9c1-63dc-4613-b7c0-ae26facb002c"]}],"mendeley":{"formattedCitation":"(Nugroho et al., 2020)","plainTextFormattedCitation":"(Nugroho et al., 2020)","previouslyFormattedCitation":"(Nugroho et al., 2020)"},"properties":{"noteIndex":0},"schema":"https://github.com/citation-style-language/schema/raw/master/csl-citation.json"}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(Nugroho et al., 2020)</w:t>
      </w:r>
      <w:r w:rsidRPr="00FA3E0F">
        <w:rPr>
          <w:rFonts w:ascii="Cambria" w:eastAsia="Cambria" w:hAnsi="Cambria" w:cs="Cambria"/>
          <w:bCs/>
          <w:color w:val="000000"/>
          <w:szCs w:val="24"/>
          <w:lang w:val="en-US"/>
        </w:rPr>
        <w:fldChar w:fldCharType="end"/>
      </w:r>
      <w:r w:rsidRPr="00890BA4">
        <w:rPr>
          <w:rFonts w:ascii="Cambria" w:eastAsia="Cambria" w:hAnsi="Cambria" w:cs="Cambria"/>
          <w:bCs/>
          <w:color w:val="000000"/>
          <w:szCs w:val="24"/>
        </w:rPr>
        <w:t xml:space="preserve">. The findings of the research conducted by </w:t>
      </w:r>
      <w:r w:rsidRPr="00FA3E0F">
        <w:rPr>
          <w:rFonts w:ascii="Cambria" w:eastAsia="Cambria" w:hAnsi="Cambria" w:cs="Cambria"/>
          <w:bCs/>
          <w:iCs/>
          <w:color w:val="000000"/>
          <w:szCs w:val="24"/>
          <w:lang w:val="en-US"/>
        </w:rPr>
        <w:fldChar w:fldCharType="begin" w:fldLock="1"/>
      </w:r>
      <w:r w:rsidRPr="00FA3E0F">
        <w:rPr>
          <w:rFonts w:ascii="Cambria" w:eastAsia="Cambria" w:hAnsi="Cambria" w:cs="Cambria"/>
          <w:bCs/>
          <w:iCs/>
          <w:color w:val="000000"/>
          <w:szCs w:val="24"/>
          <w:lang w:val="en-US"/>
        </w:rPr>
        <w:instrText>ADDIN CSL_CITATION {"citationItems":[{"id":"ITEM-1","itemData":{"DOI":"10.4108/eai.20-1-2018.2282448","author":[{"dropping-particle":"","family":"Yunita","given":"Nur Afni","non-dropping-particle":"","parse-names":false,"suffix":""},{"dropping-particle":"","family":"Yunina","given":"","non-dropping-particle":"","parse-names":false,"suffix":""},{"dropping-particle":"","family":"Mulyati","given":"Sri","non-dropping-particle":"","parse-names":false,"suffix":""},{"dropping-particle":"","family":"Khaddafi","given":"Muammar","non-dropping-particle":"","parse-names":false,"suffix":""},{"dropping-particle":"","family":"Satria","given":"Dy Ilham","non-dropping-particle":"","parse-names":false,"suffix":""},{"dropping-particle":"","family":"Albra","given":"Wahyuddin","non-dropping-particle":"","parse-names":false,"suffix":""}],"container-title":"Conference: Proceedings of the 1st Workshop on Multidisciplinary and Its Applications Part 1","id":"ITEM-1","issued":{"date-parts":[["2018"]]},"page":"19-20","publisher-place":"Aceh","title":"Factors Affecting Profit Distribution Management ofGeneral Islamic Banks In Indonesia","type":"paper-conference"},"uris":["http://www.mendeley.com/documents/?uuid=84bf62dc-3abd-4f7b-b427-38bd58661a53"]}],"mendeley":{"formattedCitation":"(Yunita et al., 2018)","manualFormatting":"Yunita et al. (2018)","plainTextFormattedCitation":"(Yunita et al., 2018)","previouslyFormattedCitation":"(Yunita et al., 2018)"},"properties":{"noteIndex":0},"schema":"https://github.com/citation-style-language/schema/raw/master/csl-citation.json"}</w:instrText>
      </w:r>
      <w:r w:rsidRPr="00FA3E0F">
        <w:rPr>
          <w:rFonts w:ascii="Cambria" w:eastAsia="Cambria" w:hAnsi="Cambria" w:cs="Cambria"/>
          <w:bCs/>
          <w:iCs/>
          <w:color w:val="000000"/>
          <w:szCs w:val="24"/>
          <w:lang w:val="en-US"/>
        </w:rPr>
        <w:fldChar w:fldCharType="separate"/>
      </w:r>
      <w:r w:rsidRPr="00FA3E0F">
        <w:rPr>
          <w:rFonts w:ascii="Cambria" w:eastAsia="Cambria" w:hAnsi="Cambria" w:cs="Cambria"/>
          <w:bCs/>
          <w:iCs/>
          <w:noProof/>
          <w:color w:val="000000"/>
          <w:szCs w:val="24"/>
          <w:lang w:val="en-US"/>
        </w:rPr>
        <w:t>Yunita et al. (2018)</w:t>
      </w:r>
      <w:r w:rsidRPr="00FA3E0F">
        <w:rPr>
          <w:rFonts w:ascii="Cambria" w:eastAsia="Cambria" w:hAnsi="Cambria" w:cs="Cambria"/>
          <w:bCs/>
          <w:color w:val="000000"/>
          <w:szCs w:val="24"/>
          <w:lang w:val="en-US"/>
        </w:rPr>
        <w:fldChar w:fldCharType="end"/>
      </w:r>
      <w:r w:rsidRPr="00890BA4">
        <w:rPr>
          <w:rFonts w:ascii="Cambria" w:eastAsia="Cambria" w:hAnsi="Cambria" w:cs="Cambria"/>
          <w:bCs/>
          <w:color w:val="000000"/>
          <w:szCs w:val="24"/>
        </w:rPr>
        <w:t>shows that the ratio of the Financing Deposit Ratio has a significant effect on Profit Distribution Management.</w:t>
      </w:r>
    </w:p>
    <w:p w:rsidR="00C47ECA" w:rsidRPr="00890BA4"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Non-Performing Financing (NPF) refers to the ratio of non-performing, problematic or risky financing that the bank will face due to the debtor's failure to repay the loan principal provided through financing so that the bank is unable to get a return on its investment </w:t>
      </w:r>
      <w:r w:rsidRPr="00FA3E0F">
        <w:rPr>
          <w:rFonts w:ascii="Cambria" w:eastAsia="Cambria" w:hAnsi="Cambria" w:cs="Cambria"/>
          <w:bCs/>
          <w:color w:val="000000"/>
          <w:szCs w:val="24"/>
          <w:lang w:val="en-US"/>
        </w:rPr>
        <w:fldChar w:fldCharType="begin" w:fldLock="1"/>
      </w:r>
      <w:r w:rsidRPr="00FA3E0F">
        <w:rPr>
          <w:rFonts w:ascii="Cambria" w:eastAsia="Cambria" w:hAnsi="Cambria" w:cs="Cambria"/>
          <w:bCs/>
          <w:color w:val="000000"/>
          <w:szCs w:val="24"/>
          <w:lang w:val="en-US"/>
        </w:rPr>
        <w:instrText>ADDIN CSL_CITATION {"citationItems":[{"id":"ITEM-1","itemData":{"DOI":"10.28918/ijibec.v4i2.2725","author":[{"dropping-particle":"","family":"Hasanah","given":"Rofadatul","non-dropping-particle":"","parse-names":false,"suffix":""},{"dropping-particle":"","family":"Septiarini","given":"Dina Fitrisia","non-dropping-particle":"","parse-names":false,"suffix":""},{"dropping-particle":"","family":"Filianti","given":"Dian","non-dropping-particle":"","parse-names":false,"suffix":""}],"container-title":"International Journal of Islamic Business and Economics","id":"ITEM-1","issue":"02","issued":{"date-parts":[["2020"]]},"page":"127-137","title":"Determinants of Non-Performing Financing of Mortgage in Islamic Commercial Banks","type":"article-journal","volume":"04"},"uris":["http://www.mendeley.com/documents/?uuid=fdf2f469-c555-4093-aaef-e19e8a773fae"]}],"mendeley":{"formattedCitation":"(Hasanah et al., 2020)","plainTextFormattedCitation":"(Hasanah et al., 2020)","previouslyFormattedCitation":"(Hasanah et al., 2020)"},"properties":{"noteIndex":0},"schema":"https://github.com/citation-style-language/schema/raw/master/csl-citation.json"}</w:instrText>
      </w:r>
      <w:r w:rsidRPr="00FA3E0F">
        <w:rPr>
          <w:rFonts w:ascii="Cambria" w:eastAsia="Cambria" w:hAnsi="Cambria" w:cs="Cambria"/>
          <w:bCs/>
          <w:color w:val="000000"/>
          <w:szCs w:val="24"/>
          <w:lang w:val="en-US"/>
        </w:rPr>
        <w:fldChar w:fldCharType="separate"/>
      </w:r>
      <w:r w:rsidRPr="00FA3E0F">
        <w:rPr>
          <w:rFonts w:ascii="Cambria" w:eastAsia="Cambria" w:hAnsi="Cambria" w:cs="Cambria"/>
          <w:bCs/>
          <w:noProof/>
          <w:color w:val="000000"/>
          <w:szCs w:val="24"/>
          <w:lang w:val="en-US"/>
        </w:rPr>
        <w:t>(Hasanah et al., 2020)</w:t>
      </w:r>
      <w:r w:rsidRPr="00FA3E0F">
        <w:rPr>
          <w:rFonts w:ascii="Cambria" w:eastAsia="Cambria" w:hAnsi="Cambria" w:cs="Cambria"/>
          <w:bCs/>
          <w:color w:val="000000"/>
          <w:szCs w:val="24"/>
          <w:lang w:val="en-US"/>
        </w:rPr>
        <w:fldChar w:fldCharType="end"/>
      </w:r>
      <w:r w:rsidRPr="00FA3E0F">
        <w:rPr>
          <w:rFonts w:ascii="Cambria" w:eastAsia="Cambria" w:hAnsi="Cambria" w:cs="Cambria"/>
          <w:bCs/>
          <w:color w:val="000000"/>
          <w:szCs w:val="24"/>
        </w:rPr>
        <w:t>.</w:t>
      </w:r>
      <w:r w:rsidRPr="00890BA4">
        <w:rPr>
          <w:rFonts w:ascii="Cambria" w:eastAsia="Cambria" w:hAnsi="Cambria" w:cs="Cambria"/>
          <w:bCs/>
          <w:color w:val="000000"/>
          <w:szCs w:val="24"/>
        </w:rPr>
        <w:t xml:space="preserve">. The findings of research by </w:t>
      </w:r>
      <w:r w:rsidRPr="00FA3E0F">
        <w:rPr>
          <w:rFonts w:ascii="Cambria" w:eastAsia="Cambria" w:hAnsi="Cambria" w:cs="Cambria"/>
          <w:bCs/>
          <w:iCs/>
          <w:color w:val="000000"/>
          <w:szCs w:val="24"/>
          <w:lang w:val="en-US"/>
        </w:rPr>
        <w:fldChar w:fldCharType="begin" w:fldLock="1"/>
      </w:r>
      <w:r w:rsidRPr="00FA3E0F">
        <w:rPr>
          <w:rFonts w:ascii="Cambria" w:eastAsia="Cambria" w:hAnsi="Cambria" w:cs="Cambria"/>
          <w:bCs/>
          <w:iCs/>
          <w:color w:val="000000"/>
          <w:szCs w:val="24"/>
          <w:lang w:val="en-US"/>
        </w:rPr>
        <w:instrText>ADDIN CSL_CITATION {"citationItems":[{"id":"ITEM-1","itemData":{"DOI":"10.18502/kss.v3i26.538","author":[{"dropping-particle":"","family":"Mais","given":"Rimi Gusliana","non-dropping-particle":"","parse-names":false,"suffix":""},{"dropping-particle":"","family":"Hendrawati","given":"","non-dropping-particle":"","parse-names":false,"suffix":""},{"dropping-particle":"","family":"Putra","given":"Herry Eka","non-dropping-particle":"","parse-names":false,"suffix":""}],"container-title":"ICEMA: International Conference on Economics, Management, and Accounting Volume 2019","id":"ITEM-1","issued":{"date-parts":[["2019"]]},"title":"Factors Affecting Profit DistributionManagement in Sharia Banks in Indonesia","type":"paper-conference"},"uris":["http://www.mendeley.com/documents/?uuid=35cc362d-7869-41ac-a83b-4d20c969bbee"]}],"mendeley":{"formattedCitation":"(Mais et al., 2019)","manualFormatting":"Mais, Hendrawati, &amp; Putra (2019)","plainTextFormattedCitation":"(Mais et al., 2019)","previouslyFormattedCitation":"(Mais et al., 2019)"},"properties":{"noteIndex":0},"schema":"https://github.com/citation-style-language/schema/raw/master/csl-citation.json"}</w:instrText>
      </w:r>
      <w:r w:rsidRPr="00FA3E0F">
        <w:rPr>
          <w:rFonts w:ascii="Cambria" w:eastAsia="Cambria" w:hAnsi="Cambria" w:cs="Cambria"/>
          <w:bCs/>
          <w:iCs/>
          <w:color w:val="000000"/>
          <w:szCs w:val="24"/>
          <w:lang w:val="en-US"/>
        </w:rPr>
        <w:fldChar w:fldCharType="separate"/>
      </w:r>
      <w:r w:rsidRPr="00FA3E0F">
        <w:rPr>
          <w:rFonts w:ascii="Cambria" w:eastAsia="Cambria" w:hAnsi="Cambria" w:cs="Cambria"/>
          <w:bCs/>
          <w:iCs/>
          <w:noProof/>
          <w:color w:val="000000"/>
          <w:szCs w:val="24"/>
          <w:lang w:val="en-US"/>
        </w:rPr>
        <w:t>Mais, Hendrawati, &amp; Putra (2019)</w:t>
      </w:r>
      <w:r w:rsidRPr="00FA3E0F">
        <w:rPr>
          <w:rFonts w:ascii="Cambria" w:eastAsia="Cambria" w:hAnsi="Cambria" w:cs="Cambria"/>
          <w:bCs/>
          <w:color w:val="000000"/>
          <w:szCs w:val="24"/>
          <w:lang w:val="en-US"/>
        </w:rPr>
        <w:fldChar w:fldCharType="end"/>
      </w:r>
      <w:r w:rsidRPr="00890BA4">
        <w:rPr>
          <w:rFonts w:ascii="Cambria" w:eastAsia="Cambria" w:hAnsi="Cambria" w:cs="Cambria"/>
          <w:bCs/>
          <w:color w:val="000000"/>
          <w:szCs w:val="24"/>
        </w:rPr>
        <w:t xml:space="preserve"> show that Non-Performing Financing affects Profit Distribution Management.</w:t>
      </w:r>
    </w:p>
    <w:p w:rsidR="00C47ECA"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r w:rsidRPr="00890BA4">
        <w:rPr>
          <w:rFonts w:ascii="Cambria" w:eastAsia="Cambria" w:hAnsi="Cambria" w:cs="Cambria"/>
          <w:bCs/>
          <w:color w:val="000000"/>
          <w:szCs w:val="24"/>
        </w:rPr>
        <w:t xml:space="preserve">Operational Cost of Operating Income (BOPO) is a ratio used to measure the bank management's ability to efficiently control operational costs against operating income </w:t>
      </w:r>
      <w:r w:rsidR="00161823" w:rsidRPr="00FA3E0F">
        <w:rPr>
          <w:rFonts w:ascii="Cambria" w:hAnsi="Cambria" w:cs="Times New Roman"/>
          <w:position w:val="0"/>
          <w:szCs w:val="24"/>
          <w:lang w:val="en-US"/>
        </w:rPr>
        <w:fldChar w:fldCharType="begin" w:fldLock="1"/>
      </w:r>
      <w:r w:rsidR="00161823" w:rsidRPr="00FA3E0F">
        <w:rPr>
          <w:rFonts w:ascii="Cambria" w:hAnsi="Cambria" w:cs="Times New Roman"/>
          <w:position w:val="0"/>
          <w:szCs w:val="24"/>
          <w:lang w:val="en-US"/>
        </w:rPr>
        <w:instrText>ADDIN CSL_CITATION {"citationItems":[{"id":"ITEM-1","itemData":{"DOI":"10.47312/aefr.v3i02.207","author":[{"dropping-particle":"","family":"Suartini","given":"Sri","non-dropping-particle":"","parse-names":false,"suffix":""},{"dropping-particle":"","family":"Sulistiyo","given":"Hari","non-dropping-particle":"","parse-names":false,"suffix":""},{"dropping-particle":"","family":"Indrianti","given":"Wahyuni","non-dropping-particle":"","parse-names":false,"suffix":""}],"container-title":"AFEBI Economic and Finance Review","id":"ITEM-1","issue":"02","issued":{"date-parts":[["2018"]]},"page":"69-83","title":"The Effect of Non Performing Financing, Financing to Deposit Ratio and Operating Expense to Operating Income Ratio (BOPO) to Profitability","type":"article-journal","volume":"03"},"uris":["http://www.mendeley.com/documents/?uuid=82cb0a1d-abdd-4e74-969c-8403f6d922fc"]}],"mendeley":{"formattedCitation":"(Suartini et al., 2018)","plainTextFormattedCitation":"(Suartini et al., 2018)"},"properties":{"noteIndex":0},"schema":"https://github.com/citation-style-language/schema/raw/master/csl-citation.json"}</w:instrText>
      </w:r>
      <w:r w:rsidR="00161823" w:rsidRPr="00FA3E0F">
        <w:rPr>
          <w:rFonts w:ascii="Cambria" w:hAnsi="Cambria" w:cs="Times New Roman"/>
          <w:position w:val="0"/>
          <w:szCs w:val="24"/>
          <w:lang w:val="en-US"/>
        </w:rPr>
        <w:fldChar w:fldCharType="separate"/>
      </w:r>
      <w:r w:rsidR="00161823" w:rsidRPr="00FA3E0F">
        <w:rPr>
          <w:rFonts w:ascii="Cambria" w:hAnsi="Cambria" w:cs="Times New Roman"/>
          <w:noProof/>
          <w:position w:val="0"/>
          <w:szCs w:val="24"/>
          <w:lang w:val="en-US"/>
        </w:rPr>
        <w:t>(Suartini et al., 2018)</w:t>
      </w:r>
      <w:r w:rsidR="00161823" w:rsidRPr="00FA3E0F">
        <w:rPr>
          <w:rFonts w:ascii="Cambria" w:hAnsi="Cambria" w:cs="Times New Roman"/>
          <w:position w:val="0"/>
          <w:szCs w:val="24"/>
          <w:lang w:val="en-US"/>
        </w:rPr>
        <w:fldChar w:fldCharType="end"/>
      </w:r>
      <w:r w:rsidR="00161823" w:rsidRPr="00FA3E0F">
        <w:rPr>
          <w:rFonts w:ascii="Cambria" w:hAnsi="Cambria" w:cs="Times New Roman"/>
          <w:position w:val="0"/>
          <w:szCs w:val="24"/>
        </w:rPr>
        <w:t>.</w:t>
      </w:r>
      <w:r w:rsidRPr="00890BA4">
        <w:rPr>
          <w:rFonts w:ascii="Cambria" w:eastAsia="Cambria" w:hAnsi="Cambria" w:cs="Cambria"/>
          <w:bCs/>
          <w:color w:val="000000"/>
          <w:szCs w:val="24"/>
        </w:rPr>
        <w:t xml:space="preserve">. The findings of research conducted by </w:t>
      </w:r>
      <w:r w:rsidR="00161823" w:rsidRPr="00FA3E0F">
        <w:rPr>
          <w:rFonts w:ascii="Cambria" w:eastAsia="Cambria" w:hAnsi="Cambria" w:cs="Cambria"/>
          <w:bCs/>
          <w:iCs/>
          <w:color w:val="000000"/>
          <w:szCs w:val="24"/>
          <w:lang w:val="en-US"/>
        </w:rPr>
        <w:fldChar w:fldCharType="begin" w:fldLock="1"/>
      </w:r>
      <w:r w:rsidR="00161823" w:rsidRPr="00FA3E0F">
        <w:rPr>
          <w:rFonts w:ascii="Cambria" w:eastAsia="Cambria" w:hAnsi="Cambria" w:cs="Cambria"/>
          <w:bCs/>
          <w:iCs/>
          <w:color w:val="000000"/>
          <w:szCs w:val="24"/>
          <w:lang w:val="en-US"/>
        </w:rPr>
        <w:instrText>ADDIN CSL_CITATION {"citationItems":[{"id":"ITEM-1","itemData":{"author":[{"dropping-particle":"","family":"Nengsih","given":"Sri Wida","non-dropping-particle":"","parse-names":false,"suffix":""}],"container-title":"Prisma: Platform Riset Mahasiswa Akuntansi","id":"ITEM-1","issue":"06","issued":{"date-parts":[["2020"]]},"page":"15-25","title":"Faktor-Faktor yang Mempengaruhi Profit Distribution Management pada BPR Syariah di Indonesia Periode 2017-2019","type":"article-journal","volume":"01"},"uris":["http://www.mendeley.com/documents/?uuid=2649a6c0-3b30-48e3-8301-4f1e66f0000e"]}],"mendeley":{"formattedCitation":"(Nengsih, 2020)","manualFormatting":"Nengsih (2020)","plainTextFormattedCitation":"(Nengsih, 2020)","previouslyFormattedCitation":"(Nengsih, 2020)"},"properties":{"noteIndex":0},"schema":"https://github.com/citation-style-language/schema/raw/master/csl-citation.json"}</w:instrText>
      </w:r>
      <w:r w:rsidR="00161823" w:rsidRPr="00FA3E0F">
        <w:rPr>
          <w:rFonts w:ascii="Cambria" w:eastAsia="Cambria" w:hAnsi="Cambria" w:cs="Cambria"/>
          <w:bCs/>
          <w:iCs/>
          <w:color w:val="000000"/>
          <w:szCs w:val="24"/>
          <w:lang w:val="en-US"/>
        </w:rPr>
        <w:fldChar w:fldCharType="separate"/>
      </w:r>
      <w:r w:rsidR="00161823" w:rsidRPr="00FA3E0F">
        <w:rPr>
          <w:rFonts w:ascii="Cambria" w:eastAsia="Cambria" w:hAnsi="Cambria" w:cs="Cambria"/>
          <w:bCs/>
          <w:iCs/>
          <w:noProof/>
          <w:color w:val="000000"/>
          <w:szCs w:val="24"/>
          <w:lang w:val="en-US"/>
        </w:rPr>
        <w:t>Nengsih (2020)</w:t>
      </w:r>
      <w:r w:rsidR="00161823" w:rsidRPr="00FA3E0F">
        <w:rPr>
          <w:rFonts w:ascii="Cambria" w:eastAsia="Cambria" w:hAnsi="Cambria" w:cs="Cambria"/>
          <w:bCs/>
          <w:color w:val="000000"/>
          <w:szCs w:val="24"/>
          <w:lang w:val="en-US"/>
        </w:rPr>
        <w:fldChar w:fldCharType="end"/>
      </w:r>
      <w:r w:rsidRPr="00890BA4">
        <w:rPr>
          <w:rFonts w:ascii="Cambria" w:eastAsia="Cambria" w:hAnsi="Cambria" w:cs="Cambria"/>
          <w:bCs/>
          <w:color w:val="000000"/>
          <w:szCs w:val="24"/>
        </w:rPr>
        <w:t xml:space="preserve"> show that Operational Costs of Operating Income affect Profit Distribution Management</w:t>
      </w:r>
    </w:p>
    <w:p w:rsidR="00C47ECA" w:rsidRPr="00C210A8" w:rsidRDefault="00C47ECA" w:rsidP="00C47ECA">
      <w:pPr>
        <w:pBdr>
          <w:top w:val="nil"/>
          <w:left w:val="nil"/>
          <w:bottom w:val="nil"/>
          <w:right w:val="nil"/>
          <w:between w:val="nil"/>
        </w:pBdr>
        <w:spacing w:before="100" w:after="100" w:line="276" w:lineRule="auto"/>
        <w:ind w:left="-2" w:firstLineChars="177" w:firstLine="425"/>
        <w:rPr>
          <w:rFonts w:ascii="Cambria" w:eastAsia="Cambria" w:hAnsi="Cambria" w:cs="Cambria"/>
          <w:bCs/>
          <w:color w:val="000000"/>
          <w:szCs w:val="24"/>
        </w:rPr>
      </w:pPr>
    </w:p>
    <w:p w:rsidR="00C47ECA" w:rsidRPr="00FA3E0F" w:rsidRDefault="00C47ECA" w:rsidP="00C47ECA">
      <w:pPr>
        <w:pBdr>
          <w:top w:val="nil"/>
          <w:left w:val="nil"/>
          <w:bottom w:val="nil"/>
          <w:right w:val="nil"/>
          <w:between w:val="nil"/>
        </w:pBdr>
        <w:spacing w:line="276" w:lineRule="auto"/>
        <w:ind w:left="0" w:hanging="2"/>
        <w:rPr>
          <w:rFonts w:ascii="Cambria" w:eastAsia="Cambria" w:hAnsi="Cambria" w:cs="Cambria"/>
          <w:color w:val="000000"/>
          <w:szCs w:val="24"/>
        </w:rPr>
      </w:pPr>
    </w:p>
    <w:p w:rsidR="00C47ECA" w:rsidRPr="003905F5" w:rsidRDefault="00C47ECA" w:rsidP="00C47ECA">
      <w:pPr>
        <w:pBdr>
          <w:top w:val="nil"/>
          <w:left w:val="nil"/>
          <w:bottom w:val="nil"/>
          <w:right w:val="nil"/>
          <w:between w:val="nil"/>
        </w:pBdr>
        <w:spacing w:before="100" w:after="100" w:line="276" w:lineRule="auto"/>
        <w:ind w:left="0" w:hanging="2"/>
        <w:rPr>
          <w:rFonts w:ascii="Cambria" w:eastAsia="Cambria" w:hAnsi="Cambria" w:cs="Cambria"/>
          <w:b/>
          <w:color w:val="000000"/>
          <w:szCs w:val="24"/>
          <w:lang w:val="en-US"/>
        </w:rPr>
      </w:pPr>
      <w:r w:rsidRPr="00FA3E0F">
        <w:rPr>
          <w:rFonts w:ascii="Cambria" w:eastAsia="Cambria" w:hAnsi="Cambria" w:cs="Cambria"/>
          <w:b/>
          <w:color w:val="000000"/>
          <w:szCs w:val="24"/>
        </w:rPr>
        <w:t>H</w:t>
      </w:r>
      <w:r>
        <w:rPr>
          <w:rFonts w:ascii="Cambria" w:eastAsia="Cambria" w:hAnsi="Cambria" w:cs="Cambria"/>
          <w:b/>
          <w:color w:val="000000"/>
          <w:szCs w:val="24"/>
          <w:lang w:val="en-US"/>
        </w:rPr>
        <w:t>YPOTHESIS</w:t>
      </w:r>
    </w:p>
    <w:p w:rsidR="00C47ECA" w:rsidRPr="003905F5" w:rsidRDefault="00C47ECA" w:rsidP="00C47ECA">
      <w:pPr>
        <w:spacing w:line="276" w:lineRule="auto"/>
        <w:ind w:left="0" w:hanging="2"/>
        <w:rPr>
          <w:rFonts w:ascii="Cambria" w:hAnsi="Cambria"/>
          <w:b/>
          <w:i/>
          <w:iCs/>
          <w:szCs w:val="24"/>
          <w:lang w:val="en-US"/>
        </w:rPr>
      </w:pPr>
      <w:r w:rsidRPr="003905F5">
        <w:rPr>
          <w:rFonts w:ascii="Cambria" w:hAnsi="Cambria"/>
          <w:b/>
          <w:szCs w:val="24"/>
          <w:lang w:val="en"/>
        </w:rPr>
        <w:t>H</w:t>
      </w:r>
      <w:r w:rsidRPr="003905F5">
        <w:rPr>
          <w:rFonts w:ascii="Cambria" w:hAnsi="Cambria"/>
          <w:b/>
          <w:szCs w:val="24"/>
          <w:vertAlign w:val="subscript"/>
          <w:lang w:val="en"/>
        </w:rPr>
        <w:t xml:space="preserve">1: </w:t>
      </w:r>
      <w:r w:rsidRPr="003905F5">
        <w:rPr>
          <w:rFonts w:ascii="Cambria" w:hAnsi="Cambria"/>
          <w:b/>
          <w:szCs w:val="24"/>
          <w:lang w:val="en"/>
        </w:rPr>
        <w:t>Effect of</w:t>
      </w:r>
      <w:r w:rsidRPr="003905F5">
        <w:rPr>
          <w:rFonts w:ascii="Cambria" w:hAnsi="Cambria"/>
          <w:b/>
          <w:i/>
          <w:iCs/>
          <w:szCs w:val="24"/>
          <w:lang w:val="en"/>
        </w:rPr>
        <w:t xml:space="preserve"> Capital Adequacy Ratio </w:t>
      </w:r>
      <w:r w:rsidRPr="003905F5">
        <w:rPr>
          <w:rFonts w:ascii="Cambria" w:hAnsi="Cambria"/>
          <w:b/>
          <w:szCs w:val="24"/>
          <w:lang w:val="en"/>
        </w:rPr>
        <w:t>on</w:t>
      </w:r>
      <w:r w:rsidRPr="003905F5">
        <w:rPr>
          <w:rFonts w:ascii="Cambria" w:hAnsi="Cambria"/>
          <w:b/>
          <w:i/>
          <w:iCs/>
          <w:szCs w:val="24"/>
          <w:lang w:val="en"/>
        </w:rPr>
        <w:t xml:space="preserve"> Profit Distribution Management</w:t>
      </w:r>
    </w:p>
    <w:p w:rsidR="00C47ECA" w:rsidRDefault="00C47ECA" w:rsidP="00C47ECA">
      <w:pPr>
        <w:spacing w:line="276" w:lineRule="auto"/>
        <w:ind w:left="0" w:hanging="2"/>
        <w:rPr>
          <w:rFonts w:ascii="Cambria" w:hAnsi="Cambria"/>
          <w:szCs w:val="24"/>
          <w:lang w:val="en"/>
        </w:rPr>
      </w:pPr>
      <w:r w:rsidRPr="003905F5">
        <w:rPr>
          <w:rFonts w:ascii="Cambria" w:hAnsi="Cambria"/>
          <w:szCs w:val="24"/>
          <w:lang w:val="en"/>
        </w:rPr>
        <w:t>Capital Adequacy Ratio (CAR) is a capital ratio that shows the bank's ability to provide sufficient funds to improve the company and cover the possible risk of losses caused by the bank's operational activities</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{"citationItems":[{"id":"ITEM-1","itemData":{"DOI":"10.21831/jim.v12i1.11741","author":[{"dropping-particle":"","family":"Hidayati","given":"Lina Nur","non-dropping-particle":"","parse-names":false,"suffix":""}],"container-title":"JIM: Jurnal Ilmu Manajemen","id":"ITEM-1","issue":"01","issued":{"date-parts":[["2015"]]},"page":"38-50","title":"Pengaruh Kecukupan Modal (CAR), Pengelolaan Kredit (NPL), dan Likuiditas Bank (LDR) Terhadap Probabilitas Kebangkrutan Bank (Studi Pada Bank Umum Swasta Devisa yang Tercatat di BEI Tahun 2009-2013)","type":"article-journal","volume":"12"},"uris":["http://www.mendeley.com/documents/?uuid=7a8b1ef8-a700-4b92-bf1c-37020385b5da"]}],"mendeley":{"formattedCitation":"(Hidayati, 2015)","plainTextFormattedCitation":"(Hidayati, 2015)","previouslyFormattedCitation":"(Hidayati, 2015)"},"properties":{"noteIndex":0},"schema":"https://github.com/citation-style-language/schema/raw/master/csl-citation.json"}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(Hidayati, 2015)</w:t>
      </w:r>
      <w:r w:rsidRPr="003905F5">
        <w:rPr>
          <w:rFonts w:ascii="Cambria" w:hAnsi="Cambria"/>
          <w:szCs w:val="24"/>
          <w:lang w:val="en"/>
        </w:rPr>
        <w:fldChar w:fldCharType="end"/>
      </w:r>
      <w:r w:rsidRPr="003905F5">
        <w:rPr>
          <w:rFonts w:ascii="Cambria" w:hAnsi="Cambria"/>
          <w:szCs w:val="24"/>
          <w:lang w:val="en"/>
        </w:rPr>
        <w:t>.</w:t>
      </w:r>
      <w:r w:rsidRPr="003905F5">
        <w:rPr>
          <w:rFonts w:ascii="Cambria" w:hAnsi="Cambria"/>
          <w:lang w:val="en"/>
        </w:rPr>
        <w:t xml:space="preserve">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{"citationItems":[{"id":"ITEM-1","itemData":{"DOI":"10.17509/jrak.v5i3.9216","author":[{"dropping-particle":"","family":"Ryad","given":"Ahmad M","non-dropping-particle":"","parse-names":false,"suffix":""},{"dropping-particle":"","family":"Yupi","given":"Yuliawati","non-dropping-particle":"","parse-names":false,"suffix":""}],"container-title":"Jurnal Riset Akuntansi dan Keuangan","id":"ITEM-1","issue":"03","issued":{"date-parts":[["2017"]]},"page":"1535-1540","title":"Pengaruh Dana Pihak Ketiga (DPK), Capital Adequacy Ratio (CAR), Non Performing Finance (NPF) Terhadap Pembiayaan","type":"article-journal","volume":"05"},"uris":["http://www.mendeley.com/documents/?uuid=d90dfeae-5161-4486-bfdc-344a5a9d95a7"]}],"mendeley":{"formattedCitation":"(Ryad &amp; Yupi, 2017)","manualFormatting":"Ryad &amp; Yupi (2017)","plainTextFormattedCitation":"(Ryad &amp; Yupi, 2017)","previouslyFormattedCitation":"(Ryad &amp; Yupi, 2017)"},"properties":{"noteIndex":0},"schema":"https://github.com/citation-style-language/schema/raw/master/csl-citation.json"}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Ryad &amp; Yupi (2017)</w:t>
      </w:r>
      <w:r w:rsidRPr="003905F5">
        <w:rPr>
          <w:rFonts w:ascii="Cambria" w:hAnsi="Cambria"/>
          <w:szCs w:val="24"/>
          <w:lang w:val="en"/>
        </w:rPr>
        <w:fldChar w:fldCharType="end"/>
      </w:r>
      <w:r w:rsidRPr="003905F5">
        <w:rPr>
          <w:rFonts w:ascii="Cambria" w:hAnsi="Cambria"/>
          <w:lang w:val="en"/>
        </w:rPr>
        <w:t xml:space="preserve"> </w:t>
      </w:r>
      <w:r w:rsidRPr="003905F5">
        <w:rPr>
          <w:rFonts w:ascii="Cambria" w:hAnsi="Cambria"/>
          <w:szCs w:val="24"/>
          <w:lang w:val="en"/>
        </w:rPr>
        <w:t xml:space="preserve">suggested that if CAR's value is high, the source of funds for the bank is also higher. The funds can be used for the company's operational needs, developing the business, and anticipating risks that may arise in the future. In this case, it can be interpreted that if the CAR value level has reached 8%, the bank can overcome the possible risks. Its operational activities so that the Profit Distribution Management (PDM)  activities can run well and affect the manager's assessment to improve PDM. </w:t>
      </w:r>
    </w:p>
    <w:p w:rsidR="00C47ECA" w:rsidRPr="003905F5" w:rsidRDefault="00C47ECA" w:rsidP="00C47ECA">
      <w:pPr>
        <w:spacing w:line="276" w:lineRule="auto"/>
        <w:ind w:left="0" w:hanging="2"/>
        <w:rPr>
          <w:rFonts w:ascii="Cambria" w:hAnsi="Cambria"/>
          <w:szCs w:val="24"/>
        </w:rPr>
      </w:pPr>
    </w:p>
    <w:p w:rsidR="00C47ECA" w:rsidRPr="003905F5" w:rsidRDefault="00C47ECA" w:rsidP="00C47ECA">
      <w:pPr>
        <w:spacing w:line="276" w:lineRule="auto"/>
        <w:ind w:left="0" w:hanging="2"/>
        <w:rPr>
          <w:rFonts w:ascii="Cambria" w:hAnsi="Cambria"/>
          <w:b/>
          <w:i/>
          <w:iCs/>
          <w:szCs w:val="24"/>
        </w:rPr>
      </w:pPr>
      <w:r w:rsidRPr="003905F5">
        <w:rPr>
          <w:rFonts w:ascii="Cambria" w:hAnsi="Cambria"/>
          <w:b/>
          <w:szCs w:val="24"/>
          <w:lang w:val="en"/>
        </w:rPr>
        <w:t>H</w:t>
      </w:r>
      <w:r w:rsidRPr="003905F5">
        <w:rPr>
          <w:rFonts w:ascii="Cambria" w:hAnsi="Cambria"/>
          <w:b/>
          <w:szCs w:val="24"/>
          <w:vertAlign w:val="subscript"/>
          <w:lang w:val="en"/>
        </w:rPr>
        <w:t>2:</w:t>
      </w:r>
      <w:r w:rsidRPr="003905F5">
        <w:rPr>
          <w:rFonts w:ascii="Cambria" w:hAnsi="Cambria"/>
          <w:b/>
          <w:szCs w:val="24"/>
          <w:lang w:val="en"/>
        </w:rPr>
        <w:t xml:space="preserve"> Effect of </w:t>
      </w:r>
      <w:r w:rsidRPr="003905F5">
        <w:rPr>
          <w:rFonts w:ascii="Cambria" w:hAnsi="Cambria"/>
          <w:b/>
          <w:i/>
          <w:iCs/>
          <w:szCs w:val="24"/>
          <w:lang w:val="en"/>
        </w:rPr>
        <w:t>Return On Asset</w:t>
      </w:r>
      <w:r w:rsidRPr="003905F5">
        <w:rPr>
          <w:rFonts w:ascii="Cambria" w:hAnsi="Cambria"/>
          <w:b/>
          <w:szCs w:val="24"/>
          <w:lang w:val="en"/>
        </w:rPr>
        <w:t xml:space="preserve"> on </w:t>
      </w:r>
      <w:r w:rsidRPr="003905F5">
        <w:rPr>
          <w:rFonts w:ascii="Cambria" w:hAnsi="Cambria"/>
          <w:b/>
          <w:i/>
          <w:iCs/>
          <w:szCs w:val="24"/>
          <w:lang w:val="en"/>
        </w:rPr>
        <w:t>Profit Distribution Management</w:t>
      </w:r>
    </w:p>
    <w:p w:rsidR="00C47ECA" w:rsidRDefault="00C47ECA" w:rsidP="00C47ECA">
      <w:pPr>
        <w:spacing w:line="276" w:lineRule="auto"/>
        <w:ind w:left="0" w:hanging="2"/>
        <w:rPr>
          <w:rFonts w:ascii="Cambria" w:hAnsi="Cambria"/>
          <w:szCs w:val="24"/>
          <w:lang w:val="en"/>
        </w:rPr>
      </w:pPr>
      <w:r w:rsidRPr="003905F5">
        <w:rPr>
          <w:rFonts w:ascii="Cambria" w:hAnsi="Cambria"/>
          <w:szCs w:val="24"/>
          <w:lang w:val="en"/>
        </w:rPr>
        <w:t xml:space="preserve">One of the indicators of bank profitability and financial performance is a return on assets (ROA). ROA plays a role in analyzing the ability of a bank to manage productive assets to generate optimal profits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Nugroho","given":"Lucky","non-dropping-particle":"","parse-names":false,"suffix":""},{"dropping-particle":"","family":"Nugraha","given":"Erik","non-dropping-particle":"","parse-names":false,"suffix":""},{"dropping-particle":"","family":"Badawi","given":"Ahmad","non-dropping-particle":"","parse-names":false,"suffix":""},{"dropping-particle":"","family":"Putra","given":"Yananto Mihadi","non-dropping-particle":"","parse-names":false,"suffix":""}],"container-title":"International Journal of Commerce and Finance: Istanbul","id":"ITEM-1","issue":"02","issued":{"date-parts":[["2021"]]},"page":"21-49","title":"Comparative Analysis of The Effect of Loan/Financing to Deposit Ratio, Labor Costs Growth and Promotion Costs Growth to Returns on Assets in Islamic Banks and Conventional Banks in Indonesia","type":"article-journal","volume":"07"},"uris":["http://www.mendeley.com/documents/?uuid=5b9b4bee-b737-4b34-af48-fec524341130"]}],"mendeley":{"formattedCitation":"(Nugroho, Nugraha, Badawi, &amp; Putra, 2021)","plainTextFormattedCitation":"(Nugroho, Nugraha, Badawi, &amp; Putra, 2021)","previouslyFormattedCitation":"(Nugroho, Nugraha, Badawi, &amp; Putra, 2021)"},"properties":{"noteIndex":0},"schema":"https://github.com/citation-style-language/schema/raw/master/csl-citation.json"}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(Nugroho, Nugraha, Badawi, &amp; Putra, 2021)</w:t>
      </w:r>
      <w:r w:rsidRPr="003905F5">
        <w:rPr>
          <w:rFonts w:ascii="Cambria" w:hAnsi="Cambria"/>
          <w:szCs w:val="24"/>
          <w:lang w:val="en"/>
        </w:rPr>
        <w:fldChar w:fldCharType="end"/>
      </w:r>
      <w:r w:rsidRPr="003905F5">
        <w:rPr>
          <w:rFonts w:ascii="Cambria" w:hAnsi="Cambria"/>
          <w:szCs w:val="24"/>
          <w:lang w:val="en"/>
        </w:rPr>
        <w:t>.</w:t>
      </w:r>
      <w:r w:rsidRPr="003905F5">
        <w:rPr>
          <w:rFonts w:ascii="Cambria" w:hAnsi="Cambria"/>
          <w:lang w:val="en"/>
        </w:rPr>
        <w:t xml:space="preserve"> </w:t>
      </w:r>
      <w:r w:rsidRPr="003905F5">
        <w:rPr>
          <w:rFonts w:ascii="Cambria" w:hAnsi="Cambria"/>
          <w:szCs w:val="24"/>
          <w:lang w:val="en"/>
        </w:rPr>
        <w:t xml:space="preserve"> The greater the ROA, the greater the level of profit obtained by the company, and if the profit obtained, the more remarkable. It shows that the company's performance is better and more efficient in generating profits and making investors interested in the company because the rate of return (profit sharing) is improving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{"citationItems":[{"id":"ITEM-1","itemData":{"DOI":"10.32502/jimn.v9i1.2115","author":[{"dropping-particle":"","family":"Wijaya","given":"Rendi","non-dropping-particle":"","parse-names":false,"suffix":""}],"container-title":"Jurnal Ilmu Manajemen","id":"ITEM-1","issue":"01","issued":{"date-parts":[["2019"]]},"page":"40-51","title":"Analisis Perkembangan Return On Assets (ROA) dan Return On Equity (ROE) untuk Mengukur Kinerja Keuangan","type":"article-journal","volume":"09"},"uris":["http://www.mendeley.com/documents/?uuid=4b10f62d-9510-4c39-b4ab-839cef2cf224"]}],"mendeley":{"formattedCitation":"(Wijaya, 2019)","plainTextFormattedCitation":"(Wijaya, 2019)","previouslyFormattedCitation":"(Wijaya, 2019)"},"properties":{"noteIndex":0},"schema":"https://github.com/citation-style-language/schema/raw/master/csl-citation.json"}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(Wijaya, 2019)</w:t>
      </w:r>
      <w:r w:rsidRPr="003905F5">
        <w:rPr>
          <w:rFonts w:ascii="Cambria" w:hAnsi="Cambria"/>
          <w:szCs w:val="24"/>
          <w:lang w:val="en"/>
        </w:rPr>
        <w:fldChar w:fldCharType="end"/>
      </w:r>
      <w:r w:rsidRPr="003905F5">
        <w:rPr>
          <w:rFonts w:ascii="Cambria" w:hAnsi="Cambria"/>
          <w:szCs w:val="24"/>
          <w:lang w:val="en"/>
        </w:rPr>
        <w:t>.</w:t>
      </w:r>
      <w:r w:rsidRPr="003905F5">
        <w:rPr>
          <w:rFonts w:ascii="Cambria" w:hAnsi="Cambria"/>
          <w:lang w:val="en"/>
        </w:rPr>
        <w:t xml:space="preserve"> </w:t>
      </w:r>
      <w:r w:rsidRPr="003905F5">
        <w:rPr>
          <w:rFonts w:ascii="Cambria" w:hAnsi="Cambria"/>
          <w:szCs w:val="24"/>
          <w:lang w:val="en"/>
        </w:rPr>
        <w:t xml:space="preserve"> This explanation is strengthened by research conducted by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{"citationItems":[{"id":"ITEM-1","itemData":{"author":[{"dropping-particle":"","family":"Arafiah","given":"Lailatul","non-dropping-particle":"","parse-names":false,"suffix":""},{"dropping-particle":"","family":"Poerwati","given":"Rr. Tjahjaning","non-dropping-particle":"","parse-names":false,"suffix":""}],"container-title":"Students’ Journal Accounting and Banking","id":"ITEM-1","issue":"01","issued":{"date-parts":[["2014"]]},"title":"Faktor-faktor yang Mempengaruhi Profit Distribution Management atas Simpanan Deposan pada Bank Syariah di Indonesia Periode 2009-2012","type":"article-journal","volume":"03"},"uris":["http://www.mendeley.com/documents/?uuid=579c5aef-8d51-4f32-967b-731380f22545"]}],"mendeley":{"formattedCitation":"(Arafiah &amp; Poerwati, 2014)","manualFormatting":"Arafiah &amp; Poerwati (2014)","plainTextFormattedCitation":"(Arafiah &amp; Poerwati, 2014)","previouslyFormattedCitation":"(Arafiah &amp; Poerwati, 2014)"},"properties":{"noteIndex":0},"schema":"https://github.com/citation-style-language/schema/raw/master/csl-citation.json"}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Arafiah &amp; Poerwati (2014)</w:t>
      </w:r>
      <w:r w:rsidRPr="003905F5">
        <w:rPr>
          <w:rFonts w:ascii="Cambria" w:hAnsi="Cambria"/>
          <w:szCs w:val="24"/>
          <w:lang w:val="en"/>
        </w:rPr>
        <w:fldChar w:fldCharType="end"/>
      </w:r>
      <w:r w:rsidRPr="003905F5">
        <w:rPr>
          <w:rFonts w:ascii="Cambria" w:hAnsi="Cambria"/>
          <w:szCs w:val="24"/>
          <w:lang w:val="en"/>
        </w:rPr>
        <w:t xml:space="preserve"> and</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{"citationItems":[{"id":"ITEM-1","itemData":{"DOI":"10.1166/asl.2017.9324","author":[{"dropping-particle":"","family":"Africano","given":"Fernando","non-dropping-particle":"","parse-names":false,"suffix":""},{"dropping-particle":"","family":"Elizabeth","given":"P. Sri Megawati","non-dropping-particle":"","parse-names":false,"suffix":""},{"dropping-particle":"","family":"Parlindungan","given":"Ricardo","non-dropping-particle":"","parse-names":false,"suffix":""}],"container-title":"Advanced Science Letters","id":"ITEM-1","issue":"08","issued":{"date-parts":[["2017"]]},"page":"7183-7186","title":"Factor Affecting Profit Distribution Management of Syariah Banks in Indonesia,","type":"article-journal","volume":"23"},"uris":["http://www.mendeley.com/documents/?uuid=7e992fe6-c8ea-4ce5-98c0-c8ddae496670"]}],"mendeley":{"formattedCitation":"(Africano et al., 2017)","manualFormatting":"Africano et al. (2017)","plainTextFormattedCitation":"(Africano et al., 2017)","previouslyFormattedCitation":"(Africano et al., 2017)"},"properties":{"noteIndex":0},"schema":"https://github.com/citation-style-language/schema/raw/master/csl-citation.json"}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Africano et al. </w:t>
      </w:r>
      <w:r w:rsidRPr="003905F5">
        <w:rPr>
          <w:rFonts w:ascii="Cambria" w:hAnsi="Cambria"/>
          <w:lang w:val="en"/>
        </w:rPr>
        <w:t xml:space="preserve"> </w:t>
      </w:r>
      <w:r w:rsidRPr="003905F5">
        <w:rPr>
          <w:rFonts w:ascii="Cambria" w:hAnsi="Cambria"/>
          <w:noProof/>
          <w:szCs w:val="24"/>
          <w:lang w:val="en"/>
        </w:rPr>
        <w:t>(2017)</w:t>
      </w:r>
      <w:r w:rsidRPr="003905F5">
        <w:rPr>
          <w:rFonts w:ascii="Cambria" w:hAnsi="Cambria"/>
          <w:szCs w:val="24"/>
          <w:lang w:val="en"/>
        </w:rPr>
        <w:fldChar w:fldCharType="end"/>
      </w:r>
      <w:r w:rsidRPr="003905F5">
        <w:rPr>
          <w:rFonts w:ascii="Cambria" w:hAnsi="Cambria"/>
          <w:szCs w:val="24"/>
          <w:lang w:val="en"/>
        </w:rPr>
        <w:t xml:space="preserve"> where ROA has a significant effect on PDM.</w:t>
      </w:r>
    </w:p>
    <w:p w:rsidR="00C47ECA" w:rsidRPr="003905F5" w:rsidRDefault="00C47ECA" w:rsidP="00C47ECA">
      <w:pPr>
        <w:spacing w:line="276" w:lineRule="auto"/>
        <w:ind w:left="0" w:hanging="2"/>
        <w:rPr>
          <w:rFonts w:ascii="Cambria" w:hAnsi="Cambria"/>
          <w:szCs w:val="24"/>
          <w:lang w:val="en-US"/>
        </w:rPr>
      </w:pPr>
    </w:p>
    <w:p w:rsidR="00C47ECA" w:rsidRPr="003905F5" w:rsidRDefault="00C47ECA" w:rsidP="00C47ECA">
      <w:pPr>
        <w:spacing w:line="276" w:lineRule="auto"/>
        <w:ind w:left="0" w:hanging="2"/>
        <w:rPr>
          <w:rFonts w:ascii="Cambria" w:hAnsi="Cambria"/>
          <w:b/>
          <w:i/>
          <w:iCs/>
          <w:szCs w:val="24"/>
          <w:lang w:val="en-US"/>
        </w:rPr>
      </w:pPr>
      <w:r w:rsidRPr="003905F5">
        <w:rPr>
          <w:rFonts w:ascii="Cambria" w:hAnsi="Cambria"/>
          <w:b/>
          <w:szCs w:val="24"/>
          <w:lang w:val="en"/>
        </w:rPr>
        <w:t>H</w:t>
      </w:r>
      <w:r w:rsidRPr="003905F5">
        <w:rPr>
          <w:rFonts w:ascii="Cambria" w:hAnsi="Cambria"/>
          <w:b/>
          <w:szCs w:val="24"/>
          <w:vertAlign w:val="subscript"/>
          <w:lang w:val="en"/>
        </w:rPr>
        <w:t>3:</w:t>
      </w:r>
      <w:r w:rsidRPr="003905F5">
        <w:rPr>
          <w:rFonts w:ascii="Cambria" w:hAnsi="Cambria"/>
          <w:b/>
          <w:szCs w:val="24"/>
          <w:lang w:val="en"/>
        </w:rPr>
        <w:t xml:space="preserve"> Effect of</w:t>
      </w:r>
      <w:r w:rsidRPr="003905F5">
        <w:rPr>
          <w:rFonts w:ascii="Cambria" w:hAnsi="Cambria"/>
          <w:b/>
          <w:i/>
          <w:iCs/>
          <w:szCs w:val="24"/>
          <w:lang w:val="en"/>
        </w:rPr>
        <w:t xml:space="preserve"> Financing to Deposit Ratio</w:t>
      </w:r>
      <w:r w:rsidRPr="003905F5">
        <w:rPr>
          <w:rFonts w:ascii="Cambria" w:hAnsi="Cambria"/>
          <w:b/>
          <w:szCs w:val="24"/>
          <w:lang w:val="en"/>
        </w:rPr>
        <w:t xml:space="preserve"> on</w:t>
      </w:r>
      <w:r w:rsidRPr="003905F5">
        <w:rPr>
          <w:rFonts w:ascii="Cambria" w:hAnsi="Cambria"/>
          <w:b/>
          <w:i/>
          <w:iCs/>
          <w:szCs w:val="24"/>
          <w:lang w:val="en"/>
        </w:rPr>
        <w:t xml:space="preserve"> Profit Distribution Management</w:t>
      </w:r>
    </w:p>
    <w:p w:rsidR="00C47ECA" w:rsidRDefault="00C47ECA" w:rsidP="00C47ECA">
      <w:pPr>
        <w:spacing w:line="276" w:lineRule="auto"/>
        <w:ind w:left="0" w:hanging="2"/>
        <w:rPr>
          <w:rFonts w:ascii="Cambria" w:hAnsi="Cambria"/>
          <w:szCs w:val="24"/>
          <w:lang w:val="en"/>
        </w:rPr>
      </w:pPr>
      <w:r w:rsidRPr="003905F5">
        <w:rPr>
          <w:rFonts w:ascii="Cambria" w:hAnsi="Cambria"/>
          <w:szCs w:val="24"/>
          <w:lang w:val="en"/>
        </w:rPr>
        <w:t xml:space="preserve">Suppose the value of FDR is not too high and not too low, around 80%-100%. In that case, the bank can maintain liquidity conditions through its fund managers by optimizing financing distribution which then has an impact on increasing the return to be obtained from financing so that the profit distribution rate (profit distribution) ) automatically also increases. It will give customers specific considerations when depositing their funds in the bank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{"citationItems":[{"id":"ITEM-1","itemData":{"DOI":"10.20473/baki.v4i2.18404","author":[{"dropping-particle":"","family":"Somantri","given":"Yeni Fitriani","non-dropping-particle":"","parse-names":false,"suffix":""},{"dropping-particle":"","family":"Sukmana","given":"Wawan","non-dropping-particle":"","parse-names":false,"suffix":""}],"container-title":"Berkala Akuntansi dan Keuangan Indonesia","id":"ITEM-1","issue":"02","issued":{"date-parts":[["2019"]]},"page":"61-71","title":"Analysis of Factor Affecting Financing to Deposit to Ratio (FDR) at Islamic Commercial","type":"article-journal","volume":"04"},"uris":["http://www.mendeley.com/documents/?uuid=a3debfe1-bbec-4aad-9fb0-2f3562908654"]}],"mendeley":{"formattedCitation":"(Somantri &amp; Sukmana, 2019)","plainTextFormattedCitation":"(Somantri &amp; Sukmana, 2019)","previouslyFormattedCitation":"(Somantri &amp; Sukmana, 2019)"},"properties":{"noteIndex":0},"schema":"https://github.com/citation-style-language/schema/raw/master/csl-citation.json"}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(Somantri &amp; Sukmana, 2019)</w:t>
      </w:r>
      <w:r w:rsidRPr="003905F5">
        <w:rPr>
          <w:rFonts w:ascii="Cambria" w:hAnsi="Cambria"/>
          <w:szCs w:val="24"/>
          <w:lang w:val="en"/>
        </w:rPr>
        <w:fldChar w:fldCharType="end"/>
      </w:r>
      <w:r w:rsidRPr="003905F5">
        <w:rPr>
          <w:rFonts w:ascii="Cambria" w:hAnsi="Cambria"/>
          <w:szCs w:val="24"/>
          <w:lang w:val="en"/>
        </w:rPr>
        <w:t>. The higher Profit Distribution Management (PDM) will benefit banks in maintaining customer relationships by providing a high level of profit sharing. To reduce the risk of customers who want to transfer their funds to other banks (displacement funds). It is strengthened by</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Muyassaroh","given":"","non-dropping-particle":"","parse-names":false,"suffix":""},{"dropping-particle":"","family":"Saputra","given":"Bambang","non-dropping-particle":"","parse-names":false,"suffix":""}],"container-title":"Jurnal Akuntansi Manajemen Madani","id":"ITEM-1","issue":"01","issued":{"date-parts":[["2015"]]},"page":"51-71","title":"Faktor-Faktor yang Mempengaruhi Profit Distribution Management Pada Bank Syariah di Indonesia Periode 2009-2013","type":"article-journal","volume":"01"},"uris":["http://www.mendeley.com/documents/?uuid=c44977c5-a211-4dd9-80fc-6d052ad1be92"]}],"mendeley":{"formattedCitation":"(Muyassaroh &amp; Saputra, 2015)","manualFormatting":"Muyassaroh &amp; Saputra (2015)","plainTextFormattedCitation":"(Muyassaroh &amp; Saputra, 2015)","previouslyFormattedCitation":"(Muyassaroh &amp; Saputra, 2015)"},"properties":{"noteIndex":0},"schema":"https://github.com/citation-style-language/schema/raw/master/csl-citation.json"}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Muyassaroh &amp; Saputra (2015)</w:t>
      </w:r>
      <w:r w:rsidRPr="003905F5">
        <w:rPr>
          <w:rFonts w:ascii="Cambria" w:hAnsi="Cambria"/>
          <w:szCs w:val="24"/>
          <w:lang w:val="en"/>
        </w:rPr>
        <w:fldChar w:fldCharType="end"/>
      </w:r>
      <w:r w:rsidRPr="003905F5">
        <w:rPr>
          <w:rFonts w:ascii="Cambria" w:hAnsi="Cambria"/>
          <w:szCs w:val="24"/>
          <w:lang w:val="en"/>
        </w:rPr>
        <w:t xml:space="preserve"> research where FDR significantly affects PDM. </w:t>
      </w:r>
    </w:p>
    <w:p w:rsidR="00C47ECA" w:rsidRPr="003905F5" w:rsidRDefault="00C47ECA" w:rsidP="00C47ECA">
      <w:pPr>
        <w:spacing w:line="276" w:lineRule="auto"/>
        <w:ind w:left="0" w:hanging="2"/>
        <w:rPr>
          <w:rFonts w:ascii="Cambria" w:hAnsi="Cambria"/>
          <w:szCs w:val="24"/>
          <w:lang w:val="en"/>
        </w:rPr>
      </w:pPr>
    </w:p>
    <w:p w:rsidR="00C47ECA" w:rsidRPr="003905F5" w:rsidRDefault="00C47ECA" w:rsidP="00C47ECA">
      <w:pPr>
        <w:spacing w:line="276" w:lineRule="auto"/>
        <w:ind w:left="0" w:hanging="2"/>
        <w:rPr>
          <w:rFonts w:ascii="Cambria" w:hAnsi="Cambria"/>
          <w:b/>
          <w:szCs w:val="24"/>
          <w:lang w:val="en-US"/>
        </w:rPr>
      </w:pPr>
      <w:r w:rsidRPr="003905F5">
        <w:rPr>
          <w:rFonts w:ascii="Cambria" w:hAnsi="Cambria"/>
          <w:b/>
          <w:szCs w:val="24"/>
          <w:lang w:val="en"/>
        </w:rPr>
        <w:lastRenderedPageBreak/>
        <w:t>H</w:t>
      </w:r>
      <w:r w:rsidRPr="003905F5">
        <w:rPr>
          <w:rFonts w:ascii="Cambria" w:hAnsi="Cambria"/>
          <w:b/>
          <w:szCs w:val="24"/>
          <w:vertAlign w:val="subscript"/>
          <w:lang w:val="en"/>
        </w:rPr>
        <w:t>4:</w:t>
      </w:r>
      <w:r w:rsidRPr="003905F5">
        <w:rPr>
          <w:rFonts w:ascii="Cambria" w:hAnsi="Cambria"/>
          <w:b/>
          <w:szCs w:val="24"/>
          <w:lang w:val="en"/>
        </w:rPr>
        <w:t xml:space="preserve"> Effect of</w:t>
      </w:r>
      <w:r w:rsidRPr="003905F5">
        <w:rPr>
          <w:rFonts w:ascii="Cambria" w:hAnsi="Cambria"/>
          <w:b/>
          <w:i/>
          <w:iCs/>
          <w:szCs w:val="24"/>
          <w:lang w:val="en"/>
        </w:rPr>
        <w:t xml:space="preserve"> Non Performing Financing </w:t>
      </w:r>
      <w:r w:rsidRPr="003905F5">
        <w:rPr>
          <w:rFonts w:ascii="Cambria" w:hAnsi="Cambria"/>
          <w:b/>
          <w:szCs w:val="24"/>
          <w:lang w:val="en"/>
        </w:rPr>
        <w:t>on</w:t>
      </w:r>
      <w:r w:rsidRPr="003905F5">
        <w:rPr>
          <w:rFonts w:ascii="Cambria" w:hAnsi="Cambria"/>
          <w:b/>
          <w:i/>
          <w:iCs/>
          <w:szCs w:val="24"/>
          <w:lang w:val="en"/>
        </w:rPr>
        <w:t xml:space="preserve"> Profit Distribution Management</w:t>
      </w:r>
    </w:p>
    <w:p w:rsidR="00C47ECA" w:rsidRDefault="00C47ECA" w:rsidP="00C47ECA">
      <w:pPr>
        <w:spacing w:line="276" w:lineRule="auto"/>
        <w:ind w:left="0" w:hanging="2"/>
        <w:rPr>
          <w:rFonts w:ascii="Cambria" w:hAnsi="Cambria"/>
          <w:szCs w:val="24"/>
          <w:lang w:val="en"/>
        </w:rPr>
      </w:pPr>
      <w:r w:rsidRPr="003905F5">
        <w:rPr>
          <w:rFonts w:ascii="Cambria" w:hAnsi="Cambria"/>
          <w:szCs w:val="24"/>
          <w:lang w:val="en"/>
        </w:rPr>
        <w:t>According to</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{"citationItems":[{"id":"ITEM-1","itemData":{"DOI":"10.33059/jseb.v13i2.3342","author":[{"dropping-particle":"","family":"Nasir","given":"Muhammad","non-dropping-particle":"","parse-names":false,"suffix":""},{"dropping-particle":"","family":"AR","given":"M. Yazid","non-dropping-particle":"","parse-names":false,"suffix":""},{"dropping-particle":"","family":"Mustika Amri","given":"","non-dropping-particle":"","parse-names":false,"suffix":""},{"dropping-particle":"","family":"Handayani","given":"Cut Fitri","non-dropping-particle":"","parse-names":false,"suffix":""},{"dropping-particle":"","family":"Aryati","given":"","non-dropping-particle":"","parse-names":false,"suffix":""}],"container-title":"Jurnal Samudra Ekonomi dan Bisnis","id":"ITEM-1","issue":"02","issued":{"date-parts":[["2022"]]},"page":"267-276","title":"The Effect of Internal and External Factors on Non-Performing Financing at Islamic Commercial Banks in Indonesia","type":"article-journal","volume":"13"},"uris":["http://www.mendeley.com/documents/?uuid=0640d316-f525-42a2-9071-2ce44a3d0c4b"]}],"mendeley":{"formattedCitation":"(Nasir, AR, Mustika Amri, Handayani, &amp; Aryati, 2022)","manualFormatting":"Nasir et al. (2022)","plainTextFormattedCitation":"(Nasir, AR, Mustika Amri, Handayani, &amp; Aryati, 2022)","previouslyFormattedCitation":"(Nasir, AR, Mustika Amri, Handayani, &amp; Aryati, 2022)"},"properties":{"noteIndex":0},"schema":"https://github.com/citation-style-language/schema/raw/master/csl-citation.json"}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Nasir et al. </w:t>
      </w:r>
      <w:r w:rsidRPr="003905F5">
        <w:rPr>
          <w:rFonts w:ascii="Cambria" w:hAnsi="Cambria"/>
          <w:lang w:val="en"/>
        </w:rPr>
        <w:t xml:space="preserve"> </w:t>
      </w:r>
      <w:r w:rsidRPr="003905F5">
        <w:rPr>
          <w:rFonts w:ascii="Cambria" w:hAnsi="Cambria"/>
          <w:noProof/>
          <w:szCs w:val="24"/>
          <w:lang w:val="en"/>
        </w:rPr>
        <w:t>(2022)</w:t>
      </w:r>
      <w:r w:rsidRPr="003905F5">
        <w:rPr>
          <w:rFonts w:ascii="Cambria" w:hAnsi="Cambria"/>
          <w:szCs w:val="24"/>
          <w:lang w:val="en"/>
        </w:rPr>
        <w:fldChar w:fldCharType="end"/>
      </w:r>
      <w:r w:rsidRPr="003905F5">
        <w:rPr>
          <w:rFonts w:ascii="Cambria" w:hAnsi="Cambria"/>
          <w:szCs w:val="24"/>
          <w:lang w:val="en"/>
        </w:rPr>
        <w:t xml:space="preserve"> financing risk (non-performing financing) occurs due to financing failure caused by the bank's inability to recover the financing amount or obtain the return on investment disbursed. If this ratio continues to rise, the bank indicates that the health level of its financing is of poor quality. In this case, it is necessary to manage to finance carried out by banks considering that the most significant income of Islamic banks comes from the financing carried out. Because the level of financing health influences profit and the distribution of profit sharing in Islamic banks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{"citationItems":[{"id":"ITEM-1","itemData":{"author":[{"dropping-particle":"","family":"Wibowo","given":"Edhi Satriyo","non-dropping-particle":"","parse-names":false,"suffix":""},{"dropping-particle":"","family":"Syaichu","given":"Muhammad","non-dropping-particle":"","parse-names":false,"suffix":""}],"container-title":"Dipenogoro Journal of Management","id":"ITEM-1","issue":"02","issued":{"date-parts":[["2013"]]},"page":"10-19","title":"Analisis Pengaruh Suku Bunga, Inflasi, CAR, BOPO, NPF terhadap Profitabilitas Bank Syariah","type":"article-journal","volume":"02"},"uris":["http://www.mendeley.com/documents/?uuid=5329654c-1fb7-4fb0-a0bf-f5f2faf6a2e5"]}],"mendeley":{"formattedCitation":"(Wibowo &amp; Syaichu, 2013)","plainTextFormattedCitation":"(Wibowo &amp; Syaichu, 2013)","previouslyFormattedCitation":"(Wibowo &amp; Syaichu, 2013)"},"properties":{"noteIndex":0},"schema":"https://github.com/citation-style-language/schema/raw/master/csl-citation.json"}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(Wibowo &amp; Syaichu, 2013)</w:t>
      </w:r>
      <w:r w:rsidRPr="003905F5">
        <w:rPr>
          <w:rFonts w:ascii="Cambria" w:hAnsi="Cambria"/>
          <w:szCs w:val="24"/>
          <w:lang w:val="en"/>
        </w:rPr>
        <w:fldChar w:fldCharType="end"/>
      </w:r>
      <w:r w:rsidRPr="003905F5">
        <w:rPr>
          <w:rFonts w:ascii="Cambria" w:hAnsi="Cambria"/>
          <w:szCs w:val="24"/>
          <w:lang w:val="en"/>
        </w:rPr>
        <w:t>.</w:t>
      </w:r>
      <w:r w:rsidRPr="003905F5">
        <w:rPr>
          <w:rFonts w:ascii="Cambria" w:hAnsi="Cambria"/>
          <w:lang w:val="en"/>
        </w:rPr>
        <w:t xml:space="preserve"> </w:t>
      </w:r>
      <w:r w:rsidRPr="003905F5">
        <w:rPr>
          <w:rFonts w:ascii="Cambria" w:hAnsi="Cambria"/>
          <w:szCs w:val="24"/>
          <w:lang w:val="en"/>
        </w:rPr>
        <w:t xml:space="preserve"> it is strengthened by research conducted by </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Rifadil","given":"T.","non-dropping-particle":"","parse-names":false,"suffix":""},{"dropping-particle":"","family":"Muniruddin","given":"Said","non-dropping-particle":"","parse-names":false,"suffix":""}],"container-title":"JIMEKA: Jurnal Ilmiah Mahasiswa Akuntansi","id":"ITEM-1","issue":"03","issued":{"date-parts":[["2017"]]},"page":"140-153","title":"Analisis Faktor-Faktor yang Mempengaruhi Profit Distribution Management pada Bank Umum Syariah Tahun 2012-2015","type":"article-journal","volume":"02"},"uris":["http://www.mendeley.com/documents/?uuid=536385e3-59e9-495d-9d5a-a95c5426da39"]}],"mendeley":{"formattedCitation":"(Rifadil &amp; Muniruddin, 2017)","manualFormatting":"Rifadil &amp; Muniruddin (2017)","plainTextFormattedCitation":"(Rifadil &amp; Muniruddin, 2017)","previouslyFormattedCitation":"(Rifadil &amp; Muniruddin, 2017)"},"properties":{"noteIndex":0},"schema":"https://github.com/citation-style-language/schema/raw/master/csl-citation.json"}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Rifadil &amp; Muniruddin (2017)</w:t>
      </w:r>
      <w:r w:rsidRPr="003905F5">
        <w:rPr>
          <w:rFonts w:ascii="Cambria" w:hAnsi="Cambria"/>
          <w:szCs w:val="24"/>
          <w:lang w:val="en"/>
        </w:rPr>
        <w:fldChar w:fldCharType="end"/>
      </w:r>
      <w:r w:rsidRPr="003905F5">
        <w:rPr>
          <w:rFonts w:ascii="Cambria" w:hAnsi="Cambria"/>
          <w:szCs w:val="24"/>
          <w:lang w:val="en"/>
        </w:rPr>
        <w:t xml:space="preserve"> financial risk significantly affects PDM.</w:t>
      </w:r>
    </w:p>
    <w:p w:rsidR="00C47ECA" w:rsidRPr="003905F5" w:rsidRDefault="00C47ECA" w:rsidP="00C47ECA">
      <w:pPr>
        <w:spacing w:line="276" w:lineRule="auto"/>
        <w:ind w:left="0" w:hanging="2"/>
        <w:rPr>
          <w:rFonts w:ascii="Cambria" w:hAnsi="Cambria"/>
          <w:szCs w:val="24"/>
          <w:lang w:val="en-US"/>
        </w:rPr>
      </w:pPr>
    </w:p>
    <w:p w:rsidR="00C47ECA" w:rsidRPr="003905F5" w:rsidRDefault="00C47ECA" w:rsidP="00C47ECA">
      <w:pPr>
        <w:spacing w:line="276" w:lineRule="auto"/>
        <w:ind w:left="0" w:hanging="2"/>
        <w:rPr>
          <w:rFonts w:ascii="Cambria" w:hAnsi="Cambria"/>
          <w:b/>
          <w:i/>
          <w:iCs/>
          <w:szCs w:val="24"/>
          <w:lang w:val="en-US"/>
        </w:rPr>
      </w:pPr>
      <w:r w:rsidRPr="003905F5">
        <w:rPr>
          <w:rFonts w:ascii="Cambria" w:hAnsi="Cambria"/>
          <w:b/>
          <w:szCs w:val="24"/>
          <w:lang w:val="en"/>
        </w:rPr>
        <w:t>H</w:t>
      </w:r>
      <w:r w:rsidRPr="003905F5">
        <w:rPr>
          <w:rFonts w:ascii="Cambria" w:hAnsi="Cambria"/>
          <w:b/>
          <w:szCs w:val="24"/>
          <w:vertAlign w:val="subscript"/>
          <w:lang w:val="en"/>
        </w:rPr>
        <w:t>5:</w:t>
      </w:r>
      <w:r w:rsidRPr="003905F5">
        <w:rPr>
          <w:rFonts w:ascii="Cambria" w:hAnsi="Cambria"/>
          <w:b/>
          <w:szCs w:val="24"/>
          <w:lang w:val="en"/>
        </w:rPr>
        <w:t xml:space="preserve"> Effect of Operating Income Operating Costs on</w:t>
      </w:r>
      <w:r w:rsidRPr="003905F5">
        <w:rPr>
          <w:rFonts w:ascii="Cambria" w:hAnsi="Cambria"/>
          <w:b/>
          <w:i/>
          <w:iCs/>
          <w:szCs w:val="24"/>
          <w:lang w:val="en"/>
        </w:rPr>
        <w:t xml:space="preserve"> Profit Distribution Management</w:t>
      </w:r>
    </w:p>
    <w:p w:rsidR="00C47ECA" w:rsidRPr="00FC7888" w:rsidRDefault="00C47ECA" w:rsidP="00FC7888">
      <w:pPr>
        <w:spacing w:line="276" w:lineRule="auto"/>
        <w:ind w:left="0" w:hanging="2"/>
        <w:rPr>
          <w:rFonts w:ascii="Cambria" w:hAnsi="Cambria"/>
          <w:szCs w:val="24"/>
        </w:rPr>
      </w:pPr>
      <w:r w:rsidRPr="003905F5">
        <w:rPr>
          <w:rFonts w:ascii="Cambria" w:hAnsi="Cambria"/>
          <w:szCs w:val="24"/>
          <w:lang w:val="en"/>
        </w:rPr>
        <w:t>The lower the ratio of operating costs to operating income, the better the bank's operational performance so that the bank's profits increase and the profit sharing received by customers increases</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{"citationItems":[{"id":"ITEM-1","itemData":{"DOI":"10.29040/jiei.v8i2.5857","author":[{"dropping-particle":"","family":"Tho’in","given":"Muhammad","non-dropping-particle":"","parse-names":false,"suffix":""}],"container-title":"Jurnal Ilmiah Ekonomi Islam","id":"ITEM-1","issue":"02","issued":{"date-parts":[["2022"]]},"page":"2020-2026","title":"Effect of Financing to Deposit Ratio and Operational Efficiency on Profitability (ROA) with NPF as Intervening in Islamic Banks","type":"article-journal","volume":"08"},"uris":["http://www.mendeley.com/documents/?uuid=af566a5c-0097-4e87-986a-32946f8ad7c8"]}],"mendeley":{"formattedCitation":"(Tho’in, 2022)","plainTextFormattedCitation":"(Tho’in, 2022)","previouslyFormattedCitation":"(Tho’in, 2022)"},"properties":{"noteIndex":0},"schema":"https://github.com/citation-style-language/schema/raw/master/csl-citation.json"}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(Tho'in, 2022)</w:t>
      </w:r>
      <w:r w:rsidRPr="003905F5">
        <w:rPr>
          <w:rFonts w:ascii="Cambria" w:hAnsi="Cambria"/>
          <w:szCs w:val="24"/>
          <w:lang w:val="en"/>
        </w:rPr>
        <w:fldChar w:fldCharType="end"/>
      </w:r>
      <w:r w:rsidRPr="003905F5">
        <w:rPr>
          <w:rFonts w:ascii="Cambria" w:hAnsi="Cambria"/>
          <w:szCs w:val="24"/>
          <w:lang w:val="en"/>
        </w:rPr>
        <w:t>. Thus making the manager reduce operational costs can reduce the inefficiency of banks managing their business so that the profits obtained will also increase and the level of PDM will also be higher. A study by</w:t>
      </w:r>
      <w:r w:rsidRPr="003905F5">
        <w:rPr>
          <w:rFonts w:ascii="Cambria" w:hAnsi="Cambria"/>
          <w:szCs w:val="24"/>
          <w:lang w:val="en"/>
        </w:rPr>
        <w:fldChar w:fldCharType="begin" w:fldLock="1"/>
      </w:r>
      <w:r w:rsidRPr="003905F5">
        <w:rPr>
          <w:rFonts w:ascii="Cambria" w:hAnsi="Cambria"/>
          <w:szCs w:val="24"/>
          <w:lang w:val="en"/>
        </w:rPr>
        <w:instrText>ADDIN CSL_CITATION {"citationItems":[{"id":"ITEM-1","itemData":{"author":[{"dropping-particle":"","family":"Nengsih","given":"Sri Wida","non-dropping-particle":"","parse-names":false,"suffix":""}],"container-title":"Prisma: Platform Riset Mahasiswa Akuntansi","id":"ITEM-1","issue":"06","issued":{"date-parts":[["2020"]]},"page":"15-25","title":"Faktor-Faktor yang Mempengaruhi Profit Distribution Management pada BPR Syariah di Indonesia Periode 2017-2019","type":"article-journal","volume":"01"},"uris":["http://www.mendeley.com/documents/?uuid=2649a6c0-3b30-48e3-8301-4f1e66f0000e"]}],"mendeley":{"formattedCitation":"(Nengsih, 2020)","manualFormatting":"Nengsih (2020)","plainTextFormattedCitation":"(Nengsih, 2020)","previouslyFormattedCitation":"(Nengsih, 2020)"},"properties":{"noteIndex":0},"schema":"https://github.com/citation-style-language/schema/raw/master/csl-citation.json"}</w:instrText>
      </w:r>
      <w:r w:rsidRPr="003905F5">
        <w:rPr>
          <w:rFonts w:ascii="Cambria" w:hAnsi="Cambria"/>
          <w:szCs w:val="24"/>
          <w:lang w:val="en"/>
        </w:rPr>
        <w:fldChar w:fldCharType="separate"/>
      </w:r>
      <w:r w:rsidRPr="003905F5">
        <w:rPr>
          <w:rFonts w:ascii="Cambria" w:hAnsi="Cambria"/>
          <w:noProof/>
          <w:szCs w:val="24"/>
          <w:lang w:val="en"/>
        </w:rPr>
        <w:t xml:space="preserve"> Nengsih (2020)</w:t>
      </w:r>
      <w:r w:rsidRPr="003905F5">
        <w:rPr>
          <w:rFonts w:ascii="Cambria" w:hAnsi="Cambria"/>
          <w:szCs w:val="24"/>
          <w:lang w:val="en"/>
        </w:rPr>
        <w:fldChar w:fldCharType="end"/>
      </w:r>
      <w:r w:rsidRPr="003905F5">
        <w:rPr>
          <w:rFonts w:ascii="Cambria" w:hAnsi="Cambria"/>
          <w:szCs w:val="24"/>
          <w:lang w:val="en"/>
        </w:rPr>
        <w:t xml:space="preserve"> strengthened it by finding that BOPO significantly affects PDM levels.</w:t>
      </w:r>
    </w:p>
    <w:p w:rsidR="00C47ECA" w:rsidRPr="00C210A8" w:rsidRDefault="00C47ECA" w:rsidP="00FC7888">
      <w:pPr>
        <w:spacing w:line="480" w:lineRule="auto"/>
        <w:ind w:leftChars="0" w:left="0" w:firstLineChars="0" w:firstLine="0"/>
        <w:jc w:val="center"/>
        <w:rPr>
          <w:rFonts w:ascii="Cambria" w:eastAsia="Times New Roman" w:hAnsi="Cambria" w:cs="Times New Roman"/>
          <w:b/>
          <w:bCs/>
          <w:color w:val="000000"/>
          <w:position w:val="0"/>
          <w:szCs w:val="24"/>
          <w:lang w:val="en-US"/>
        </w:rPr>
      </w:pPr>
      <w:r>
        <w:rPr>
          <w:rFonts w:ascii="Cambria" w:eastAsia="Times New Roman" w:hAnsi="Cambria" w:cs="Times New Roman"/>
          <w:b/>
          <w:bCs/>
          <w:color w:val="000000"/>
          <w:szCs w:val="24"/>
          <w:lang w:val="en-US"/>
        </w:rPr>
        <w:t>Framwork</w:t>
      </w:r>
    </w:p>
    <w:p w:rsidR="00C47ECA" w:rsidRPr="00904879" w:rsidRDefault="00C47ECA" w:rsidP="00C47ECA">
      <w:pPr>
        <w:spacing w:line="480" w:lineRule="auto"/>
        <w:ind w:left="0" w:hanging="2"/>
        <w:jc w:val="center"/>
        <w:rPr>
          <w:rFonts w:ascii="Cambria" w:eastAsia="Times New Roman" w:hAnsi="Cambria" w:cs="Times New Roman"/>
          <w:b/>
          <w:bCs/>
          <w:color w:val="000000"/>
          <w:szCs w:val="24"/>
        </w:rPr>
      </w:pPr>
      <w:r w:rsidRPr="00904879">
        <w:rPr>
          <w:rFonts w:ascii="Cambria" w:eastAsia="Calibri" w:hAnsi="Cambria" w:cs="Arial"/>
          <w:noProof/>
          <w:sz w:val="22"/>
          <w:szCs w:val="22"/>
        </w:rPr>
        <mc:AlternateContent>
          <mc:Choice Requires="wps">
            <w:drawing>
              <wp:anchor distT="0" distB="0" distL="114300" distR="114300" simplePos="0" relativeHeight="251659264" behindDoc="0" locked="0" layoutInCell="1" allowOverlap="1">
                <wp:simplePos x="0" y="0"/>
                <wp:positionH relativeFrom="margin">
                  <wp:posOffset>495300</wp:posOffset>
                </wp:positionH>
                <wp:positionV relativeFrom="paragraph">
                  <wp:posOffset>170815</wp:posOffset>
                </wp:positionV>
                <wp:extent cx="1617980" cy="441960"/>
                <wp:effectExtent l="0" t="0" r="20320"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980" cy="4419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CAR (X</w:t>
                            </w:r>
                            <w:r w:rsidRPr="00451723">
                              <w:rPr>
                                <w:rFonts w:ascii="Times New Roman" w:hAnsi="Times New Roman" w:cs="Times New Roman"/>
                                <w:szCs w:val="24"/>
                                <w:vertAlign w:val="subscript"/>
                              </w:rPr>
                              <w:t>1</w:t>
                            </w:r>
                            <w:r w:rsidRPr="00451723">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39pt;margin-top:13.45pt;width:127.4pt;height:3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" fillcolor="window" strokecolor="windowText" strokeweight="1pt">
                <v:path arrowok="t"/>
                <v:textbo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CAR (X</w:t>
                      </w:r>
                      <w:r w:rsidRPr="00451723">
                        <w:rPr>
                          <w:rFonts w:ascii="Times New Roman" w:hAnsi="Times New Roman" w:cs="Times New Roman"/>
                          <w:szCs w:val="24"/>
                          <w:vertAlign w:val="subscript"/>
                        </w:rPr>
                        <w:t>1</w:t>
                      </w:r>
                      <w:r w:rsidRPr="00451723">
                        <w:rPr>
                          <w:rFonts w:ascii="Times New Roman" w:hAnsi="Times New Roman" w:cs="Times New Roman"/>
                          <w:szCs w:val="24"/>
                        </w:rPr>
                        <w:t>)</w:t>
                      </w:r>
                    </w:p>
                  </w:txbxContent>
                </v:textbox>
                <w10:wrap anchorx="margin"/>
              </v:rect>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495300</wp:posOffset>
                </wp:positionH>
                <wp:positionV relativeFrom="paragraph">
                  <wp:posOffset>792480</wp:posOffset>
                </wp:positionV>
                <wp:extent cx="1617345" cy="431800"/>
                <wp:effectExtent l="0" t="0" r="20955"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345" cy="431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ROA (X</w:t>
                            </w:r>
                            <w:r w:rsidRPr="00451723">
                              <w:rPr>
                                <w:rFonts w:ascii="Times New Roman" w:hAnsi="Times New Roman" w:cs="Times New Roman"/>
                                <w:szCs w:val="24"/>
                                <w:vertAlign w:val="subscript"/>
                              </w:rPr>
                              <w:t>2</w:t>
                            </w:r>
                            <w:r w:rsidRPr="00451723">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39pt;margin-top:62.4pt;width:127.35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" fillcolor="window" strokecolor="windowText" strokeweight="1pt">
                <v:path arrowok="t"/>
                <v:textbo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ROA (X</w:t>
                      </w:r>
                      <w:r w:rsidRPr="00451723">
                        <w:rPr>
                          <w:rFonts w:ascii="Times New Roman" w:hAnsi="Times New Roman" w:cs="Times New Roman"/>
                          <w:szCs w:val="24"/>
                          <w:vertAlign w:val="subscript"/>
                        </w:rPr>
                        <w:t>2</w:t>
                      </w:r>
                      <w:r w:rsidRPr="00451723">
                        <w:rPr>
                          <w:rFonts w:ascii="Times New Roman" w:hAnsi="Times New Roman" w:cs="Times New Roman"/>
                          <w:szCs w:val="24"/>
                        </w:rPr>
                        <w:t>)</w:t>
                      </w:r>
                    </w:p>
                  </w:txbxContent>
                </v:textbox>
              </v:rect>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4384" behindDoc="0" locked="0" layoutInCell="1" allowOverlap="1">
                <wp:simplePos x="0" y="0"/>
                <wp:positionH relativeFrom="margin">
                  <wp:posOffset>3135630</wp:posOffset>
                </wp:positionH>
                <wp:positionV relativeFrom="paragraph">
                  <wp:posOffset>1150620</wp:posOffset>
                </wp:positionV>
                <wp:extent cx="1778635" cy="803910"/>
                <wp:effectExtent l="0" t="0" r="12065" b="1524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803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i/>
                                <w:iCs/>
                                <w:szCs w:val="24"/>
                              </w:rPr>
                              <w:t xml:space="preserve">Profit Distribution Management </w:t>
                            </w:r>
                            <w:r w:rsidRPr="00451723">
                              <w:rPr>
                                <w:rFonts w:ascii="Times New Roman" w:hAnsi="Times New Roman" w:cs="Times New Roman"/>
                                <w:szCs w:val="24"/>
                              </w:rPr>
                              <w:t xml:space="preserve">(PDM) </w:t>
                            </w:r>
                          </w:p>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8" o:spid="_x0000_s1028" style="position:absolute;left:0;text-align:left;margin-left:246.9pt;margin-top:90.6pt;width:140.05pt;height:63.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" fillcolor="window" strokecolor="windowText" strokeweight="1pt">
                <v:path arrowok="t"/>
                <v:textbo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i/>
                          <w:iCs/>
                          <w:szCs w:val="24"/>
                        </w:rPr>
                        <w:t xml:space="preserve">Profit Distribution Management </w:t>
                      </w:r>
                      <w:r w:rsidRPr="00451723">
                        <w:rPr>
                          <w:rFonts w:ascii="Times New Roman" w:hAnsi="Times New Roman" w:cs="Times New Roman"/>
                          <w:szCs w:val="24"/>
                        </w:rPr>
                        <w:t xml:space="preserve">(PDM) </w:t>
                      </w:r>
                    </w:p>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(Y)</w:t>
                      </w:r>
                    </w:p>
                  </w:txbxContent>
                </v:textbox>
                <w10:wrap anchorx="margin"/>
              </v:rect>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5408" behindDoc="0" locked="0" layoutInCell="1" allowOverlap="1">
                <wp:simplePos x="0" y="0"/>
                <wp:positionH relativeFrom="column">
                  <wp:posOffset>2122170</wp:posOffset>
                </wp:positionH>
                <wp:positionV relativeFrom="paragraph">
                  <wp:posOffset>297180</wp:posOffset>
                </wp:positionV>
                <wp:extent cx="457200" cy="0"/>
                <wp:effectExtent l="0" t="0" r="0" b="0"/>
                <wp:wrapNone/>
                <wp:docPr id="137" name="Straight Connector 137"/>
                <wp:cNvGraphicFramePr/>
                <a:graphic xmlns:a="http://schemas.openxmlformats.org/drawingml/2006/main">
                  <a:graphicData uri="http://schemas.microsoft.com/office/word/2010/wordprocessingShape">
                    <wps:wsp>
                      <wps:cNvCnPr/>
                      <wps:spPr>
                        <a:xfrm flipV="1">
                          <a:off x="0" y="0"/>
                          <a:ext cx="457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1141D8" id="Straight Connector 137"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1pt,23.4pt" to="203.1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" strokecolor="windowText" strokeweight=".5pt">
                <v:stroke joinstyle="miter"/>
              </v:line>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6432" behindDoc="0" locked="0" layoutInCell="1" allowOverlap="1">
                <wp:simplePos x="0" y="0"/>
                <wp:positionH relativeFrom="column">
                  <wp:posOffset>2588895</wp:posOffset>
                </wp:positionH>
                <wp:positionV relativeFrom="paragraph">
                  <wp:posOffset>297180</wp:posOffset>
                </wp:positionV>
                <wp:extent cx="0" cy="2667000"/>
                <wp:effectExtent l="0" t="0" r="38100" b="19050"/>
                <wp:wrapNone/>
                <wp:docPr id="9" name="Straight Connector 9"/>
                <wp:cNvGraphicFramePr/>
                <a:graphic xmlns:a="http://schemas.openxmlformats.org/drawingml/2006/main">
                  <a:graphicData uri="http://schemas.microsoft.com/office/word/2010/wordprocessingShape">
                    <wps:wsp>
                      <wps:cNvCnPr/>
                      <wps:spPr>
                        <a:xfrm>
                          <a:off x="0" y="0"/>
                          <a:ext cx="0" cy="26670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D67613" id="Straight Connector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85pt,23.4pt" to="203.85pt,2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" strokecolor="windowText" strokeweight=".5pt">
                <v:stroke joinstyle="miter"/>
              </v:line>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8480" behindDoc="0" locked="0" layoutInCell="1" allowOverlap="1">
                <wp:simplePos x="0" y="0"/>
                <wp:positionH relativeFrom="column">
                  <wp:posOffset>2112645</wp:posOffset>
                </wp:positionH>
                <wp:positionV relativeFrom="paragraph">
                  <wp:posOffset>381635</wp:posOffset>
                </wp:positionV>
                <wp:extent cx="1019175" cy="981075"/>
                <wp:effectExtent l="0" t="0" r="47625" b="47625"/>
                <wp:wrapNone/>
                <wp:docPr id="17" name="Straight Arrow Connector 17"/>
                <wp:cNvGraphicFramePr/>
                <a:graphic xmlns:a="http://schemas.openxmlformats.org/drawingml/2006/main">
                  <a:graphicData uri="http://schemas.microsoft.com/office/word/2010/wordprocessingShape">
                    <wps:wsp>
                      <wps:cNvCnPr/>
                      <wps:spPr>
                        <a:xfrm>
                          <a:off x="0" y="0"/>
                          <a:ext cx="1019175" cy="981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C23C40" id="_x0000_t32" coordsize="21600,21600" o:spt="32" o:oned="t" path="m,l21600,21600e" filled="f">
                <v:path arrowok="t" fillok="f" o:connecttype="none"/>
                <o:lock v:ext="edit" shapetype="t"/>
              </v:shapetype>
              <v:shape id="Straight Arrow Connector 17" o:spid="_x0000_s1026" type="#_x0000_t32" style="position:absolute;margin-left:166.35pt;margin-top:30.05pt;width:80.25pt;height:7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" strokecolor="windowText" strokeweight=".5pt">
                <v:stroke endarrow="block" joinstyle="miter"/>
              </v:shape>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69504" behindDoc="0" locked="0" layoutInCell="1" allowOverlap="1">
                <wp:simplePos x="0" y="0"/>
                <wp:positionH relativeFrom="column">
                  <wp:posOffset>2112645</wp:posOffset>
                </wp:positionH>
                <wp:positionV relativeFrom="paragraph">
                  <wp:posOffset>993140</wp:posOffset>
                </wp:positionV>
                <wp:extent cx="1009650" cy="428625"/>
                <wp:effectExtent l="0" t="0" r="76200" b="66675"/>
                <wp:wrapNone/>
                <wp:docPr id="18" name="Straight Arrow Connector 18"/>
                <wp:cNvGraphicFramePr/>
                <a:graphic xmlns:a="http://schemas.openxmlformats.org/drawingml/2006/main">
                  <a:graphicData uri="http://schemas.microsoft.com/office/word/2010/wordprocessingShape">
                    <wps:wsp>
                      <wps:cNvCnPr/>
                      <wps:spPr>
                        <a:xfrm>
                          <a:off x="0" y="0"/>
                          <a:ext cx="1009650" cy="4286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AF68AB" id="Straight Arrow Connector 18" o:spid="_x0000_s1026" type="#_x0000_t32" style="position:absolute;margin-left:166.35pt;margin-top:78.2pt;width:79.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" strokecolor="windowText" strokeweight=".5pt">
                <v:stroke endarrow="block" joinstyle="miter"/>
              </v:shape>
            </w:pict>
          </mc:Fallback>
        </mc:AlternateContent>
      </w:r>
      <w:r w:rsidRPr="00904879">
        <w:rPr>
          <w:rFonts w:ascii="Cambria" w:eastAsia="Calibri" w:hAnsi="Cambria" w:cs="Arial"/>
          <w:noProof/>
          <w:sz w:val="22"/>
          <w:szCs w:val="22"/>
        </w:rPr>
        <mc:AlternateContent>
          <mc:Choice Requires="wps">
            <w:drawing>
              <wp:anchor distT="0" distB="0" distL="114300" distR="114300" simplePos="0" relativeHeight="251673600" behindDoc="0" locked="0" layoutInCell="1" allowOverlap="1">
                <wp:simplePos x="0" y="0"/>
                <wp:positionH relativeFrom="column">
                  <wp:posOffset>2122170</wp:posOffset>
                </wp:positionH>
                <wp:positionV relativeFrom="paragraph">
                  <wp:posOffset>951230</wp:posOffset>
                </wp:positionV>
                <wp:extent cx="457200" cy="9525"/>
                <wp:effectExtent l="0" t="0" r="19050" b="28575"/>
                <wp:wrapNone/>
                <wp:docPr id="28" name="Straight Connector 28"/>
                <wp:cNvGraphicFramePr/>
                <a:graphic xmlns:a="http://schemas.openxmlformats.org/drawingml/2006/main">
                  <a:graphicData uri="http://schemas.microsoft.com/office/word/2010/wordprocessingShape">
                    <wps:wsp>
                      <wps:cNvCnPr/>
                      <wps:spPr>
                        <a:xfrm>
                          <a:off x="0" y="0"/>
                          <a:ext cx="4572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FBAD4D" id="Straight Connector 2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1pt,74.9pt" to="203.1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" strokecolor="windowText" strokeweight=".5pt">
                <v:stroke joinstyle="miter"/>
              </v:line>
            </w:pict>
          </mc:Fallback>
        </mc:AlternateContent>
      </w:r>
    </w:p>
    <w:p w:rsidR="00C47ECA" w:rsidRPr="00904879" w:rsidRDefault="00C47ECA" w:rsidP="00C47ECA">
      <w:pPr>
        <w:spacing w:line="480" w:lineRule="auto"/>
        <w:ind w:left="0" w:hanging="2"/>
        <w:jc w:val="center"/>
        <w:rPr>
          <w:rFonts w:ascii="Cambria" w:eastAsia="Times New Roman" w:hAnsi="Cambria" w:cs="Times New Roman"/>
          <w:noProof/>
          <w:color w:val="000000"/>
          <w:szCs w:val="24"/>
          <w:lang w:eastAsia="id-ID"/>
        </w:rPr>
      </w:pPr>
    </w:p>
    <w:p w:rsidR="00C47ECA" w:rsidRPr="00904879" w:rsidRDefault="00C47ECA" w:rsidP="00C47ECA">
      <w:pPr>
        <w:spacing w:line="480" w:lineRule="auto"/>
        <w:ind w:left="0" w:hanging="2"/>
        <w:jc w:val="center"/>
        <w:rPr>
          <w:rFonts w:ascii="Cambria" w:eastAsia="Times New Roman" w:hAnsi="Cambria" w:cs="Times New Roman"/>
          <w:b/>
          <w:bCs/>
          <w:color w:val="000000"/>
          <w:szCs w:val="24"/>
        </w:rPr>
      </w:pPr>
    </w:p>
    <w:p w:rsidR="00C47ECA" w:rsidRPr="00904879" w:rsidRDefault="00C47ECA" w:rsidP="00C47ECA">
      <w:pPr>
        <w:ind w:left="0" w:hanging="2"/>
        <w:rPr>
          <w:rFonts w:ascii="Cambria" w:eastAsia="Calibri" w:hAnsi="Cambria" w:cs="Arial"/>
          <w:color w:val="000000"/>
          <w:sz w:val="22"/>
          <w:szCs w:val="22"/>
        </w:rPr>
      </w:pPr>
    </w:p>
    <w:p w:rsidR="00C47ECA" w:rsidRPr="00904879" w:rsidRDefault="00C47ECA" w:rsidP="00C47ECA">
      <w:pPr>
        <w:tabs>
          <w:tab w:val="left" w:pos="3030"/>
        </w:tabs>
        <w:ind w:left="0" w:hanging="2"/>
        <w:rPr>
          <w:rFonts w:ascii="Cambria" w:hAnsi="Cambria"/>
          <w:color w:val="000000"/>
        </w:rPr>
      </w:pPr>
      <w:r w:rsidRPr="00904879">
        <w:rPr>
          <w:rFonts w:ascii="Cambria" w:hAnsi="Cambria"/>
          <w:noProof/>
        </w:rPr>
        <mc:AlternateContent>
          <mc:Choice Requires="wps">
            <w:drawing>
              <wp:anchor distT="0" distB="0" distL="114300" distR="114300" simplePos="0" relativeHeight="251676672" behindDoc="0" locked="0" layoutInCell="1" allowOverlap="1">
                <wp:simplePos x="0" y="0"/>
                <wp:positionH relativeFrom="column">
                  <wp:posOffset>2598420</wp:posOffset>
                </wp:positionH>
                <wp:positionV relativeFrom="paragraph">
                  <wp:posOffset>231140</wp:posOffset>
                </wp:positionV>
                <wp:extent cx="533400" cy="9525"/>
                <wp:effectExtent l="0" t="76200" r="19050" b="85725"/>
                <wp:wrapNone/>
                <wp:docPr id="19" name="Straight Arrow Connector 19"/>
                <wp:cNvGraphicFramePr/>
                <a:graphic xmlns:a="http://schemas.openxmlformats.org/drawingml/2006/main">
                  <a:graphicData uri="http://schemas.microsoft.com/office/word/2010/wordprocessingShape">
                    <wps:wsp>
                      <wps:cNvCnPr/>
                      <wps:spPr>
                        <a:xfrm flipV="1">
                          <a:off x="0" y="0"/>
                          <a:ext cx="533400" cy="95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0C8E9AF" id="Straight Arrow Connector 19" o:spid="_x0000_s1026" type="#_x0000_t32" style="position:absolute;margin-left:204.6pt;margin-top:18.2pt;width:42pt;height:.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" strokecolor="windowText" strokeweight="1pt">
                <v:stroke endarrow="block" joinstyle="miter"/>
              </v:shape>
            </w:pict>
          </mc:Fallback>
        </mc:AlternateContent>
      </w:r>
      <w:r w:rsidRPr="00904879">
        <w:rPr>
          <w:rFonts w:ascii="Cambria" w:hAnsi="Cambria"/>
          <w:noProof/>
        </w:rPr>
        <mc:AlternateContent>
          <mc:Choice Requires="wps">
            <w:drawing>
              <wp:anchor distT="0" distB="0" distL="114300" distR="114300" simplePos="0" relativeHeight="251672576" behindDoc="0" locked="0" layoutInCell="1" allowOverlap="1">
                <wp:simplePos x="0" y="0"/>
                <wp:positionH relativeFrom="column">
                  <wp:posOffset>2122170</wp:posOffset>
                </wp:positionH>
                <wp:positionV relativeFrom="paragraph">
                  <wp:posOffset>121920</wp:posOffset>
                </wp:positionV>
                <wp:extent cx="1009650" cy="0"/>
                <wp:effectExtent l="0" t="76200" r="19050" b="95250"/>
                <wp:wrapNone/>
                <wp:docPr id="26" name="Straight Arrow Connector 26"/>
                <wp:cNvGraphicFramePr/>
                <a:graphic xmlns:a="http://schemas.openxmlformats.org/drawingml/2006/main">
                  <a:graphicData uri="http://schemas.microsoft.com/office/word/2010/wordprocessingShape">
                    <wps:wsp>
                      <wps:cNvCnPr/>
                      <wps:spPr>
                        <a:xfrm>
                          <a:off x="0" y="0"/>
                          <a:ext cx="10096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AAA791D" id="Straight Arrow Connector 26" o:spid="_x0000_s1026" type="#_x0000_t32" style="position:absolute;margin-left:167.1pt;margin-top:9.6pt;width:79.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" strokecolor="windowText" strokeweight=".5pt">
                <v:stroke endarrow="block" joinstyle="miter"/>
              </v:shape>
            </w:pict>
          </mc:Fallback>
        </mc:AlternateContent>
      </w:r>
      <w:r w:rsidRPr="00904879">
        <w:rPr>
          <w:rFonts w:ascii="Cambria" w:hAnsi="Cambria"/>
          <w:noProof/>
        </w:rPr>
        <mc:AlternateContent>
          <mc:Choice Requires="wps">
            <w:drawing>
              <wp:anchor distT="0" distB="0" distL="114300" distR="114300" simplePos="0" relativeHeight="251661312" behindDoc="0" locked="0" layoutInCell="1" allowOverlap="1">
                <wp:simplePos x="0" y="0"/>
                <wp:positionH relativeFrom="column">
                  <wp:posOffset>495935</wp:posOffset>
                </wp:positionH>
                <wp:positionV relativeFrom="paragraph">
                  <wp:posOffset>8890</wp:posOffset>
                </wp:positionV>
                <wp:extent cx="1617345" cy="481330"/>
                <wp:effectExtent l="0" t="0" r="20955" b="139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345" cy="48133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FDR (X</w:t>
                            </w:r>
                            <w:r w:rsidRPr="00451723">
                              <w:rPr>
                                <w:rFonts w:ascii="Times New Roman" w:hAnsi="Times New Roman" w:cs="Times New Roman"/>
                                <w:szCs w:val="24"/>
                                <w:vertAlign w:val="subscript"/>
                              </w:rPr>
                              <w:t>3</w:t>
                            </w:r>
                            <w:r w:rsidRPr="00451723">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left:0;text-align:left;margin-left:39.05pt;margin-top:.7pt;width:127.35pt;height:3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" fillcolor="window" strokecolor="windowText" strokeweight="1pt">
                <v:path arrowok="t"/>
                <v:textbox>
                  <w:txbxContent>
                    <w:p w:rsidR="00C47ECA" w:rsidRPr="00451723" w:rsidRDefault="00C47ECA" w:rsidP="00C47ECA">
                      <w:pPr>
                        <w:ind w:left="0" w:hanging="2"/>
                        <w:jc w:val="center"/>
                        <w:rPr>
                          <w:rFonts w:ascii="Times New Roman" w:hAnsi="Times New Roman" w:cs="Times New Roman"/>
                          <w:szCs w:val="24"/>
                        </w:rPr>
                      </w:pPr>
                      <w:r w:rsidRPr="00451723">
                        <w:rPr>
                          <w:rFonts w:ascii="Times New Roman" w:hAnsi="Times New Roman" w:cs="Times New Roman"/>
                          <w:szCs w:val="24"/>
                        </w:rPr>
                        <w:t>FDR (X</w:t>
                      </w:r>
                      <w:r w:rsidRPr="00451723">
                        <w:rPr>
                          <w:rFonts w:ascii="Times New Roman" w:hAnsi="Times New Roman" w:cs="Times New Roman"/>
                          <w:szCs w:val="24"/>
                          <w:vertAlign w:val="subscript"/>
                        </w:rPr>
                        <w:t>3</w:t>
                      </w:r>
                      <w:r w:rsidRPr="00451723">
                        <w:rPr>
                          <w:rFonts w:ascii="Times New Roman" w:hAnsi="Times New Roman" w:cs="Times New Roman"/>
                          <w:szCs w:val="24"/>
                        </w:rPr>
                        <w:t>)</w:t>
                      </w:r>
                    </w:p>
                  </w:txbxContent>
                </v:textbox>
              </v:rect>
            </w:pict>
          </mc:Fallback>
        </mc:AlternateContent>
      </w:r>
      <w:r w:rsidRPr="00904879">
        <w:rPr>
          <w:rFonts w:ascii="Cambria" w:hAnsi="Cambria"/>
          <w:color w:val="000000"/>
        </w:rPr>
        <w:tab/>
      </w:r>
    </w:p>
    <w:p w:rsidR="00C47ECA" w:rsidRPr="00904879" w:rsidRDefault="00C47ECA" w:rsidP="00C47ECA">
      <w:pPr>
        <w:tabs>
          <w:tab w:val="left" w:pos="5100"/>
        </w:tabs>
        <w:ind w:left="0" w:hanging="2"/>
        <w:rPr>
          <w:rFonts w:ascii="Cambria" w:hAnsi="Cambria"/>
          <w:color w:val="000000"/>
        </w:rPr>
      </w:pPr>
      <w:r w:rsidRPr="00904879">
        <w:rPr>
          <w:rFonts w:ascii="Cambria" w:hAnsi="Cambria"/>
          <w:noProof/>
        </w:rPr>
        <mc:AlternateContent>
          <mc:Choice Requires="wps">
            <w:drawing>
              <wp:anchor distT="0" distB="0" distL="114300" distR="114300" simplePos="0" relativeHeight="251671552" behindDoc="0" locked="0" layoutInCell="1" allowOverlap="1">
                <wp:simplePos x="0" y="0"/>
                <wp:positionH relativeFrom="column">
                  <wp:posOffset>2112645</wp:posOffset>
                </wp:positionH>
                <wp:positionV relativeFrom="paragraph">
                  <wp:posOffset>113030</wp:posOffset>
                </wp:positionV>
                <wp:extent cx="1000125" cy="1123950"/>
                <wp:effectExtent l="0" t="38100" r="47625" b="19050"/>
                <wp:wrapNone/>
                <wp:docPr id="25" name="Straight Arrow Connector 25"/>
                <wp:cNvGraphicFramePr/>
                <a:graphic xmlns:a="http://schemas.openxmlformats.org/drawingml/2006/main">
                  <a:graphicData uri="http://schemas.microsoft.com/office/word/2010/wordprocessingShape">
                    <wps:wsp>
                      <wps:cNvCnPr/>
                      <wps:spPr>
                        <a:xfrm flipV="1">
                          <a:off x="0" y="0"/>
                          <a:ext cx="1000125" cy="1123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1A7CC1" id="Straight Arrow Connector 25" o:spid="_x0000_s1026" type="#_x0000_t32" style="position:absolute;margin-left:166.35pt;margin-top:8.9pt;width:78.75pt;height:88.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" strokecolor="windowText" strokeweight=".5pt">
                <v:stroke endarrow="block" joinstyle="miter"/>
              </v:shape>
            </w:pict>
          </mc:Fallback>
        </mc:AlternateContent>
      </w:r>
      <w:r w:rsidRPr="00904879">
        <w:rPr>
          <w:rFonts w:ascii="Cambria" w:hAnsi="Cambria"/>
          <w:noProof/>
        </w:rPr>
        <mc:AlternateContent>
          <mc:Choice Requires="wps">
            <w:drawing>
              <wp:anchor distT="0" distB="0" distL="114300" distR="114300" simplePos="0" relativeHeight="251670528" behindDoc="0" locked="0" layoutInCell="1" allowOverlap="1">
                <wp:simplePos x="0" y="0"/>
                <wp:positionH relativeFrom="column">
                  <wp:posOffset>2122170</wp:posOffset>
                </wp:positionH>
                <wp:positionV relativeFrom="paragraph">
                  <wp:posOffset>27305</wp:posOffset>
                </wp:positionV>
                <wp:extent cx="1009650" cy="504825"/>
                <wp:effectExtent l="0" t="38100" r="57150" b="28575"/>
                <wp:wrapNone/>
                <wp:docPr id="24" name="Straight Arrow Connector 24"/>
                <wp:cNvGraphicFramePr/>
                <a:graphic xmlns:a="http://schemas.openxmlformats.org/drawingml/2006/main">
                  <a:graphicData uri="http://schemas.microsoft.com/office/word/2010/wordprocessingShape">
                    <wps:wsp>
                      <wps:cNvCnPr/>
                      <wps:spPr>
                        <a:xfrm flipV="1">
                          <a:off x="0" y="0"/>
                          <a:ext cx="1009650" cy="5048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04827D" id="Straight Arrow Connector 24" o:spid="_x0000_s1026" type="#_x0000_t32" style="position:absolute;margin-left:167.1pt;margin-top:2.15pt;width:79.5pt;height:39.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" strokecolor="windowText" strokeweight=".5pt">
                <v:stroke endarrow="block" joinstyle="miter"/>
              </v:shape>
            </w:pict>
          </mc:Fallback>
        </mc:AlternateContent>
      </w:r>
      <w:r w:rsidRPr="00904879">
        <w:rPr>
          <w:rFonts w:ascii="Cambria" w:hAnsi="Cambria"/>
          <w:noProof/>
        </w:rPr>
        <mc:AlternateContent>
          <mc:Choice Requires="wps">
            <w:drawing>
              <wp:anchor distT="0" distB="0" distL="114300" distR="114300" simplePos="0" relativeHeight="251674624" behindDoc="0" locked="0" layoutInCell="1" allowOverlap="1">
                <wp:simplePos x="0" y="0"/>
                <wp:positionH relativeFrom="column">
                  <wp:posOffset>2112645</wp:posOffset>
                </wp:positionH>
                <wp:positionV relativeFrom="paragraph">
                  <wp:posOffset>65405</wp:posOffset>
                </wp:positionV>
                <wp:extent cx="476250" cy="0"/>
                <wp:effectExtent l="0" t="0" r="0" b="0"/>
                <wp:wrapNone/>
                <wp:docPr id="29" name="Straight Connector 29"/>
                <wp:cNvGraphicFramePr/>
                <a:graphic xmlns:a="http://schemas.openxmlformats.org/drawingml/2006/main">
                  <a:graphicData uri="http://schemas.microsoft.com/office/word/2010/wordprocessingShape">
                    <wps:wsp>
                      <wps:cNvCnPr/>
                      <wps:spPr>
                        <a:xfrm flipV="1">
                          <a:off x="0" y="0"/>
                          <a:ext cx="476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729B60" id="Straight Connector 29"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35pt,5.15pt" to="203.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" strokecolor="windowText" strokeweight=".5pt">
                <v:stroke joinstyle="miter"/>
              </v:line>
            </w:pict>
          </mc:Fallback>
        </mc:AlternateContent>
      </w:r>
      <w:r w:rsidRPr="00904879">
        <w:rPr>
          <w:rFonts w:ascii="Cambria" w:hAnsi="Cambria"/>
          <w:color w:val="000000"/>
        </w:rPr>
        <w:tab/>
      </w:r>
    </w:p>
    <w:p w:rsidR="00C47ECA" w:rsidRPr="00904879" w:rsidRDefault="00C47ECA" w:rsidP="00C47ECA">
      <w:pPr>
        <w:ind w:left="0" w:hanging="2"/>
        <w:rPr>
          <w:rFonts w:ascii="Cambria" w:hAnsi="Cambria"/>
          <w:color w:val="000000"/>
        </w:rPr>
      </w:pPr>
      <w:r w:rsidRPr="00904879">
        <w:rPr>
          <w:rFonts w:ascii="Cambria" w:hAnsi="Cambria"/>
          <w:noProof/>
        </w:rPr>
        <mc:AlternateContent>
          <mc:Choice Requires="wps">
            <w:drawing>
              <wp:anchor distT="0" distB="0" distL="114300" distR="114300" simplePos="0" relativeHeight="251662336" behindDoc="0" locked="0" layoutInCell="1" allowOverlap="1">
                <wp:simplePos x="0" y="0"/>
                <wp:positionH relativeFrom="column">
                  <wp:posOffset>495935</wp:posOffset>
                </wp:positionH>
                <wp:positionV relativeFrom="paragraph">
                  <wp:posOffset>76200</wp:posOffset>
                </wp:positionV>
                <wp:extent cx="1617345" cy="452120"/>
                <wp:effectExtent l="0" t="0" r="20955" b="241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345" cy="4521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Default="00C47ECA" w:rsidP="00C47ECA">
                            <w:pPr>
                              <w:ind w:left="0" w:hanging="2"/>
                              <w:jc w:val="center"/>
                              <w:rPr>
                                <w:rFonts w:ascii="Times New Roman" w:hAnsi="Times New Roman" w:cs="Times New Roman"/>
                                <w:szCs w:val="24"/>
                              </w:rPr>
                            </w:pPr>
                            <w:r>
                              <w:rPr>
                                <w:rFonts w:ascii="Times New Roman" w:hAnsi="Times New Roman" w:cs="Times New Roman"/>
                                <w:szCs w:val="24"/>
                              </w:rPr>
                              <w:t>NPF (X</w:t>
                            </w:r>
                            <w:r>
                              <w:rPr>
                                <w:rFonts w:ascii="Times New Roman" w:hAnsi="Times New Roman" w:cs="Times New Roman"/>
                                <w:szCs w:val="24"/>
                                <w:vertAlign w:val="subscript"/>
                              </w:rPr>
                              <w:t>4</w:t>
                            </w:r>
                            <w:r>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left:0;text-align:left;margin-left:39.05pt;margin-top:6pt;width:127.35pt;height:3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" fillcolor="window" strokecolor="windowText" strokeweight="1pt">
                <v:path arrowok="t"/>
                <v:textbox>
                  <w:txbxContent>
                    <w:p w:rsidR="00C47ECA" w:rsidRDefault="00C47ECA" w:rsidP="00C47ECA">
                      <w:pPr>
                        <w:ind w:left="0" w:hanging="2"/>
                        <w:jc w:val="center"/>
                        <w:rPr>
                          <w:rFonts w:ascii="Times New Roman" w:hAnsi="Times New Roman" w:cs="Times New Roman"/>
                          <w:szCs w:val="24"/>
                        </w:rPr>
                      </w:pPr>
                      <w:r>
                        <w:rPr>
                          <w:rFonts w:ascii="Times New Roman" w:hAnsi="Times New Roman" w:cs="Times New Roman"/>
                          <w:szCs w:val="24"/>
                        </w:rPr>
                        <w:t>NPF (X</w:t>
                      </w:r>
                      <w:r>
                        <w:rPr>
                          <w:rFonts w:ascii="Times New Roman" w:hAnsi="Times New Roman" w:cs="Times New Roman"/>
                          <w:szCs w:val="24"/>
                          <w:vertAlign w:val="subscript"/>
                        </w:rPr>
                        <w:t>4</w:t>
                      </w:r>
                      <w:r>
                        <w:rPr>
                          <w:rFonts w:ascii="Times New Roman" w:hAnsi="Times New Roman" w:cs="Times New Roman"/>
                          <w:szCs w:val="24"/>
                        </w:rPr>
                        <w:t>)</w:t>
                      </w:r>
                    </w:p>
                  </w:txbxContent>
                </v:textbox>
              </v:rect>
            </w:pict>
          </mc:Fallback>
        </mc:AlternateContent>
      </w:r>
    </w:p>
    <w:p w:rsidR="00C47ECA" w:rsidRPr="00904879" w:rsidRDefault="00C47ECA" w:rsidP="00C47ECA">
      <w:pPr>
        <w:tabs>
          <w:tab w:val="left" w:pos="1695"/>
        </w:tabs>
        <w:ind w:left="0" w:hanging="2"/>
        <w:rPr>
          <w:rFonts w:ascii="Cambria" w:hAnsi="Cambria"/>
          <w:color w:val="000000"/>
        </w:rPr>
      </w:pPr>
      <w:r w:rsidRPr="00904879">
        <w:rPr>
          <w:rFonts w:ascii="Cambria" w:hAnsi="Cambria"/>
          <w:noProof/>
        </w:rPr>
        <mc:AlternateContent>
          <mc:Choice Requires="wps">
            <w:drawing>
              <wp:anchor distT="0" distB="0" distL="114300" distR="114300" simplePos="0" relativeHeight="251675648" behindDoc="0" locked="0" layoutInCell="1" allowOverlap="1">
                <wp:simplePos x="0" y="0"/>
                <wp:positionH relativeFrom="page">
                  <wp:posOffset>3560445</wp:posOffset>
                </wp:positionH>
                <wp:positionV relativeFrom="paragraph">
                  <wp:posOffset>8255</wp:posOffset>
                </wp:positionV>
                <wp:extent cx="466725" cy="9525"/>
                <wp:effectExtent l="0" t="0" r="28575" b="28575"/>
                <wp:wrapNone/>
                <wp:docPr id="33" name="Straight Connector 33"/>
                <wp:cNvGraphicFramePr/>
                <a:graphic xmlns:a="http://schemas.openxmlformats.org/drawingml/2006/main">
                  <a:graphicData uri="http://schemas.microsoft.com/office/word/2010/wordprocessingShape">
                    <wps:wsp>
                      <wps:cNvCnPr/>
                      <wps:spPr>
                        <a:xfrm flipV="1">
                          <a:off x="0" y="0"/>
                          <a:ext cx="46672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0B0A7" id="Straight Connector 33" o:spid="_x0000_s1026" style="position:absolute;flip:y;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80.35pt,.65pt" to="317.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" strokecolor="windowText" strokeweight=".5pt">
                <v:stroke joinstyle="miter"/>
                <w10:wrap anchorx="page"/>
              </v:line>
            </w:pict>
          </mc:Fallback>
        </mc:AlternateContent>
      </w:r>
      <w:r w:rsidRPr="00904879">
        <w:rPr>
          <w:rFonts w:ascii="Cambria" w:hAnsi="Cambria"/>
          <w:color w:val="000000"/>
        </w:rPr>
        <w:tab/>
      </w:r>
    </w:p>
    <w:p w:rsidR="00C47ECA" w:rsidRPr="00904879" w:rsidRDefault="00C47ECA" w:rsidP="00C47ECA">
      <w:pPr>
        <w:ind w:left="0" w:hanging="2"/>
        <w:rPr>
          <w:rFonts w:ascii="Cambria" w:hAnsi="Cambria"/>
          <w:color w:val="000000"/>
        </w:rPr>
      </w:pPr>
      <w:r w:rsidRPr="00904879">
        <w:rPr>
          <w:rFonts w:ascii="Cambria" w:hAnsi="Cambria"/>
          <w:noProof/>
        </w:rPr>
        <mc:AlternateContent>
          <mc:Choice Requires="wps">
            <w:drawing>
              <wp:anchor distT="0" distB="0" distL="114300" distR="114300" simplePos="0" relativeHeight="251663360" behindDoc="0" locked="0" layoutInCell="1" allowOverlap="1">
                <wp:simplePos x="0" y="0"/>
                <wp:positionH relativeFrom="column">
                  <wp:posOffset>485775</wp:posOffset>
                </wp:positionH>
                <wp:positionV relativeFrom="paragraph">
                  <wp:posOffset>118745</wp:posOffset>
                </wp:positionV>
                <wp:extent cx="1617345" cy="452120"/>
                <wp:effectExtent l="0" t="0" r="20955"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7345" cy="4521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C47ECA" w:rsidRDefault="00C47ECA" w:rsidP="00C47ECA">
                            <w:pPr>
                              <w:ind w:left="0" w:hanging="2"/>
                              <w:jc w:val="center"/>
                              <w:rPr>
                                <w:rFonts w:ascii="Times New Roman" w:hAnsi="Times New Roman" w:cs="Times New Roman"/>
                                <w:szCs w:val="24"/>
                              </w:rPr>
                            </w:pPr>
                            <w:r>
                              <w:rPr>
                                <w:rFonts w:ascii="Times New Roman" w:hAnsi="Times New Roman" w:cs="Times New Roman"/>
                                <w:szCs w:val="24"/>
                              </w:rPr>
                              <w:t>BOPO (X</w:t>
                            </w:r>
                            <w:r>
                              <w:rPr>
                                <w:rFonts w:ascii="Times New Roman" w:hAnsi="Times New Roman" w:cs="Times New Roman"/>
                                <w:szCs w:val="24"/>
                                <w:vertAlign w:val="subscript"/>
                                <w:lang w:val="en-US"/>
                              </w:rPr>
                              <w:t>5</w:t>
                            </w:r>
                            <w:r>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1" style="position:absolute;left:0;text-align:left;margin-left:38.25pt;margin-top:9.35pt;width:127.35pt;height:3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" fillcolor="window" strokecolor="windowText" strokeweight="1pt">
                <v:path arrowok="t"/>
                <v:textbox>
                  <w:txbxContent>
                    <w:p w:rsidR="00C47ECA" w:rsidRDefault="00C47ECA" w:rsidP="00C47ECA">
                      <w:pPr>
                        <w:ind w:left="0" w:hanging="2"/>
                        <w:jc w:val="center"/>
                        <w:rPr>
                          <w:rFonts w:ascii="Times New Roman" w:hAnsi="Times New Roman" w:cs="Times New Roman"/>
                          <w:szCs w:val="24"/>
                        </w:rPr>
                      </w:pPr>
                      <w:r>
                        <w:rPr>
                          <w:rFonts w:ascii="Times New Roman" w:hAnsi="Times New Roman" w:cs="Times New Roman"/>
                          <w:szCs w:val="24"/>
                        </w:rPr>
                        <w:t>BOPO (X</w:t>
                      </w:r>
                      <w:r>
                        <w:rPr>
                          <w:rFonts w:ascii="Times New Roman" w:hAnsi="Times New Roman" w:cs="Times New Roman"/>
                          <w:szCs w:val="24"/>
                          <w:vertAlign w:val="subscript"/>
                          <w:lang w:val="en-US"/>
                        </w:rPr>
                        <w:t>5</w:t>
                      </w:r>
                      <w:r>
                        <w:rPr>
                          <w:rFonts w:ascii="Times New Roman" w:hAnsi="Times New Roman" w:cs="Times New Roman"/>
                          <w:szCs w:val="24"/>
                        </w:rPr>
                        <w:t>)</w:t>
                      </w:r>
                    </w:p>
                  </w:txbxContent>
                </v:textbox>
              </v:rect>
            </w:pict>
          </mc:Fallback>
        </mc:AlternateContent>
      </w:r>
      <w:r w:rsidRPr="00904879">
        <w:rPr>
          <w:rFonts w:ascii="Cambria" w:hAnsi="Cambria"/>
          <w:noProof/>
        </w:rPr>
        <mc:AlternateContent>
          <mc:Choice Requires="wps">
            <w:drawing>
              <wp:anchor distT="0" distB="0" distL="114300" distR="114300" simplePos="0" relativeHeight="251667456" behindDoc="0" locked="0" layoutInCell="1" allowOverlap="1">
                <wp:simplePos x="0" y="0"/>
                <wp:positionH relativeFrom="page">
                  <wp:posOffset>3543300</wp:posOffset>
                </wp:positionH>
                <wp:positionV relativeFrom="paragraph">
                  <wp:posOffset>494665</wp:posOffset>
                </wp:positionV>
                <wp:extent cx="47625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476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377301" id="Straight Connector 16"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79pt,38.95pt" to="316.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" strokecolor="windowText" strokeweight=".5pt">
                <v:stroke joinstyle="miter"/>
                <w10:wrap anchorx="page"/>
              </v:line>
            </w:pict>
          </mc:Fallback>
        </mc:AlternateContent>
      </w:r>
    </w:p>
    <w:p w:rsidR="00C47ECA" w:rsidRPr="00FA3E0F" w:rsidRDefault="00C47ECA" w:rsidP="00FC7888">
      <w:pPr>
        <w:pBdr>
          <w:top w:val="nil"/>
          <w:left w:val="nil"/>
          <w:bottom w:val="nil"/>
          <w:right w:val="nil"/>
          <w:between w:val="nil"/>
        </w:pBdr>
        <w:spacing w:before="100" w:after="100" w:line="276" w:lineRule="auto"/>
        <w:ind w:leftChars="0" w:left="0" w:firstLineChars="0" w:firstLine="0"/>
        <w:rPr>
          <w:rFonts w:ascii="Cambria" w:eastAsia="Cambria" w:hAnsi="Cambria" w:cs="Cambria"/>
          <w:color w:val="000000"/>
          <w:szCs w:val="24"/>
        </w:rPr>
      </w:pPr>
    </w:p>
    <w:p w:rsidR="00C47ECA" w:rsidRPr="00904879" w:rsidRDefault="00C47ECA" w:rsidP="00C47ECA">
      <w:pPr>
        <w:pBdr>
          <w:top w:val="nil"/>
          <w:left w:val="nil"/>
          <w:bottom w:val="nil"/>
          <w:right w:val="nil"/>
          <w:between w:val="nil"/>
        </w:pBdr>
        <w:spacing w:before="100" w:after="100" w:line="276" w:lineRule="auto"/>
        <w:ind w:left="0" w:hanging="2"/>
        <w:rPr>
          <w:rFonts w:ascii="Cambria" w:eastAsia="Cambria" w:hAnsi="Cambria" w:cs="Cambria"/>
          <w:b/>
          <w:color w:val="000000"/>
          <w:szCs w:val="24"/>
          <w:lang w:val="en-US"/>
        </w:rPr>
      </w:pPr>
      <w:r w:rsidRPr="00FA3E0F">
        <w:rPr>
          <w:rFonts w:ascii="Cambria" w:eastAsia="Cambria" w:hAnsi="Cambria" w:cs="Cambria"/>
          <w:b/>
          <w:color w:val="000000"/>
          <w:szCs w:val="24"/>
        </w:rPr>
        <w:t>ME</w:t>
      </w:r>
      <w:r>
        <w:rPr>
          <w:rFonts w:ascii="Cambria" w:eastAsia="Cambria" w:hAnsi="Cambria" w:cs="Cambria"/>
          <w:b/>
          <w:color w:val="000000"/>
          <w:szCs w:val="24"/>
          <w:lang w:val="en-US"/>
        </w:rPr>
        <w:t>THOD</w:t>
      </w:r>
    </w:p>
    <w:p w:rsidR="00C47ECA" w:rsidRPr="00904879" w:rsidRDefault="00C47ECA" w:rsidP="00C47ECA">
      <w:pPr>
        <w:spacing w:line="276" w:lineRule="auto"/>
        <w:ind w:left="0" w:hanging="2"/>
        <w:rPr>
          <w:rFonts w:ascii="Cambria" w:hAnsi="Cambria"/>
          <w:szCs w:val="24"/>
          <w:lang w:val="en"/>
        </w:rPr>
      </w:pPr>
      <w:r w:rsidRPr="00904879">
        <w:rPr>
          <w:rFonts w:ascii="Cambria" w:hAnsi="Cambria"/>
          <w:szCs w:val="24"/>
          <w:lang w:val="en"/>
        </w:rPr>
        <w:lastRenderedPageBreak/>
        <w:t>This research uses a  quantitative type approach. Based on the background described, this study aims to determine the relationship of a variable with another variable or how a variable affects another variable, called explanatory research</w:t>
      </w:r>
      <w:r w:rsidRPr="00904879">
        <w:rPr>
          <w:rFonts w:ascii="Cambria" w:hAnsi="Cambria"/>
          <w:i/>
          <w:iCs/>
          <w:szCs w:val="24"/>
          <w:lang w:val="en"/>
        </w:rPr>
        <w:fldChar w:fldCharType="begin" w:fldLock="1"/>
      </w:r>
      <w:r w:rsidRPr="00904879">
        <w:rPr>
          <w:rFonts w:ascii="Cambria" w:hAnsi="Cambria"/>
          <w:i/>
          <w:iCs/>
          <w:szCs w:val="24"/>
          <w:lang w:val="en"/>
        </w:rPr>
        <w:instrText>ADDIN CSL_CITATION {"citationItems":[{"id":"ITEM-1","itemData":{"author":[{"dropping-particle":"","family":"Hartono","given":"Jugiyanto","non-dropping-particle":"","parse-names":false,"suffix":""}],"id":"ITEM-1","issued":{"date-parts":[["2018"]]},"publisher":"CV Andi Offset","publisher-place":"Yogyakarta","title":"Strategi Penelitian Bisnis","type":"book"},"uris":["http://www.mendeley.com/documents/?uuid=e23caa42-5459-40aa-b472-35f10d2d011a"]}],"mendeley":{"formattedCitation":"(Hartono, 2018)","plainTextFormattedCitation":"(Hartono, 2018)","previouslyFormattedCitation":"(Hartono, 2018)"},"properties":{"noteIndex":0},"schema":"https://github.com/citation-style-language/schema/raw/master/csl-citation.json"}</w:instrText>
      </w:r>
      <w:r w:rsidRPr="00904879">
        <w:rPr>
          <w:rFonts w:ascii="Cambria" w:hAnsi="Cambria"/>
          <w:i/>
          <w:iCs/>
          <w:szCs w:val="24"/>
          <w:lang w:val="en"/>
        </w:rPr>
        <w:fldChar w:fldCharType="separate"/>
      </w:r>
      <w:r w:rsidRPr="00904879">
        <w:rPr>
          <w:rFonts w:ascii="Cambria" w:hAnsi="Cambria"/>
          <w:iCs/>
          <w:noProof/>
          <w:szCs w:val="24"/>
          <w:lang w:val="en"/>
        </w:rPr>
        <w:t xml:space="preserve"> (Hartono, 2018)</w:t>
      </w:r>
      <w:r w:rsidRPr="00904879">
        <w:rPr>
          <w:rFonts w:ascii="Cambria" w:hAnsi="Cambria"/>
          <w:i/>
          <w:iCs/>
          <w:szCs w:val="24"/>
          <w:lang w:val="en"/>
        </w:rPr>
        <w:fldChar w:fldCharType="end"/>
      </w:r>
      <w:r w:rsidRPr="00904879">
        <w:rPr>
          <w:rFonts w:ascii="Cambria" w:hAnsi="Cambria"/>
          <w:szCs w:val="24"/>
          <w:lang w:val="en"/>
        </w:rPr>
        <w:t>.</w:t>
      </w:r>
      <w:r w:rsidRPr="00904879">
        <w:rPr>
          <w:rFonts w:ascii="Cambria" w:hAnsi="Cambria"/>
          <w:lang w:val="en"/>
        </w:rPr>
        <w:t xml:space="preserve"> </w:t>
      </w:r>
      <w:r w:rsidRPr="00904879">
        <w:rPr>
          <w:rFonts w:ascii="Cambria" w:hAnsi="Cambria"/>
          <w:szCs w:val="24"/>
          <w:lang w:val="en"/>
        </w:rPr>
        <w:t xml:space="preserve"> The data used in this study is time series data. The data used in the study is secondary data obtained from Bank Muamalat Indonesia's quarterly financial statements, published from 2014 to 2021. The independent variables in this study are part of the bank's financial performance indicators consisting of Capital Adequacy Ratio (CAR), Return On Asset (ROA), Financing Deposit Ratio (FDR), Non-Performing Financing ( NPF), an Operating Income Operating Cost (BOPO). Meanwhile, Profit Distribution Management (PDM), a dependent variable in this study, describes the level of implementation of bank obligations in distributing or allocating profits from business results to the customer as the owner of the capital in each agreed-upon manner perioe. The statistical test method used is multiple regression analysis.</w:t>
      </w:r>
    </w:p>
    <w:p w:rsidR="00C47ECA" w:rsidRPr="00904879" w:rsidRDefault="00C47ECA" w:rsidP="00C47ECA">
      <w:pPr>
        <w:pBdr>
          <w:top w:val="nil"/>
          <w:left w:val="nil"/>
          <w:bottom w:val="nil"/>
          <w:right w:val="nil"/>
          <w:between w:val="nil"/>
        </w:pBdr>
        <w:spacing w:line="276" w:lineRule="auto"/>
        <w:ind w:left="0" w:hanging="2"/>
        <w:rPr>
          <w:rFonts w:ascii="Cambria" w:eastAsia="Cambria" w:hAnsi="Cambria" w:cs="Cambria"/>
          <w:color w:val="000000"/>
          <w:szCs w:val="24"/>
          <w:lang w:val="en"/>
        </w:rPr>
      </w:pPr>
    </w:p>
    <w:p w:rsidR="00C47ECA" w:rsidRPr="00904879" w:rsidRDefault="00C47ECA" w:rsidP="00C47ECA">
      <w:pPr>
        <w:spacing w:line="276" w:lineRule="auto"/>
        <w:ind w:left="0" w:hanging="2"/>
        <w:rPr>
          <w:rFonts w:ascii="Cambria" w:hAnsi="Cambria"/>
          <w:b/>
          <w:bCs/>
          <w:szCs w:val="24"/>
          <w:lang w:val="en-US"/>
        </w:rPr>
      </w:pPr>
      <w:r w:rsidRPr="00904879">
        <w:rPr>
          <w:rFonts w:ascii="Cambria" w:hAnsi="Cambria"/>
          <w:b/>
          <w:bCs/>
          <w:szCs w:val="24"/>
          <w:lang w:val="en"/>
        </w:rPr>
        <w:t xml:space="preserve">RESULT AND DISCUSSION </w:t>
      </w:r>
    </w:p>
    <w:p w:rsidR="00C47ECA" w:rsidRPr="00904879" w:rsidRDefault="00C47ECA" w:rsidP="00C47ECA">
      <w:pPr>
        <w:spacing w:line="276" w:lineRule="auto"/>
        <w:ind w:left="0" w:hanging="2"/>
        <w:contextualSpacing/>
        <w:rPr>
          <w:rFonts w:ascii="Cambria" w:hAnsi="Cambria"/>
          <w:color w:val="000000"/>
          <w:szCs w:val="24"/>
          <w:lang w:val="en-US"/>
        </w:rPr>
      </w:pPr>
      <w:r w:rsidRPr="00904879">
        <w:rPr>
          <w:rFonts w:ascii="Cambria" w:hAnsi="Cambria"/>
          <w:szCs w:val="24"/>
          <w:lang w:val="en"/>
        </w:rPr>
        <w:t>Based on  the financial performance ratio data  that has been processed to find out the description of the data,  the results of the statistical test  are shown in the  table as follows:</w:t>
      </w:r>
    </w:p>
    <w:p w:rsidR="00C47ECA" w:rsidRPr="00904879" w:rsidRDefault="00C47ECA" w:rsidP="00C47ECA">
      <w:pPr>
        <w:spacing w:line="276" w:lineRule="auto"/>
        <w:ind w:left="0" w:hanging="2"/>
        <w:contextualSpacing/>
        <w:jc w:val="center"/>
        <w:rPr>
          <w:rFonts w:ascii="Cambria" w:hAnsi="Cambria"/>
          <w:color w:val="000000"/>
          <w:szCs w:val="24"/>
          <w:lang w:val="en-US"/>
        </w:rPr>
      </w:pPr>
      <w:r w:rsidRPr="00904879">
        <w:rPr>
          <w:rFonts w:ascii="Cambria" w:hAnsi="Cambria"/>
          <w:color w:val="000000"/>
          <w:szCs w:val="24"/>
          <w:lang w:val="en"/>
        </w:rPr>
        <w:t>Table 1. Descriptive Statistics</w:t>
      </w:r>
    </w:p>
    <w:tbl>
      <w:tblPr>
        <w:tblW w:w="5000" w:type="pct"/>
        <w:tblBorders>
          <w:top w:val="single" w:sz="4" w:space="0" w:color="auto"/>
          <w:bottom w:val="single" w:sz="4" w:space="0" w:color="auto"/>
        </w:tblBorders>
        <w:tblLook w:val="04A0" w:firstRow="1" w:lastRow="0" w:firstColumn="1" w:lastColumn="0" w:noHBand="0" w:noVBand="1"/>
      </w:tblPr>
      <w:tblGrid>
        <w:gridCol w:w="1572"/>
        <w:gridCol w:w="1061"/>
        <w:gridCol w:w="1061"/>
        <w:gridCol w:w="1194"/>
        <w:gridCol w:w="1061"/>
        <w:gridCol w:w="1061"/>
        <w:gridCol w:w="928"/>
      </w:tblGrid>
      <w:tr w:rsidR="00C47ECA" w:rsidRPr="00FF47EF" w:rsidTr="00D473EC">
        <w:trPr>
          <w:trHeight w:val="20"/>
        </w:trPr>
        <w:tc>
          <w:tcPr>
            <w:tcW w:w="1104" w:type="pct"/>
            <w:shd w:val="clear" w:color="auto" w:fill="auto"/>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p>
        </w:tc>
        <w:tc>
          <w:tcPr>
            <w:tcW w:w="547"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CAR</w:t>
            </w:r>
          </w:p>
        </w:tc>
        <w:tc>
          <w:tcPr>
            <w:tcW w:w="780"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ROA</w:t>
            </w:r>
          </w:p>
        </w:tc>
        <w:tc>
          <w:tcPr>
            <w:tcW w:w="719"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FDR</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NPF</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BOPO</w:t>
            </w:r>
          </w:p>
        </w:tc>
        <w:tc>
          <w:tcPr>
            <w:tcW w:w="565"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PDM</w:t>
            </w:r>
          </w:p>
        </w:tc>
      </w:tr>
      <w:tr w:rsidR="00C47ECA" w:rsidRPr="00FF47EF" w:rsidTr="00D473EC">
        <w:trPr>
          <w:trHeight w:val="20"/>
        </w:trPr>
        <w:tc>
          <w:tcPr>
            <w:tcW w:w="1104"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Minimum</w:t>
            </w:r>
          </w:p>
        </w:tc>
        <w:tc>
          <w:tcPr>
            <w:tcW w:w="547"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10.16</w:t>
            </w:r>
          </w:p>
        </w:tc>
        <w:tc>
          <w:tcPr>
            <w:tcW w:w="780"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0.10</w:t>
            </w:r>
          </w:p>
        </w:tc>
        <w:tc>
          <w:tcPr>
            <w:tcW w:w="719"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38.33</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0.08</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85.55</w:t>
            </w:r>
          </w:p>
        </w:tc>
        <w:tc>
          <w:tcPr>
            <w:tcW w:w="565"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0.18</w:t>
            </w:r>
          </w:p>
        </w:tc>
      </w:tr>
      <w:tr w:rsidR="00C47ECA" w:rsidRPr="00FF47EF" w:rsidTr="00D473EC">
        <w:trPr>
          <w:trHeight w:val="20"/>
        </w:trPr>
        <w:tc>
          <w:tcPr>
            <w:tcW w:w="1104"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Maximum</w:t>
            </w:r>
          </w:p>
        </w:tc>
        <w:tc>
          <w:tcPr>
            <w:tcW w:w="547"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23.76</w:t>
            </w:r>
          </w:p>
        </w:tc>
        <w:tc>
          <w:tcPr>
            <w:tcW w:w="780"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23.76</w:t>
            </w:r>
          </w:p>
        </w:tc>
        <w:tc>
          <w:tcPr>
            <w:tcW w:w="719"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105.40</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4.98</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99.50</w:t>
            </w:r>
          </w:p>
        </w:tc>
        <w:tc>
          <w:tcPr>
            <w:tcW w:w="565"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0.91</w:t>
            </w:r>
          </w:p>
        </w:tc>
      </w:tr>
      <w:tr w:rsidR="00C47ECA" w:rsidRPr="00FF47EF" w:rsidTr="00D473EC">
        <w:trPr>
          <w:trHeight w:val="20"/>
        </w:trPr>
        <w:tc>
          <w:tcPr>
            <w:tcW w:w="1104"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Mean</w:t>
            </w:r>
          </w:p>
        </w:tc>
        <w:tc>
          <w:tcPr>
            <w:tcW w:w="547"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13.9062</w:t>
            </w:r>
          </w:p>
        </w:tc>
        <w:tc>
          <w:tcPr>
            <w:tcW w:w="780"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10.3388</w:t>
            </w:r>
          </w:p>
        </w:tc>
        <w:tc>
          <w:tcPr>
            <w:tcW w:w="719"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82.3550</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3.5153</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97.0344</w:t>
            </w:r>
          </w:p>
        </w:tc>
        <w:tc>
          <w:tcPr>
            <w:tcW w:w="565"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0.4531</w:t>
            </w:r>
          </w:p>
        </w:tc>
      </w:tr>
      <w:tr w:rsidR="00C47ECA" w:rsidRPr="00FF47EF" w:rsidTr="00D473EC">
        <w:trPr>
          <w:trHeight w:val="20"/>
        </w:trPr>
        <w:tc>
          <w:tcPr>
            <w:tcW w:w="1104"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Std. Deviation</w:t>
            </w:r>
          </w:p>
        </w:tc>
        <w:tc>
          <w:tcPr>
            <w:tcW w:w="547"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2.42568</w:t>
            </w:r>
          </w:p>
        </w:tc>
        <w:tc>
          <w:tcPr>
            <w:tcW w:w="780"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lang w:val="en-US"/>
              </w:rPr>
            </w:pPr>
            <w:r w:rsidRPr="00FF47EF">
              <w:rPr>
                <w:rFonts w:ascii="Cambria" w:eastAsia="Calibri" w:hAnsi="Cambria"/>
                <w:color w:val="000000"/>
                <w:szCs w:val="24"/>
                <w:lang w:val="en"/>
              </w:rPr>
              <w:t>6.16492</w:t>
            </w:r>
          </w:p>
        </w:tc>
        <w:tc>
          <w:tcPr>
            <w:tcW w:w="719"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14.67263</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1.27057</w:t>
            </w:r>
          </w:p>
        </w:tc>
        <w:tc>
          <w:tcPr>
            <w:tcW w:w="642"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3.07264</w:t>
            </w:r>
          </w:p>
        </w:tc>
        <w:tc>
          <w:tcPr>
            <w:tcW w:w="565" w:type="pct"/>
            <w:shd w:val="clear" w:color="auto" w:fill="auto"/>
            <w:hideMark/>
          </w:tcPr>
          <w:p w:rsidR="00C47ECA" w:rsidRPr="00FF47EF" w:rsidRDefault="00C47ECA" w:rsidP="00D473EC">
            <w:pPr>
              <w:widowControl w:val="0"/>
              <w:autoSpaceDE w:val="0"/>
              <w:autoSpaceDN w:val="0"/>
              <w:spacing w:line="276" w:lineRule="auto"/>
              <w:ind w:left="0" w:hanging="2"/>
              <w:rPr>
                <w:rFonts w:ascii="Cambria" w:eastAsia="Calibri" w:hAnsi="Cambria"/>
                <w:color w:val="000000"/>
                <w:szCs w:val="24"/>
              </w:rPr>
            </w:pPr>
            <w:r w:rsidRPr="00FF47EF">
              <w:rPr>
                <w:rFonts w:ascii="Cambria" w:eastAsia="Calibri" w:hAnsi="Cambria"/>
                <w:color w:val="000000"/>
                <w:szCs w:val="24"/>
                <w:lang w:val="en"/>
              </w:rPr>
              <w:t>0.1930</w:t>
            </w:r>
          </w:p>
        </w:tc>
      </w:tr>
    </w:tbl>
    <w:p w:rsidR="00C47ECA" w:rsidRPr="00904879" w:rsidRDefault="00C47ECA" w:rsidP="00C47ECA">
      <w:pPr>
        <w:spacing w:line="276" w:lineRule="auto"/>
        <w:ind w:left="0" w:hanging="2"/>
        <w:contextualSpacing/>
        <w:rPr>
          <w:rFonts w:ascii="Cambria" w:hAnsi="Cambria"/>
          <w:szCs w:val="24"/>
          <w:lang w:val="en"/>
        </w:rPr>
      </w:pPr>
    </w:p>
    <w:p w:rsidR="00C47ECA" w:rsidRPr="00904879" w:rsidRDefault="00C47ECA" w:rsidP="00C47ECA">
      <w:pPr>
        <w:spacing w:line="276" w:lineRule="auto"/>
        <w:ind w:left="0" w:hanging="2"/>
        <w:contextualSpacing/>
        <w:rPr>
          <w:rFonts w:ascii="Cambria" w:hAnsi="Cambria"/>
          <w:szCs w:val="24"/>
          <w:lang w:val="en-US"/>
        </w:rPr>
      </w:pPr>
      <w:r w:rsidRPr="00904879">
        <w:rPr>
          <w:rFonts w:ascii="Cambria" w:hAnsi="Cambria"/>
          <w:szCs w:val="24"/>
          <w:lang w:val="en"/>
        </w:rPr>
        <w:t>Based on table 1, there are variables CAR, ROA, FDR, NPF, BOPO, and PDM. It is known that the standard deviation value does not exceed the mean value. It means that it shows that the variable data of  CAR, ROA, FDR, NPF, BOPO, and PDM are evenly distributed and have a normal distribution.</w:t>
      </w:r>
    </w:p>
    <w:p w:rsidR="00C47ECA" w:rsidRPr="00904879" w:rsidRDefault="00C47ECA" w:rsidP="00C47ECA">
      <w:pPr>
        <w:spacing w:line="276" w:lineRule="auto"/>
        <w:ind w:left="0" w:hanging="2"/>
        <w:contextualSpacing/>
        <w:jc w:val="center"/>
        <w:rPr>
          <w:rFonts w:ascii="Cambria" w:hAnsi="Cambria"/>
          <w:szCs w:val="24"/>
          <w:lang w:val="en-US"/>
        </w:rPr>
      </w:pPr>
      <w:r w:rsidRPr="00904879">
        <w:rPr>
          <w:rFonts w:ascii="Cambria" w:hAnsi="Cambria"/>
          <w:szCs w:val="24"/>
          <w:lang w:val="en"/>
        </w:rPr>
        <w:t>Table 2. Data Normality Kolmogorov-Smirnov Test</w:t>
      </w:r>
    </w:p>
    <w:tbl>
      <w:tblPr>
        <w:tblW w:w="6108" w:type="dxa"/>
        <w:tblInd w:w="1170" w:type="dxa"/>
        <w:tblBorders>
          <w:top w:val="single" w:sz="4" w:space="0" w:color="auto"/>
          <w:bottom w:val="single" w:sz="4" w:space="0" w:color="auto"/>
        </w:tblBorders>
        <w:tblLook w:val="04A0" w:firstRow="1" w:lastRow="0" w:firstColumn="1" w:lastColumn="0" w:noHBand="0" w:noVBand="1"/>
      </w:tblPr>
      <w:tblGrid>
        <w:gridCol w:w="3033"/>
        <w:gridCol w:w="3075"/>
      </w:tblGrid>
      <w:tr w:rsidR="00C47ECA" w:rsidRPr="00FF47EF" w:rsidTr="00D473EC">
        <w:trPr>
          <w:trHeight w:val="300"/>
        </w:trPr>
        <w:tc>
          <w:tcPr>
            <w:tcW w:w="3033" w:type="dxa"/>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b/>
                <w:bCs/>
                <w:color w:val="000000"/>
                <w:szCs w:val="24"/>
              </w:rPr>
            </w:pPr>
            <w:r w:rsidRPr="00FF47EF">
              <w:rPr>
                <w:rFonts w:ascii="Cambria" w:eastAsia="Calibri" w:hAnsi="Cambria"/>
                <w:b/>
                <w:bCs/>
                <w:color w:val="000000"/>
                <w:szCs w:val="24"/>
              </w:rPr>
              <w:t xml:space="preserve">                             </w:t>
            </w:r>
          </w:p>
        </w:tc>
        <w:tc>
          <w:tcPr>
            <w:tcW w:w="3075" w:type="dxa"/>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b/>
                <w:bCs/>
                <w:color w:val="000000"/>
                <w:szCs w:val="24"/>
              </w:rPr>
            </w:pPr>
            <w:r w:rsidRPr="00FF47EF">
              <w:rPr>
                <w:rFonts w:ascii="Cambria" w:eastAsia="Calibri" w:hAnsi="Cambria"/>
                <w:color w:val="000000"/>
                <w:szCs w:val="24"/>
                <w:lang w:val="en"/>
              </w:rPr>
              <w:t>Unstandardized Residual</w:t>
            </w:r>
          </w:p>
        </w:tc>
      </w:tr>
      <w:tr w:rsidR="00C47ECA" w:rsidRPr="00FF47EF" w:rsidTr="00D473EC">
        <w:trPr>
          <w:trHeight w:val="300"/>
        </w:trPr>
        <w:tc>
          <w:tcPr>
            <w:tcW w:w="3033" w:type="dxa"/>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b/>
                <w:bCs/>
                <w:color w:val="000000"/>
                <w:szCs w:val="24"/>
              </w:rPr>
            </w:pPr>
            <w:r w:rsidRPr="00FF47EF">
              <w:rPr>
                <w:rFonts w:ascii="Cambria" w:eastAsia="Calibri" w:hAnsi="Cambria"/>
                <w:color w:val="000000"/>
                <w:szCs w:val="24"/>
                <w:lang w:val="en"/>
              </w:rPr>
              <w:t>Asymp. Sig. (2-tailed)</w:t>
            </w:r>
          </w:p>
        </w:tc>
        <w:tc>
          <w:tcPr>
            <w:tcW w:w="3075" w:type="dxa"/>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b/>
                <w:bCs/>
                <w:color w:val="000000"/>
                <w:szCs w:val="24"/>
              </w:rPr>
            </w:pPr>
            <w:r w:rsidRPr="00FF47EF">
              <w:rPr>
                <w:rFonts w:ascii="Cambria" w:eastAsia="Calibri" w:hAnsi="Cambria"/>
                <w:color w:val="000000"/>
                <w:szCs w:val="24"/>
                <w:lang w:val="en"/>
              </w:rPr>
              <w:t>.151</w:t>
            </w:r>
            <w:r w:rsidRPr="00FF47EF">
              <w:rPr>
                <w:rFonts w:ascii="Cambria" w:eastAsia="Calibri" w:hAnsi="Cambria"/>
                <w:color w:val="000000"/>
                <w:szCs w:val="24"/>
                <w:vertAlign w:val="superscript"/>
                <w:lang w:val="en"/>
              </w:rPr>
              <w:t>c</w:t>
            </w:r>
          </w:p>
        </w:tc>
      </w:tr>
    </w:tbl>
    <w:p w:rsidR="00C47ECA" w:rsidRPr="00904879" w:rsidRDefault="00C47ECA" w:rsidP="00C47ECA">
      <w:pPr>
        <w:spacing w:line="276" w:lineRule="auto"/>
        <w:ind w:left="0" w:hanging="2"/>
        <w:contextualSpacing/>
        <w:rPr>
          <w:rFonts w:ascii="Cambria" w:hAnsi="Cambria"/>
          <w:szCs w:val="24"/>
          <w:lang w:val="en"/>
        </w:rPr>
      </w:pPr>
    </w:p>
    <w:p w:rsidR="00C47ECA" w:rsidRPr="00904879" w:rsidRDefault="00C47ECA" w:rsidP="00C47ECA">
      <w:pPr>
        <w:spacing w:line="276" w:lineRule="auto"/>
        <w:ind w:left="0" w:hanging="2"/>
        <w:contextualSpacing/>
        <w:rPr>
          <w:rFonts w:ascii="Cambria" w:hAnsi="Cambria"/>
          <w:szCs w:val="24"/>
          <w:lang w:val="en"/>
        </w:rPr>
      </w:pPr>
      <w:r w:rsidRPr="00904879">
        <w:rPr>
          <w:rFonts w:ascii="Cambria" w:hAnsi="Cambria"/>
          <w:szCs w:val="24"/>
          <w:lang w:val="en"/>
        </w:rPr>
        <w:t>Table 2 of the Kolmogorov-Smirnov normality test determines the standard distributed criteria if the significance value is more than 0.05 and vice versa. The distributed data is abnormal if the significance value is less than 0.05</w:t>
      </w:r>
      <w:r w:rsidRPr="00904879">
        <w:rPr>
          <w:rFonts w:ascii="Cambria" w:hAnsi="Cambria"/>
          <w:szCs w:val="24"/>
          <w:lang w:val="en"/>
        </w:rPr>
        <w:fldChar w:fldCharType="begin" w:fldLock="1"/>
      </w:r>
      <w:r w:rsidRPr="00904879">
        <w:rPr>
          <w:rFonts w:ascii="Cambria" w:hAnsi="Cambria"/>
          <w:szCs w:val="24"/>
          <w:lang w:val="en"/>
        </w:rPr>
        <w:instrText>ADDIN CSL_CITATION {"citationItems":[{"id":"ITEM-1","itemData":{"author":[{"dropping-particle":"","family":"Arifin","given":"Johar","non-dropping-particle":"","parse-names":false,"suffix":""}],"id":"ITEM-1","issued":{"date-parts":[["2017"]]},"publisher":"PT Elex Media Komputindo","publisher-place":"Jakarta","title":"SPSS 24 untuk Penelitian dan Skripsi","type":"book"},"uris":["http://www.mendeley.com/documents/?uuid=fd83af94-cda5-41e3-bc39-047e35690dd1"]}],"mendeley":{"formattedCitation":"(Arifin, 2017)","plainTextFormattedCitation":"(Arifin, 2017)","previouslyFormattedCitation":"(Arifin, 2017)"},"properties":{"noteIndex":0},"schema":"https://github.com/citation-style-language/schema/raw/master/csl-citation.json"}</w:instrText>
      </w:r>
      <w:r w:rsidRPr="00904879">
        <w:rPr>
          <w:rFonts w:ascii="Cambria" w:hAnsi="Cambria"/>
          <w:szCs w:val="24"/>
          <w:lang w:val="en"/>
        </w:rPr>
        <w:fldChar w:fldCharType="separate"/>
      </w:r>
      <w:r w:rsidRPr="00904879">
        <w:rPr>
          <w:rFonts w:ascii="Cambria" w:hAnsi="Cambria"/>
          <w:noProof/>
          <w:szCs w:val="24"/>
          <w:lang w:val="en"/>
        </w:rPr>
        <w:t xml:space="preserve"> (Arifin, 2017)</w:t>
      </w:r>
      <w:r w:rsidRPr="00904879">
        <w:rPr>
          <w:rFonts w:ascii="Cambria" w:hAnsi="Cambria"/>
          <w:szCs w:val="24"/>
          <w:lang w:val="en"/>
        </w:rPr>
        <w:fldChar w:fldCharType="end"/>
      </w:r>
      <w:r w:rsidRPr="00904879">
        <w:rPr>
          <w:rFonts w:ascii="Cambria" w:hAnsi="Cambria"/>
          <w:szCs w:val="24"/>
          <w:lang w:val="en"/>
        </w:rPr>
        <w:t xml:space="preserve">. The table above shows a significance value of 0.151, which has </w:t>
      </w:r>
      <w:r w:rsidRPr="00904879">
        <w:rPr>
          <w:rFonts w:ascii="Cambria" w:hAnsi="Cambria"/>
          <w:szCs w:val="24"/>
          <w:lang w:val="en"/>
        </w:rPr>
        <w:lastRenderedPageBreak/>
        <w:t>exceeded 0.05, which means that the data is usually distributed. The assumption of normality in this study is met.</w:t>
      </w:r>
    </w:p>
    <w:p w:rsidR="00C47ECA" w:rsidRPr="00904879" w:rsidRDefault="00C47ECA" w:rsidP="00C47ECA">
      <w:pPr>
        <w:spacing w:line="276" w:lineRule="auto"/>
        <w:ind w:left="0" w:hanging="2"/>
        <w:contextualSpacing/>
        <w:rPr>
          <w:rFonts w:ascii="Cambria" w:hAnsi="Cambria"/>
          <w:szCs w:val="24"/>
          <w:lang w:val="en-US"/>
        </w:rPr>
      </w:pPr>
    </w:p>
    <w:p w:rsidR="00C47ECA" w:rsidRPr="00904879" w:rsidRDefault="00C47ECA" w:rsidP="00C47ECA">
      <w:pPr>
        <w:spacing w:line="276" w:lineRule="auto"/>
        <w:ind w:left="0" w:hanging="2"/>
        <w:contextualSpacing/>
        <w:jc w:val="center"/>
        <w:rPr>
          <w:rFonts w:ascii="Cambria" w:hAnsi="Cambria"/>
          <w:szCs w:val="24"/>
          <w:lang w:val="en-US"/>
        </w:rPr>
      </w:pPr>
      <w:r w:rsidRPr="00904879">
        <w:rPr>
          <w:rFonts w:ascii="Cambria" w:hAnsi="Cambria"/>
          <w:szCs w:val="24"/>
          <w:lang w:val="en"/>
        </w:rPr>
        <w:t>Table 3. Multiple Analysis Regression Test</w:t>
      </w:r>
    </w:p>
    <w:tbl>
      <w:tblPr>
        <w:tblW w:w="5208"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070"/>
      </w:tblGrid>
      <w:tr w:rsidR="00C47ECA" w:rsidRPr="00FF47EF" w:rsidTr="00D473EC">
        <w:trPr>
          <w:trHeight w:val="300"/>
        </w:trPr>
        <w:tc>
          <w:tcPr>
            <w:tcW w:w="5208" w:type="dxa"/>
            <w:gridSpan w:val="2"/>
            <w:tcBorders>
              <w:top w:val="single" w:sz="4" w:space="0" w:color="auto"/>
              <w:left w:val="nil"/>
              <w:bottom w:val="single" w:sz="4" w:space="0" w:color="auto"/>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b/>
                <w:bCs/>
                <w:color w:val="000000"/>
                <w:szCs w:val="24"/>
                <w:lang w:val="en"/>
              </w:rPr>
              <w:t>Coefficients</w:t>
            </w:r>
            <w:r w:rsidRPr="00FF47EF">
              <w:rPr>
                <w:rFonts w:ascii="Cambria" w:eastAsia="Calibri" w:hAnsi="Cambria"/>
                <w:b/>
                <w:bCs/>
                <w:color w:val="000000"/>
                <w:szCs w:val="24"/>
                <w:vertAlign w:val="superscript"/>
                <w:lang w:val="en"/>
              </w:rPr>
              <w:t>a</w:t>
            </w:r>
          </w:p>
        </w:tc>
      </w:tr>
      <w:tr w:rsidR="00C47ECA" w:rsidRPr="00FF47EF" w:rsidTr="00D473EC">
        <w:trPr>
          <w:trHeight w:val="252"/>
        </w:trPr>
        <w:tc>
          <w:tcPr>
            <w:tcW w:w="2138" w:type="dxa"/>
            <w:vMerge w:val="restart"/>
            <w:tcBorders>
              <w:top w:val="single" w:sz="4" w:space="0" w:color="auto"/>
              <w:left w:val="nil"/>
              <w:bottom w:val="nil"/>
              <w:right w:val="nil"/>
            </w:tcBorders>
            <w:shd w:val="clear" w:color="auto" w:fill="auto"/>
            <w:vAlign w:val="center"/>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Type</w:t>
            </w:r>
          </w:p>
        </w:tc>
        <w:tc>
          <w:tcPr>
            <w:tcW w:w="3070" w:type="dxa"/>
            <w:tcBorders>
              <w:top w:val="single" w:sz="4" w:space="0" w:color="auto"/>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Unstandardized Coefficients</w:t>
            </w:r>
          </w:p>
        </w:tc>
      </w:tr>
      <w:tr w:rsidR="00C47ECA" w:rsidRPr="00FF47EF" w:rsidTr="00D473EC">
        <w:trPr>
          <w:trHeight w:val="300"/>
        </w:trPr>
        <w:tc>
          <w:tcPr>
            <w:tcW w:w="0" w:type="auto"/>
            <w:vMerge/>
            <w:tcBorders>
              <w:top w:val="nil"/>
              <w:left w:val="nil"/>
              <w:bottom w:val="nil"/>
              <w:right w:val="nil"/>
            </w:tcBorders>
            <w:shd w:val="clear" w:color="auto" w:fill="auto"/>
            <w:vAlign w:val="center"/>
            <w:hideMark/>
          </w:tcPr>
          <w:p w:rsidR="00C47ECA" w:rsidRPr="00FF47EF" w:rsidRDefault="00C47ECA" w:rsidP="00D473EC">
            <w:pPr>
              <w:spacing w:line="276" w:lineRule="auto"/>
              <w:ind w:left="0" w:hanging="2"/>
              <w:rPr>
                <w:rFonts w:ascii="Cambria" w:eastAsia="Calibri" w:hAnsi="Cambria"/>
                <w:color w:val="000000"/>
                <w:szCs w:val="24"/>
              </w:rPr>
            </w:pP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B</w:t>
            </w:r>
          </w:p>
        </w:tc>
      </w:tr>
      <w:tr w:rsidR="00C47ECA" w:rsidRPr="00FF47EF" w:rsidTr="00D473EC">
        <w:trPr>
          <w:trHeight w:val="300"/>
        </w:trPr>
        <w:tc>
          <w:tcPr>
            <w:tcW w:w="2138"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(Constant)</w:t>
            </w: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 xml:space="preserve">   -1.010</w:t>
            </w:r>
          </w:p>
        </w:tc>
      </w:tr>
      <w:tr w:rsidR="00C47ECA" w:rsidRPr="00FF47EF" w:rsidTr="00D473EC">
        <w:trPr>
          <w:trHeight w:val="290"/>
        </w:trPr>
        <w:tc>
          <w:tcPr>
            <w:tcW w:w="2138"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CAR</w:t>
            </w: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.019</w:t>
            </w:r>
          </w:p>
        </w:tc>
      </w:tr>
      <w:tr w:rsidR="00C47ECA" w:rsidRPr="00FF47EF" w:rsidTr="00D473EC">
        <w:trPr>
          <w:trHeight w:val="299"/>
        </w:trPr>
        <w:tc>
          <w:tcPr>
            <w:tcW w:w="2138"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Roa</w:t>
            </w: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-.026</w:t>
            </w:r>
          </w:p>
        </w:tc>
      </w:tr>
      <w:tr w:rsidR="00C47ECA" w:rsidRPr="00FF47EF" w:rsidTr="00D473EC">
        <w:trPr>
          <w:trHeight w:val="309"/>
        </w:trPr>
        <w:tc>
          <w:tcPr>
            <w:tcW w:w="2138"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Fdr</w:t>
            </w: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.006</w:t>
            </w:r>
          </w:p>
        </w:tc>
      </w:tr>
      <w:tr w:rsidR="00C47ECA" w:rsidRPr="00FF47EF" w:rsidTr="00D473EC">
        <w:trPr>
          <w:trHeight w:val="320"/>
        </w:trPr>
        <w:tc>
          <w:tcPr>
            <w:tcW w:w="2138"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NPF</w:t>
            </w:r>
          </w:p>
        </w:tc>
        <w:tc>
          <w:tcPr>
            <w:tcW w:w="3070" w:type="dxa"/>
            <w:tcBorders>
              <w:top w:val="nil"/>
              <w:left w:val="nil"/>
              <w:bottom w:val="nil"/>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-.027</w:t>
            </w:r>
          </w:p>
        </w:tc>
      </w:tr>
      <w:tr w:rsidR="00C47ECA" w:rsidRPr="00FF47EF" w:rsidTr="00D473EC">
        <w:trPr>
          <w:trHeight w:val="315"/>
        </w:trPr>
        <w:tc>
          <w:tcPr>
            <w:tcW w:w="2138" w:type="dxa"/>
            <w:tcBorders>
              <w:top w:val="nil"/>
              <w:left w:val="nil"/>
              <w:bottom w:val="single" w:sz="4" w:space="0" w:color="auto"/>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BOPO</w:t>
            </w:r>
          </w:p>
        </w:tc>
        <w:tc>
          <w:tcPr>
            <w:tcW w:w="3070" w:type="dxa"/>
            <w:tcBorders>
              <w:top w:val="nil"/>
              <w:left w:val="nil"/>
              <w:bottom w:val="single" w:sz="4" w:space="0" w:color="auto"/>
              <w:right w:val="nil"/>
            </w:tcBorders>
            <w:shd w:val="clear" w:color="auto" w:fill="auto"/>
            <w:hideMark/>
          </w:tcPr>
          <w:p w:rsidR="00C47ECA" w:rsidRPr="00FF47EF" w:rsidRDefault="00C47ECA" w:rsidP="00D473EC">
            <w:pPr>
              <w:widowControl w:val="0"/>
              <w:tabs>
                <w:tab w:val="left" w:pos="1276"/>
                <w:tab w:val="left" w:pos="1560"/>
              </w:tabs>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.011</w:t>
            </w:r>
          </w:p>
        </w:tc>
      </w:tr>
    </w:tbl>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Based on the results of</w:t>
      </w:r>
      <w:r w:rsidRPr="00904879">
        <w:rPr>
          <w:rFonts w:ascii="Cambria" w:hAnsi="Cambria"/>
          <w:lang w:val="en"/>
        </w:rPr>
        <w:t xml:space="preserve"> </w:t>
      </w:r>
      <w:r w:rsidRPr="00904879">
        <w:rPr>
          <w:rFonts w:ascii="Cambria" w:hAnsi="Cambria"/>
          <w:szCs w:val="24"/>
          <w:lang w:val="en"/>
        </w:rPr>
        <w:t>statistical tests  in table 3, the multiplelinear regression m odel in</w:t>
      </w:r>
      <w:r w:rsidRPr="00904879">
        <w:rPr>
          <w:rFonts w:ascii="Cambria" w:hAnsi="Cambria"/>
          <w:lang w:val="en"/>
        </w:rPr>
        <w:t xml:space="preserve"> this </w:t>
      </w:r>
      <w:r w:rsidRPr="00904879">
        <w:rPr>
          <w:rFonts w:ascii="Cambria" w:hAnsi="Cambria"/>
          <w:szCs w:val="24"/>
          <w:lang w:val="en"/>
        </w:rPr>
        <w:t>study is stated as follows:</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 xml:space="preserve">Y = -1.010 + 0.019 CAR -0.026 ROA + 0.006 FDR -0.027 NPF + 0.011 BOPO </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Information:</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Y= PDM</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a= Constants</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w:t>
      </w:r>
      <w:r w:rsidRPr="00904879">
        <w:rPr>
          <w:rFonts w:ascii="Cambria" w:hAnsi="Cambria"/>
          <w:szCs w:val="24"/>
          <w:vertAlign w:val="subscript"/>
          <w:lang w:val="en"/>
        </w:rPr>
        <w:t>1</w:t>
      </w:r>
      <w:r w:rsidRPr="00904879">
        <w:rPr>
          <w:rFonts w:ascii="Cambria" w:hAnsi="Cambria"/>
          <w:szCs w:val="24"/>
          <w:vertAlign w:val="subscript"/>
          <w:lang w:val="en"/>
        </w:rPr>
        <w:tab/>
      </w:r>
      <w:r w:rsidRPr="00904879">
        <w:rPr>
          <w:rFonts w:ascii="Cambria" w:hAnsi="Cambria"/>
          <w:szCs w:val="24"/>
          <w:lang w:val="en"/>
        </w:rPr>
        <w:t>= Regression coefficient (X</w:t>
      </w:r>
      <w:r w:rsidRPr="00904879">
        <w:rPr>
          <w:rFonts w:ascii="Cambria" w:hAnsi="Cambria"/>
          <w:szCs w:val="24"/>
          <w:vertAlign w:val="subscript"/>
          <w:lang w:val="en"/>
        </w:rPr>
        <w:t>1</w:t>
      </w:r>
      <w:r w:rsidRPr="00904879">
        <w:rPr>
          <w:rFonts w:ascii="Cambria" w:hAnsi="Cambria"/>
          <w:szCs w:val="24"/>
          <w:lang w:val="en"/>
        </w:rPr>
        <w:t>)</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w:t>
      </w:r>
      <w:r w:rsidRPr="00904879">
        <w:rPr>
          <w:rFonts w:ascii="Cambria" w:hAnsi="Cambria"/>
          <w:szCs w:val="24"/>
          <w:vertAlign w:val="subscript"/>
          <w:lang w:val="en"/>
        </w:rPr>
        <w:t xml:space="preserve">3    </w:t>
      </w:r>
      <w:r w:rsidRPr="00904879">
        <w:rPr>
          <w:rFonts w:ascii="Cambria" w:hAnsi="Cambria"/>
          <w:szCs w:val="24"/>
          <w:lang w:val="en"/>
        </w:rPr>
        <w:t>= Regression coefficient (X</w:t>
      </w:r>
      <w:r w:rsidRPr="00904879">
        <w:rPr>
          <w:rFonts w:ascii="Cambria" w:hAnsi="Cambria"/>
          <w:szCs w:val="24"/>
          <w:vertAlign w:val="subscript"/>
          <w:lang w:val="en"/>
        </w:rPr>
        <w:t>3</w:t>
      </w:r>
      <w:r w:rsidRPr="00904879">
        <w:rPr>
          <w:rFonts w:ascii="Cambria" w:hAnsi="Cambria"/>
          <w:szCs w:val="24"/>
          <w:lang w:val="en"/>
        </w:rPr>
        <w:t>)</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w:t>
      </w:r>
      <w:r w:rsidRPr="00904879">
        <w:rPr>
          <w:rFonts w:ascii="Cambria" w:hAnsi="Cambria"/>
          <w:szCs w:val="24"/>
          <w:vertAlign w:val="subscript"/>
          <w:lang w:val="en"/>
        </w:rPr>
        <w:t>n</w:t>
      </w:r>
      <w:r w:rsidRPr="00904879">
        <w:rPr>
          <w:rFonts w:ascii="Cambria" w:hAnsi="Cambria"/>
          <w:szCs w:val="24"/>
          <w:vertAlign w:val="subscript"/>
          <w:lang w:val="en"/>
        </w:rPr>
        <w:tab/>
      </w:r>
      <w:r w:rsidRPr="00904879">
        <w:rPr>
          <w:rFonts w:ascii="Cambria" w:hAnsi="Cambria"/>
          <w:szCs w:val="24"/>
          <w:lang w:val="en"/>
        </w:rPr>
        <w:t>= Regression coefficient (X</w:t>
      </w:r>
      <w:r w:rsidRPr="00904879">
        <w:rPr>
          <w:rFonts w:ascii="Cambria" w:hAnsi="Cambria"/>
          <w:szCs w:val="24"/>
          <w:vertAlign w:val="subscript"/>
          <w:lang w:val="en"/>
        </w:rPr>
        <w:t>n)</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X</w:t>
      </w:r>
      <w:r w:rsidRPr="00904879">
        <w:rPr>
          <w:rFonts w:ascii="Cambria" w:hAnsi="Cambria"/>
          <w:szCs w:val="24"/>
          <w:vertAlign w:val="subscript"/>
          <w:lang w:val="en"/>
        </w:rPr>
        <w:t>1</w:t>
      </w:r>
      <w:r w:rsidRPr="00904879">
        <w:rPr>
          <w:rFonts w:ascii="Cambria" w:hAnsi="Cambria"/>
          <w:szCs w:val="24"/>
          <w:vertAlign w:val="subscript"/>
          <w:lang w:val="en"/>
        </w:rPr>
        <w:tab/>
      </w:r>
      <w:r w:rsidRPr="00904879">
        <w:rPr>
          <w:rFonts w:ascii="Cambria" w:hAnsi="Cambria"/>
          <w:szCs w:val="24"/>
          <w:lang w:val="en"/>
        </w:rPr>
        <w:t xml:space="preserve"> = CAR</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X</w:t>
      </w:r>
      <w:r w:rsidRPr="00904879">
        <w:rPr>
          <w:rFonts w:ascii="Cambria" w:hAnsi="Cambria"/>
          <w:szCs w:val="24"/>
          <w:vertAlign w:val="subscript"/>
          <w:lang w:val="en"/>
        </w:rPr>
        <w:t>2</w:t>
      </w:r>
      <w:r w:rsidRPr="00904879">
        <w:rPr>
          <w:rFonts w:ascii="Cambria" w:hAnsi="Cambria"/>
          <w:szCs w:val="24"/>
          <w:vertAlign w:val="subscript"/>
          <w:lang w:val="en"/>
        </w:rPr>
        <w:tab/>
      </w:r>
      <w:r w:rsidRPr="00904879">
        <w:rPr>
          <w:rFonts w:ascii="Cambria" w:hAnsi="Cambria"/>
          <w:szCs w:val="24"/>
          <w:lang w:val="en"/>
        </w:rPr>
        <w:t>= ROA</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X</w:t>
      </w:r>
      <w:r w:rsidRPr="00904879">
        <w:rPr>
          <w:rFonts w:ascii="Cambria" w:hAnsi="Cambria"/>
          <w:szCs w:val="24"/>
          <w:vertAlign w:val="subscript"/>
          <w:lang w:val="en"/>
        </w:rPr>
        <w:t xml:space="preserve">3 </w:t>
      </w:r>
      <w:r w:rsidRPr="00904879">
        <w:rPr>
          <w:rFonts w:ascii="Cambria" w:hAnsi="Cambria"/>
          <w:szCs w:val="24"/>
          <w:vertAlign w:val="subscript"/>
          <w:lang w:val="en"/>
        </w:rPr>
        <w:tab/>
      </w:r>
      <w:r w:rsidRPr="00904879">
        <w:rPr>
          <w:rFonts w:ascii="Cambria" w:hAnsi="Cambria"/>
          <w:szCs w:val="24"/>
          <w:lang w:val="en"/>
        </w:rPr>
        <w:t>= FDR</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X</w:t>
      </w:r>
      <w:r w:rsidRPr="00904879">
        <w:rPr>
          <w:rFonts w:ascii="Cambria" w:hAnsi="Cambria"/>
          <w:szCs w:val="24"/>
          <w:vertAlign w:val="subscript"/>
          <w:lang w:val="en"/>
        </w:rPr>
        <w:t>4</w:t>
      </w:r>
      <w:r w:rsidRPr="00904879">
        <w:rPr>
          <w:rFonts w:ascii="Cambria" w:hAnsi="Cambria"/>
          <w:szCs w:val="24"/>
          <w:vertAlign w:val="subscript"/>
          <w:lang w:val="en"/>
        </w:rPr>
        <w:tab/>
      </w:r>
      <w:r w:rsidRPr="00904879">
        <w:rPr>
          <w:rFonts w:ascii="Cambria" w:hAnsi="Cambria"/>
          <w:szCs w:val="24"/>
          <w:lang w:val="en"/>
        </w:rPr>
        <w:t>= NPF</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X</w:t>
      </w:r>
      <w:r w:rsidRPr="00904879">
        <w:rPr>
          <w:rFonts w:ascii="Cambria" w:hAnsi="Cambria"/>
          <w:szCs w:val="24"/>
          <w:vertAlign w:val="subscript"/>
          <w:lang w:val="en"/>
        </w:rPr>
        <w:t xml:space="preserve">5 </w:t>
      </w:r>
      <w:r w:rsidRPr="00904879">
        <w:rPr>
          <w:rFonts w:ascii="Cambria" w:hAnsi="Cambria"/>
          <w:szCs w:val="24"/>
          <w:vertAlign w:val="subscript"/>
          <w:lang w:val="en"/>
        </w:rPr>
        <w:tab/>
      </w:r>
      <w:r w:rsidRPr="00904879">
        <w:rPr>
          <w:rFonts w:ascii="Cambria" w:hAnsi="Cambria"/>
          <w:szCs w:val="24"/>
          <w:lang w:val="en"/>
        </w:rPr>
        <w:t>= BOPO</w:t>
      </w:r>
    </w:p>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Based on the regression results above, it can be explained as follows:</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The constant is -1,010, meaning that if all independent variables have a value of 0, then the magnitude of the value of the dependent variable, namely PDM, is -1,010.</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The regression coefficient in the CAR variable is 0.019, meaning that if the CAR value increases by 1%, the PDM value will increase by 0.019. The CAR coefficient's value shows a positive value, which means that there is a positive influence between CAR and PDM. So CAR has a positive effect on Profit Distribution Management.</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 xml:space="preserve">The regression coefficient in the ROA variable is -0.026, meaning that if the ROA value increases by 1%, the PDM value will decrease by 0.026. The value of the ROA coefficient shows a negative value, which means that </w:t>
      </w:r>
      <w:r w:rsidRPr="00904879">
        <w:rPr>
          <w:rFonts w:ascii="Cambria" w:hAnsi="Cambria"/>
          <w:szCs w:val="24"/>
          <w:lang w:val="en"/>
        </w:rPr>
        <w:lastRenderedPageBreak/>
        <w:t>there is a negative influence between ROA and PDM. So ROA negatively affects PDM.</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 xml:space="preserve">The regression coefficient in the FDR variable is 0.006, meaning that if the FDR value increases by 1% then the PDM value will increase by 0.006. In the value of the coefficient, FDR shows a positive value which means that there is a positive influence between FDR and PDM. So FDR has a positive effect on </w:t>
      </w:r>
      <w:r w:rsidRPr="00904879">
        <w:rPr>
          <w:rFonts w:ascii="Cambria" w:hAnsi="Cambria"/>
          <w:i/>
          <w:iCs/>
          <w:szCs w:val="24"/>
          <w:lang w:val="en"/>
        </w:rPr>
        <w:t>PDM</w:t>
      </w:r>
      <w:r w:rsidRPr="00904879">
        <w:rPr>
          <w:rFonts w:ascii="Cambria" w:hAnsi="Cambria"/>
          <w:szCs w:val="24"/>
          <w:lang w:val="en"/>
        </w:rPr>
        <w:t>.</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The regression coefficient in the NPF variable is -0.027, meaning that if the NPF value increases by 1%, then the PDM value will decrease by 0.027. The NPF coefficient's value shows a negative value, which means that there is a negative influence between NPF and PDM. So NPF negatively affects PDM.</w:t>
      </w:r>
    </w:p>
    <w:p w:rsidR="00C47ECA" w:rsidRPr="00904879" w:rsidRDefault="00C47ECA" w:rsidP="00C47ECA">
      <w:pPr>
        <w:numPr>
          <w:ilvl w:val="0"/>
          <w:numId w:val="7"/>
        </w:numPr>
        <w:suppressAutoHyphens w:val="0"/>
        <w:spacing w:line="276" w:lineRule="auto"/>
        <w:ind w:leftChars="0" w:firstLineChars="0"/>
        <w:contextualSpacing/>
        <w:textDirection w:val="lrTb"/>
        <w:textAlignment w:val="auto"/>
        <w:outlineLvl w:val="9"/>
        <w:rPr>
          <w:rFonts w:ascii="Cambria" w:hAnsi="Cambria"/>
          <w:szCs w:val="24"/>
          <w:lang w:val="en-US"/>
        </w:rPr>
      </w:pPr>
      <w:r w:rsidRPr="00904879">
        <w:rPr>
          <w:rFonts w:ascii="Cambria" w:hAnsi="Cambria"/>
          <w:szCs w:val="24"/>
          <w:lang w:val="en"/>
        </w:rPr>
        <w:t>The regression coefficient in the BOPO variable is 0.011, meaning that if the BOPO value increases by 1%, then the PDM value will increase by 0.011. The value of the BOPO coefficient shows a positive value, which means that there is a positive influence between BOPO and PDM. So, BOPO has a positive effect on PDM.</w:t>
      </w:r>
    </w:p>
    <w:p w:rsidR="00C47ECA" w:rsidRPr="00904879" w:rsidRDefault="00C47ECA" w:rsidP="00C47ECA">
      <w:pPr>
        <w:spacing w:line="276" w:lineRule="auto"/>
        <w:ind w:left="0" w:hanging="2"/>
        <w:contextualSpacing/>
        <w:rPr>
          <w:rFonts w:ascii="Cambria" w:hAnsi="Cambria"/>
          <w:szCs w:val="24"/>
          <w:lang w:val="en"/>
        </w:rPr>
      </w:pPr>
    </w:p>
    <w:p w:rsidR="00C47ECA" w:rsidRPr="00904879" w:rsidRDefault="00C47ECA" w:rsidP="00C47ECA">
      <w:pPr>
        <w:spacing w:line="276" w:lineRule="auto"/>
        <w:ind w:left="0" w:hanging="2"/>
        <w:contextualSpacing/>
        <w:rPr>
          <w:rFonts w:ascii="Cambria" w:hAnsi="Cambria"/>
          <w:szCs w:val="24"/>
          <w:lang w:val="en-US"/>
        </w:rPr>
      </w:pPr>
    </w:p>
    <w:p w:rsidR="00C47ECA" w:rsidRPr="00904879" w:rsidRDefault="00C47ECA" w:rsidP="00C47ECA">
      <w:pPr>
        <w:spacing w:line="276" w:lineRule="auto"/>
        <w:ind w:left="0" w:hanging="2"/>
        <w:contextualSpacing/>
        <w:jc w:val="center"/>
        <w:rPr>
          <w:rFonts w:ascii="Cambria" w:hAnsi="Cambria"/>
          <w:szCs w:val="24"/>
          <w:lang w:val="en-US"/>
        </w:rPr>
      </w:pPr>
      <w:r w:rsidRPr="00904879">
        <w:rPr>
          <w:rFonts w:ascii="Cambria" w:hAnsi="Cambria"/>
          <w:szCs w:val="24"/>
          <w:lang w:val="en"/>
        </w:rPr>
        <w:t>Table 4. Hypothesis Test (t-Test)</w:t>
      </w:r>
    </w:p>
    <w:tbl>
      <w:tblPr>
        <w:tblW w:w="6668"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698"/>
        <w:gridCol w:w="2268"/>
        <w:gridCol w:w="2126"/>
      </w:tblGrid>
      <w:tr w:rsidR="00C47ECA" w:rsidRPr="00FF47EF" w:rsidTr="00D473EC">
        <w:trPr>
          <w:trHeight w:val="262"/>
        </w:trPr>
        <w:tc>
          <w:tcPr>
            <w:tcW w:w="6668" w:type="dxa"/>
            <w:gridSpan w:val="4"/>
            <w:tcBorders>
              <w:top w:val="single" w:sz="4" w:space="0" w:color="auto"/>
              <w:left w:val="nil"/>
              <w:bottom w:val="single" w:sz="4" w:space="0" w:color="auto"/>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Coefficients</w:t>
            </w:r>
            <w:r w:rsidRPr="00FF47EF">
              <w:rPr>
                <w:rFonts w:ascii="Cambria" w:eastAsia="Calibri" w:hAnsi="Cambria"/>
                <w:color w:val="000000"/>
                <w:szCs w:val="24"/>
                <w:vertAlign w:val="superscript"/>
                <w:lang w:val="en"/>
              </w:rPr>
              <w:t>a</w:t>
            </w:r>
          </w:p>
        </w:tc>
      </w:tr>
      <w:tr w:rsidR="00C47ECA" w:rsidRPr="00FF47EF" w:rsidTr="00D473EC">
        <w:trPr>
          <w:trHeight w:val="262"/>
        </w:trPr>
        <w:tc>
          <w:tcPr>
            <w:tcW w:w="2274" w:type="dxa"/>
            <w:gridSpan w:val="2"/>
            <w:tcBorders>
              <w:top w:val="single" w:sz="4" w:space="0" w:color="auto"/>
              <w:left w:val="nil"/>
              <w:bottom w:val="single" w:sz="4" w:space="0" w:color="auto"/>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Type</w:t>
            </w:r>
          </w:p>
        </w:tc>
        <w:tc>
          <w:tcPr>
            <w:tcW w:w="2268" w:type="dxa"/>
            <w:tcBorders>
              <w:top w:val="single" w:sz="4" w:space="0" w:color="auto"/>
              <w:left w:val="nil"/>
              <w:bottom w:val="single" w:sz="4" w:space="0" w:color="auto"/>
              <w:right w:val="nil"/>
            </w:tcBorders>
            <w:shd w:val="clear" w:color="auto" w:fill="auto"/>
            <w:vAlign w:val="bottom"/>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t</w:t>
            </w:r>
          </w:p>
        </w:tc>
        <w:tc>
          <w:tcPr>
            <w:tcW w:w="2126" w:type="dxa"/>
            <w:tcBorders>
              <w:top w:val="single" w:sz="4" w:space="0" w:color="auto"/>
              <w:left w:val="nil"/>
              <w:bottom w:val="single" w:sz="4" w:space="0" w:color="auto"/>
              <w:right w:val="nil"/>
            </w:tcBorders>
            <w:shd w:val="clear" w:color="auto" w:fill="auto"/>
            <w:vAlign w:val="bottom"/>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Sig.</w:t>
            </w:r>
          </w:p>
        </w:tc>
      </w:tr>
      <w:tr w:rsidR="00C47ECA" w:rsidRPr="00FF47EF" w:rsidTr="00D473EC">
        <w:trPr>
          <w:trHeight w:val="262"/>
        </w:trPr>
        <w:tc>
          <w:tcPr>
            <w:tcW w:w="576" w:type="dxa"/>
            <w:tcBorders>
              <w:top w:val="single" w:sz="4" w:space="0" w:color="auto"/>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w:t>
            </w:r>
          </w:p>
        </w:tc>
        <w:tc>
          <w:tcPr>
            <w:tcW w:w="1698" w:type="dxa"/>
            <w:tcBorders>
              <w:top w:val="single" w:sz="4" w:space="0" w:color="auto"/>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(Constant)</w:t>
            </w:r>
          </w:p>
        </w:tc>
        <w:tc>
          <w:tcPr>
            <w:tcW w:w="2268" w:type="dxa"/>
            <w:tcBorders>
              <w:top w:val="single" w:sz="4" w:space="0" w:color="auto"/>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-1.052</w:t>
            </w:r>
          </w:p>
        </w:tc>
        <w:tc>
          <w:tcPr>
            <w:tcW w:w="2126" w:type="dxa"/>
            <w:tcBorders>
              <w:top w:val="single" w:sz="4" w:space="0" w:color="auto"/>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.304</w:t>
            </w:r>
          </w:p>
        </w:tc>
      </w:tr>
      <w:tr w:rsidR="00C47ECA" w:rsidRPr="00FF47EF" w:rsidTr="00D473EC">
        <w:trPr>
          <w:trHeight w:val="278"/>
        </w:trPr>
        <w:tc>
          <w:tcPr>
            <w:tcW w:w="576" w:type="dxa"/>
            <w:tcBorders>
              <w:top w:val="nil"/>
              <w:left w:val="nil"/>
              <w:bottom w:val="nil"/>
              <w:right w:val="nil"/>
            </w:tcBorders>
            <w:shd w:val="clear" w:color="auto" w:fill="auto"/>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p>
        </w:tc>
        <w:tc>
          <w:tcPr>
            <w:tcW w:w="169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CAR</w:t>
            </w:r>
          </w:p>
        </w:tc>
        <w:tc>
          <w:tcPr>
            <w:tcW w:w="226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1.987</w:t>
            </w:r>
          </w:p>
        </w:tc>
        <w:tc>
          <w:tcPr>
            <w:tcW w:w="2126"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.059</w:t>
            </w:r>
          </w:p>
        </w:tc>
      </w:tr>
      <w:tr w:rsidR="00C47ECA" w:rsidRPr="00FF47EF" w:rsidTr="00D473EC">
        <w:trPr>
          <w:trHeight w:val="262"/>
        </w:trPr>
        <w:tc>
          <w:tcPr>
            <w:tcW w:w="576" w:type="dxa"/>
            <w:tcBorders>
              <w:top w:val="nil"/>
              <w:left w:val="nil"/>
              <w:bottom w:val="nil"/>
              <w:right w:val="nil"/>
            </w:tcBorders>
            <w:shd w:val="clear" w:color="auto" w:fill="auto"/>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p>
        </w:tc>
        <w:tc>
          <w:tcPr>
            <w:tcW w:w="169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Roa</w:t>
            </w:r>
          </w:p>
        </w:tc>
        <w:tc>
          <w:tcPr>
            <w:tcW w:w="226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-5.153</w:t>
            </w:r>
          </w:p>
        </w:tc>
        <w:tc>
          <w:tcPr>
            <w:tcW w:w="2126"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.000</w:t>
            </w:r>
          </w:p>
        </w:tc>
      </w:tr>
      <w:tr w:rsidR="00C47ECA" w:rsidRPr="00FF47EF" w:rsidTr="00D473EC">
        <w:trPr>
          <w:trHeight w:val="262"/>
        </w:trPr>
        <w:tc>
          <w:tcPr>
            <w:tcW w:w="576" w:type="dxa"/>
            <w:tcBorders>
              <w:top w:val="nil"/>
              <w:left w:val="nil"/>
              <w:bottom w:val="nil"/>
              <w:right w:val="nil"/>
            </w:tcBorders>
            <w:shd w:val="clear" w:color="auto" w:fill="auto"/>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p>
        </w:tc>
        <w:tc>
          <w:tcPr>
            <w:tcW w:w="169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Fdr</w:t>
            </w:r>
          </w:p>
        </w:tc>
        <w:tc>
          <w:tcPr>
            <w:tcW w:w="226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3.256</w:t>
            </w:r>
          </w:p>
        </w:tc>
        <w:tc>
          <w:tcPr>
            <w:tcW w:w="2126"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.003</w:t>
            </w:r>
          </w:p>
        </w:tc>
      </w:tr>
      <w:tr w:rsidR="00C47ECA" w:rsidRPr="00FF47EF" w:rsidTr="00D473EC">
        <w:trPr>
          <w:trHeight w:val="262"/>
        </w:trPr>
        <w:tc>
          <w:tcPr>
            <w:tcW w:w="576" w:type="dxa"/>
            <w:tcBorders>
              <w:top w:val="nil"/>
              <w:left w:val="nil"/>
              <w:bottom w:val="nil"/>
              <w:right w:val="nil"/>
            </w:tcBorders>
            <w:shd w:val="clear" w:color="auto" w:fill="auto"/>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p>
        </w:tc>
        <w:tc>
          <w:tcPr>
            <w:tcW w:w="169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NPF</w:t>
            </w:r>
          </w:p>
        </w:tc>
        <w:tc>
          <w:tcPr>
            <w:tcW w:w="2268"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-1.472</w:t>
            </w:r>
          </w:p>
        </w:tc>
        <w:tc>
          <w:tcPr>
            <w:tcW w:w="2126" w:type="dxa"/>
            <w:tcBorders>
              <w:top w:val="nil"/>
              <w:left w:val="nil"/>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.155</w:t>
            </w:r>
          </w:p>
        </w:tc>
      </w:tr>
      <w:tr w:rsidR="00C47ECA" w:rsidRPr="00FF47EF" w:rsidTr="00D473EC">
        <w:trPr>
          <w:trHeight w:val="262"/>
        </w:trPr>
        <w:tc>
          <w:tcPr>
            <w:tcW w:w="576" w:type="dxa"/>
            <w:tcBorders>
              <w:top w:val="nil"/>
              <w:left w:val="nil"/>
              <w:bottom w:val="single" w:sz="4" w:space="0" w:color="auto"/>
              <w:right w:val="nil"/>
            </w:tcBorders>
            <w:shd w:val="clear" w:color="auto" w:fill="auto"/>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p>
        </w:tc>
        <w:tc>
          <w:tcPr>
            <w:tcW w:w="1698" w:type="dxa"/>
            <w:tcBorders>
              <w:top w:val="nil"/>
              <w:left w:val="nil"/>
              <w:bottom w:val="single" w:sz="4" w:space="0" w:color="auto"/>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BOPO</w:t>
            </w:r>
          </w:p>
        </w:tc>
        <w:tc>
          <w:tcPr>
            <w:tcW w:w="2268" w:type="dxa"/>
            <w:tcBorders>
              <w:top w:val="nil"/>
              <w:left w:val="nil"/>
              <w:bottom w:val="single" w:sz="4" w:space="0" w:color="auto"/>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1.281</w:t>
            </w:r>
          </w:p>
        </w:tc>
        <w:tc>
          <w:tcPr>
            <w:tcW w:w="2126" w:type="dxa"/>
            <w:tcBorders>
              <w:top w:val="nil"/>
              <w:left w:val="nil"/>
              <w:bottom w:val="single" w:sz="4" w:space="0" w:color="auto"/>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.213</w:t>
            </w:r>
          </w:p>
        </w:tc>
      </w:tr>
    </w:tbl>
    <w:p w:rsidR="00C47ECA" w:rsidRPr="00904879" w:rsidRDefault="00C47ECA" w:rsidP="00C47ECA">
      <w:pPr>
        <w:spacing w:line="276" w:lineRule="auto"/>
        <w:ind w:left="0" w:hanging="2"/>
        <w:contextualSpacing/>
        <w:rPr>
          <w:rFonts w:ascii="Cambria" w:hAnsi="Cambria"/>
          <w:szCs w:val="24"/>
        </w:rPr>
      </w:pPr>
      <w:r w:rsidRPr="00904879">
        <w:rPr>
          <w:rFonts w:ascii="Cambria" w:hAnsi="Cambria"/>
          <w:szCs w:val="24"/>
          <w:lang w:val="en"/>
        </w:rPr>
        <w:t>Based on the results of the partial test in table 4, which has been described above, it can be explained the influence of each variable as follows:</w:t>
      </w:r>
    </w:p>
    <w:p w:rsidR="00C47ECA" w:rsidRPr="00904879" w:rsidRDefault="00C47ECA" w:rsidP="00C47ECA">
      <w:pPr>
        <w:numPr>
          <w:ilvl w:val="0"/>
          <w:numId w:val="9"/>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It is known that the t value of the table obtained is 2,055. Table 4 shows the value of t counting the variable CAR (X1) is 1,987, which means that the value of t count is more minor than the t table (t count &lt; t table). The significance value of the CAR variable (X1) shows a value of 0.059 which means that the significance value is more significant than 0.05 (sig. &gt; 0.05). In this case, the results obtained, namely, H0 is accepted, and H1 is rejected, which means that CAR has no significant effect on PDM.</w:t>
      </w:r>
    </w:p>
    <w:p w:rsidR="00C47ECA" w:rsidRPr="00904879" w:rsidRDefault="00C47ECA" w:rsidP="00C47ECA">
      <w:pPr>
        <w:numPr>
          <w:ilvl w:val="0"/>
          <w:numId w:val="9"/>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It is known that the calculated t value in the second independent variable, namely ROA (X2) of -5,153 &gt; 2,055 (t table) and the significant value in the ROA variable (X2) shows a value of 0.000 &lt; 0.05. In this case, the results obtained, namely H0 is rejected, and H2 is accepted, which means that ROA significantly affects PDM.</w:t>
      </w:r>
    </w:p>
    <w:p w:rsidR="00C47ECA" w:rsidRPr="00904879" w:rsidRDefault="00C47ECA" w:rsidP="00C47ECA">
      <w:pPr>
        <w:numPr>
          <w:ilvl w:val="0"/>
          <w:numId w:val="9"/>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lastRenderedPageBreak/>
        <w:t>It is known that the calculated t value in the third independent variable, namely FDR (X3), is 3,256 &gt; 2,055 (t table), and the significance value in the FDR variable (X3) shows a value of 0.003 &lt; 0.05. In this case, the results obtained, namely H0, were rejected, and H3 was accepted, which means that FDR significantly affects PDM.</w:t>
      </w:r>
    </w:p>
    <w:p w:rsidR="00C47ECA" w:rsidRPr="00904879" w:rsidRDefault="00C47ECA" w:rsidP="00C47ECA">
      <w:pPr>
        <w:numPr>
          <w:ilvl w:val="0"/>
          <w:numId w:val="9"/>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 xml:space="preserve">It </w:t>
      </w:r>
      <w:r w:rsidRPr="00904879">
        <w:rPr>
          <w:rFonts w:ascii="Cambria" w:hAnsi="Cambria"/>
        </w:rPr>
        <w:t xml:space="preserve">It is known that the calculated t value in the fourth independent variable, namely NPF (X4), is -1,472 &gt; 2,055 (t table), and the significance value in the NPF variable (X4) shows a value of 0.155 &gt; 0.05. In this case, the results obtained, namely, H0 </w:t>
      </w:r>
      <w:r w:rsidRPr="00904879">
        <w:rPr>
          <w:rFonts w:ascii="Cambria" w:hAnsi="Cambria"/>
          <w:lang w:val="en-GB"/>
        </w:rPr>
        <w:t xml:space="preserve">is </w:t>
      </w:r>
      <w:r w:rsidRPr="00904879">
        <w:rPr>
          <w:rFonts w:ascii="Cambria" w:hAnsi="Cambria"/>
        </w:rPr>
        <w:t>accepted, and H4 is rejected, which means that NPF has no significant effect on </w:t>
      </w:r>
      <w:r w:rsidRPr="00904879">
        <w:rPr>
          <w:rFonts w:ascii="Cambria" w:hAnsi="Cambria"/>
          <w:color w:val="0E101A"/>
          <w:lang w:val="en-GB"/>
        </w:rPr>
        <w:t>PDM.</w:t>
      </w:r>
    </w:p>
    <w:p w:rsidR="00C47ECA" w:rsidRPr="00904879" w:rsidRDefault="00C47ECA" w:rsidP="00C47ECA">
      <w:pPr>
        <w:numPr>
          <w:ilvl w:val="0"/>
          <w:numId w:val="9"/>
        </w:numPr>
        <w:suppressAutoHyphens w:val="0"/>
        <w:spacing w:line="276" w:lineRule="auto"/>
        <w:ind w:leftChars="0" w:firstLineChars="0"/>
        <w:contextualSpacing/>
        <w:textDirection w:val="lrTb"/>
        <w:textAlignment w:val="auto"/>
        <w:outlineLvl w:val="9"/>
        <w:rPr>
          <w:rFonts w:ascii="Cambria" w:hAnsi="Cambria"/>
          <w:szCs w:val="24"/>
        </w:rPr>
      </w:pPr>
      <w:r w:rsidRPr="00904879">
        <w:rPr>
          <w:rFonts w:ascii="Cambria" w:hAnsi="Cambria"/>
          <w:szCs w:val="24"/>
          <w:lang w:val="en"/>
        </w:rPr>
        <w:t>It is known that the calculated t value in the third independent variable, namely BOPO (X5) of 1,281 &gt; 2,055 (t table) and the significant value in the BOPO variable (X5) shows a value of 0.213 &gt; 0.05. In this case, the results obtained, namely H0 is accepted, and H5 is rejected, which means that BOPO has no significant effect on PDM.</w:t>
      </w:r>
    </w:p>
    <w:p w:rsidR="00C47ECA" w:rsidRPr="00904879" w:rsidRDefault="00C47ECA" w:rsidP="00C47ECA">
      <w:pPr>
        <w:spacing w:line="276" w:lineRule="auto"/>
        <w:ind w:left="0" w:hanging="2"/>
        <w:contextualSpacing/>
        <w:jc w:val="center"/>
        <w:rPr>
          <w:rFonts w:ascii="Cambria" w:hAnsi="Cambria"/>
          <w:szCs w:val="24"/>
          <w:lang w:val="en-US"/>
        </w:rPr>
      </w:pPr>
      <w:r w:rsidRPr="00904879">
        <w:rPr>
          <w:rFonts w:ascii="Cambria" w:hAnsi="Cambria"/>
          <w:szCs w:val="24"/>
          <w:lang w:val="en"/>
        </w:rPr>
        <w:t>Table 5. Simultaneous Significance Test (F-Test)</w:t>
      </w:r>
    </w:p>
    <w:tbl>
      <w:tblPr>
        <w:tblW w:w="5905" w:type="dxa"/>
        <w:tblInd w:w="105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7"/>
        <w:gridCol w:w="1598"/>
        <w:gridCol w:w="1953"/>
        <w:gridCol w:w="1867"/>
      </w:tblGrid>
      <w:tr w:rsidR="00C47ECA" w:rsidRPr="00FF47EF" w:rsidTr="00D473EC">
        <w:trPr>
          <w:trHeight w:val="255"/>
        </w:trPr>
        <w:tc>
          <w:tcPr>
            <w:tcW w:w="5905" w:type="dxa"/>
            <w:gridSpan w:val="4"/>
            <w:tcBorders>
              <w:bottom w:val="single" w:sz="4" w:space="0" w:color="auto"/>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b/>
                <w:bCs/>
                <w:color w:val="000000"/>
                <w:szCs w:val="24"/>
                <w:lang w:val="en"/>
              </w:rPr>
              <w:t>ANOVA</w:t>
            </w:r>
            <w:r w:rsidRPr="00FF47EF">
              <w:rPr>
                <w:rFonts w:ascii="Cambria" w:eastAsia="Calibri" w:hAnsi="Cambria"/>
                <w:b/>
                <w:bCs/>
                <w:color w:val="000000"/>
                <w:szCs w:val="24"/>
                <w:vertAlign w:val="superscript"/>
                <w:lang w:val="en"/>
              </w:rPr>
              <w:t>a</w:t>
            </w:r>
          </w:p>
        </w:tc>
      </w:tr>
      <w:tr w:rsidR="00C47ECA" w:rsidRPr="00FF47EF" w:rsidTr="00D473EC">
        <w:trPr>
          <w:trHeight w:val="246"/>
        </w:trPr>
        <w:tc>
          <w:tcPr>
            <w:tcW w:w="2085" w:type="dxa"/>
            <w:gridSpan w:val="2"/>
            <w:tcBorders>
              <w:bottom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Type</w:t>
            </w:r>
          </w:p>
        </w:tc>
        <w:tc>
          <w:tcPr>
            <w:tcW w:w="1953" w:type="dxa"/>
            <w:tcBorders>
              <w:left w:val="nil"/>
              <w:bottom w:val="nil"/>
              <w:right w:val="nil"/>
            </w:tcBorders>
            <w:shd w:val="clear" w:color="auto" w:fill="auto"/>
            <w:vAlign w:val="bottom"/>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F</w:t>
            </w:r>
          </w:p>
        </w:tc>
        <w:tc>
          <w:tcPr>
            <w:tcW w:w="1867" w:type="dxa"/>
            <w:tcBorders>
              <w:left w:val="nil"/>
              <w:bottom w:val="nil"/>
            </w:tcBorders>
            <w:shd w:val="clear" w:color="auto" w:fill="auto"/>
            <w:vAlign w:val="bottom"/>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Sig.</w:t>
            </w:r>
          </w:p>
        </w:tc>
      </w:tr>
      <w:tr w:rsidR="00C47ECA" w:rsidRPr="00FF47EF" w:rsidTr="00D473EC">
        <w:trPr>
          <w:trHeight w:val="250"/>
        </w:trPr>
        <w:tc>
          <w:tcPr>
            <w:tcW w:w="487" w:type="dxa"/>
            <w:tcBorders>
              <w:top w:val="nil"/>
              <w:right w:val="nil"/>
            </w:tcBorders>
            <w:shd w:val="clear" w:color="auto" w:fill="auto"/>
            <w:vAlign w:val="center"/>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w:t>
            </w:r>
          </w:p>
        </w:tc>
        <w:tc>
          <w:tcPr>
            <w:tcW w:w="1598" w:type="dxa"/>
            <w:tcBorders>
              <w:top w:val="nil"/>
              <w:left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Regression</w:t>
            </w:r>
          </w:p>
        </w:tc>
        <w:tc>
          <w:tcPr>
            <w:tcW w:w="1953" w:type="dxa"/>
            <w:tcBorders>
              <w:top w:val="nil"/>
              <w:left w:val="nil"/>
              <w:righ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13.117</w:t>
            </w:r>
          </w:p>
        </w:tc>
        <w:tc>
          <w:tcPr>
            <w:tcW w:w="1867" w:type="dxa"/>
            <w:tcBorders>
              <w:top w:val="nil"/>
              <w:left w:val="nil"/>
            </w:tcBorders>
            <w:shd w:val="clear" w:color="auto" w:fill="auto"/>
            <w:hideMark/>
          </w:tcPr>
          <w:p w:rsidR="00C47ECA" w:rsidRPr="00FF47EF" w:rsidRDefault="00C47ECA" w:rsidP="00D473EC">
            <w:pPr>
              <w:widowControl w:val="0"/>
              <w:autoSpaceDE w:val="0"/>
              <w:autoSpaceDN w:val="0"/>
              <w:spacing w:line="276" w:lineRule="auto"/>
              <w:ind w:left="0" w:hanging="2"/>
              <w:jc w:val="center"/>
              <w:rPr>
                <w:rFonts w:ascii="Cambria" w:eastAsia="Calibri" w:hAnsi="Cambria"/>
                <w:color w:val="000000"/>
                <w:szCs w:val="24"/>
              </w:rPr>
            </w:pPr>
            <w:r w:rsidRPr="00FF47EF">
              <w:rPr>
                <w:rFonts w:ascii="Cambria" w:eastAsia="Calibri" w:hAnsi="Cambria"/>
                <w:color w:val="000000"/>
                <w:szCs w:val="24"/>
                <w:lang w:val="en"/>
              </w:rPr>
              <w:t>.000</w:t>
            </w:r>
            <w:r w:rsidRPr="00FF47EF">
              <w:rPr>
                <w:rFonts w:ascii="Cambria" w:eastAsia="Calibri" w:hAnsi="Cambria"/>
                <w:color w:val="000000"/>
                <w:szCs w:val="24"/>
                <w:vertAlign w:val="superscript"/>
                <w:lang w:val="en"/>
              </w:rPr>
              <w:t>b</w:t>
            </w:r>
          </w:p>
        </w:tc>
      </w:tr>
    </w:tbl>
    <w:p w:rsidR="00C47ECA" w:rsidRPr="00904879" w:rsidRDefault="00C47ECA" w:rsidP="00C47ECA">
      <w:pPr>
        <w:spacing w:line="276" w:lineRule="auto"/>
        <w:ind w:left="0" w:hanging="2"/>
        <w:contextualSpacing/>
        <w:rPr>
          <w:rFonts w:ascii="Cambria" w:hAnsi="Cambria"/>
          <w:szCs w:val="24"/>
          <w:lang w:val="en"/>
        </w:rPr>
      </w:pPr>
    </w:p>
    <w:p w:rsidR="00C47ECA" w:rsidRPr="00904879" w:rsidRDefault="00C47ECA" w:rsidP="00C47ECA">
      <w:pPr>
        <w:spacing w:line="276" w:lineRule="auto"/>
        <w:ind w:left="0" w:hanging="2"/>
        <w:contextualSpacing/>
        <w:rPr>
          <w:rFonts w:ascii="Cambria" w:hAnsi="Cambria"/>
          <w:szCs w:val="24"/>
          <w:lang w:val="en"/>
        </w:rPr>
      </w:pPr>
      <w:r w:rsidRPr="00904879">
        <w:rPr>
          <w:rFonts w:ascii="Cambria" w:hAnsi="Cambria"/>
          <w:szCs w:val="24"/>
          <w:lang w:val="en"/>
        </w:rPr>
        <w:t xml:space="preserve">Based on the F test output results, table 5 shows the calculated F value of 13,117 and the table F value obtained at 2.59. As for the significant value in regression, it is 0.000. In this case, the result is that the F count is more significant than the F table (F calculate &gt; F table). The significance value is smaller than 0.05 (Sig. &lt; 0.05), so this F test shows that H0 is rejected and H6 is accepted. It means that there is an influence simultaneously or jointly between independent variables, namely the CAR ratio,  ROA, FDR, NPF, and BOPO, against the dependent variable, namely PDM. </w:t>
      </w:r>
    </w:p>
    <w:p w:rsidR="00C47ECA" w:rsidRDefault="00C47ECA" w:rsidP="00C47ECA">
      <w:pPr>
        <w:spacing w:line="276" w:lineRule="auto"/>
        <w:ind w:left="0" w:hanging="2"/>
        <w:contextualSpacing/>
        <w:rPr>
          <w:rFonts w:ascii="Cambria" w:hAnsi="Cambria"/>
          <w:color w:val="000000"/>
          <w:szCs w:val="24"/>
          <w:lang w:val="en"/>
        </w:rPr>
      </w:pPr>
      <w:r w:rsidRPr="00904879">
        <w:rPr>
          <w:rFonts w:ascii="Cambria" w:hAnsi="Cambria"/>
          <w:szCs w:val="24"/>
          <w:lang w:val="en"/>
        </w:rPr>
        <w:t>Furthermore, to see the ability of dependent variables to explain dependent variables, a  determination efficiency test  (R2) was carried out. The coefficient of determination test's results showed a value on the Adjusted R Square of 0.846, which means that the variation of all independent variables affected the dependent variable by 84.6%. The remaining 15.4% was influenced by other variables not used in this study.</w:t>
      </w:r>
      <w:r w:rsidRPr="00904879">
        <w:rPr>
          <w:rFonts w:ascii="Cambria" w:hAnsi="Cambria"/>
          <w:color w:val="000000"/>
          <w:szCs w:val="24"/>
          <w:lang w:val="en"/>
        </w:rPr>
        <w:t xml:space="preserve"> </w:t>
      </w:r>
    </w:p>
    <w:p w:rsidR="00C47ECA" w:rsidRPr="00904879" w:rsidRDefault="00C47ECA" w:rsidP="00C47ECA">
      <w:pPr>
        <w:spacing w:line="276" w:lineRule="auto"/>
        <w:ind w:left="0" w:hanging="2"/>
        <w:contextualSpacing/>
        <w:rPr>
          <w:rFonts w:ascii="Cambria" w:hAnsi="Cambria" w:cs="Times New Roman"/>
          <w:color w:val="000000"/>
          <w:szCs w:val="24"/>
        </w:rPr>
      </w:pPr>
    </w:p>
    <w:p w:rsidR="00C47ECA" w:rsidRPr="00904879" w:rsidRDefault="00C47ECA" w:rsidP="00C47ECA">
      <w:pPr>
        <w:spacing w:line="276" w:lineRule="auto"/>
        <w:ind w:left="0" w:hanging="2"/>
        <w:rPr>
          <w:rFonts w:ascii="Cambria" w:hAnsi="Cambria"/>
          <w:b/>
          <w:i/>
          <w:iCs/>
          <w:szCs w:val="24"/>
          <w:lang w:val="en-US"/>
        </w:rPr>
      </w:pPr>
      <w:r w:rsidRPr="00904879">
        <w:rPr>
          <w:rFonts w:ascii="Cambria" w:hAnsi="Cambria"/>
          <w:b/>
          <w:szCs w:val="24"/>
          <w:lang w:val="en"/>
        </w:rPr>
        <w:t>Effect of</w:t>
      </w:r>
      <w:r w:rsidRPr="00904879">
        <w:rPr>
          <w:rFonts w:ascii="Cambria" w:hAnsi="Cambria"/>
          <w:b/>
          <w:i/>
          <w:iCs/>
          <w:szCs w:val="24"/>
          <w:lang w:val="en"/>
        </w:rPr>
        <w:t xml:space="preserve"> Capital Adequacy Ratio </w:t>
      </w:r>
      <w:r w:rsidRPr="00904879">
        <w:rPr>
          <w:rFonts w:ascii="Cambria" w:hAnsi="Cambria"/>
          <w:b/>
          <w:szCs w:val="24"/>
          <w:lang w:val="en"/>
        </w:rPr>
        <w:t>On</w:t>
      </w:r>
      <w:r w:rsidRPr="00904879">
        <w:rPr>
          <w:rFonts w:ascii="Cambria" w:hAnsi="Cambria"/>
          <w:b/>
          <w:i/>
          <w:iCs/>
          <w:szCs w:val="24"/>
          <w:lang w:val="en"/>
        </w:rPr>
        <w:t xml:space="preserve"> Profit Distribution Management</w:t>
      </w:r>
    </w:p>
    <w:p w:rsidR="00C47ECA" w:rsidRPr="00904879" w:rsidRDefault="00C47ECA" w:rsidP="00C47ECA">
      <w:pPr>
        <w:spacing w:line="276" w:lineRule="auto"/>
        <w:ind w:left="0" w:hanging="2"/>
        <w:rPr>
          <w:rFonts w:ascii="Cambria" w:hAnsi="Cambria"/>
          <w:i/>
          <w:iCs/>
          <w:szCs w:val="24"/>
        </w:rPr>
      </w:pPr>
      <w:r w:rsidRPr="00904879">
        <w:rPr>
          <w:rFonts w:ascii="Cambria" w:hAnsi="Cambria"/>
          <w:iCs/>
          <w:szCs w:val="24"/>
          <w:lang w:val="en"/>
        </w:rPr>
        <w:t xml:space="preserve">In the first hypothesis, statistically, the results of the partial test (T-test) that was carried out obtained a t count of 1,977 &lt; from the t table, which is 2,055, and the resulting significance value is 0.304 &gt; 0.05. So the results show that H0 </w:t>
      </w:r>
      <w:r w:rsidRPr="00904879">
        <w:rPr>
          <w:rFonts w:ascii="Cambria" w:hAnsi="Cambria"/>
          <w:iCs/>
          <w:szCs w:val="24"/>
          <w:lang w:val="en"/>
        </w:rPr>
        <w:lastRenderedPageBreak/>
        <w:t>is accepted and H1 is rejected, which means that the CAR ratio has no significant effect on PDM.</w:t>
      </w:r>
    </w:p>
    <w:p w:rsidR="00C47ECA" w:rsidRPr="00904879" w:rsidRDefault="00C47ECA" w:rsidP="00C47ECA">
      <w:pPr>
        <w:spacing w:line="276" w:lineRule="auto"/>
        <w:ind w:left="0" w:hanging="2"/>
        <w:rPr>
          <w:rFonts w:ascii="Cambria" w:hAnsi="Cambria"/>
          <w:iCs/>
          <w:noProof/>
          <w:szCs w:val="24"/>
          <w:lang w:val="en-US"/>
        </w:rPr>
      </w:pP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{"citationItems":[{"id":"ITEM-1","itemData":{"DOI":"10.19109/nurani.v18i1.1920","author":[{"dropping-particle":"","family":"Mismiwati","given":"","non-dropping-particle":"","parse-names":false,"suffix":""}],"container-title":"Nurani: Jurnal Kajian Syariah dan Masyarakat","id":"ITEM-1","issue":"01","issued":{"date-parts":[["2018"]]},"page":"19-34","title":"Bank Internal Factors and Profit Distribution Management of Syariah Banks in Indonesia","type":"article-journal","volume":"18"},"uris":["http://www.mendeley.com/documents/?uuid=c9a6fbd3-b316-4757-ba60-50f719fd4692"]}],"mendeley":{"formattedCitation":"(Mismiwati, 2018)","manualFormatting":"Mismiwati (2018)","plainTextFormattedCitation":"(Mismiwati, 2018)","previouslyFormattedCitation":"(Mismiwati,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Mismiwati (2018)</w:t>
      </w:r>
      <w:r w:rsidRPr="00904879">
        <w:rPr>
          <w:rFonts w:ascii="Cambria" w:hAnsi="Cambria"/>
          <w:iCs/>
          <w:szCs w:val="24"/>
          <w:lang w:val="en"/>
        </w:rPr>
        <w:fldChar w:fldCharType="end"/>
      </w:r>
      <w:r w:rsidRPr="00904879">
        <w:rPr>
          <w:rFonts w:ascii="Cambria" w:hAnsi="Cambria"/>
          <w:iCs/>
          <w:szCs w:val="24"/>
          <w:lang w:val="en"/>
        </w:rPr>
        <w:t xml:space="preserve"> explained that the higher the CAR ratio would affect managers to increase PDM. This statement is not in line with the results of this study because, according to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{"citationItems":[{"id":"ITEM-1","itemData":{"DOI":"10.29040/jiei.v5i3.701","author":[{"dropping-particle":"","family":"Sulistyawati","given":"Ardiani Ika","non-dropping-particle":"","parse-names":false,"suffix":""},{"dropping-particle":"","family":"Asmaraputri","given":"Aristi Aprilia","non-dropping-particle":"","parse-names":false,"suffix":""},{"dropping-particle":"","family":"Santoso","given":"Aprih","non-dropping-particle":"","parse-names":false,"suffix":""}],"container-title":"JIEI: Jurnal Ilmiah Ekonomi Islam","id":"ITEM-1","issue":"03","issued":{"date-parts":[["2019"]]},"page":"245-264","title":"Profit Distribution Management Determinant (Empirical Study in Indonesian Sharia Banks)","type":"article-journal","volume":"05"},"uris":["http://www.mendeley.com/documents/?uuid=b03ca313-e909-4708-93f4-8cede04f556f"]}],"mendeley":{"formattedCitation":"(Sulistyawati, Asmaraputri, &amp; Santoso, 2019)","manualFormatting":"Sulistyawati et al. (2019)","plainTextFormattedCitation":"(Sulistyawati, Asmaraputri, &amp; Santoso, 2019)","previouslyFormattedCitation":"(Sulistyawati, Asmaraputri, &amp; Santoso,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Sulistyawati et al. </w:t>
      </w:r>
      <w:r w:rsidRPr="00904879">
        <w:rPr>
          <w:rFonts w:ascii="Cambria" w:hAnsi="Cambria"/>
          <w:lang w:val="en"/>
        </w:rPr>
        <w:t xml:space="preserve"> </w:t>
      </w:r>
      <w:r w:rsidRPr="00904879">
        <w:rPr>
          <w:rFonts w:ascii="Cambria" w:hAnsi="Cambria"/>
          <w:iCs/>
          <w:noProof/>
          <w:szCs w:val="24"/>
          <w:lang w:val="en"/>
        </w:rPr>
        <w:t>(2019)</w:t>
      </w:r>
      <w:r w:rsidRPr="00904879">
        <w:rPr>
          <w:rFonts w:ascii="Cambria" w:hAnsi="Cambria"/>
          <w:iCs/>
          <w:szCs w:val="24"/>
          <w:lang w:val="en"/>
        </w:rPr>
        <w:fldChar w:fldCharType="end"/>
      </w:r>
      <w:r w:rsidRPr="00904879">
        <w:rPr>
          <w:rFonts w:ascii="Cambria" w:hAnsi="Cambria"/>
          <w:iCs/>
          <w:szCs w:val="24"/>
          <w:lang w:val="en"/>
        </w:rPr>
        <w:t xml:space="preserve"> High bank capital does not make the main factor in the increase in PDM because the high profits generated by banks do not come from high capital. Instead, the bank's efforts in maintaining the adequacy value of its capital and keeping the level of profit sharing continue to run stably without the bank having to spend funds that will provide an excellent risk for the bank</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{"citationItems":[{"id":"ITEM-1","itemData":{"DOI":"10.29040/jiei.v5i3.701","author":[{"dropping-particle":"","family":"Sulistyawati","given":"Ardiani Ika","non-dropping-particle":"","parse-names":false,"suffix":""},{"dropping-particle":"","family":"Asmaraputri","given":"Aristi Aprilia","non-dropping-particle":"","parse-names":false,"suffix":""},{"dropping-particle":"","family":"Santoso","given":"Aprih","non-dropping-particle":"","parse-names":false,"suffix":""}],"container-title":"JIEI: Jurnal Ilmiah Ekonomi Islam","id":"ITEM-1","issue":"03","issued":{"date-parts":[["2019"]]},"page":"245-264","title":"Profit Distribution Management Determinant (Empirical Study in Indonesian Sharia Banks)","type":"article-journal","volume":"05"},"uris":["http://www.mendeley.com/documents/?uuid=b03ca313-e909-4708-93f4-8cede04f556f"]}],"mendeley":{"formattedCitation":"(Sulistyawati et al., 2019)","plainTextFormattedCitation":"(Sulistyawati et al., 2019)","previouslyFormattedCitation":"(Sulistyawati et al.,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(Sulistyawati et al., 2019)</w:t>
      </w:r>
      <w:r w:rsidRPr="00904879">
        <w:rPr>
          <w:rFonts w:ascii="Cambria" w:hAnsi="Cambria"/>
          <w:iCs/>
          <w:szCs w:val="24"/>
          <w:lang w:val="en"/>
        </w:rPr>
        <w:fldChar w:fldCharType="end"/>
      </w:r>
      <w:r w:rsidRPr="00904879">
        <w:rPr>
          <w:rFonts w:ascii="Cambria" w:hAnsi="Cambria"/>
          <w:iCs/>
          <w:szCs w:val="24"/>
          <w:lang w:val="en"/>
        </w:rPr>
        <w:t>.</w:t>
      </w:r>
    </w:p>
    <w:p w:rsidR="00C47ECA" w:rsidRDefault="00C47ECA" w:rsidP="00C47ECA">
      <w:pPr>
        <w:spacing w:line="276" w:lineRule="auto"/>
        <w:ind w:left="0" w:hanging="2"/>
        <w:rPr>
          <w:rFonts w:ascii="Cambria" w:hAnsi="Cambria"/>
          <w:iCs/>
          <w:szCs w:val="24"/>
          <w:lang w:val="en"/>
        </w:rPr>
      </w:pPr>
      <w:r w:rsidRPr="00904879">
        <w:rPr>
          <w:rFonts w:ascii="Cambria" w:hAnsi="Cambria"/>
          <w:iCs/>
          <w:szCs w:val="24"/>
          <w:lang w:val="en"/>
        </w:rPr>
        <w:t xml:space="preserve">This study also shows that the average car value of 13.90% has exceeded the Bank Indonesia standard of 8%.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10.31575/jp.v2i2.85","author":[{"dropping-particle":"","family":"Mayliza","given":"Riri","non-dropping-particle":"","parse-names":false,"suffix":""},{"dropping-particle":"","family":"Yeni","given":"Fitri","non-dropping-particle":"","parse-names":false,"suffix":""},{"dropping-particle":"","family":"Sari","given":"Lola Fitria","non-dropping-particle":"","parse-names":false,"suffix":""}],"container-title":"Jurnal Pundi: Research of Management, Accounting and Economics","id":"ITEM-1","issue":"02","issued":{"date-parts":[["2018"]]},"page":"199-210","title":"Profitabilitas Perbankan Dilihat dari Aspek Dana Pihak Ketiga, Kecukupan Modal dan Risiko Kredit","type":"article-journal","volume":"02"},"uris":["http://www.mendeley.com/documents/?uuid=a51b14b2-b731-4e69-8357-0892301405b2"]}],"mendeley":{"formattedCitation":"(Mayliza, Yeni, &amp; Sari, 2018)","manualFormatting":"Mayliza, Yeni, &amp; Sari (2018)","plainTextFormattedCitation":"(Mayliza, Yeni, &amp; Sari, 2018)","previouslyFormattedCitation":"(Mayliza, Yeni, &amp; Sari,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Mayliza, Yeni, &amp; Sari (2018)</w:t>
      </w:r>
      <w:r w:rsidRPr="00904879">
        <w:rPr>
          <w:rFonts w:ascii="Cambria" w:hAnsi="Cambria"/>
          <w:iCs/>
          <w:szCs w:val="24"/>
          <w:lang w:val="en"/>
        </w:rPr>
        <w:fldChar w:fldCharType="end"/>
      </w:r>
      <w:r w:rsidRPr="00904879">
        <w:rPr>
          <w:rFonts w:ascii="Cambria" w:hAnsi="Cambria"/>
          <w:iCs/>
          <w:szCs w:val="24"/>
          <w:lang w:val="en"/>
        </w:rPr>
        <w:t xml:space="preserve"> reported that the bank is in a safe condition if liquidation occurs due to having capital reserves. The increasing car ratio shows the bank's ability to be more stable in providing financing contributions while fulfilling its operational activities because it can overcome the risk of risky assets. So that bank managers are automatically not motivated to do Profit Distribution Management (PDM). The results obtained in this study are in line with the research that has been carried out by</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{"citationItems":[{"id":"ITEM-1","itemData":{"author":[{"dropping-particle":"","family":"Wahasusmiah","given":"Rolia","non-dropping-particle":"","parse-names":false,"suffix":""}],"container-title":"Sintama: Jurnal Sistem Informasi, Akuntansi &amp; Manajemen","id":"ITEM-1","issue":"01","issued":{"date-parts":[["2022"]]},"page":"1-13","title":"Determinan Profit Distribution Management Pada Perbankan Syariah di Indonesia","type":"article-journal","volume":"02"},"uris":["http://www.mendeley.com/documents/?uuid=486751d6-11c3-453c-994f-d8116ef0da6c"]}],"mendeley":{"formattedCitation":"(Wahasusmiah, 2022)","manualFormatting":"Wahasusmiah (2022)","plainTextFormattedCitation":"(Wahasusmiah, 2022)","previouslyFormattedCitation":"(Wahasusmiah, 2022)"},"properties":{"noteIndex":0},"schema":"https://github.com/citation-style-language/schema/raw/master/csl-citation.json"}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Wahasusmiah (2022)</w:t>
      </w:r>
      <w:r w:rsidRPr="00904879">
        <w:rPr>
          <w:rFonts w:ascii="Cambria" w:hAnsi="Cambria"/>
          <w:iCs/>
          <w:szCs w:val="24"/>
          <w:lang w:val="en"/>
        </w:rPr>
        <w:fldChar w:fldCharType="end"/>
      </w:r>
      <w:r w:rsidRPr="00904879">
        <w:rPr>
          <w:rFonts w:ascii="Cambria" w:hAnsi="Cambria"/>
          <w:iCs/>
          <w:szCs w:val="24"/>
          <w:lang w:val="en"/>
        </w:rPr>
        <w:t>,</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{"citationItems":[{"id":"ITEM-1","itemData":{"DOI":"10.29040/jiei.v5i3.701","author":[{"dropping-particle":"","family":"Sulistyawati","given":"Ardiani Ika","non-dropping-particle":"","parse-names":false,"suffix":""},{"dropping-particle":"","family":"Asmaraputri","given":"Aristi Aprilia","non-dropping-particle":"","parse-names":false,"suffix":""},{"dropping-particle":"","family":"Santoso","given":"Aprih","non-dropping-particle":"","parse-names":false,"suffix":""}],"container-title":"JIEI: Jurnal Ilmiah Ekonomi Islam","id":"ITEM-1","issue":"03","issued":{"date-parts":[["2019"]]},"page":"245-264","title":"Profit Distribution Management Determinant (Empirical Study in Indonesian Sharia Banks)","type":"article-journal","volume":"05"},"uris":["http://www.mendeley.com/documents/?uuid=b03ca313-e909-4708-93f4-8cede04f556f"]}],"mendeley":{"formattedCitation":"(Sulistyawati et al., 2019)","manualFormatting":"Sulistyawati et al. (2019)","plainTextFormattedCitation":"(Sulistyawati et al., 2019)","previouslyFormattedCitation":"(Sulistyawati et al.,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Sulistyawati et al. </w:t>
      </w:r>
      <w:r w:rsidRPr="00904879">
        <w:rPr>
          <w:rFonts w:ascii="Cambria" w:hAnsi="Cambria"/>
          <w:lang w:val="en"/>
        </w:rPr>
        <w:t xml:space="preserve"> </w:t>
      </w:r>
      <w:r w:rsidRPr="00904879">
        <w:rPr>
          <w:rFonts w:ascii="Cambria" w:hAnsi="Cambria"/>
          <w:iCs/>
          <w:noProof/>
          <w:szCs w:val="24"/>
          <w:lang w:val="en"/>
        </w:rPr>
        <w:t>(2019)</w:t>
      </w:r>
      <w:r w:rsidRPr="00904879">
        <w:rPr>
          <w:rFonts w:ascii="Cambria" w:hAnsi="Cambria"/>
          <w:iCs/>
          <w:szCs w:val="24"/>
          <w:lang w:val="en"/>
        </w:rPr>
        <w:fldChar w:fldCharType="end"/>
      </w:r>
      <w:r w:rsidRPr="00904879">
        <w:rPr>
          <w:rFonts w:ascii="Cambria" w:hAnsi="Cambria"/>
          <w:iCs/>
          <w:szCs w:val="24"/>
          <w:lang w:val="en"/>
        </w:rPr>
        <w:t xml:space="preserve">, and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10.32350/ibfr","author":[{"dropping-particle":"","family":"Shahzadi","given":"Kiran","non-dropping-particle":"","parse-names":false,"suffix":""},{"dropping-particle":"","family":"Ayub","given":"Huma","non-dropping-particle":"","parse-names":false,"suffix":""},{"dropping-particle":"","family":"Shabbir","given":"Malik Shahzad","non-dropping-particle":"","parse-names":false,"suffix":""},{"dropping-particle":"","family":"Yasmin","given":"Attiya","non-dropping-particle":"","parse-names":false,"suffix":""}],"container-title":"Islamic Banking and Finance Review","id":"ITEM-1","issue":"01","issued":{"date-parts":[["2021"]]},"page":"78-102","title":"Factors Affecting Profit Distribution Management of Islamic Banks: Moderating Role of Corporate Governance","type":"article-journal","volume":"08"},"uris":["http://www.mendeley.com/documents/?uuid=63cb7b52-17a0-46c5-a18b-3ecb974b7e37"]}],"mendeley":{"formattedCitation":"(Shahzadi et al., 2021)","manualFormatting":"Shahzadi et al. (2021)","plainTextFormattedCitation":"(Shahzadi et al., 2021)","previouslyFormattedCitation":"(Shahzadi et al., 2021)"},"properties":{"noteIndex":0},"schema":"https://github.com/citation-style-language/schema/raw/master/csl-citation.json"}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Shahzadi et al. </w:t>
      </w:r>
      <w:r w:rsidRPr="00904879">
        <w:rPr>
          <w:rFonts w:ascii="Cambria" w:hAnsi="Cambria"/>
          <w:lang w:val="en"/>
        </w:rPr>
        <w:t xml:space="preserve"> </w:t>
      </w:r>
      <w:r w:rsidRPr="00904879">
        <w:rPr>
          <w:rFonts w:ascii="Cambria" w:hAnsi="Cambria"/>
          <w:iCs/>
          <w:noProof/>
          <w:szCs w:val="24"/>
          <w:lang w:val="en"/>
        </w:rPr>
        <w:t>(2021)</w:t>
      </w:r>
      <w:r w:rsidRPr="00904879">
        <w:rPr>
          <w:rFonts w:ascii="Cambria" w:hAnsi="Cambria"/>
          <w:iCs/>
          <w:szCs w:val="24"/>
          <w:lang w:val="en"/>
        </w:rPr>
        <w:fldChar w:fldCharType="end"/>
      </w:r>
      <w:r w:rsidRPr="00904879">
        <w:rPr>
          <w:rFonts w:ascii="Cambria" w:hAnsi="Cambria"/>
          <w:iCs/>
          <w:szCs w:val="24"/>
          <w:lang w:val="en"/>
        </w:rPr>
        <w:t xml:space="preserve"> which shows the result that CAR has no significant effect on PDM. But according to, research conducted by</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{"citationItems":[{"id":"ITEM-1","itemData":{"DOI":"10.4108/eai.20-1-2018.2282448","author":[{"dropping-particle":"","family":"Yunita","given":"Nur Afni","non-dropping-particle":"","parse-names":false,"suffix":""},{"dropping-particle":"","family":"Yunina","given":"","non-dropping-particle":"","parse-names":false,"suffix":""},{"dropping-particle":"","family":"Mulyati","given":"Sri","non-dropping-particle":"","parse-names":false,"suffix":""},{"dropping-particle":"","family":"Khaddafi","given":"Muammar","non-dropping-particle":"","parse-names":false,"suffix":""},{"dropping-particle":"","family":"Satria","given":"Dy Ilham","non-dropping-particle":"","parse-names":false,"suffix":""},{"dropping-particle":"","family":"Albra","given":"Wahyuddin","non-dropping-particle":"","parse-names":false,"suffix":""}],"container-title":"Conference: Proceedings of the 1st Workshop on Multidisciplinary and Its Applications Part 1","id":"ITEM-1","issued":{"date-parts":[["2018"]]},"page":"19-20","publisher-place":"Aceh","title":"Factors Affecting Profit Distribution Management ofGeneral Islamic Banks In Indonesia","type":"paper-conference"},"uris":["http://www.mendeley.com/documents/?uuid=84bf62dc-3abd-4f7b-b427-38bd58661a53"]}],"mendeley":{"formattedCitation":"(Yunita et al., 2018)","manualFormatting":"Yunita et al. (2018)","plainTextFormattedCitation":"(Yunita et al., 2018)","previouslyFormattedCitation":"(Yunita et al.,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Yunita et al. </w:t>
      </w:r>
      <w:r w:rsidRPr="00904879">
        <w:rPr>
          <w:rFonts w:ascii="Cambria" w:hAnsi="Cambria"/>
          <w:lang w:val="en"/>
        </w:rPr>
        <w:t xml:space="preserve"> </w:t>
      </w:r>
      <w:r w:rsidRPr="00904879">
        <w:rPr>
          <w:rFonts w:ascii="Cambria" w:hAnsi="Cambria"/>
          <w:iCs/>
          <w:noProof/>
          <w:szCs w:val="24"/>
          <w:lang w:val="en"/>
        </w:rPr>
        <w:t>(2018)</w:t>
      </w:r>
      <w:r w:rsidRPr="00904879">
        <w:rPr>
          <w:rFonts w:ascii="Cambria" w:hAnsi="Cambria"/>
          <w:iCs/>
          <w:szCs w:val="24"/>
          <w:lang w:val="en"/>
        </w:rPr>
        <w:fldChar w:fldCharType="end"/>
      </w:r>
      <w:r w:rsidRPr="00904879">
        <w:rPr>
          <w:rFonts w:ascii="Cambria" w:hAnsi="Cambria"/>
          <w:iCs/>
          <w:szCs w:val="24"/>
          <w:lang w:val="en"/>
        </w:rPr>
        <w:t xml:space="preserve"> and</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{"citationItems":[{"id":"ITEM-1","itemData":{"author":[{"dropping-particle":"","family":"Kartika","given":"Septyana Bella","non-dropping-particle":"","parse-names":false,"suffix":""},{"dropping-particle":"","family":"Adityawarman","given":"","non-dropping-particle":"","parse-names":false,"suffix":""}],"container-title":"Dipenogoro Journal of Accounting","id":"ITEM-1","issue":"03","issued":{"date-parts":[["2014"]]},"page":"1-15","title":"Analisis Faktor-faktor yang Mempengaruhi Profit Distribution Management: Studi Empiris Bank Umum Syariah di Indonesia Periode 2009-2012","type":"article-journal","volume":"03"},"uris":["http://www.mendeley.com/documents/?uuid=c91e9ad8-204f-46de-bf7c-18f2cb5e18c4"]}],"mendeley":{"formattedCitation":"(Kartika &amp; Adityawarman, 2014)","manualFormatting":"Kartika &amp; Adityawarman (2014)","plainTextFormattedCitation":"(Kartika &amp; Adityawarman, 2014)","previouslyFormattedCitation":"(Kartika &amp; Adityawarman, 2014)"},"properties":{"noteIndex":0},"schema":"https://github.com/citation-style-language/schema/raw/master/csl-citation.json"}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Kartika &amp; Adityawarman (2014)</w:t>
      </w:r>
      <w:r w:rsidRPr="00904879">
        <w:rPr>
          <w:rFonts w:ascii="Cambria" w:hAnsi="Cambria"/>
          <w:iCs/>
          <w:szCs w:val="24"/>
          <w:lang w:val="en"/>
        </w:rPr>
        <w:fldChar w:fldCharType="end"/>
      </w:r>
      <w:r w:rsidRPr="00904879">
        <w:rPr>
          <w:rFonts w:ascii="Cambria" w:hAnsi="Cambria"/>
          <w:iCs/>
          <w:szCs w:val="24"/>
          <w:lang w:val="en"/>
        </w:rPr>
        <w:t xml:space="preserve"> show that CAR affects PDM.</w:t>
      </w:r>
    </w:p>
    <w:p w:rsidR="00C47ECA" w:rsidRPr="00904879" w:rsidRDefault="00C47ECA" w:rsidP="00C47ECA">
      <w:pPr>
        <w:spacing w:line="276" w:lineRule="auto"/>
        <w:ind w:left="0" w:hanging="2"/>
        <w:rPr>
          <w:rFonts w:ascii="Cambria" w:hAnsi="Cambria"/>
          <w:iCs/>
          <w:szCs w:val="24"/>
          <w:lang w:val="en-US"/>
        </w:rPr>
      </w:pPr>
    </w:p>
    <w:p w:rsidR="00C47ECA" w:rsidRPr="00904879" w:rsidRDefault="00C47ECA" w:rsidP="00C47ECA">
      <w:pPr>
        <w:spacing w:line="276" w:lineRule="auto"/>
        <w:ind w:left="0" w:hanging="2"/>
        <w:rPr>
          <w:rFonts w:ascii="Cambria" w:hAnsi="Cambria"/>
          <w:b/>
          <w:i/>
          <w:iCs/>
          <w:szCs w:val="24"/>
        </w:rPr>
      </w:pPr>
      <w:r w:rsidRPr="00904879">
        <w:rPr>
          <w:rFonts w:ascii="Cambria" w:hAnsi="Cambria"/>
          <w:b/>
          <w:szCs w:val="24"/>
          <w:lang w:val="en"/>
        </w:rPr>
        <w:t xml:space="preserve">Effect of </w:t>
      </w:r>
      <w:r w:rsidRPr="00904879">
        <w:rPr>
          <w:rFonts w:ascii="Cambria" w:hAnsi="Cambria"/>
          <w:b/>
          <w:i/>
          <w:iCs/>
          <w:szCs w:val="24"/>
          <w:lang w:val="en"/>
        </w:rPr>
        <w:t>Return On Assets</w:t>
      </w:r>
      <w:r w:rsidRPr="00904879">
        <w:rPr>
          <w:rFonts w:ascii="Cambria" w:hAnsi="Cambria"/>
          <w:b/>
          <w:szCs w:val="24"/>
          <w:lang w:val="en"/>
        </w:rPr>
        <w:t xml:space="preserve"> On </w:t>
      </w:r>
      <w:r w:rsidRPr="00904879">
        <w:rPr>
          <w:rFonts w:ascii="Cambria" w:hAnsi="Cambria"/>
          <w:b/>
          <w:i/>
          <w:iCs/>
          <w:szCs w:val="24"/>
          <w:lang w:val="en"/>
        </w:rPr>
        <w:t>Profit Distribution Management</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In the second hypothesis, statistically, the results of the partial test (T-test) that have been carried out obtained a t count of -5,153 &gt; t table, which is 2,055, and the resulting significance value is 0.000 &lt; 0.05. So the results show that H0 is rejected and H2 is accepted, which means that the ROA ratio significantly affects PDM.</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 xml:space="preserve">According to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10.19109/ifinance.v7i1.8406","author":[{"dropping-particle":"","family":"Arief","given":"Muhammad","non-dropping-particle":"","parse-names":false,"suffix":""},{"dropping-particle":"","family":"Lidya","given":"Rika","non-dropping-particle":"","parse-names":false,"suffix":""},{"dropping-particle":"","family":"Iqbal","given":"M.","non-dropping-particle":"","parse-names":false,"suffix":""}],"container-title":"Research Journal on Islamic Finance","id":"ITEM-1","issue":"01","issued":{"date-parts":[["2021"]]},"page":"56-70","title":"Pengaruh Suku Bunga terhadap Bagi Hasil Deposito Mudharabah dengan Mediasi ROA","type":"article-journal","volume":"07"},"uris":["http://www.mendeley.com/documents/?uuid=99725e5b-7c94-4785-a055-59bdf5397550"]}],"mendeley":{"formattedCitation":"(Arief, Lidya, &amp; Iqbal, 2021)","manualFormatting":"Arief, Lidya, &amp; Iqbal (2021)","plainTextFormattedCitation":"(Arief, Lidya, &amp; Iqbal, 2021)","previouslyFormattedCitation":"(Arief, Lidya, &amp; Iqbal, 2021)"},"properties":{"noteIndex":0},"schema":"https://github.com/citation-style-language/schema/raw/master/csl-citation.json"}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Arief, Lidya, &amp; Iqbal (2021)</w:t>
      </w:r>
      <w:r w:rsidRPr="00904879">
        <w:rPr>
          <w:rFonts w:ascii="Cambria" w:hAnsi="Cambria"/>
          <w:iCs/>
          <w:szCs w:val="24"/>
          <w:lang w:val="en"/>
        </w:rPr>
        <w:fldChar w:fldCharType="end"/>
      </w:r>
      <w:r w:rsidRPr="00904879">
        <w:rPr>
          <w:rFonts w:ascii="Cambria" w:hAnsi="Cambria"/>
          <w:iCs/>
          <w:szCs w:val="24"/>
          <w:lang w:val="en"/>
        </w:rPr>
        <w:t xml:space="preserve"> , taxes will be higher along with the increase in the ROA ratio. In this case, banks must pay taxes on the company because profits are not all placed in PDM activities only. However, banks must also fulfil obligations in other operational activities.</w:t>
      </w:r>
    </w:p>
    <w:p w:rsidR="00C47ECA" w:rsidRDefault="00C47ECA" w:rsidP="00C47ECA">
      <w:pPr>
        <w:spacing w:line="276" w:lineRule="auto"/>
        <w:ind w:left="0" w:hanging="2"/>
        <w:rPr>
          <w:rFonts w:ascii="Cambria" w:hAnsi="Cambria"/>
          <w:iCs/>
          <w:szCs w:val="24"/>
          <w:lang w:val="en"/>
        </w:rPr>
      </w:pPr>
      <w:r w:rsidRPr="00904879">
        <w:rPr>
          <w:rFonts w:ascii="Cambria" w:hAnsi="Cambria"/>
          <w:iCs/>
          <w:szCs w:val="24"/>
          <w:lang w:val="en"/>
        </w:rPr>
        <w:t xml:space="preserve">From the explanation above, it is concluded that the high ROA will tend to impact the profit distribution that customers will receive. These results are also in line with research conducted by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{"citationItems":[{"id":"ITEM-1","itemData":{"author":[{"dropping-particle":"","family":"Arafiah","given":"Lailatul","non-dropping-particle":"","parse-names":false,"suffix":""},{"dropping-particle":"","family":"Poerwati","given":"Rr. Tjahjaning","non-dropping-particle":"","parse-names":false,"suffix":""}],"container-title":"Students’ Journal Accounting and Banking","id":"ITEM-1","issue":"01","issued":{"date-parts":[["2014"]]},"title":"Faktor-faktor yang Mempengaruhi Profit Distribution Management atas Simpanan Deposan pada Bank Syariah di Indonesia Periode 2009-2012","type":"article-journal","volume":"03"},"uris":["http://www.mendeley.com/documents/?uuid=579c5aef-8d51-4f32-967b-731380f22545"]}],"mendeley":{"formattedCitation":"(Arafiah &amp; Poerwati, 2014)","manualFormatting":"Arafiah &amp; Poerwati (2014)","plainTextFormattedCitation":"(Arafiah &amp; Poerwati, 2014)","previouslyFormattedCitation":"(Arafiah &amp; Poerwati, 2014)"},"properties":{"noteIndex":0},"schema":"https://github.com/citation-style-language/schema/raw/master/csl-citation.json"}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Arafiah &amp; Poerwati (2014)</w:t>
      </w:r>
      <w:r w:rsidRPr="00904879">
        <w:rPr>
          <w:rFonts w:ascii="Cambria" w:hAnsi="Cambria"/>
          <w:iCs/>
          <w:szCs w:val="24"/>
          <w:lang w:val="en"/>
        </w:rPr>
        <w:fldChar w:fldCharType="end"/>
      </w:r>
      <w:r w:rsidRPr="00904879">
        <w:rPr>
          <w:rFonts w:ascii="Cambria" w:hAnsi="Cambria"/>
          <w:iCs/>
          <w:szCs w:val="24"/>
          <w:lang w:val="en"/>
        </w:rPr>
        <w:t xml:space="preserve"> and</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10.18551/econeurasia.2020-05","author":[{"dropping-particle":"","family":"Mismiwati","given":"","non-dropping-particle":"","parse-names":false,"suffix":""},{"dropping-particle":"","family":"Haryadi","given":"","non-dropping-particle":"","parse-names":false,"suffix":""},{"dropping-particle":"","family":"Arum","given":"Enggar Diah Puspa","non-dropping-particle":"","parse-names":false,"suffix":""},{"dropping-particle":"","family":"Lubis","given":"Tona Aurora","non-dropping-particle":"","parse-names":false,"suffix":""}],"container-title":"Eurasia: Economics &amp; Business","id":"ITEM-1","issue":"35","issued":{"date-parts":[["2020"]]},"page":"12-22","title":"Investigation Of Profit Sharing And Financial Performance to Profit Distribution Management","type":"article-journal","volume":"05"},"uris":["http://www.mendeley.com/documents/?uuid=f280615a-b204-4c28-9ddf-7fd5759f7b78"]}],"mendeley":{"formattedCitation":"(Mismiwati, Haryadi, Arum, &amp; Lubis, 2020)","manualFormatting":"Mismiwati, Haryadi, Arum, &amp; Lubis (2020)","plainTextFormattedCitation":"(Mismiwati, Haryadi, Arum, &amp; Lubis, 2020)","previouslyFormattedCitation":"(Mismiwati, Haryadi, Arum, &amp; Lubis, 2020)"},"properties":{"noteIndex":0},"schema":"https://github.com/citation-style-language/schema/raw/master/csl-citation.json"}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Mismiwati, Haryadi, Arum, &amp; Lubis (2020)</w:t>
      </w:r>
      <w:r w:rsidRPr="00904879">
        <w:rPr>
          <w:rFonts w:ascii="Cambria" w:hAnsi="Cambria"/>
          <w:iCs/>
          <w:szCs w:val="24"/>
          <w:lang w:val="en"/>
        </w:rPr>
        <w:fldChar w:fldCharType="end"/>
      </w:r>
      <w:r w:rsidRPr="00904879">
        <w:rPr>
          <w:rFonts w:ascii="Cambria" w:hAnsi="Cambria"/>
          <w:iCs/>
          <w:szCs w:val="24"/>
          <w:lang w:val="en"/>
        </w:rPr>
        <w:t xml:space="preserve"> which showed results that ROA had a significant effect on PDM.</w:t>
      </w:r>
    </w:p>
    <w:p w:rsidR="00C47ECA" w:rsidRPr="00904879" w:rsidRDefault="00C47ECA" w:rsidP="00C47ECA">
      <w:pPr>
        <w:spacing w:line="276" w:lineRule="auto"/>
        <w:ind w:left="0" w:hanging="2"/>
        <w:rPr>
          <w:rFonts w:ascii="Cambria" w:hAnsi="Cambria"/>
          <w:iCs/>
          <w:szCs w:val="24"/>
          <w:lang w:val="en-US"/>
        </w:rPr>
      </w:pPr>
    </w:p>
    <w:p w:rsidR="00C47ECA" w:rsidRPr="00904879" w:rsidRDefault="00C47ECA" w:rsidP="00C47ECA">
      <w:pPr>
        <w:spacing w:line="276" w:lineRule="auto"/>
        <w:ind w:left="0" w:hanging="2"/>
        <w:rPr>
          <w:rFonts w:ascii="Cambria" w:hAnsi="Cambria"/>
          <w:b/>
          <w:i/>
          <w:iCs/>
          <w:szCs w:val="24"/>
          <w:lang w:val="en-US"/>
        </w:rPr>
      </w:pPr>
      <w:r w:rsidRPr="00904879">
        <w:rPr>
          <w:rFonts w:ascii="Cambria" w:hAnsi="Cambria"/>
          <w:b/>
          <w:szCs w:val="24"/>
          <w:lang w:val="en"/>
        </w:rPr>
        <w:t>Effect of</w:t>
      </w:r>
      <w:r w:rsidRPr="00904879">
        <w:rPr>
          <w:rFonts w:ascii="Cambria" w:hAnsi="Cambria"/>
          <w:b/>
          <w:i/>
          <w:iCs/>
          <w:szCs w:val="24"/>
          <w:lang w:val="en"/>
        </w:rPr>
        <w:t xml:space="preserve"> Financing to Deposit Ratio</w:t>
      </w:r>
      <w:r w:rsidRPr="00904879">
        <w:rPr>
          <w:rFonts w:ascii="Cambria" w:hAnsi="Cambria"/>
          <w:b/>
          <w:szCs w:val="24"/>
          <w:lang w:val="en"/>
        </w:rPr>
        <w:t xml:space="preserve"> on</w:t>
      </w:r>
      <w:r w:rsidRPr="00904879">
        <w:rPr>
          <w:rFonts w:ascii="Cambria" w:hAnsi="Cambria"/>
          <w:b/>
          <w:i/>
          <w:iCs/>
          <w:szCs w:val="24"/>
          <w:lang w:val="en"/>
        </w:rPr>
        <w:t xml:space="preserve"> Profit Distribution Management</w:t>
      </w:r>
    </w:p>
    <w:p w:rsidR="00C47ECA" w:rsidRPr="00904879" w:rsidRDefault="00C47ECA" w:rsidP="00C47ECA">
      <w:pPr>
        <w:spacing w:line="276" w:lineRule="auto"/>
        <w:ind w:left="0" w:hanging="2"/>
        <w:rPr>
          <w:rFonts w:ascii="Cambria" w:hAnsi="Cambria"/>
          <w:iCs/>
          <w:szCs w:val="24"/>
          <w:lang w:val="en"/>
        </w:rPr>
      </w:pPr>
      <w:r w:rsidRPr="00904879">
        <w:rPr>
          <w:rFonts w:ascii="Cambria" w:hAnsi="Cambria"/>
          <w:iCs/>
          <w:szCs w:val="24"/>
          <w:lang w:val="en"/>
        </w:rPr>
        <w:lastRenderedPageBreak/>
        <w:t>In the third hypothesis, statistically, the results of the partial test (T-test) that have been carried out obtained a t count of 3,256 &gt; from the t table, which is 2,055, and the resulting significance value is 0.003 &lt; 0.05. So the results show that H0 is rejected and H3 is accepted, which means that the FDR ratio significantly affects PDM.</w:t>
      </w:r>
    </w:p>
    <w:p w:rsidR="00C47ECA" w:rsidRDefault="00C47ECA" w:rsidP="00C47ECA">
      <w:pPr>
        <w:spacing w:line="276" w:lineRule="auto"/>
        <w:ind w:left="0" w:hanging="2"/>
        <w:rPr>
          <w:rFonts w:ascii="Cambria" w:hAnsi="Cambria"/>
          <w:iCs/>
          <w:szCs w:val="24"/>
          <w:lang w:val="en"/>
        </w:rPr>
      </w:pPr>
      <w:r w:rsidRPr="00904879">
        <w:rPr>
          <w:rFonts w:ascii="Cambria" w:hAnsi="Cambria"/>
          <w:iCs/>
          <w:szCs w:val="24"/>
          <w:lang w:val="en"/>
        </w:rPr>
        <w:t xml:space="preserve">Based on the research results and explanation above, the higher the FDR shows the bank's ability to provide financing from the funds collected, the more efficient it is. So that it will influence the increase in income generated by banks, which will further increase the profit distribution (profit sharing) received by customers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{"citationItems":[{"id":"ITEM-1","itemData":{"DOI":"10.31332/lifalah.v2i2.653","author":[{"dropping-particle":"","family":"Alteza","given":"Muniya","non-dropping-particle":"","parse-names":false,"suffix":""}],"container-title":"Falah: Journal of Islamic Economics and Business Studies","id":"ITEM-1","issue":"02","issued":{"date-parts":[["2017"]]},"page":"39-55","title":"Analisis Determinan Profit Distribution Management Bank Umum Syariah Periode 2013-2016","type":"article-journal","volume":"02"},"uris":["http://www.mendeley.com/documents/?uuid=ed690e34-6792-4e43-bbac-38f1e310c237"]}],"mendeley":{"formattedCitation":"(Alteza, 2017)","plainTextFormattedCitation":"(Alteza, 2017)","previouslyFormattedCitation":"(Alteza, 2017)"},"properties":{"noteIndex":0},"schema":"https://github.com/citation-style-language/schema/raw/master/csl-citation.json"}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(Alteza, 2017)</w:t>
      </w:r>
      <w:r w:rsidRPr="00904879">
        <w:rPr>
          <w:rFonts w:ascii="Cambria" w:hAnsi="Cambria"/>
          <w:iCs/>
          <w:szCs w:val="24"/>
          <w:lang w:val="en"/>
        </w:rPr>
        <w:fldChar w:fldCharType="end"/>
      </w:r>
      <w:r w:rsidRPr="00904879">
        <w:rPr>
          <w:rFonts w:ascii="Cambria" w:hAnsi="Cambria"/>
          <w:iCs/>
          <w:szCs w:val="24"/>
          <w:lang w:val="en"/>
        </w:rPr>
        <w:t xml:space="preserve">. This study's results align with the research that has been carried out by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Muyassaroh","given":"","non-dropping-particle":"","parse-names":false,"suffix":""},{"dropping-particle":"","family":"Saputra","given":"Bambang","non-dropping-particle":"","parse-names":false,"suffix":""}],"container-title":"Jurnal Akuntansi Manajemen Madani","id":"ITEM-1","issue":"01","issued":{"date-parts":[["2015"]]},"page":"51-71","title":"Faktor-Faktor yang Mempengaruhi Profit Distribution Management Pada Bank Syariah di Indonesia Periode 2009-2013","type":"article-journal","volume":"01"},"uris":["http://www.mendeley.com/documents/?uuid=c44977c5-a211-4dd9-80fc-6d052ad1be92"]}],"mendeley":{"formattedCitation":"(Muyassaroh &amp; Saputra, 2015)","manualFormatting":"Muyassaroh &amp; Saputra (2015)","plainTextFormattedCitation":"(Muyassaroh &amp; Saputra, 2015)","previouslyFormattedCitation":"(Muyassaroh &amp; Saputra, 2015)"},"properties":{"noteIndex":0},"schema":"https://github.com/citation-style-language/schema/raw/master/csl-citation.json"}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Muyassaroh &amp; Saputra (2015)</w:t>
      </w:r>
      <w:r w:rsidRPr="00904879">
        <w:rPr>
          <w:rFonts w:ascii="Cambria" w:hAnsi="Cambria"/>
          <w:iCs/>
          <w:szCs w:val="24"/>
          <w:lang w:val="en"/>
        </w:rPr>
        <w:fldChar w:fldCharType="end"/>
      </w:r>
      <w:r w:rsidRPr="00904879">
        <w:rPr>
          <w:rFonts w:ascii="Cambria" w:hAnsi="Cambria"/>
          <w:iCs/>
          <w:szCs w:val="24"/>
          <w:lang w:val="en"/>
        </w:rPr>
        <w:t xml:space="preserve"> and</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{"citationItems":[{"id":"ITEM-1","itemData":{"DOI":"10.4108/eai.20-1-2018.2282448","author":[{"dropping-particle":"","family":"Yunita","given":"Nur Afni","non-dropping-particle":"","parse-names":false,"suffix":""},{"dropping-particle":"","family":"Yunina","given":"","non-dropping-particle":"","parse-names":false,"suffix":""},{"dropping-particle":"","family":"Mulyati","given":"Sri","non-dropping-particle":"","parse-names":false,"suffix":""},{"dropping-particle":"","family":"Khaddafi","given":"Muammar","non-dropping-particle":"","parse-names":false,"suffix":""},{"dropping-particle":"","family":"Satria","given":"Dy Ilham","non-dropping-particle":"","parse-names":false,"suffix":""},{"dropping-particle":"","family":"Albra","given":"Wahyuddin","non-dropping-particle":"","parse-names":false,"suffix":""}],"container-title":"Conference: Proceedings of the 1st Workshop on Multidisciplinary and Its Applications Part 1","id":"ITEM-1","issued":{"date-parts":[["2018"]]},"page":"19-20","publisher-place":"Aceh","title":"Factors Affecting Profit Distribution Management ofGeneral Islamic Banks In Indonesia","type":"paper-conference"},"uris":["http://www.mendeley.com/documents/?uuid=84bf62dc-3abd-4f7b-b427-38bd58661a53"]}],"mendeley":{"formattedCitation":"(Yunita et al., 2018)","manualFormatting":"Yunita et al. (2018)","plainTextFormattedCitation":"(Yunita et al., 2018)","previouslyFormattedCitation":"(Yunita et al.,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Yunita et al. </w:t>
      </w:r>
      <w:r w:rsidRPr="00904879">
        <w:rPr>
          <w:rFonts w:ascii="Cambria" w:hAnsi="Cambria"/>
          <w:lang w:val="en"/>
        </w:rPr>
        <w:t xml:space="preserve"> </w:t>
      </w:r>
      <w:r w:rsidRPr="00904879">
        <w:rPr>
          <w:rFonts w:ascii="Cambria" w:hAnsi="Cambria"/>
          <w:iCs/>
          <w:noProof/>
          <w:szCs w:val="24"/>
          <w:lang w:val="en"/>
        </w:rPr>
        <w:t>(2018)</w:t>
      </w:r>
      <w:r w:rsidRPr="00904879">
        <w:rPr>
          <w:rFonts w:ascii="Cambria" w:hAnsi="Cambria"/>
          <w:iCs/>
          <w:szCs w:val="24"/>
          <w:lang w:val="en"/>
        </w:rPr>
        <w:fldChar w:fldCharType="end"/>
      </w:r>
      <w:r w:rsidRPr="00904879">
        <w:rPr>
          <w:rFonts w:ascii="Cambria" w:hAnsi="Cambria"/>
          <w:iCs/>
          <w:szCs w:val="24"/>
          <w:lang w:val="en"/>
        </w:rPr>
        <w:t xml:space="preserve"> , which shows that FDR's ratio has a significant effect on PDM. However,</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{"citationItems":[{"id":"ITEM-1","itemData":{"DOI":"10.18502/kss.v3i26.538","author":[{"dropping-particle":"","family":"Mais","given":"Rimi Gusliana","non-dropping-particle":"","parse-names":false,"suffix":""},{"dropping-particle":"","family":"Hendrawati","given":"","non-dropping-particle":"","parse-names":false,"suffix":""},{"dropping-particle":"","family":"Putra","given":"Herry Eka","non-dropping-particle":"","parse-names":false,"suffix":""}],"container-title":"ICEMA: International Conference on Economics, Management, and Accounting Volume 2019","id":"ITEM-1","issued":{"date-parts":[["2019"]]},"title":"Factors Affecting Profit DistributionManagement in Sharia Banks in Indonesia","type":"paper-conference"},"uris":["http://www.mendeley.com/documents/?uuid=35cc362d-7869-41ac-a83b-4d20c969bbee"]}],"mendeley":{"formattedCitation":"(Mais, Hendrawati, &amp; Putra, 2019)","manualFormatting":"Mais, Hendrawati, &amp; Putra (2019)","plainTextFormattedCitation":"(Mais, Hendrawati, &amp; Putra, 2019)","previouslyFormattedCitation":"(Mais, Hendrawati, &amp; Putra,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Mais, Hendrawati, &amp; Putra (2019)</w:t>
      </w:r>
      <w:r w:rsidRPr="00904879">
        <w:rPr>
          <w:rFonts w:ascii="Cambria" w:hAnsi="Cambria"/>
          <w:iCs/>
          <w:szCs w:val="24"/>
          <w:lang w:val="en"/>
        </w:rPr>
        <w:fldChar w:fldCharType="end"/>
      </w:r>
      <w:r w:rsidRPr="00904879">
        <w:rPr>
          <w:rFonts w:ascii="Cambria" w:hAnsi="Cambria"/>
          <w:iCs/>
          <w:szCs w:val="24"/>
          <w:lang w:val="en"/>
        </w:rPr>
        <w:t xml:space="preserve"> research shows that FDR does not affect PDM.</w:t>
      </w:r>
    </w:p>
    <w:p w:rsidR="00C47ECA" w:rsidRPr="00904879" w:rsidRDefault="00C47ECA" w:rsidP="00C47ECA">
      <w:pPr>
        <w:spacing w:line="276" w:lineRule="auto"/>
        <w:ind w:left="0" w:hanging="2"/>
        <w:rPr>
          <w:rFonts w:ascii="Cambria" w:hAnsi="Cambria"/>
          <w:iCs/>
          <w:szCs w:val="24"/>
        </w:rPr>
      </w:pPr>
    </w:p>
    <w:p w:rsidR="00C47ECA" w:rsidRPr="00904879" w:rsidRDefault="00C47ECA" w:rsidP="00C47ECA">
      <w:pPr>
        <w:spacing w:line="276" w:lineRule="auto"/>
        <w:ind w:left="0" w:hanging="2"/>
        <w:rPr>
          <w:rFonts w:ascii="Cambria" w:hAnsi="Cambria"/>
          <w:b/>
          <w:i/>
          <w:iCs/>
          <w:szCs w:val="24"/>
          <w:lang w:val="en-US"/>
        </w:rPr>
      </w:pPr>
      <w:r w:rsidRPr="00904879">
        <w:rPr>
          <w:rFonts w:ascii="Cambria" w:hAnsi="Cambria"/>
          <w:b/>
          <w:szCs w:val="24"/>
          <w:lang w:val="en"/>
        </w:rPr>
        <w:t>Effect of</w:t>
      </w:r>
      <w:r w:rsidRPr="00904879">
        <w:rPr>
          <w:rFonts w:ascii="Cambria" w:hAnsi="Cambria"/>
          <w:b/>
          <w:i/>
          <w:iCs/>
          <w:szCs w:val="24"/>
          <w:lang w:val="en"/>
        </w:rPr>
        <w:t xml:space="preserve"> Non Performing Financing </w:t>
      </w:r>
      <w:r w:rsidRPr="00904879">
        <w:rPr>
          <w:rFonts w:ascii="Cambria" w:hAnsi="Cambria"/>
          <w:b/>
          <w:szCs w:val="24"/>
          <w:lang w:val="en"/>
        </w:rPr>
        <w:t>on</w:t>
      </w:r>
      <w:r w:rsidRPr="00904879">
        <w:rPr>
          <w:rFonts w:ascii="Cambria" w:hAnsi="Cambria"/>
          <w:b/>
          <w:i/>
          <w:iCs/>
          <w:szCs w:val="24"/>
          <w:lang w:val="en"/>
        </w:rPr>
        <w:t xml:space="preserve"> Profit Distribution Management</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In the fourth hypothesis, statistically, the results of the partial test (T-Test) that has been carried out obtained a t count of -1,472 &lt; from the t table, which is 2,055, and the resulting significance value is 0.155 &gt; 0.05. So the results show that H0 is accepted and H4 is rejected, which means that the NPF ratio has no significant effect on PDM.</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From these results and explanations, it is stated that according to Bank Indonesia in Bank Indonesia Circular Letter No.6/23/DPNP dated May 31, 2004, the criteria for an ideal NPL ratio of less than 6%</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{"citationItems":[{"id":"ITEM-1","itemData":{"DOI":"10.34202/imanensi.1.1.2013.31-41","author":[{"dropping-particle":"","family":"Mulyo","given":"Gagat Panggah","non-dropping-particle":"","parse-names":false,"suffix":""},{"dropping-particle":"","family":"Mutmainah","given":"Siti","non-dropping-particle":"","parse-names":false,"suffix":""}],"container-title":"Imanensi: Jurnal Ekonomi, Manajemen, dan Akuntansi Islam","id":"ITEM-1","issue":"01","issued":{"date-parts":[["2013"]]},"page":"31-41","title":"Determinan Profit Distribution Management Bank Syariah di Indonesia Periode 2008- 2011","type":"article-journal","volume":"01"},"uris":["http://www.mendeley.com/documents/?uuid=272b0cd2-9417-441b-96da-d489f620b5f4"]}],"mendeley":{"formattedCitation":"(Mulyo &amp; Mutmainah, 2013)","plainTextFormattedCitation":"(Mulyo &amp; Mutmainah, 2013)","previouslyFormattedCitation":"(Mulyo &amp; Mutmainah, 2013)"},"properties":{"noteIndex":0},"schema":"https://github.com/citation-style-language/schema/raw/master/csl-citation.json"}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(Mulyo &amp; Mutmainah, 2013)</w:t>
      </w:r>
      <w:r w:rsidRPr="00904879">
        <w:rPr>
          <w:rFonts w:ascii="Cambria" w:hAnsi="Cambria"/>
          <w:iCs/>
          <w:szCs w:val="24"/>
          <w:lang w:val="en"/>
        </w:rPr>
        <w:fldChar w:fldCharType="end"/>
      </w:r>
      <w:r w:rsidRPr="00904879">
        <w:rPr>
          <w:rFonts w:ascii="Cambria" w:hAnsi="Cambria"/>
          <w:iCs/>
          <w:szCs w:val="24"/>
          <w:lang w:val="en"/>
        </w:rPr>
        <w:t>. Table 1 of the descriptive statistical analysis test shows that the average NPF value is at a value of 3.51%, which means that the value has met the criteria of Bank Indonesia.</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 xml:space="preserve">According to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{"citationItems":[{"id":"ITEM-1","itemData":{"author":[{"dropping-particle":"","family":"Safitri","given":"Friska Ayu","non-dropping-particle":"","parse-names":false,"suffix":""}],"container-title":"Jurnal Ilmiah Mahasiswa FEB Umiversitas Brawijaya","id":"ITEM-1","issue":"02","issued":{"date-parts":[["2021"]]},"page":"1-14","title":"Analisa Faktor yang Mempengaruhi Manajemen Distribusi Keuntungan Bank Umum Syariah Indonesia","type":"article-journal","volume":"09"},"uris":["http://www.mendeley.com/documents/?uuid=ea4f5052-4317-4aa6-bde3-4ec1ff630360"]}],"mendeley":{"formattedCitation":"(Safitri, 2021)","manualFormatting":"Safitri (2021)","plainTextFormattedCitation":"(Safitri, 2021)","previouslyFormattedCitation":"(Safitri, 2021)"},"properties":{"noteIndex":0},"schema":"https://github.com/citation-style-language/schema/raw/master/csl-citation.json"}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Safitri (2021),</w:t>
      </w:r>
      <w:r w:rsidRPr="00904879">
        <w:rPr>
          <w:rFonts w:ascii="Cambria" w:hAnsi="Cambria"/>
          <w:iCs/>
          <w:szCs w:val="24"/>
          <w:lang w:val="en"/>
        </w:rPr>
        <w:fldChar w:fldCharType="end"/>
      </w:r>
      <w:r w:rsidRPr="00904879">
        <w:rPr>
          <w:rFonts w:ascii="Cambria" w:hAnsi="Cambria"/>
          <w:iCs/>
          <w:szCs w:val="24"/>
          <w:lang w:val="en"/>
        </w:rPr>
        <w:t xml:space="preserve"> , banks are pretty good at providing financing to their customers while remaining prudent. The reserves owned by Bank Muamalat Indonesia are also reasonable. They have carried out a risk analysis that the problem will not change the amount of Profit Distribution Management (PDM) produced. So, the high and low NPF value is not a benchmark for the increase in PDM activity by the concerned bank manager.</w:t>
      </w:r>
    </w:p>
    <w:p w:rsidR="00C47ECA" w:rsidRDefault="00C47ECA" w:rsidP="00C47ECA">
      <w:pPr>
        <w:spacing w:line="276" w:lineRule="auto"/>
        <w:ind w:left="0" w:hanging="2"/>
        <w:rPr>
          <w:rFonts w:ascii="Cambria" w:hAnsi="Cambria"/>
          <w:iCs/>
          <w:szCs w:val="24"/>
          <w:lang w:val="en"/>
        </w:rPr>
      </w:pPr>
      <w:r w:rsidRPr="00904879">
        <w:rPr>
          <w:rFonts w:ascii="Cambria" w:hAnsi="Cambria"/>
          <w:iCs/>
          <w:szCs w:val="24"/>
          <w:lang w:val="en"/>
        </w:rPr>
        <w:t xml:space="preserve">The explanation of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{"citationItems":[{"id":"ITEM-1","itemData":{"DOI":"10.34202/imanensi.1.1.2013.31-41","author":[{"dropping-particle":"","family":"Mulyo","given":"Gagat Panggah","non-dropping-particle":"","parse-names":false,"suffix":""},{"dropping-particle":"","family":"Mutmainah","given":"Siti","non-dropping-particle":"","parse-names":false,"suffix":""}],"container-title":"Imanensi: Jurnal Ekonomi, Manajemen, dan Akuntansi Islam","id":"ITEM-1","issue":"01","issued":{"date-parts":[["2013"]]},"page":"31-41","title":"Determinan Profit Distribution Management Bank Syariah di Indonesia Periode 2008- 2011","type":"article-journal","volume":"01"},"uris":["http://www.mendeley.com/documents/?uuid=272b0cd2-9417-441b-96da-d489f620b5f4"]}],"mendeley":{"formattedCitation":"(Mulyo &amp; Mutmainah, 2013)","manualFormatting":"Mulyo &amp; Mutmainah (2013)","plainTextFormattedCitation":"(Mulyo &amp; Mutmainah, 2013)","previouslyFormattedCitation":"(Mulyo &amp; Mutmainah, 2013)"},"properties":{"noteIndex":0},"schema":"https://github.com/citation-style-language/schema/raw/master/csl-citation.json"}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Mulyo &amp; Mutmainah (2013)</w:t>
      </w:r>
      <w:r w:rsidRPr="00904879">
        <w:rPr>
          <w:rFonts w:ascii="Cambria" w:hAnsi="Cambria"/>
          <w:iCs/>
          <w:szCs w:val="24"/>
          <w:lang w:val="en"/>
        </w:rPr>
        <w:fldChar w:fldCharType="end"/>
      </w:r>
      <w:r w:rsidRPr="00904879">
        <w:rPr>
          <w:rFonts w:ascii="Cambria" w:hAnsi="Cambria"/>
          <w:iCs/>
          <w:szCs w:val="24"/>
          <w:lang w:val="en"/>
        </w:rPr>
        <w:t xml:space="preserve"> , who said the low value of NPF will increase income so that the profit obtained increases and the level of profit sharing given increases, is not following the research results obtained. According to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{"citationItems":[{"id":"ITEM-1","itemData":{"author":[{"dropping-particle":"","family":"Ambarwati","given":"Cindy Triyas","non-dropping-particle":"","parse-names":false,"suffix":""},{"dropping-particle":"","family":"Veterina","given":"Isbandini","non-dropping-particle":"","parse-names":false,"suffix":""}],"container-title":"Serambi: Jurnal Ekonomi Manajemen dan Bisnis Islam","id":"ITEM-1","issue":"03","issued":{"date-parts":[["2021"]]},"page":"185-196","title":"Faktor-faktor yang Mempengaruhi Profit Distribution Management: Studi Empiris pada Bank Umum Syariah di Tiga Negara ASEAN Periode 2016 Q1 - 2021 Q2","type":"article-journal","volume":"03"},"uris":["http://www.mendeley.com/documents/?uuid=43e18230-40a4-42c1-93ac-99431d89cd8a"]}],"mendeley":{"formattedCitation":"(Ambarwati &amp; Veterina, 2021)","manualFormatting":"Ambarwati &amp; Veterina (2021)","plainTextFormattedCitation":"(Ambarwati &amp; Veterina, 2021)","previouslyFormattedCitation":"(Ambarwati &amp; Veterina, 2021)"},"properties":{"noteIndex":0},"schema":"https://github.com/citation-style-language/schema/raw/master/csl-citation.json"}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Ambarwati &amp; Veterina (2021)</w:t>
      </w:r>
      <w:r w:rsidRPr="00904879">
        <w:rPr>
          <w:rFonts w:ascii="Cambria" w:hAnsi="Cambria"/>
          <w:iCs/>
          <w:szCs w:val="24"/>
          <w:lang w:val="en"/>
        </w:rPr>
        <w:fldChar w:fldCharType="end"/>
      </w:r>
      <w:r w:rsidRPr="00904879">
        <w:rPr>
          <w:rFonts w:ascii="Cambria" w:hAnsi="Cambria"/>
          <w:iCs/>
          <w:szCs w:val="24"/>
          <w:lang w:val="en"/>
        </w:rPr>
        <w:t xml:space="preserve"> , the NPF level is still ideal and does not make NPF affect Profit Distribution Management (PDM). The results of this study are in line with the research that has been carried out by</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{"citationItems":[{"id":"ITEM-1","itemData":{"author":[{"dropping-particle":"","family":"Ambarwati","given":"Cindy Triyas","non-dropping-particle":"","parse-names":false,"suffix":""},{"dropping-particle":"","family":"Veterina","given":"Isbandini","non-dropping-particle":"","parse-names":false,"suffix":""}],"container-title":"Serambi: Jurnal Ekonomi Manajemen dan Bisnis Islam","id":"ITEM-1","issue":"03","issued":{"date-parts":[["2021"]]},"page":"185-196","title":"Faktor-faktor yang Mempengaruhi Profit Distribution Management: Studi Empiris pada Bank Umum Syariah di Tiga Negara ASEAN Periode 2016 Q1 - 2021 Q2","type":"article-journal","volume":"03"},"uris":["http://www.mendeley.com/documents/?uuid=43e18230-40a4-42c1-93ac-99431d89cd8a"]}],"mendeley":{"formattedCitation":"(Ambarwati &amp; Veterina, 2021)","manualFormatting":"Ambarwati &amp; Veterina, (2021)","plainTextFormattedCitation":"(Ambarwati &amp; Veterina, 2021)","previouslyFormattedCitation":"(Ambarwati &amp; Veterina, 2021)"},"properties":{"noteIndex":0},"schema":"https://github.com/citation-style-language/schema/raw/master/csl-citation.json"}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Ambarwati &amp; Veterina, (2021)</w:t>
      </w:r>
      <w:r w:rsidRPr="00904879">
        <w:rPr>
          <w:rFonts w:ascii="Cambria" w:hAnsi="Cambria"/>
          <w:iCs/>
          <w:szCs w:val="24"/>
          <w:lang w:val="en"/>
        </w:rPr>
        <w:fldChar w:fldCharType="end"/>
      </w:r>
      <w:r w:rsidRPr="00904879">
        <w:rPr>
          <w:rFonts w:ascii="Cambria" w:hAnsi="Cambria"/>
          <w:iCs/>
          <w:szCs w:val="24"/>
          <w:lang w:val="en"/>
        </w:rPr>
        <w:t xml:space="preserve"> and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{"citationItems":[{"id":"ITEM-1","itemData":{"DOI":"10.35448/jiec.v2i1.3415","author":[{"dropping-particle":"","family":"Aprilianto","given":"Arief Supri","non-dropping-particle":"","parse-names":false,"suffix":""},{"dropping-particle":"","family":"Badina","given":"Tenny","non-dropping-particle":"","parse-names":false,"suffix":""},{"dropping-particle":"","family":"Ma’zumi","given":"","non-dropping-particle":"","parse-names":false,"suffix":""}],"container-title":"Syi’ar Iqtishadi: Journal of Islamic Economics, Finance and Banking","id":"ITEM-1","issue":"01","issued":{"date-parts":[["2018"]]},"page":"45-58","title":"Determinants of Profit Management","type":"article-journal","volume":"02"},"uris":["http://www.mendeley.com/documents/?uuid=47148f21-13e9-4005-a2e9-9921ee356592"]}],"mendeley":{"formattedCitation":"(Aprilianto et al., 2018)","manualFormatting":"Aprilianto et al. (2018)","plainTextFormattedCitation":"(Aprilianto et al., 2018)","previouslyFormattedCitation":"(Aprilianto et al.,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Aprilianto et al. </w:t>
      </w:r>
      <w:r w:rsidRPr="00904879">
        <w:rPr>
          <w:rFonts w:ascii="Cambria" w:hAnsi="Cambria"/>
          <w:lang w:val="en"/>
        </w:rPr>
        <w:t xml:space="preserve"> </w:t>
      </w:r>
      <w:r w:rsidRPr="00904879">
        <w:rPr>
          <w:rFonts w:ascii="Cambria" w:hAnsi="Cambria"/>
          <w:iCs/>
          <w:noProof/>
          <w:szCs w:val="24"/>
          <w:lang w:val="en"/>
        </w:rPr>
        <w:t>(2018)</w:t>
      </w:r>
      <w:r w:rsidRPr="00904879">
        <w:rPr>
          <w:rFonts w:ascii="Cambria" w:hAnsi="Cambria"/>
          <w:iCs/>
          <w:szCs w:val="24"/>
          <w:lang w:val="en"/>
        </w:rPr>
        <w:fldChar w:fldCharType="end"/>
      </w:r>
      <w:r w:rsidRPr="00904879">
        <w:rPr>
          <w:rFonts w:ascii="Cambria" w:hAnsi="Cambria"/>
          <w:iCs/>
          <w:szCs w:val="24"/>
          <w:lang w:val="en"/>
        </w:rPr>
        <w:t xml:space="preserve">, which showed the result that the </w:t>
      </w:r>
      <w:r w:rsidRPr="00904879">
        <w:rPr>
          <w:rFonts w:ascii="Cambria" w:hAnsi="Cambria"/>
          <w:iCs/>
          <w:szCs w:val="24"/>
          <w:lang w:val="en"/>
        </w:rPr>
        <w:lastRenderedPageBreak/>
        <w:t xml:space="preserve">NPF ratio had no significant effect on PDM. However,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{"citationItems":[{"id":"ITEM-1","itemData":{"DOI":"10.18502/kss.v3i26.538","author":[{"dropping-particle":"","family":"Mais","given":"Rimi Gusliana","non-dropping-particle":"","parse-names":false,"suffix":""},{"dropping-particle":"","family":"Hendrawati","given":"","non-dropping-particle":"","parse-names":false,"suffix":""},{"dropping-particle":"","family":"Putra","given":"Herry Eka","non-dropping-particle":"","parse-names":false,"suffix":""}],"container-title":"ICEMA: International Conference on Economics, Management, and Accounting Volume 2019","id":"ITEM-1","issued":{"date-parts":[["2019"]]},"title":"Factors Affecting Profit DistributionManagement in Sharia Banks in Indonesia","type":"paper-conference"},"uris":["http://www.mendeley.com/documents/?uuid=35cc362d-7869-41ac-a83b-4d20c969bbee"]}],"mendeley":{"formattedCitation":"(Mais et al., 2019)","manualFormatting":"Mais, Hendrawati, &amp; Putra (2019)","plainTextFormattedCitation":"(Mais et al., 2019)","previouslyFormattedCitation":"(Mais et al.,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Mais, Hendrawati, &amp; Putra (2019)</w:t>
      </w:r>
      <w:r w:rsidRPr="00904879">
        <w:rPr>
          <w:rFonts w:ascii="Cambria" w:hAnsi="Cambria"/>
          <w:iCs/>
          <w:szCs w:val="24"/>
          <w:lang w:val="en"/>
        </w:rPr>
        <w:fldChar w:fldCharType="end"/>
      </w:r>
      <w:r w:rsidRPr="00904879">
        <w:rPr>
          <w:rFonts w:ascii="Cambria" w:hAnsi="Cambria"/>
          <w:iCs/>
          <w:szCs w:val="24"/>
          <w:lang w:val="en"/>
        </w:rPr>
        <w:t xml:space="preserve"> research shows that NPF affects  PDM.</w:t>
      </w:r>
    </w:p>
    <w:p w:rsidR="00C47ECA" w:rsidRPr="00904879" w:rsidRDefault="00C47ECA" w:rsidP="00C47ECA">
      <w:pPr>
        <w:spacing w:line="276" w:lineRule="auto"/>
        <w:ind w:left="0" w:hanging="2"/>
        <w:rPr>
          <w:rFonts w:ascii="Cambria" w:hAnsi="Cambria"/>
          <w:iCs/>
          <w:szCs w:val="24"/>
          <w:lang w:val="en-US"/>
        </w:rPr>
      </w:pPr>
    </w:p>
    <w:p w:rsidR="00C47ECA" w:rsidRPr="00904879" w:rsidRDefault="00C47ECA" w:rsidP="00C47ECA">
      <w:pPr>
        <w:spacing w:line="276" w:lineRule="auto"/>
        <w:ind w:left="0" w:hanging="2"/>
        <w:rPr>
          <w:rFonts w:ascii="Cambria" w:hAnsi="Cambria"/>
          <w:b/>
          <w:i/>
          <w:iCs/>
          <w:szCs w:val="24"/>
          <w:lang w:val="en-US"/>
        </w:rPr>
      </w:pPr>
      <w:r w:rsidRPr="00904879">
        <w:rPr>
          <w:rFonts w:ascii="Cambria" w:hAnsi="Cambria"/>
          <w:b/>
          <w:szCs w:val="24"/>
          <w:lang w:val="en"/>
        </w:rPr>
        <w:t>The Effect of Operating Income Operating Costs on</w:t>
      </w:r>
      <w:r w:rsidRPr="00904879">
        <w:rPr>
          <w:rFonts w:ascii="Cambria" w:hAnsi="Cambria"/>
          <w:b/>
          <w:i/>
          <w:iCs/>
          <w:szCs w:val="24"/>
          <w:lang w:val="en"/>
        </w:rPr>
        <w:t xml:space="preserve"> Profit Distribution Management</w:t>
      </w:r>
    </w:p>
    <w:p w:rsidR="00C47ECA" w:rsidRPr="00904879" w:rsidRDefault="00C47ECA" w:rsidP="00C47ECA">
      <w:pPr>
        <w:spacing w:line="276" w:lineRule="auto"/>
        <w:ind w:left="0" w:hanging="2"/>
        <w:rPr>
          <w:rFonts w:ascii="Cambria" w:hAnsi="Cambria"/>
          <w:iCs/>
          <w:szCs w:val="24"/>
          <w:lang w:val="en"/>
        </w:rPr>
      </w:pPr>
      <w:r w:rsidRPr="00904879">
        <w:rPr>
          <w:rFonts w:ascii="Cambria" w:hAnsi="Cambria"/>
          <w:iCs/>
          <w:szCs w:val="24"/>
          <w:lang w:val="en"/>
        </w:rPr>
        <w:t>In the fifth hypothesis, statistically, the results of the partial test (T-test) that was carried out obtained a t count of 1,281 &lt; from the t table of 2,055 and the resulting significance value of 0.213 &gt; 0.05. So the results show that H0 is accepted and H5 is rejected, which means that the BOPO ratio has no significant effect on PDM.</w:t>
      </w:r>
    </w:p>
    <w:p w:rsidR="00C47ECA" w:rsidRPr="00904879" w:rsidRDefault="00C47ECA" w:rsidP="00C47ECA">
      <w:pPr>
        <w:spacing w:line="276" w:lineRule="auto"/>
        <w:ind w:left="0" w:hanging="2"/>
        <w:rPr>
          <w:rFonts w:ascii="Cambria" w:hAnsi="Cambria"/>
          <w:iCs/>
          <w:szCs w:val="24"/>
        </w:rPr>
      </w:pPr>
      <w:r w:rsidRPr="00904879">
        <w:rPr>
          <w:rFonts w:ascii="Cambria" w:hAnsi="Cambria"/>
          <w:iCs/>
          <w:szCs w:val="24"/>
          <w:lang w:val="en"/>
        </w:rPr>
        <w:t>From the results and explanations above, the cause of the BOPO ratio did not have a significant influence because the value of the average BOPO ratio contained in table 1 of the descriptive statistical analysis in this study showed a relatively high value of 97.03%, which exceeded 90% and was close to the value of 100%. It shows the bank's low ability to manage the source of funds and assets it has to make a profit.</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10.2991/piceeba2-18.2019.55","author":[{"dropping-particle":"","family":"Andesfa","given":"Debby","non-dropping-particle":"","parse-names":false,"suffix":""},{"dropping-particle":"","family":"Masdupi","given":"Erni","non-dropping-particle":"","parse-names":false,"suffix":""}],"container-title":"Proceedings of the 2nd Padang International Conference on Education, Economics, Business and Accounting (PICEEBA-2 2018)","id":"ITEM-1","issued":{"date-parts":[["2019"]]},"publisher":"Atlantis Press","title":"Effect of Financial Ratio on Profitability of Comercial Banks; a Systematic Literature Review","type":"paper-conference"},"uris":["http://www.mendeley.com/documents/?uuid=57d5ce1a-207d-4b9d-8f81-e6274cace596"]}],"mendeley":{"formattedCitation":"(Andesfa &amp; Masdupi, 2019)","manualFormatting":"Andesfa &amp; Masdupi (2019)","plainTextFormattedCitation":"(Andesfa &amp; Masdupi, 2019)"},"properties":{"noteIndex":0},"schema":"https://github.com/citation-style-language/schema/raw/master/csl-citation.json"}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Andesfa &amp; Masdupi (2019)</w:t>
      </w:r>
      <w:r w:rsidRPr="00904879">
        <w:rPr>
          <w:rFonts w:ascii="Cambria" w:hAnsi="Cambria"/>
          <w:lang w:val="en"/>
        </w:rPr>
        <w:t xml:space="preserve"> </w:t>
      </w:r>
      <w:r w:rsidRPr="00904879">
        <w:rPr>
          <w:rFonts w:ascii="Cambria" w:hAnsi="Cambria"/>
          <w:iCs/>
          <w:szCs w:val="24"/>
          <w:lang w:val="en"/>
        </w:rPr>
        <w:fldChar w:fldCharType="end"/>
      </w:r>
      <w:r w:rsidRPr="00904879">
        <w:rPr>
          <w:rFonts w:ascii="Cambria" w:hAnsi="Cambria"/>
        </w:rPr>
        <w:t xml:space="preserve"> </w:t>
      </w:r>
      <w:r w:rsidRPr="00904879">
        <w:rPr>
          <w:rFonts w:ascii="Cambria" w:hAnsi="Cambria"/>
          <w:iCs/>
          <w:szCs w:val="24"/>
          <w:lang w:val="en"/>
        </w:rPr>
        <w:t xml:space="preserve">stated that if this ratio shows a figure exceeding 90% to close to 100%, the bank shows performance with very low efficiency in obtaining received profits. </w:t>
      </w:r>
    </w:p>
    <w:p w:rsidR="00C47ECA" w:rsidRPr="00904879" w:rsidRDefault="00C47ECA" w:rsidP="00C47ECA">
      <w:pPr>
        <w:spacing w:line="276" w:lineRule="auto"/>
        <w:ind w:left="0" w:hanging="2"/>
        <w:rPr>
          <w:rFonts w:ascii="Cambria" w:hAnsi="Cambria"/>
          <w:iCs/>
          <w:szCs w:val="24"/>
          <w:lang w:val="en-US"/>
        </w:rPr>
      </w:pP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{"citationItems":[{"id":"ITEM-1","itemData":{"DOI":"10.31332/lifalah.v2i2.653","author":[{"dropping-particle":"","family":"Alteza","given":"Muniya","non-dropping-particle":"","parse-names":false,"suffix":""}],"container-title":"Falah: Journal of Islamic Economics and Business Studies","id":"ITEM-1","issue":"02","issued":{"date-parts":[["2017"]]},"page":"39-55","title":"Analisis Determinan Profit Distribution Management Bank Umum Syariah Periode 2013-2016","type":"article-journal","volume":"02"},"uris":["http://www.mendeley.com/documents/?uuid=ed690e34-6792-4e43-bbac-38f1e310c237"]}],"mendeley":{"formattedCitation":"(Alteza, 2017)","manualFormatting":"Alteza (2017)","plainTextFormattedCitation":"(Alteza, 2017)","previouslyFormattedCitation":"(Alteza, 2017)"},"properties":{"noteIndex":0},"schema":"https://github.com/citation-style-language/schema/raw/master/csl-citation.json"}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Alteza (2017)</w:t>
      </w:r>
      <w:r w:rsidRPr="00904879">
        <w:rPr>
          <w:rFonts w:ascii="Cambria" w:hAnsi="Cambria"/>
          <w:lang w:val="en"/>
        </w:rPr>
        <w:t xml:space="preserve"> </w:t>
      </w:r>
      <w:r w:rsidRPr="00904879">
        <w:rPr>
          <w:rFonts w:ascii="Cambria" w:hAnsi="Cambria"/>
          <w:iCs/>
          <w:szCs w:val="24"/>
          <w:lang w:val="en"/>
        </w:rPr>
        <w:fldChar w:fldCharType="end"/>
      </w:r>
      <w:r w:rsidRPr="00904879">
        <w:rPr>
          <w:rFonts w:ascii="Cambria" w:hAnsi="Cambria"/>
        </w:rPr>
        <w:t xml:space="preserve"> </w:t>
      </w:r>
      <w:r w:rsidRPr="00904879">
        <w:rPr>
          <w:rFonts w:ascii="Cambria" w:hAnsi="Cambria"/>
          <w:iCs/>
          <w:szCs w:val="24"/>
          <w:lang w:val="en"/>
        </w:rPr>
        <w:t xml:space="preserve">revealed that if the financing is high while the profit sharing is low, it can motivate the manager to carry out high-Profit Distribution Management. However, it will not be able to be done, seeing that it will be challenging to face the possible risks that will be caused. This study's results align with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{"citationItems":[{"id":"ITEM-1","itemData":{"DOI":"10.19109/nurani.v18i1.1920","author":[{"dropping-particle":"","family":"Mismiwati","given":"","non-dropping-particle":"","parse-names":false,"suffix":""}],"container-title":"Nurani: Jurnal Kajian Syariah dan Masyarakat","id":"ITEM-1","issue":"01","issued":{"date-parts":[["2018"]]},"page":"19-34","title":"Bank Internal Factors and Profit Distribution Management of Syariah Banks in Indonesia","type":"article-journal","volume":"18"},"uris":["http://www.mendeley.com/documents/?uuid=c9a6fbd3-b316-4757-ba60-50f719fd4692"]}],"mendeley":{"formattedCitation":"(Mismiwati, 2018)","manualFormatting":"Mismiwati (2018)","plainTextFormattedCitation":"(Mismiwati, 2018)","previouslyFormattedCitation":"(Mismiwati, 2018)"},"properties":{"noteIndex":0},"schema":"https://github.com/citation-style-language/schema/raw/master/csl-citation.json"}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Mismiwati (2018)</w:t>
      </w:r>
      <w:r w:rsidRPr="00904879">
        <w:rPr>
          <w:rFonts w:ascii="Cambria" w:hAnsi="Cambria"/>
          <w:iCs/>
          <w:szCs w:val="24"/>
          <w:lang w:val="en"/>
        </w:rPr>
        <w:fldChar w:fldCharType="end"/>
      </w:r>
      <w:r w:rsidRPr="00904879">
        <w:rPr>
          <w:rFonts w:ascii="Cambria" w:hAnsi="Cambria"/>
          <w:iCs/>
          <w:szCs w:val="24"/>
          <w:lang w:val="en"/>
        </w:rPr>
        <w:t xml:space="preserve"> which shows that the BOPO ratio has no significant effect on PDM. However, </w:t>
      </w:r>
      <w:r w:rsidRPr="00904879">
        <w:rPr>
          <w:rFonts w:ascii="Cambria" w:hAnsi="Cambria"/>
          <w:iCs/>
          <w:szCs w:val="24"/>
          <w:lang w:val="en"/>
        </w:rPr>
        <w:fldChar w:fldCharType="begin" w:fldLock="1"/>
      </w:r>
      <w:r w:rsidRPr="00904879">
        <w:rPr>
          <w:rFonts w:ascii="Cambria" w:hAnsi="Cambria"/>
          <w:iCs/>
          <w:szCs w:val="24"/>
          <w:lang w:val="en"/>
        </w:rPr>
        <w:instrText>ADDIN CSL_CITATION {"citationItems":[{"id":"ITEM-1","itemData":{"author":[{"dropping-particle":"","family":"Nengsih","given":"Sri Wida","non-dropping-particle":"","parse-names":false,"suffix":""}],"container-title":"Prisma: Platform Riset Mahasiswa Akuntansi","id":"ITEM-1","issue":"06","issued":{"date-parts":[["2020"]]},"page":"15-25","title":"Faktor-Faktor yang Mempengaruhi Profit Distribution Management pada BPR Syariah di Indonesia Periode 2017-2019","type":"article-journal","volume":"01"},"uris":["http://www.mendeley.com/documents/?uuid=2649a6c0-3b30-48e3-8301-4f1e66f0000e"]}],"mendeley":{"formattedCitation":"(Nengsih, 2020)","manualFormatting":"Nengsih (2020)","plainTextFormattedCitation":"(Nengsih, 2020)","previouslyFormattedCitation":"(Nengsih, 2020)"},"properties":{"noteIndex":0},"schema":"https://github.com/citation-style-language/schema/raw/master/csl-citation.json"}</w:instrText>
      </w:r>
      <w:r w:rsidRPr="00904879">
        <w:rPr>
          <w:rFonts w:ascii="Cambria" w:hAnsi="Cambria"/>
          <w:iCs/>
          <w:szCs w:val="24"/>
          <w:lang w:val="en"/>
        </w:rPr>
        <w:fldChar w:fldCharType="separate"/>
      </w:r>
      <w:r w:rsidRPr="00904879">
        <w:rPr>
          <w:rFonts w:ascii="Cambria" w:hAnsi="Cambria"/>
          <w:iCs/>
          <w:noProof/>
          <w:szCs w:val="24"/>
          <w:lang w:val="en"/>
        </w:rPr>
        <w:t xml:space="preserve"> Nengsih (2020)</w:t>
      </w:r>
      <w:r w:rsidRPr="00904879">
        <w:rPr>
          <w:rFonts w:ascii="Cambria" w:hAnsi="Cambria"/>
          <w:iCs/>
          <w:szCs w:val="24"/>
          <w:lang w:val="en"/>
        </w:rPr>
        <w:fldChar w:fldCharType="end"/>
      </w:r>
      <w:r w:rsidRPr="00904879">
        <w:rPr>
          <w:rFonts w:ascii="Cambria" w:hAnsi="Cambria"/>
          <w:iCs/>
          <w:szCs w:val="24"/>
          <w:lang w:val="en"/>
        </w:rPr>
        <w:t xml:space="preserve"> shows that BOPO affects  PDM.</w:t>
      </w:r>
    </w:p>
    <w:p w:rsidR="00C47ECA" w:rsidRPr="00FA3E0F" w:rsidRDefault="00C47ECA" w:rsidP="00C47ECA">
      <w:pPr>
        <w:pBdr>
          <w:top w:val="nil"/>
          <w:left w:val="nil"/>
          <w:bottom w:val="nil"/>
          <w:right w:val="nil"/>
          <w:between w:val="nil"/>
        </w:pBdr>
        <w:spacing w:after="120" w:line="276" w:lineRule="auto"/>
        <w:ind w:left="0" w:hanging="2"/>
        <w:jc w:val="left"/>
        <w:rPr>
          <w:rFonts w:ascii="Cambria" w:eastAsia="Cambria" w:hAnsi="Cambria" w:cs="Cambria"/>
          <w:b/>
          <w:color w:val="000000"/>
          <w:sz w:val="20"/>
          <w:szCs w:val="20"/>
        </w:rPr>
      </w:pPr>
    </w:p>
    <w:p w:rsidR="00C47ECA" w:rsidRDefault="00C47ECA" w:rsidP="00C47ECA">
      <w:pPr>
        <w:pBdr>
          <w:top w:val="nil"/>
          <w:left w:val="nil"/>
          <w:bottom w:val="nil"/>
          <w:right w:val="nil"/>
          <w:between w:val="nil"/>
        </w:pBdr>
        <w:spacing w:line="276" w:lineRule="auto"/>
        <w:ind w:left="0" w:hanging="2"/>
        <w:rPr>
          <w:rFonts w:ascii="Cambria" w:eastAsia="Cambria" w:hAnsi="Cambria" w:cs="Cambria"/>
          <w:b/>
          <w:color w:val="000000"/>
          <w:szCs w:val="24"/>
        </w:rPr>
      </w:pPr>
      <w:r w:rsidRPr="00C210A8">
        <w:rPr>
          <w:rFonts w:ascii="Cambria" w:eastAsia="Cambria" w:hAnsi="Cambria" w:cs="Cambria"/>
          <w:b/>
          <w:color w:val="000000"/>
          <w:szCs w:val="24"/>
        </w:rPr>
        <w:t>CONCLUSION</w:t>
      </w:r>
    </w:p>
    <w:p w:rsidR="00C47ECA" w:rsidRDefault="00C47ECA" w:rsidP="00C47ECA">
      <w:pPr>
        <w:pBdr>
          <w:top w:val="nil"/>
          <w:left w:val="nil"/>
          <w:bottom w:val="nil"/>
          <w:right w:val="nil"/>
          <w:between w:val="nil"/>
        </w:pBdr>
        <w:spacing w:line="276" w:lineRule="auto"/>
        <w:ind w:left="0" w:hanging="2"/>
        <w:rPr>
          <w:rFonts w:ascii="Cambria" w:eastAsia="Cambria" w:hAnsi="Cambria" w:cs="Cambria"/>
          <w:b/>
          <w:color w:val="000000"/>
          <w:szCs w:val="24"/>
        </w:rPr>
      </w:pPr>
    </w:p>
    <w:p w:rsidR="00C47ECA" w:rsidRPr="00F13F3F" w:rsidRDefault="00C47ECA" w:rsidP="00C47ECA">
      <w:pPr>
        <w:pBdr>
          <w:top w:val="nil"/>
          <w:left w:val="nil"/>
          <w:bottom w:val="nil"/>
          <w:right w:val="nil"/>
          <w:between w:val="nil"/>
        </w:pBdr>
        <w:spacing w:line="276" w:lineRule="auto"/>
        <w:ind w:left="0" w:hanging="2"/>
        <w:rPr>
          <w:rFonts w:ascii="Cambria" w:eastAsia="Cambria" w:hAnsi="Cambria" w:cs="Cambria"/>
          <w:color w:val="000000"/>
          <w:szCs w:val="24"/>
        </w:rPr>
      </w:pPr>
      <w:r w:rsidRPr="00890BA4">
        <w:rPr>
          <w:rFonts w:ascii="Cambria" w:eastAsia="Cambria" w:hAnsi="Cambria" w:cs="Cambria"/>
          <w:color w:val="000000"/>
          <w:szCs w:val="24"/>
        </w:rPr>
        <w:t>Based on the results of the research and the explanations that have been described, it can be concluded that statistically, the ratio of Capital Adequacy Ratio, Non-Performing Financing, and Operational Costs of Operating Income have no significant effect on the Profit Distribution Management of Bank Muamalat Indonesia. Meanwhile, the Return On Assets and Financing Deposit Ratio variables significantly affect the Profit Distribution Management of Bank Muamalat Indonesia. Simultaneously, the ratio of Capital Adequacy Ratio, Return On Assets, Financing Deposit Ratio, Non-Performing Financing, and Operational Costs of Operational Income affects the Profit Distribution Management of Bank Muamalat Indonesia.</w:t>
      </w:r>
    </w:p>
    <w:p w:rsidR="00C47ECA" w:rsidRPr="00FA3E0F" w:rsidRDefault="00C47ECA" w:rsidP="00C47ECA">
      <w:pPr>
        <w:pBdr>
          <w:top w:val="nil"/>
          <w:left w:val="nil"/>
          <w:bottom w:val="nil"/>
          <w:right w:val="nil"/>
          <w:between w:val="nil"/>
        </w:pBdr>
        <w:spacing w:line="276" w:lineRule="auto"/>
        <w:ind w:left="0" w:hanging="2"/>
        <w:rPr>
          <w:rFonts w:ascii="Cambria" w:eastAsia="Cambria" w:hAnsi="Cambria" w:cs="Cambria"/>
          <w:color w:val="000000"/>
          <w:szCs w:val="24"/>
        </w:rPr>
      </w:pPr>
    </w:p>
    <w:p w:rsidR="00C47ECA" w:rsidRPr="00FA3E0F" w:rsidRDefault="00C47ECA" w:rsidP="00C47ECA">
      <w:pPr>
        <w:pBdr>
          <w:top w:val="nil"/>
          <w:left w:val="nil"/>
          <w:bottom w:val="nil"/>
          <w:right w:val="nil"/>
          <w:between w:val="nil"/>
        </w:pBdr>
        <w:spacing w:line="240" w:lineRule="auto"/>
        <w:ind w:left="0" w:hanging="2"/>
        <w:rPr>
          <w:rFonts w:ascii="Cambria" w:eastAsia="Times New Roman" w:hAnsi="Cambria" w:cs="Times New Roman"/>
          <w:color w:val="000000"/>
          <w:szCs w:val="24"/>
        </w:rPr>
      </w:pPr>
      <w:r w:rsidRPr="00FA3E0F">
        <w:rPr>
          <w:rFonts w:ascii="Cambria" w:eastAsia="Times New Roman" w:hAnsi="Cambria" w:cs="Times New Roman"/>
          <w:b/>
          <w:color w:val="000000"/>
          <w:szCs w:val="24"/>
        </w:rPr>
        <w:t>DAFTAR PUTAKA</w:t>
      </w:r>
    </w:p>
    <w:p w:rsidR="00C47ECA" w:rsidRPr="00FA3E0F" w:rsidRDefault="00C47ECA" w:rsidP="00C47ECA">
      <w:pPr>
        <w:pBdr>
          <w:top w:val="nil"/>
          <w:left w:val="nil"/>
          <w:bottom w:val="nil"/>
          <w:right w:val="nil"/>
          <w:between w:val="nil"/>
        </w:pBdr>
        <w:spacing w:line="240" w:lineRule="auto"/>
        <w:ind w:left="0" w:hanging="2"/>
        <w:rPr>
          <w:rFonts w:ascii="Cambria" w:eastAsia="Times New Roman" w:hAnsi="Cambria" w:cs="Times New Roman"/>
          <w:color w:val="000000"/>
          <w:szCs w:val="24"/>
        </w:rPr>
      </w:pP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FA3E0F">
        <w:rPr>
          <w:rFonts w:ascii="Cambria" w:eastAsia="Cambria" w:hAnsi="Cambria" w:cs="Cambria"/>
        </w:rPr>
        <w:fldChar w:fldCharType="begin" w:fldLock="1"/>
      </w:r>
      <w:r w:rsidRPr="00FA3E0F">
        <w:rPr>
          <w:rFonts w:ascii="Cambria" w:eastAsia="Cambria" w:hAnsi="Cambria" w:cs="Cambria"/>
        </w:rPr>
        <w:instrText xml:space="preserve">ADDIN Mendeley Bibliography CSL_BIBLIOGRAPHY </w:instrText>
      </w:r>
      <w:r w:rsidRPr="00FA3E0F">
        <w:rPr>
          <w:rFonts w:ascii="Cambria" w:eastAsia="Cambria" w:hAnsi="Cambria" w:cs="Cambria"/>
        </w:rPr>
        <w:fldChar w:fldCharType="separate"/>
      </w:r>
      <w:r w:rsidRPr="007E6AF7">
        <w:rPr>
          <w:rFonts w:ascii="Cambria" w:hAnsi="Cambria" w:cs="Times New Roman"/>
          <w:noProof/>
          <w:szCs w:val="24"/>
        </w:rPr>
        <w:t xml:space="preserve">Abbas, A., &amp; Arizah, A. (2019). Marketability, Profitability, and Profit-Loss Sharing: Evidence from Sharia Banking in Indonesia. </w:t>
      </w:r>
      <w:r w:rsidRPr="007E6AF7">
        <w:rPr>
          <w:rFonts w:ascii="Cambria" w:hAnsi="Cambria" w:cs="Times New Roman"/>
          <w:i/>
          <w:iCs/>
          <w:noProof/>
          <w:szCs w:val="24"/>
        </w:rPr>
        <w:t>Asian Journal of Accounting Research</w:t>
      </w:r>
      <w:r w:rsidRPr="007E6AF7">
        <w:rPr>
          <w:rFonts w:ascii="Cambria" w:hAnsi="Cambria" w:cs="Times New Roman"/>
          <w:noProof/>
          <w:szCs w:val="24"/>
        </w:rPr>
        <w:t xml:space="preserve">, </w:t>
      </w:r>
      <w:r w:rsidRPr="007E6AF7">
        <w:rPr>
          <w:rFonts w:ascii="Cambria" w:hAnsi="Cambria" w:cs="Times New Roman"/>
          <w:i/>
          <w:iCs/>
          <w:noProof/>
          <w:szCs w:val="24"/>
        </w:rPr>
        <w:t>04</w:t>
      </w:r>
      <w:r w:rsidRPr="007E6AF7">
        <w:rPr>
          <w:rFonts w:ascii="Cambria" w:hAnsi="Cambria" w:cs="Times New Roman"/>
          <w:noProof/>
          <w:szCs w:val="24"/>
        </w:rPr>
        <w:t>(02), 315–326. https://doi.org/10.1108/AJAR-08-2019-0065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Africano, F., Elizabeth, P. S. M., &amp; Parlindungan, R. (2017). Factor Affecting Profit Distribution Management of Syariah Banks in Indonesia,. </w:t>
      </w:r>
      <w:r w:rsidRPr="007E6AF7">
        <w:rPr>
          <w:rFonts w:ascii="Cambria" w:hAnsi="Cambria" w:cs="Times New Roman"/>
          <w:i/>
          <w:iCs/>
          <w:noProof/>
          <w:szCs w:val="24"/>
        </w:rPr>
        <w:t>Advanced Science Letters</w:t>
      </w:r>
      <w:r w:rsidRPr="007E6AF7">
        <w:rPr>
          <w:rFonts w:ascii="Cambria" w:hAnsi="Cambria" w:cs="Times New Roman"/>
          <w:noProof/>
          <w:szCs w:val="24"/>
        </w:rPr>
        <w:t xml:space="preserve">, </w:t>
      </w:r>
      <w:r w:rsidRPr="007E6AF7">
        <w:rPr>
          <w:rFonts w:ascii="Cambria" w:hAnsi="Cambria" w:cs="Times New Roman"/>
          <w:i/>
          <w:iCs/>
          <w:noProof/>
          <w:szCs w:val="24"/>
        </w:rPr>
        <w:t>23</w:t>
      </w:r>
      <w:r w:rsidRPr="007E6AF7">
        <w:rPr>
          <w:rFonts w:ascii="Cambria" w:hAnsi="Cambria" w:cs="Times New Roman"/>
          <w:noProof/>
          <w:szCs w:val="24"/>
        </w:rPr>
        <w:t>(08), 7183–7186. https://doi.org/10.1166/asl.2017.9324</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Almanaseer, M. (2014). The Impact of the Financial Crisis on the Islamic Banks Profitability - Evidence from GCC. </w:t>
      </w:r>
      <w:r w:rsidRPr="007E6AF7">
        <w:rPr>
          <w:rFonts w:ascii="Cambria" w:hAnsi="Cambria" w:cs="Times New Roman"/>
          <w:i/>
          <w:iCs/>
          <w:noProof/>
          <w:szCs w:val="24"/>
        </w:rPr>
        <w:t>International Journal of Financial Research</w:t>
      </w:r>
      <w:r w:rsidRPr="007E6AF7">
        <w:rPr>
          <w:rFonts w:ascii="Cambria" w:hAnsi="Cambria" w:cs="Times New Roman"/>
          <w:noProof/>
          <w:szCs w:val="24"/>
        </w:rPr>
        <w:t xml:space="preserve">, </w:t>
      </w:r>
      <w:r w:rsidRPr="007E6AF7">
        <w:rPr>
          <w:rFonts w:ascii="Cambria" w:hAnsi="Cambria" w:cs="Times New Roman"/>
          <w:i/>
          <w:iCs/>
          <w:noProof/>
          <w:szCs w:val="24"/>
        </w:rPr>
        <w:t>05</w:t>
      </w:r>
      <w:r w:rsidRPr="007E6AF7">
        <w:rPr>
          <w:rFonts w:ascii="Cambria" w:hAnsi="Cambria" w:cs="Times New Roman"/>
          <w:noProof/>
          <w:szCs w:val="24"/>
        </w:rPr>
        <w:t>(03), 176–187. https://doi.org/10.5430/ijfr.v5n3p176</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Alteza, M. (2017). Analisis Determinan Profit Distribution Management Bank Umum Syariah Periode 2013-2016. </w:t>
      </w:r>
      <w:r w:rsidRPr="007E6AF7">
        <w:rPr>
          <w:rFonts w:ascii="Cambria" w:hAnsi="Cambria" w:cs="Times New Roman"/>
          <w:i/>
          <w:iCs/>
          <w:noProof/>
          <w:szCs w:val="24"/>
        </w:rPr>
        <w:t>Falah: Journal of Islamic Economics and Business Studies</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(02), 39–55. https://doi.org/10.31332/lifalah.v2i2.653</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Ambarwati, C. T., &amp; Veterina, I. (2021). Faktor-faktor yang Mempengaruhi Profit Distribution Management: Studi Empiris pada Bank Umum Syariah di Tiga Negara ASEAN Periode 2016 Q1 - 2021 Q2. </w:t>
      </w:r>
      <w:r w:rsidRPr="007E6AF7">
        <w:rPr>
          <w:rFonts w:ascii="Cambria" w:hAnsi="Cambria" w:cs="Times New Roman"/>
          <w:i/>
          <w:iCs/>
          <w:noProof/>
          <w:szCs w:val="24"/>
        </w:rPr>
        <w:t>Serambi: Jurnal Ekonomi Manajemen Dan Bisnis Islam</w:t>
      </w:r>
      <w:r w:rsidRPr="007E6AF7">
        <w:rPr>
          <w:rFonts w:ascii="Cambria" w:hAnsi="Cambria" w:cs="Times New Roman"/>
          <w:noProof/>
          <w:szCs w:val="24"/>
        </w:rPr>
        <w:t xml:space="preserve">, </w:t>
      </w:r>
      <w:r w:rsidRPr="007E6AF7">
        <w:rPr>
          <w:rFonts w:ascii="Cambria" w:hAnsi="Cambria" w:cs="Times New Roman"/>
          <w:i/>
          <w:iCs/>
          <w:noProof/>
          <w:szCs w:val="24"/>
        </w:rPr>
        <w:t>03</w:t>
      </w:r>
      <w:r w:rsidRPr="007E6AF7">
        <w:rPr>
          <w:rFonts w:ascii="Cambria" w:hAnsi="Cambria" w:cs="Times New Roman"/>
          <w:noProof/>
          <w:szCs w:val="24"/>
        </w:rPr>
        <w:t>(03), 185–196. https://ejournal.imperiuminstitute.org/index.php/SERAMBI/article/view/539</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Andesfa, D., &amp; Masdupi, E. (2019). Effect of Financial Ratio on Profitability of Comercial Banks; a Systematic Literature Review. </w:t>
      </w:r>
      <w:r w:rsidRPr="007E6AF7">
        <w:rPr>
          <w:rFonts w:ascii="Cambria" w:hAnsi="Cambria" w:cs="Times New Roman"/>
          <w:i/>
          <w:iCs/>
          <w:noProof/>
          <w:szCs w:val="24"/>
        </w:rPr>
        <w:t>Proceedings of the 2nd Padang International Conference on Education, Economics, Business and Accounting (PICEEBA-2 2018)</w:t>
      </w:r>
      <w:r w:rsidRPr="007E6AF7">
        <w:rPr>
          <w:rFonts w:ascii="Cambria" w:hAnsi="Cambria" w:cs="Times New Roman"/>
          <w:noProof/>
          <w:szCs w:val="24"/>
        </w:rPr>
        <w:t>. https://doi.org/10.2991/piceeba2-18.2019.55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Anuar, K., Mohamad, S., &amp; Shah, M. (2014). Are Deposit and Investment Accounts in Islamic Banks in Malaysia Interest-Free? </w:t>
      </w:r>
      <w:r w:rsidRPr="007E6AF7">
        <w:rPr>
          <w:rFonts w:ascii="Cambria" w:hAnsi="Cambria" w:cs="Times New Roman"/>
          <w:i/>
          <w:iCs/>
          <w:noProof/>
          <w:szCs w:val="24"/>
        </w:rPr>
        <w:t>Journal of King Abdulaziz University: Islamic Economics</w:t>
      </w:r>
      <w:r w:rsidRPr="007E6AF7">
        <w:rPr>
          <w:rFonts w:ascii="Cambria" w:hAnsi="Cambria" w:cs="Times New Roman"/>
          <w:noProof/>
          <w:szCs w:val="24"/>
        </w:rPr>
        <w:t xml:space="preserve">, </w:t>
      </w:r>
      <w:r w:rsidRPr="007E6AF7">
        <w:rPr>
          <w:rFonts w:ascii="Cambria" w:hAnsi="Cambria" w:cs="Times New Roman"/>
          <w:i/>
          <w:iCs/>
          <w:noProof/>
          <w:szCs w:val="24"/>
        </w:rPr>
        <w:t>27</w:t>
      </w:r>
      <w:r w:rsidRPr="007E6AF7">
        <w:rPr>
          <w:rFonts w:ascii="Cambria" w:hAnsi="Cambria" w:cs="Times New Roman"/>
          <w:noProof/>
          <w:szCs w:val="24"/>
        </w:rPr>
        <w:t>(02), 29–58. https://doi.org/10.4197/Islec.27-2.2</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Aprilianto, A. S., Badina, T., &amp; Ma’zumi. (2018). Determinants of Profit Management. </w:t>
      </w:r>
      <w:r w:rsidRPr="007E6AF7">
        <w:rPr>
          <w:rFonts w:ascii="Cambria" w:hAnsi="Cambria" w:cs="Times New Roman"/>
          <w:i/>
          <w:iCs/>
          <w:noProof/>
          <w:szCs w:val="24"/>
        </w:rPr>
        <w:t>Syi’ar Iqtishadi: Journal of Islamic Economics, Finance and Banking</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(01), 45–58. https://doi.org/10.35448/jiec.v2i1.3415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Arafiah, L., &amp; Poerwati, R. T. (2014). Faktor-faktor yang Mempengaruhi Profit Distribution Management atas Simpanan Deposan pada Bank Syariah di Indonesia Periode 2009-2012. </w:t>
      </w:r>
      <w:r w:rsidRPr="007E6AF7">
        <w:rPr>
          <w:rFonts w:ascii="Cambria" w:hAnsi="Cambria" w:cs="Times New Roman"/>
          <w:i/>
          <w:iCs/>
          <w:noProof/>
          <w:szCs w:val="24"/>
        </w:rPr>
        <w:t>Students’ Journal Accounting and Banking</w:t>
      </w:r>
      <w:r w:rsidRPr="007E6AF7">
        <w:rPr>
          <w:rFonts w:ascii="Cambria" w:hAnsi="Cambria" w:cs="Times New Roman"/>
          <w:noProof/>
          <w:szCs w:val="24"/>
        </w:rPr>
        <w:t xml:space="preserve">, </w:t>
      </w:r>
      <w:r w:rsidRPr="007E6AF7">
        <w:rPr>
          <w:rFonts w:ascii="Cambria" w:hAnsi="Cambria" w:cs="Times New Roman"/>
          <w:i/>
          <w:iCs/>
          <w:noProof/>
          <w:szCs w:val="24"/>
        </w:rPr>
        <w:t>03</w:t>
      </w:r>
      <w:r w:rsidRPr="007E6AF7">
        <w:rPr>
          <w:rFonts w:ascii="Cambria" w:hAnsi="Cambria" w:cs="Times New Roman"/>
          <w:noProof/>
          <w:szCs w:val="24"/>
        </w:rPr>
        <w:t>(01).</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Arief, M., Lidya, R., &amp; Iqbal, M. (2021). Pengaruh Suku Bunga terhadap Bagi Hasil Deposito Mudharabah dengan Mediasi ROA. </w:t>
      </w:r>
      <w:r w:rsidRPr="007E6AF7">
        <w:rPr>
          <w:rFonts w:ascii="Cambria" w:hAnsi="Cambria" w:cs="Times New Roman"/>
          <w:i/>
          <w:iCs/>
          <w:noProof/>
          <w:szCs w:val="24"/>
        </w:rPr>
        <w:t>Research Journal on Islamic Finance</w:t>
      </w:r>
      <w:r w:rsidRPr="007E6AF7">
        <w:rPr>
          <w:rFonts w:ascii="Cambria" w:hAnsi="Cambria" w:cs="Times New Roman"/>
          <w:noProof/>
          <w:szCs w:val="24"/>
        </w:rPr>
        <w:t xml:space="preserve">, </w:t>
      </w:r>
      <w:r w:rsidRPr="007E6AF7">
        <w:rPr>
          <w:rFonts w:ascii="Cambria" w:hAnsi="Cambria" w:cs="Times New Roman"/>
          <w:i/>
          <w:iCs/>
          <w:noProof/>
          <w:szCs w:val="24"/>
        </w:rPr>
        <w:t>07</w:t>
      </w:r>
      <w:r w:rsidRPr="007E6AF7">
        <w:rPr>
          <w:rFonts w:ascii="Cambria" w:hAnsi="Cambria" w:cs="Times New Roman"/>
          <w:noProof/>
          <w:szCs w:val="24"/>
        </w:rPr>
        <w:t>(01), 56–70. https://doi.org/10.19109/ifinance.v7i1.8406</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Arifin, J. (2017). </w:t>
      </w:r>
      <w:r w:rsidRPr="007E6AF7">
        <w:rPr>
          <w:rFonts w:ascii="Cambria" w:hAnsi="Cambria" w:cs="Times New Roman"/>
          <w:i/>
          <w:iCs/>
          <w:noProof/>
          <w:szCs w:val="24"/>
        </w:rPr>
        <w:t>SPSS 24 untuk Penelitian dan Skripsi</w:t>
      </w:r>
      <w:r w:rsidRPr="007E6AF7">
        <w:rPr>
          <w:rFonts w:ascii="Cambria" w:hAnsi="Cambria" w:cs="Times New Roman"/>
          <w:noProof/>
          <w:szCs w:val="24"/>
        </w:rPr>
        <w:t>. PT Elex Media Komputindo.</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Cihak, M., &amp; Hesse, H. (2010). Islamic Banks and Financial Stability: An Empirical Analysis. </w:t>
      </w:r>
      <w:r w:rsidRPr="007E6AF7">
        <w:rPr>
          <w:rFonts w:ascii="Cambria" w:hAnsi="Cambria" w:cs="Times New Roman"/>
          <w:i/>
          <w:iCs/>
          <w:noProof/>
          <w:szCs w:val="24"/>
        </w:rPr>
        <w:t>Journal of Financial Services Research</w:t>
      </w:r>
      <w:r w:rsidRPr="007E6AF7">
        <w:rPr>
          <w:rFonts w:ascii="Cambria" w:hAnsi="Cambria" w:cs="Times New Roman"/>
          <w:noProof/>
          <w:szCs w:val="24"/>
        </w:rPr>
        <w:t xml:space="preserve">, </w:t>
      </w:r>
      <w:r w:rsidRPr="007E6AF7">
        <w:rPr>
          <w:rFonts w:ascii="Cambria" w:hAnsi="Cambria" w:cs="Times New Roman"/>
          <w:i/>
          <w:iCs/>
          <w:noProof/>
          <w:szCs w:val="24"/>
        </w:rPr>
        <w:t>38</w:t>
      </w:r>
      <w:r w:rsidRPr="007E6AF7">
        <w:rPr>
          <w:rFonts w:ascii="Cambria" w:hAnsi="Cambria" w:cs="Times New Roman"/>
          <w:noProof/>
          <w:szCs w:val="24"/>
        </w:rPr>
        <w:t>(02), 95–113. https://doi.org/10.1007/s10693-010-0089-0</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Dewi, R. M., Wibowo, A. S., &amp; Diarsyad, M. I. (2020). </w:t>
      </w:r>
      <w:r w:rsidRPr="007E6AF7">
        <w:rPr>
          <w:rFonts w:ascii="Cambria" w:hAnsi="Cambria" w:cs="Times New Roman"/>
          <w:i/>
          <w:iCs/>
          <w:noProof/>
          <w:szCs w:val="24"/>
        </w:rPr>
        <w:t>Bukti Empiris Penentu Profit Distribution Management Pada Bank Umum Syariah di Indonesia</w:t>
      </w:r>
      <w:r w:rsidRPr="007E6AF7">
        <w:rPr>
          <w:rFonts w:ascii="Cambria" w:hAnsi="Cambria" w:cs="Times New Roman"/>
          <w:noProof/>
          <w:szCs w:val="24"/>
        </w:rPr>
        <w:t>. 1–28. https://doi.org/10.13140/RG.2.2.13151.82087</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lastRenderedPageBreak/>
        <w:t xml:space="preserve">Ernayani, R., Robiyanto, &amp; Sudjinan. (2017). Factors Influencing Profit Distribution Management of Sharia Commercial Banks in Indonesia. </w:t>
      </w:r>
      <w:r w:rsidRPr="007E6AF7">
        <w:rPr>
          <w:rFonts w:ascii="Cambria" w:hAnsi="Cambria" w:cs="Times New Roman"/>
          <w:i/>
          <w:iCs/>
          <w:noProof/>
          <w:szCs w:val="24"/>
        </w:rPr>
        <w:t>Ventura: Journal of Economics, Business &amp; Accutancy</w:t>
      </w:r>
      <w:r w:rsidRPr="007E6AF7">
        <w:rPr>
          <w:rFonts w:ascii="Cambria" w:hAnsi="Cambria" w:cs="Times New Roman"/>
          <w:noProof/>
          <w:szCs w:val="24"/>
        </w:rPr>
        <w:t xml:space="preserve">, </w:t>
      </w:r>
      <w:r w:rsidRPr="007E6AF7">
        <w:rPr>
          <w:rFonts w:ascii="Cambria" w:hAnsi="Cambria" w:cs="Times New Roman"/>
          <w:i/>
          <w:iCs/>
          <w:noProof/>
          <w:szCs w:val="24"/>
        </w:rPr>
        <w:t>20</w:t>
      </w:r>
      <w:r w:rsidRPr="007E6AF7">
        <w:rPr>
          <w:rFonts w:ascii="Cambria" w:hAnsi="Cambria" w:cs="Times New Roman"/>
          <w:noProof/>
          <w:szCs w:val="24"/>
        </w:rPr>
        <w:t>(02), 187–192. https://doi.org/10.14414/jebav.v20i2.1055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Evayani, Mutia, E., &amp; Maulina. (2014). Faktor-Faktor Yang Mempengaruhi Profit Distribution Management atas Simpanan Deposan Pada Bank Syariah Di Indonesia. </w:t>
      </w:r>
      <w:r w:rsidRPr="007E6AF7">
        <w:rPr>
          <w:rFonts w:ascii="Cambria" w:hAnsi="Cambria" w:cs="Times New Roman"/>
          <w:i/>
          <w:iCs/>
          <w:noProof/>
          <w:szCs w:val="24"/>
        </w:rPr>
        <w:t>The 2nd Corporate Sustainability Conference “The Green Economy and Demographic Challenges for Sustainable Development,”</w:t>
      </w:r>
      <w:r w:rsidRPr="007E6AF7">
        <w:rPr>
          <w:rFonts w:ascii="Cambria" w:hAnsi="Cambria" w:cs="Times New Roman"/>
          <w:noProof/>
          <w:szCs w:val="24"/>
        </w:rPr>
        <w:t xml:space="preserve"> 568–592.</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Farook, S., Hassan, M. K., &amp; Linch, G. (2012). Profit Distribution Management by Islamic Banks: An Empirical Investigation. </w:t>
      </w:r>
      <w:r w:rsidRPr="007E6AF7">
        <w:rPr>
          <w:rFonts w:ascii="Cambria" w:hAnsi="Cambria" w:cs="Times New Roman"/>
          <w:i/>
          <w:iCs/>
          <w:noProof/>
          <w:szCs w:val="24"/>
        </w:rPr>
        <w:t>The Quarterly Review of Economics and Finance</w:t>
      </w:r>
      <w:r w:rsidRPr="007E6AF7">
        <w:rPr>
          <w:rFonts w:ascii="Cambria" w:hAnsi="Cambria" w:cs="Times New Roman"/>
          <w:noProof/>
          <w:szCs w:val="24"/>
        </w:rPr>
        <w:t xml:space="preserve">, </w:t>
      </w:r>
      <w:r w:rsidRPr="007E6AF7">
        <w:rPr>
          <w:rFonts w:ascii="Cambria" w:hAnsi="Cambria" w:cs="Times New Roman"/>
          <w:i/>
          <w:iCs/>
          <w:noProof/>
          <w:szCs w:val="24"/>
        </w:rPr>
        <w:t>52</w:t>
      </w:r>
      <w:r w:rsidRPr="007E6AF7">
        <w:rPr>
          <w:rFonts w:ascii="Cambria" w:hAnsi="Cambria" w:cs="Times New Roman"/>
          <w:noProof/>
          <w:szCs w:val="24"/>
        </w:rPr>
        <w:t>(03), 333–347. https://doi.org/10.1016/j.qref.2012.04.007</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Fitri, F., Adriyani, K., &amp; Sutrisno, C. R. (2018). Profit Distribution Management Pada Bank Syariah. </w:t>
      </w:r>
      <w:r w:rsidRPr="007E6AF7">
        <w:rPr>
          <w:rFonts w:ascii="Cambria" w:hAnsi="Cambria" w:cs="Times New Roman"/>
          <w:i/>
          <w:iCs/>
          <w:noProof/>
          <w:szCs w:val="24"/>
        </w:rPr>
        <w:t>Journal of Islamic Banking and Finance</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(01), 31–46. https://doi.org/10.21043/malia.v2i1.4758</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Hartono, J. (2018). </w:t>
      </w:r>
      <w:r w:rsidRPr="007E6AF7">
        <w:rPr>
          <w:rFonts w:ascii="Cambria" w:hAnsi="Cambria" w:cs="Times New Roman"/>
          <w:i/>
          <w:iCs/>
          <w:noProof/>
          <w:szCs w:val="24"/>
        </w:rPr>
        <w:t>Strategi Penelitian Bisnis</w:t>
      </w:r>
      <w:r w:rsidRPr="007E6AF7">
        <w:rPr>
          <w:rFonts w:ascii="Cambria" w:hAnsi="Cambria" w:cs="Times New Roman"/>
          <w:noProof/>
          <w:szCs w:val="24"/>
        </w:rPr>
        <w:t>. CV Andi Offset.</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Hasanah, R., Septiarini, D. F., &amp; Filianti, D. (2020). Determinants of Non-Performing Financing of Mortgage in Islamic Commercial Banks. </w:t>
      </w:r>
      <w:r w:rsidRPr="007E6AF7">
        <w:rPr>
          <w:rFonts w:ascii="Cambria" w:hAnsi="Cambria" w:cs="Times New Roman"/>
          <w:i/>
          <w:iCs/>
          <w:noProof/>
          <w:szCs w:val="24"/>
        </w:rPr>
        <w:t>International Journal of Islamic Business and Economics</w:t>
      </w:r>
      <w:r w:rsidRPr="007E6AF7">
        <w:rPr>
          <w:rFonts w:ascii="Cambria" w:hAnsi="Cambria" w:cs="Times New Roman"/>
          <w:noProof/>
          <w:szCs w:val="24"/>
        </w:rPr>
        <w:t xml:space="preserve">, </w:t>
      </w:r>
      <w:r w:rsidRPr="007E6AF7">
        <w:rPr>
          <w:rFonts w:ascii="Cambria" w:hAnsi="Cambria" w:cs="Times New Roman"/>
          <w:i/>
          <w:iCs/>
          <w:noProof/>
          <w:szCs w:val="24"/>
        </w:rPr>
        <w:t>04</w:t>
      </w:r>
      <w:r w:rsidRPr="007E6AF7">
        <w:rPr>
          <w:rFonts w:ascii="Cambria" w:hAnsi="Cambria" w:cs="Times New Roman"/>
          <w:noProof/>
          <w:szCs w:val="24"/>
        </w:rPr>
        <w:t>(02), 127–137. https://doi.org/10.28918/ijibec.v4i2.2725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Hidayati, L. N. (2015). Pengaruh Kecukupan Modal (CAR), Pengelolaan Kredit (NPL), dan Likuiditas Bank (LDR) Terhadap Probabilitas Kebangkrutan Bank (Studi Pada Bank Umum Swasta Devisa yang Tercatat di BEI Tahun 2009-2013). </w:t>
      </w:r>
      <w:r w:rsidRPr="007E6AF7">
        <w:rPr>
          <w:rFonts w:ascii="Cambria" w:hAnsi="Cambria" w:cs="Times New Roman"/>
          <w:i/>
          <w:iCs/>
          <w:noProof/>
          <w:szCs w:val="24"/>
        </w:rPr>
        <w:t>JIM: Jurnal Ilmu Manajemen</w:t>
      </w:r>
      <w:r w:rsidRPr="007E6AF7">
        <w:rPr>
          <w:rFonts w:ascii="Cambria" w:hAnsi="Cambria" w:cs="Times New Roman"/>
          <w:noProof/>
          <w:szCs w:val="24"/>
        </w:rPr>
        <w:t xml:space="preserve">, </w:t>
      </w:r>
      <w:r w:rsidRPr="007E6AF7">
        <w:rPr>
          <w:rFonts w:ascii="Cambria" w:hAnsi="Cambria" w:cs="Times New Roman"/>
          <w:i/>
          <w:iCs/>
          <w:noProof/>
          <w:szCs w:val="24"/>
        </w:rPr>
        <w:t>12</w:t>
      </w:r>
      <w:r w:rsidRPr="007E6AF7">
        <w:rPr>
          <w:rFonts w:ascii="Cambria" w:hAnsi="Cambria" w:cs="Times New Roman"/>
          <w:noProof/>
          <w:szCs w:val="24"/>
        </w:rPr>
        <w:t>(01), 38–50. https://doi.org/10.21831/jim.v12i1.11741</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Iqbal, M., &amp; Molyneux, P. (2006). Thirty Years of Islamic Banking: History, Performance, and Prospect. </w:t>
      </w:r>
      <w:r w:rsidRPr="007E6AF7">
        <w:rPr>
          <w:rFonts w:ascii="Cambria" w:hAnsi="Cambria" w:cs="Times New Roman"/>
          <w:i/>
          <w:iCs/>
          <w:noProof/>
          <w:szCs w:val="24"/>
        </w:rPr>
        <w:t>Journal of King Abdul Aziz University: Islamic Economics2</w:t>
      </w:r>
      <w:r w:rsidRPr="007E6AF7">
        <w:rPr>
          <w:rFonts w:ascii="Cambria" w:hAnsi="Cambria" w:cs="Times New Roman"/>
          <w:noProof/>
          <w:szCs w:val="24"/>
        </w:rPr>
        <w:t xml:space="preserve">, </w:t>
      </w:r>
      <w:r w:rsidRPr="007E6AF7">
        <w:rPr>
          <w:rFonts w:ascii="Cambria" w:hAnsi="Cambria" w:cs="Times New Roman"/>
          <w:i/>
          <w:iCs/>
          <w:noProof/>
          <w:szCs w:val="24"/>
        </w:rPr>
        <w:t>19</w:t>
      </w:r>
      <w:r w:rsidRPr="007E6AF7">
        <w:rPr>
          <w:rFonts w:ascii="Cambria" w:hAnsi="Cambria" w:cs="Times New Roman"/>
          <w:noProof/>
          <w:szCs w:val="24"/>
        </w:rPr>
        <w:t>(01), 37–39.</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Kartika, S. B., &amp; Adityawarman. (2014). Analisis Faktor-faktor yang Mempengaruhi Profit Distribution Management: Studi Empiris Bank Umum Syariah di Indonesia Periode 2009-2012. </w:t>
      </w:r>
      <w:r w:rsidRPr="007E6AF7">
        <w:rPr>
          <w:rFonts w:ascii="Cambria" w:hAnsi="Cambria" w:cs="Times New Roman"/>
          <w:i/>
          <w:iCs/>
          <w:noProof/>
          <w:szCs w:val="24"/>
        </w:rPr>
        <w:t>Dipenogoro Journal of Accounting</w:t>
      </w:r>
      <w:r w:rsidRPr="007E6AF7">
        <w:rPr>
          <w:rFonts w:ascii="Cambria" w:hAnsi="Cambria" w:cs="Times New Roman"/>
          <w:noProof/>
          <w:szCs w:val="24"/>
        </w:rPr>
        <w:t xml:space="preserve">, </w:t>
      </w:r>
      <w:r w:rsidRPr="007E6AF7">
        <w:rPr>
          <w:rFonts w:ascii="Cambria" w:hAnsi="Cambria" w:cs="Times New Roman"/>
          <w:i/>
          <w:iCs/>
          <w:noProof/>
          <w:szCs w:val="24"/>
        </w:rPr>
        <w:t>03</w:t>
      </w:r>
      <w:r w:rsidRPr="007E6AF7">
        <w:rPr>
          <w:rFonts w:ascii="Cambria" w:hAnsi="Cambria" w:cs="Times New Roman"/>
          <w:noProof/>
          <w:szCs w:val="24"/>
        </w:rPr>
        <w:t>(03), 1–15. https://ejournal3.undip.ac.id/index.php/accounting/article/view/6170</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Lahrech, N., Lahrech, A., &amp; Boulaksil, Y. (2014). Transparency and Performance in Islamic Banking: Implications on Profit Distribution. </w:t>
      </w:r>
      <w:r w:rsidRPr="007E6AF7">
        <w:rPr>
          <w:rFonts w:ascii="Cambria" w:hAnsi="Cambria" w:cs="Times New Roman"/>
          <w:i/>
          <w:iCs/>
          <w:noProof/>
          <w:szCs w:val="24"/>
        </w:rPr>
        <w:t>International Journal of Islamic and Middle Eastern Finance and Management</w:t>
      </w:r>
      <w:r w:rsidRPr="007E6AF7">
        <w:rPr>
          <w:rFonts w:ascii="Cambria" w:hAnsi="Cambria" w:cs="Times New Roman"/>
          <w:noProof/>
          <w:szCs w:val="24"/>
        </w:rPr>
        <w:t xml:space="preserve">, </w:t>
      </w:r>
      <w:r w:rsidRPr="007E6AF7">
        <w:rPr>
          <w:rFonts w:ascii="Cambria" w:hAnsi="Cambria" w:cs="Times New Roman"/>
          <w:i/>
          <w:iCs/>
          <w:noProof/>
          <w:szCs w:val="24"/>
        </w:rPr>
        <w:t>07</w:t>
      </w:r>
      <w:r w:rsidRPr="007E6AF7">
        <w:rPr>
          <w:rFonts w:ascii="Cambria" w:hAnsi="Cambria" w:cs="Times New Roman"/>
          <w:noProof/>
          <w:szCs w:val="24"/>
        </w:rPr>
        <w:t>(01), 61–88. https://doi.org/10.1108/IMEFM-06-2012-0047</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Mainata, D., &amp; Ardiani, A. F. (2017). Pengaruh Capital Adequacy Ratio (CAR) Terhadap Return On Aset (ROA) Pada Bank Umum Syariah. </w:t>
      </w:r>
      <w:r w:rsidRPr="007E6AF7">
        <w:rPr>
          <w:rFonts w:ascii="Cambria" w:hAnsi="Cambria" w:cs="Times New Roman"/>
          <w:i/>
          <w:iCs/>
          <w:noProof/>
          <w:szCs w:val="24"/>
        </w:rPr>
        <w:t>Al-Tijary: Jurnal Ekonomi Dan Bisnis Islam</w:t>
      </w:r>
      <w:r w:rsidRPr="007E6AF7">
        <w:rPr>
          <w:rFonts w:ascii="Cambria" w:hAnsi="Cambria" w:cs="Times New Roman"/>
          <w:noProof/>
          <w:szCs w:val="24"/>
        </w:rPr>
        <w:t xml:space="preserve">, </w:t>
      </w:r>
      <w:r w:rsidRPr="007E6AF7">
        <w:rPr>
          <w:rFonts w:ascii="Cambria" w:hAnsi="Cambria" w:cs="Times New Roman"/>
          <w:i/>
          <w:iCs/>
          <w:noProof/>
          <w:szCs w:val="24"/>
        </w:rPr>
        <w:t>01</w:t>
      </w:r>
      <w:r w:rsidRPr="007E6AF7">
        <w:rPr>
          <w:rFonts w:ascii="Cambria" w:hAnsi="Cambria" w:cs="Times New Roman"/>
          <w:noProof/>
          <w:szCs w:val="24"/>
        </w:rPr>
        <w:t>(03), 19–28. https://doi.org/10.21093/at.v3i1.960</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Mais, R. G., Hendrawati, &amp; Putra, H. E. (2019). Factors Affecting Profit DistributionManagement in Sharia Banks in Indonesia. </w:t>
      </w:r>
      <w:r w:rsidRPr="007E6AF7">
        <w:rPr>
          <w:rFonts w:ascii="Cambria" w:hAnsi="Cambria" w:cs="Times New Roman"/>
          <w:i/>
          <w:iCs/>
          <w:noProof/>
          <w:szCs w:val="24"/>
        </w:rPr>
        <w:t>ICEMA: International Conference on Economics, Management, and Accounting Volume 2019</w:t>
      </w:r>
      <w:r w:rsidRPr="007E6AF7">
        <w:rPr>
          <w:rFonts w:ascii="Cambria" w:hAnsi="Cambria" w:cs="Times New Roman"/>
          <w:noProof/>
          <w:szCs w:val="24"/>
        </w:rPr>
        <w:t>. https://doi.org/10.18502/kss.v3i26.538</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Mayliza, R., Yeni, F., &amp; Sari, L. F. (2018). Profitabilitas Perbankan Dilihat dari </w:t>
      </w:r>
      <w:r w:rsidRPr="007E6AF7">
        <w:rPr>
          <w:rFonts w:ascii="Cambria" w:hAnsi="Cambria" w:cs="Times New Roman"/>
          <w:noProof/>
          <w:szCs w:val="24"/>
        </w:rPr>
        <w:lastRenderedPageBreak/>
        <w:t xml:space="preserve">Aspek Dana Pihak Ketiga, Kecukupan Modal dan Risiko Kredit. </w:t>
      </w:r>
      <w:r w:rsidRPr="007E6AF7">
        <w:rPr>
          <w:rFonts w:ascii="Cambria" w:hAnsi="Cambria" w:cs="Times New Roman"/>
          <w:i/>
          <w:iCs/>
          <w:noProof/>
          <w:szCs w:val="24"/>
        </w:rPr>
        <w:t>Jurnal Pundi: Research of Management, Accounting and Economics</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(02), 199–210. https://doi.org/10.31575/jp.v2i2.85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Mismiwati. (2018). Bank Internal Factors and Profit Distribution Management of Syariah Banks in Indonesia. </w:t>
      </w:r>
      <w:r w:rsidRPr="007E6AF7">
        <w:rPr>
          <w:rFonts w:ascii="Cambria" w:hAnsi="Cambria" w:cs="Times New Roman"/>
          <w:i/>
          <w:iCs/>
          <w:noProof/>
          <w:szCs w:val="24"/>
        </w:rPr>
        <w:t>Nurani: Jurnal Kajian Syariah Dan Masyarakat</w:t>
      </w:r>
      <w:r w:rsidRPr="007E6AF7">
        <w:rPr>
          <w:rFonts w:ascii="Cambria" w:hAnsi="Cambria" w:cs="Times New Roman"/>
          <w:noProof/>
          <w:szCs w:val="24"/>
        </w:rPr>
        <w:t xml:space="preserve">, </w:t>
      </w:r>
      <w:r w:rsidRPr="007E6AF7">
        <w:rPr>
          <w:rFonts w:ascii="Cambria" w:hAnsi="Cambria" w:cs="Times New Roman"/>
          <w:i/>
          <w:iCs/>
          <w:noProof/>
          <w:szCs w:val="24"/>
        </w:rPr>
        <w:t>18</w:t>
      </w:r>
      <w:r w:rsidRPr="007E6AF7">
        <w:rPr>
          <w:rFonts w:ascii="Cambria" w:hAnsi="Cambria" w:cs="Times New Roman"/>
          <w:noProof/>
          <w:szCs w:val="24"/>
        </w:rPr>
        <w:t>(01), 19–34. https://doi.org/10.19109/nurani.v18i1.1920</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Mismiwati, Haryadi, Arum, E. D. P., &amp; Lubis, T. A. (2020). Investigation Of Profit Sharing And Financial Performance to Profit Distribution Management. </w:t>
      </w:r>
      <w:r w:rsidRPr="007E6AF7">
        <w:rPr>
          <w:rFonts w:ascii="Cambria" w:hAnsi="Cambria" w:cs="Times New Roman"/>
          <w:i/>
          <w:iCs/>
          <w:noProof/>
          <w:szCs w:val="24"/>
        </w:rPr>
        <w:t>Eurasia: Economics &amp; Business</w:t>
      </w:r>
      <w:r w:rsidRPr="007E6AF7">
        <w:rPr>
          <w:rFonts w:ascii="Cambria" w:hAnsi="Cambria" w:cs="Times New Roman"/>
          <w:noProof/>
          <w:szCs w:val="24"/>
        </w:rPr>
        <w:t xml:space="preserve">, </w:t>
      </w:r>
      <w:r w:rsidRPr="007E6AF7">
        <w:rPr>
          <w:rFonts w:ascii="Cambria" w:hAnsi="Cambria" w:cs="Times New Roman"/>
          <w:i/>
          <w:iCs/>
          <w:noProof/>
          <w:szCs w:val="24"/>
        </w:rPr>
        <w:t>05</w:t>
      </w:r>
      <w:r w:rsidRPr="007E6AF7">
        <w:rPr>
          <w:rFonts w:ascii="Cambria" w:hAnsi="Cambria" w:cs="Times New Roman"/>
          <w:noProof/>
          <w:szCs w:val="24"/>
        </w:rPr>
        <w:t>(35), 12–22. https://doi.org/10.18551/econeurasia.2020-05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Mulato, T., Mustamin, A., Supriadi, S., Umar, S. H., &amp; Ningsih, S. (2021). Strategi Bisnis Bank Syariah di Masa Pandemi Covid-19 pada PT. Bank Panin Dubai Syariah Cabang Makassar. </w:t>
      </w:r>
      <w:r w:rsidRPr="007E6AF7">
        <w:rPr>
          <w:rFonts w:ascii="Cambria" w:hAnsi="Cambria" w:cs="Times New Roman"/>
          <w:i/>
          <w:iCs/>
          <w:noProof/>
          <w:szCs w:val="24"/>
        </w:rPr>
        <w:t>Jurnal Ilmiah Ekonomi Islam</w:t>
      </w:r>
      <w:r w:rsidRPr="007E6AF7">
        <w:rPr>
          <w:rFonts w:ascii="Cambria" w:hAnsi="Cambria" w:cs="Times New Roman"/>
          <w:noProof/>
          <w:szCs w:val="24"/>
        </w:rPr>
        <w:t xml:space="preserve">, </w:t>
      </w:r>
      <w:r w:rsidRPr="007E6AF7">
        <w:rPr>
          <w:rFonts w:ascii="Cambria" w:hAnsi="Cambria" w:cs="Times New Roman"/>
          <w:i/>
          <w:iCs/>
          <w:noProof/>
          <w:szCs w:val="24"/>
        </w:rPr>
        <w:t>07</w:t>
      </w:r>
      <w:r w:rsidRPr="007E6AF7">
        <w:rPr>
          <w:rFonts w:ascii="Cambria" w:hAnsi="Cambria" w:cs="Times New Roman"/>
          <w:noProof/>
          <w:szCs w:val="24"/>
        </w:rPr>
        <w:t>(03), 1293–1305. https://doi.org/10.29040/jiei.v7i3.2908</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Mulyo, G. P., &amp; Mutmainah, S. (2013). Determinan Profit Distribution Management Bank Syariah di Indonesia Periode 2008- 2011. </w:t>
      </w:r>
      <w:r w:rsidRPr="007E6AF7">
        <w:rPr>
          <w:rFonts w:ascii="Cambria" w:hAnsi="Cambria" w:cs="Times New Roman"/>
          <w:i/>
          <w:iCs/>
          <w:noProof/>
          <w:szCs w:val="24"/>
        </w:rPr>
        <w:t>Imanensi: Jurnal Ekonomi, Manajemen, Dan Akuntansi Islam</w:t>
      </w:r>
      <w:r w:rsidRPr="007E6AF7">
        <w:rPr>
          <w:rFonts w:ascii="Cambria" w:hAnsi="Cambria" w:cs="Times New Roman"/>
          <w:noProof/>
          <w:szCs w:val="24"/>
        </w:rPr>
        <w:t xml:space="preserve">, </w:t>
      </w:r>
      <w:r w:rsidRPr="007E6AF7">
        <w:rPr>
          <w:rFonts w:ascii="Cambria" w:hAnsi="Cambria" w:cs="Times New Roman"/>
          <w:i/>
          <w:iCs/>
          <w:noProof/>
          <w:szCs w:val="24"/>
        </w:rPr>
        <w:t>01</w:t>
      </w:r>
      <w:r w:rsidRPr="007E6AF7">
        <w:rPr>
          <w:rFonts w:ascii="Cambria" w:hAnsi="Cambria" w:cs="Times New Roman"/>
          <w:noProof/>
          <w:szCs w:val="24"/>
        </w:rPr>
        <w:t>(01), 31–41. https://doi.org/10.34202/imanensi.1.1.2013.31-41</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Muyassaroh, &amp; Saputra, B. (2015). Faktor-Faktor yang Mempengaruhi Profit Distribution Management Pada Bank Syariah di Indonesia Periode 2009-2013. </w:t>
      </w:r>
      <w:r w:rsidRPr="007E6AF7">
        <w:rPr>
          <w:rFonts w:ascii="Cambria" w:hAnsi="Cambria" w:cs="Times New Roman"/>
          <w:i/>
          <w:iCs/>
          <w:noProof/>
          <w:szCs w:val="24"/>
        </w:rPr>
        <w:t>Jurnal Akuntansi Manajemen Madani</w:t>
      </w:r>
      <w:r w:rsidRPr="007E6AF7">
        <w:rPr>
          <w:rFonts w:ascii="Cambria" w:hAnsi="Cambria" w:cs="Times New Roman"/>
          <w:noProof/>
          <w:szCs w:val="24"/>
        </w:rPr>
        <w:t xml:space="preserve">, </w:t>
      </w:r>
      <w:r w:rsidRPr="007E6AF7">
        <w:rPr>
          <w:rFonts w:ascii="Cambria" w:hAnsi="Cambria" w:cs="Times New Roman"/>
          <w:i/>
          <w:iCs/>
          <w:noProof/>
          <w:szCs w:val="24"/>
        </w:rPr>
        <w:t>01</w:t>
      </w:r>
      <w:r w:rsidRPr="007E6AF7">
        <w:rPr>
          <w:rFonts w:ascii="Cambria" w:hAnsi="Cambria" w:cs="Times New Roman"/>
          <w:noProof/>
          <w:szCs w:val="24"/>
        </w:rPr>
        <w:t>(01), 51–71. http://ejamm.stiemadani.ac.id/FILE/20161223083054Jurnal 3 Full Text.pdf</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Nasir, M., AR, M. Y., Mustika Amri, Handayani, C. F., &amp; Aryati. (2022). The Effect of Internal and External Factors on Non-Performing Financing at Islamic Commercial Banks in Indonesia. </w:t>
      </w:r>
      <w:r w:rsidRPr="007E6AF7">
        <w:rPr>
          <w:rFonts w:ascii="Cambria" w:hAnsi="Cambria" w:cs="Times New Roman"/>
          <w:i/>
          <w:iCs/>
          <w:noProof/>
          <w:szCs w:val="24"/>
        </w:rPr>
        <w:t>Jurnal Samudra Ekonomi Dan Bisnis</w:t>
      </w:r>
      <w:r w:rsidRPr="007E6AF7">
        <w:rPr>
          <w:rFonts w:ascii="Cambria" w:hAnsi="Cambria" w:cs="Times New Roman"/>
          <w:noProof/>
          <w:szCs w:val="24"/>
        </w:rPr>
        <w:t xml:space="preserve">, </w:t>
      </w:r>
      <w:r w:rsidRPr="007E6AF7">
        <w:rPr>
          <w:rFonts w:ascii="Cambria" w:hAnsi="Cambria" w:cs="Times New Roman"/>
          <w:i/>
          <w:iCs/>
          <w:noProof/>
          <w:szCs w:val="24"/>
        </w:rPr>
        <w:t>13</w:t>
      </w:r>
      <w:r w:rsidRPr="007E6AF7">
        <w:rPr>
          <w:rFonts w:ascii="Cambria" w:hAnsi="Cambria" w:cs="Times New Roman"/>
          <w:noProof/>
          <w:szCs w:val="24"/>
        </w:rPr>
        <w:t>(02), 267–276. https://doi.org/10.33059/jseb.v13i2.3342</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Nengsih, S. W. (2020). Faktor-Faktor yang Mempengaruhi Profit Distribution Management pada BPR Syariah di Indonesia Periode 2017-2019. </w:t>
      </w:r>
      <w:r w:rsidRPr="007E6AF7">
        <w:rPr>
          <w:rFonts w:ascii="Cambria" w:hAnsi="Cambria" w:cs="Times New Roman"/>
          <w:i/>
          <w:iCs/>
          <w:noProof/>
          <w:szCs w:val="24"/>
        </w:rPr>
        <w:t>Prisma: Platform Riset Mahasiswa Akuntansi</w:t>
      </w:r>
      <w:r w:rsidRPr="007E6AF7">
        <w:rPr>
          <w:rFonts w:ascii="Cambria" w:hAnsi="Cambria" w:cs="Times New Roman"/>
          <w:noProof/>
          <w:szCs w:val="24"/>
        </w:rPr>
        <w:t xml:space="preserve">, </w:t>
      </w:r>
      <w:r w:rsidRPr="007E6AF7">
        <w:rPr>
          <w:rFonts w:ascii="Cambria" w:hAnsi="Cambria" w:cs="Times New Roman"/>
          <w:i/>
          <w:iCs/>
          <w:noProof/>
          <w:szCs w:val="24"/>
        </w:rPr>
        <w:t>01</w:t>
      </w:r>
      <w:r w:rsidRPr="007E6AF7">
        <w:rPr>
          <w:rFonts w:ascii="Cambria" w:hAnsi="Cambria" w:cs="Times New Roman"/>
          <w:noProof/>
          <w:szCs w:val="24"/>
        </w:rPr>
        <w:t>(06), 15–25. https://ojs.stiesa.ac.id/index.php/prisma/article/view/689</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Nugroho, L., Nugraha, E., &amp; Badawi, A. (2020). The Determinant of Islamic Performance Ratio: Do Financing Deposit Ratio, Financing Quality, and Return on Asset Ratio Matters? </w:t>
      </w:r>
      <w:r w:rsidRPr="007E6AF7">
        <w:rPr>
          <w:rFonts w:ascii="Cambria" w:hAnsi="Cambria" w:cs="Times New Roman"/>
          <w:i/>
          <w:iCs/>
          <w:noProof/>
          <w:szCs w:val="24"/>
        </w:rPr>
        <w:t>Global Review of Islamic Economics and Business</w:t>
      </w:r>
      <w:r w:rsidRPr="007E6AF7">
        <w:rPr>
          <w:rFonts w:ascii="Cambria" w:hAnsi="Cambria" w:cs="Times New Roman"/>
          <w:noProof/>
          <w:szCs w:val="24"/>
        </w:rPr>
        <w:t xml:space="preserve">, </w:t>
      </w:r>
      <w:r w:rsidRPr="007E6AF7">
        <w:rPr>
          <w:rFonts w:ascii="Cambria" w:hAnsi="Cambria" w:cs="Times New Roman"/>
          <w:i/>
          <w:iCs/>
          <w:noProof/>
          <w:szCs w:val="24"/>
        </w:rPr>
        <w:t>08</w:t>
      </w:r>
      <w:r w:rsidRPr="007E6AF7">
        <w:rPr>
          <w:rFonts w:ascii="Cambria" w:hAnsi="Cambria" w:cs="Times New Roman"/>
          <w:noProof/>
          <w:szCs w:val="24"/>
        </w:rPr>
        <w:t>(02), 113–122. https://doi.org/10.14421/grieb.2020.082-04</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Nugroho, L., Nugraha, E., Badawi, A., &amp; Putra, Y. M. (2021). Comparative Analysis of The Effect of Loan/Financing to Deposit Ratio, Labor Costs Growth and Promotion Costs Growth to Returns on Assets in Islamic Banks and Conventional Banks in Indonesia. </w:t>
      </w:r>
      <w:r w:rsidRPr="007E6AF7">
        <w:rPr>
          <w:rFonts w:ascii="Cambria" w:hAnsi="Cambria" w:cs="Times New Roman"/>
          <w:i/>
          <w:iCs/>
          <w:noProof/>
          <w:szCs w:val="24"/>
        </w:rPr>
        <w:t>International Journal of Commerce and Finance: Istanbul</w:t>
      </w:r>
      <w:r w:rsidRPr="007E6AF7">
        <w:rPr>
          <w:rFonts w:ascii="Cambria" w:hAnsi="Cambria" w:cs="Times New Roman"/>
          <w:noProof/>
          <w:szCs w:val="24"/>
        </w:rPr>
        <w:t xml:space="preserve">, </w:t>
      </w:r>
      <w:r w:rsidRPr="007E6AF7">
        <w:rPr>
          <w:rFonts w:ascii="Cambria" w:hAnsi="Cambria" w:cs="Times New Roman"/>
          <w:i/>
          <w:iCs/>
          <w:noProof/>
          <w:szCs w:val="24"/>
        </w:rPr>
        <w:t>07</w:t>
      </w:r>
      <w:r w:rsidRPr="007E6AF7">
        <w:rPr>
          <w:rFonts w:ascii="Cambria" w:hAnsi="Cambria" w:cs="Times New Roman"/>
          <w:noProof/>
          <w:szCs w:val="24"/>
        </w:rPr>
        <w:t>(02), 21–49. https://www.proquest.com/scholarly-journals/comparative-analysis-effect-loan-financing/docview/2608521685/se-2</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Rifadil, T., &amp; Muniruddin, S. (2017). Analisis Faktor-Faktor yang Mempengaruhi Profit Distribution Management pada Bank Umum Syariah Tahun 2012-2015. </w:t>
      </w:r>
      <w:r w:rsidRPr="007E6AF7">
        <w:rPr>
          <w:rFonts w:ascii="Cambria" w:hAnsi="Cambria" w:cs="Times New Roman"/>
          <w:i/>
          <w:iCs/>
          <w:noProof/>
          <w:szCs w:val="24"/>
        </w:rPr>
        <w:t>JIMEKA: Jurnal Ilmiah Mahasiswa Akuntansi</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(03), 140–153.</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Ryad, A. M., &amp; Yupi, Y. (2017). Pengaruh Dana Pihak Ketiga (DPK), Capital </w:t>
      </w:r>
      <w:r w:rsidRPr="007E6AF7">
        <w:rPr>
          <w:rFonts w:ascii="Cambria" w:hAnsi="Cambria" w:cs="Times New Roman"/>
          <w:noProof/>
          <w:szCs w:val="24"/>
        </w:rPr>
        <w:lastRenderedPageBreak/>
        <w:t xml:space="preserve">Adequacy Ratio (CAR), Non Performing Finance (NPF) Terhadap Pembiayaan. </w:t>
      </w:r>
      <w:r w:rsidRPr="007E6AF7">
        <w:rPr>
          <w:rFonts w:ascii="Cambria" w:hAnsi="Cambria" w:cs="Times New Roman"/>
          <w:i/>
          <w:iCs/>
          <w:noProof/>
          <w:szCs w:val="24"/>
        </w:rPr>
        <w:t>Jurnal Riset Akuntansi Dan Keuangan</w:t>
      </w:r>
      <w:r w:rsidRPr="007E6AF7">
        <w:rPr>
          <w:rFonts w:ascii="Cambria" w:hAnsi="Cambria" w:cs="Times New Roman"/>
          <w:noProof/>
          <w:szCs w:val="24"/>
        </w:rPr>
        <w:t xml:space="preserve">, </w:t>
      </w:r>
      <w:r w:rsidRPr="007E6AF7">
        <w:rPr>
          <w:rFonts w:ascii="Cambria" w:hAnsi="Cambria" w:cs="Times New Roman"/>
          <w:i/>
          <w:iCs/>
          <w:noProof/>
          <w:szCs w:val="24"/>
        </w:rPr>
        <w:t>05</w:t>
      </w:r>
      <w:r w:rsidRPr="007E6AF7">
        <w:rPr>
          <w:rFonts w:ascii="Cambria" w:hAnsi="Cambria" w:cs="Times New Roman"/>
          <w:noProof/>
          <w:szCs w:val="24"/>
        </w:rPr>
        <w:t>(03), 1535–1540. https://doi.org/10.17509/jrak.v5i3.9216</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Safitri, F. A. (2021). Analisa Faktor yang Mempengaruhi Manajemen Distribusi Keuntungan Bank Umum Syariah Indonesia. </w:t>
      </w:r>
      <w:r w:rsidRPr="007E6AF7">
        <w:rPr>
          <w:rFonts w:ascii="Cambria" w:hAnsi="Cambria" w:cs="Times New Roman"/>
          <w:i/>
          <w:iCs/>
          <w:noProof/>
          <w:szCs w:val="24"/>
        </w:rPr>
        <w:t>Jurnal Ilmiah Mahasiswa FEB Umiversitas Brawijaya</w:t>
      </w:r>
      <w:r w:rsidRPr="007E6AF7">
        <w:rPr>
          <w:rFonts w:ascii="Cambria" w:hAnsi="Cambria" w:cs="Times New Roman"/>
          <w:noProof/>
          <w:szCs w:val="24"/>
        </w:rPr>
        <w:t xml:space="preserve">, </w:t>
      </w:r>
      <w:r w:rsidRPr="007E6AF7">
        <w:rPr>
          <w:rFonts w:ascii="Cambria" w:hAnsi="Cambria" w:cs="Times New Roman"/>
          <w:i/>
          <w:iCs/>
          <w:noProof/>
          <w:szCs w:val="24"/>
        </w:rPr>
        <w:t>09</w:t>
      </w:r>
      <w:r w:rsidRPr="007E6AF7">
        <w:rPr>
          <w:rFonts w:ascii="Cambria" w:hAnsi="Cambria" w:cs="Times New Roman"/>
          <w:noProof/>
          <w:szCs w:val="24"/>
        </w:rPr>
        <w:t>(02), 1–14. https://jimfeb.ub.ac.id/index.php/jimfeb/article/view/7704/6635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Shahzadi, K., Ayub, H., Shabbir, M. S., &amp; Yasmin, A. (2021). Factors Affecting Profit Distribution Management of Islamic Banks: Moderating Role of Corporate Governance. </w:t>
      </w:r>
      <w:r w:rsidRPr="007E6AF7">
        <w:rPr>
          <w:rFonts w:ascii="Cambria" w:hAnsi="Cambria" w:cs="Times New Roman"/>
          <w:i/>
          <w:iCs/>
          <w:noProof/>
          <w:szCs w:val="24"/>
        </w:rPr>
        <w:t>Islamic Banking and Finance Review</w:t>
      </w:r>
      <w:r w:rsidRPr="007E6AF7">
        <w:rPr>
          <w:rFonts w:ascii="Cambria" w:hAnsi="Cambria" w:cs="Times New Roman"/>
          <w:noProof/>
          <w:szCs w:val="24"/>
        </w:rPr>
        <w:t xml:space="preserve">, </w:t>
      </w:r>
      <w:r w:rsidRPr="007E6AF7">
        <w:rPr>
          <w:rFonts w:ascii="Cambria" w:hAnsi="Cambria" w:cs="Times New Roman"/>
          <w:i/>
          <w:iCs/>
          <w:noProof/>
          <w:szCs w:val="24"/>
        </w:rPr>
        <w:t>08</w:t>
      </w:r>
      <w:r w:rsidRPr="007E6AF7">
        <w:rPr>
          <w:rFonts w:ascii="Cambria" w:hAnsi="Cambria" w:cs="Times New Roman"/>
          <w:noProof/>
          <w:szCs w:val="24"/>
        </w:rPr>
        <w:t>(01), 78–102. https://doi.org/10.32350/ibfr</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Somantri, Y. F., &amp; Sukmana, W. (2019). Analysis of Factor Affecting Financing to Deposit to Ratio (FDR) at Islamic Commercial. </w:t>
      </w:r>
      <w:r w:rsidRPr="007E6AF7">
        <w:rPr>
          <w:rFonts w:ascii="Cambria" w:hAnsi="Cambria" w:cs="Times New Roman"/>
          <w:i/>
          <w:iCs/>
          <w:noProof/>
          <w:szCs w:val="24"/>
        </w:rPr>
        <w:t>Berkala Akuntansi Dan Keuangan Indonesia</w:t>
      </w:r>
      <w:r w:rsidRPr="007E6AF7">
        <w:rPr>
          <w:rFonts w:ascii="Cambria" w:hAnsi="Cambria" w:cs="Times New Roman"/>
          <w:noProof/>
          <w:szCs w:val="24"/>
        </w:rPr>
        <w:t xml:space="preserve">, </w:t>
      </w:r>
      <w:r w:rsidRPr="007E6AF7">
        <w:rPr>
          <w:rFonts w:ascii="Cambria" w:hAnsi="Cambria" w:cs="Times New Roman"/>
          <w:i/>
          <w:iCs/>
          <w:noProof/>
          <w:szCs w:val="24"/>
        </w:rPr>
        <w:t>04</w:t>
      </w:r>
      <w:r w:rsidRPr="007E6AF7">
        <w:rPr>
          <w:rFonts w:ascii="Cambria" w:hAnsi="Cambria" w:cs="Times New Roman"/>
          <w:noProof/>
          <w:szCs w:val="24"/>
        </w:rPr>
        <w:t>(02), 61–71. https://doi.org/10.20473/baki.v4i2.18404</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Suartini, S., Sulistiyo, H., &amp; Indrianti, W. (2018). The Effect of Non Performing Financing, Financing to Deposit Ratio and Operating Expense to Operating Income Ratio (BOPO) to Profitability. </w:t>
      </w:r>
      <w:r w:rsidRPr="007E6AF7">
        <w:rPr>
          <w:rFonts w:ascii="Cambria" w:hAnsi="Cambria" w:cs="Times New Roman"/>
          <w:i/>
          <w:iCs/>
          <w:noProof/>
          <w:szCs w:val="24"/>
        </w:rPr>
        <w:t>AFEBI Economic and Finance Review</w:t>
      </w:r>
      <w:r w:rsidRPr="007E6AF7">
        <w:rPr>
          <w:rFonts w:ascii="Cambria" w:hAnsi="Cambria" w:cs="Times New Roman"/>
          <w:noProof/>
          <w:szCs w:val="24"/>
        </w:rPr>
        <w:t xml:space="preserve">, </w:t>
      </w:r>
      <w:r w:rsidRPr="007E6AF7">
        <w:rPr>
          <w:rFonts w:ascii="Cambria" w:hAnsi="Cambria" w:cs="Times New Roman"/>
          <w:i/>
          <w:iCs/>
          <w:noProof/>
          <w:szCs w:val="24"/>
        </w:rPr>
        <w:t>03</w:t>
      </w:r>
      <w:r w:rsidRPr="007E6AF7">
        <w:rPr>
          <w:rFonts w:ascii="Cambria" w:hAnsi="Cambria" w:cs="Times New Roman"/>
          <w:noProof/>
          <w:szCs w:val="24"/>
        </w:rPr>
        <w:t>(02), 69–83. https://doi.org/10.47312/aefr.v3i02.207</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Sulistyawati, A. I., Asmaraputri, A. A., &amp; Santoso, A. (2019). Profit Distribution Management Determinant (Empirical Study in Indonesian Sharia Banks). </w:t>
      </w:r>
      <w:r w:rsidRPr="007E6AF7">
        <w:rPr>
          <w:rFonts w:ascii="Cambria" w:hAnsi="Cambria" w:cs="Times New Roman"/>
          <w:i/>
          <w:iCs/>
          <w:noProof/>
          <w:szCs w:val="24"/>
        </w:rPr>
        <w:t>JIEI: Jurnal Ilmiah Ekonomi Islam</w:t>
      </w:r>
      <w:r w:rsidRPr="007E6AF7">
        <w:rPr>
          <w:rFonts w:ascii="Cambria" w:hAnsi="Cambria" w:cs="Times New Roman"/>
          <w:noProof/>
          <w:szCs w:val="24"/>
        </w:rPr>
        <w:t xml:space="preserve">, </w:t>
      </w:r>
      <w:r w:rsidRPr="007E6AF7">
        <w:rPr>
          <w:rFonts w:ascii="Cambria" w:hAnsi="Cambria" w:cs="Times New Roman"/>
          <w:i/>
          <w:iCs/>
          <w:noProof/>
          <w:szCs w:val="24"/>
        </w:rPr>
        <w:t>05</w:t>
      </w:r>
      <w:r w:rsidRPr="007E6AF7">
        <w:rPr>
          <w:rFonts w:ascii="Cambria" w:hAnsi="Cambria" w:cs="Times New Roman"/>
          <w:noProof/>
          <w:szCs w:val="24"/>
        </w:rPr>
        <w:t>(03), 245–264. https://doi.org/10.29040/jiei.v5i3.701</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Tho’in, M. (2022). Effect of Financing to Deposit Ratio and Operational Efficiency on Profitability (ROA) with NPF as Intervening in Islamic Banks. </w:t>
      </w:r>
      <w:r w:rsidRPr="007E6AF7">
        <w:rPr>
          <w:rFonts w:ascii="Cambria" w:hAnsi="Cambria" w:cs="Times New Roman"/>
          <w:i/>
          <w:iCs/>
          <w:noProof/>
          <w:szCs w:val="24"/>
        </w:rPr>
        <w:t>Jurnal Ilmiah Ekonomi Islam</w:t>
      </w:r>
      <w:r w:rsidRPr="007E6AF7">
        <w:rPr>
          <w:rFonts w:ascii="Cambria" w:hAnsi="Cambria" w:cs="Times New Roman"/>
          <w:noProof/>
          <w:szCs w:val="24"/>
        </w:rPr>
        <w:t xml:space="preserve">, </w:t>
      </w:r>
      <w:r w:rsidRPr="007E6AF7">
        <w:rPr>
          <w:rFonts w:ascii="Cambria" w:hAnsi="Cambria" w:cs="Times New Roman"/>
          <w:i/>
          <w:iCs/>
          <w:noProof/>
          <w:szCs w:val="24"/>
        </w:rPr>
        <w:t>08</w:t>
      </w:r>
      <w:r w:rsidRPr="007E6AF7">
        <w:rPr>
          <w:rFonts w:ascii="Cambria" w:hAnsi="Cambria" w:cs="Times New Roman"/>
          <w:noProof/>
          <w:szCs w:val="24"/>
        </w:rPr>
        <w:t>(02), 2020–2026. https://doi.org/10.29040/jiei.v8i2.5857</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Tirmizi, S. M. A., Ghazi, M. R. S. K., Hussain, S., &amp; Shah, S. M. H. (2021). The Return on Assets and Profitability Growth of Islamic Banks. </w:t>
      </w:r>
      <w:r w:rsidRPr="007E6AF7">
        <w:rPr>
          <w:rFonts w:ascii="Cambria" w:hAnsi="Cambria" w:cs="Times New Roman"/>
          <w:i/>
          <w:iCs/>
          <w:noProof/>
          <w:szCs w:val="24"/>
        </w:rPr>
        <w:t>International Journal of Innovation, Creativity and Change</w:t>
      </w:r>
      <w:r w:rsidRPr="007E6AF7">
        <w:rPr>
          <w:rFonts w:ascii="Cambria" w:hAnsi="Cambria" w:cs="Times New Roman"/>
          <w:noProof/>
          <w:szCs w:val="24"/>
        </w:rPr>
        <w:t xml:space="preserve">, </w:t>
      </w:r>
      <w:r w:rsidRPr="007E6AF7">
        <w:rPr>
          <w:rFonts w:ascii="Cambria" w:hAnsi="Cambria" w:cs="Times New Roman"/>
          <w:i/>
          <w:iCs/>
          <w:noProof/>
          <w:szCs w:val="24"/>
        </w:rPr>
        <w:t>15</w:t>
      </w:r>
      <w:r w:rsidRPr="007E6AF7">
        <w:rPr>
          <w:rFonts w:ascii="Cambria" w:hAnsi="Cambria" w:cs="Times New Roman"/>
          <w:noProof/>
          <w:szCs w:val="24"/>
        </w:rPr>
        <w:t>(08), 681–702.</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Wafaretta, V., Rosidi, &amp; Rahman, A. F. (2016). The Impact of Banks’ Characteristics on Profit Distribution Management of Islamic Banks. </w:t>
      </w:r>
      <w:r w:rsidRPr="007E6AF7">
        <w:rPr>
          <w:rFonts w:ascii="Cambria" w:hAnsi="Cambria" w:cs="Times New Roman"/>
          <w:i/>
          <w:iCs/>
          <w:noProof/>
          <w:szCs w:val="24"/>
        </w:rPr>
        <w:t>Procedia – Social and Behavioural Sciences</w:t>
      </w:r>
      <w:r w:rsidRPr="007E6AF7">
        <w:rPr>
          <w:rFonts w:ascii="Cambria" w:hAnsi="Cambria" w:cs="Times New Roman"/>
          <w:noProof/>
          <w:szCs w:val="24"/>
        </w:rPr>
        <w:t xml:space="preserve">, </w:t>
      </w:r>
      <w:r w:rsidRPr="007E6AF7">
        <w:rPr>
          <w:rFonts w:ascii="Cambria" w:hAnsi="Cambria" w:cs="Times New Roman"/>
          <w:i/>
          <w:iCs/>
          <w:noProof/>
          <w:szCs w:val="24"/>
        </w:rPr>
        <w:t>219</w:t>
      </w:r>
      <w:r w:rsidRPr="007E6AF7">
        <w:rPr>
          <w:rFonts w:ascii="Cambria" w:hAnsi="Cambria" w:cs="Times New Roman"/>
          <w:noProof/>
          <w:szCs w:val="24"/>
        </w:rPr>
        <w:t>, 769–776. https://doi.org/10.1016/j.sbspro.2016.05.066</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Wahasusmiah, R. (2022). Determinan Profit Distribution Management Pada Perbankan Syariah di Indonesia. </w:t>
      </w:r>
      <w:r w:rsidRPr="007E6AF7">
        <w:rPr>
          <w:rFonts w:ascii="Cambria" w:hAnsi="Cambria" w:cs="Times New Roman"/>
          <w:i/>
          <w:iCs/>
          <w:noProof/>
          <w:szCs w:val="24"/>
        </w:rPr>
        <w:t>Sintama: Jurnal Sistem Informasi, Akuntansi &amp; Manajemen</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(01), 1–13. https://adaindonesia.or.id/journal/index.php/sintamai/article/view/246%0A</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Wibowo, E. S., &amp; Syaichu, M. (2013). Analisis Pengaruh Suku Bunga, Inflasi, CAR, BOPO, NPF terhadap Profitabilitas Bank Syariah. </w:t>
      </w:r>
      <w:r w:rsidRPr="007E6AF7">
        <w:rPr>
          <w:rFonts w:ascii="Cambria" w:hAnsi="Cambria" w:cs="Times New Roman"/>
          <w:i/>
          <w:iCs/>
          <w:noProof/>
          <w:szCs w:val="24"/>
        </w:rPr>
        <w:t>Dipenogoro Journal of Management</w:t>
      </w:r>
      <w:r w:rsidRPr="007E6AF7">
        <w:rPr>
          <w:rFonts w:ascii="Cambria" w:hAnsi="Cambria" w:cs="Times New Roman"/>
          <w:noProof/>
          <w:szCs w:val="24"/>
        </w:rPr>
        <w:t xml:space="preserve">, </w:t>
      </w:r>
      <w:r w:rsidRPr="007E6AF7">
        <w:rPr>
          <w:rFonts w:ascii="Cambria" w:hAnsi="Cambria" w:cs="Times New Roman"/>
          <w:i/>
          <w:iCs/>
          <w:noProof/>
          <w:szCs w:val="24"/>
        </w:rPr>
        <w:t>02</w:t>
      </w:r>
      <w:r w:rsidRPr="007E6AF7">
        <w:rPr>
          <w:rFonts w:ascii="Cambria" w:hAnsi="Cambria" w:cs="Times New Roman"/>
          <w:noProof/>
          <w:szCs w:val="24"/>
        </w:rPr>
        <w:t>(02), 10–19. https://ejournal3.undip.ac.id/index.php/djom/article/view/2651</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t xml:space="preserve">Wijaya, R. (2019). Analisis Perkembangan Return On Assets (ROA) dan Return On Equity (ROE) untuk Mengukur Kinerja Keuangan. </w:t>
      </w:r>
      <w:r w:rsidRPr="007E6AF7">
        <w:rPr>
          <w:rFonts w:ascii="Cambria" w:hAnsi="Cambria" w:cs="Times New Roman"/>
          <w:i/>
          <w:iCs/>
          <w:noProof/>
          <w:szCs w:val="24"/>
        </w:rPr>
        <w:t>Jurnal Ilmu Manajemen</w:t>
      </w:r>
      <w:r w:rsidRPr="007E6AF7">
        <w:rPr>
          <w:rFonts w:ascii="Cambria" w:hAnsi="Cambria" w:cs="Times New Roman"/>
          <w:noProof/>
          <w:szCs w:val="24"/>
        </w:rPr>
        <w:t xml:space="preserve">, </w:t>
      </w:r>
      <w:r w:rsidRPr="007E6AF7">
        <w:rPr>
          <w:rFonts w:ascii="Cambria" w:hAnsi="Cambria" w:cs="Times New Roman"/>
          <w:i/>
          <w:iCs/>
          <w:noProof/>
          <w:szCs w:val="24"/>
        </w:rPr>
        <w:t>09</w:t>
      </w:r>
      <w:r w:rsidRPr="007E6AF7">
        <w:rPr>
          <w:rFonts w:ascii="Cambria" w:hAnsi="Cambria" w:cs="Times New Roman"/>
          <w:noProof/>
          <w:szCs w:val="24"/>
        </w:rPr>
        <w:t>(01), 40–51. https://doi.org/10.32502/jimn.v9i1.2115</w:t>
      </w:r>
    </w:p>
    <w:p w:rsidR="00C47ECA" w:rsidRPr="007E6AF7" w:rsidRDefault="00C47ECA" w:rsidP="00C47ECA">
      <w:pPr>
        <w:widowControl w:val="0"/>
        <w:autoSpaceDE w:val="0"/>
        <w:autoSpaceDN w:val="0"/>
        <w:adjustRightInd w:val="0"/>
        <w:spacing w:line="240" w:lineRule="auto"/>
        <w:ind w:left="0" w:hanging="2"/>
        <w:rPr>
          <w:rFonts w:ascii="Cambria" w:hAnsi="Cambria" w:cs="Times New Roman"/>
          <w:noProof/>
          <w:szCs w:val="24"/>
        </w:rPr>
      </w:pPr>
      <w:r w:rsidRPr="007E6AF7">
        <w:rPr>
          <w:rFonts w:ascii="Cambria" w:hAnsi="Cambria" w:cs="Times New Roman"/>
          <w:noProof/>
          <w:szCs w:val="24"/>
        </w:rPr>
        <w:lastRenderedPageBreak/>
        <w:t xml:space="preserve">Yunita, N. A., Yunina, Mulyati, S., Khaddafi, M., Satria, D. I., &amp; Albra, W. (2018). Factors Affecting Profit Distribution Management ofGeneral Islamic Banks In Indonesia. </w:t>
      </w:r>
      <w:r w:rsidRPr="007E6AF7">
        <w:rPr>
          <w:rFonts w:ascii="Cambria" w:hAnsi="Cambria" w:cs="Times New Roman"/>
          <w:i/>
          <w:iCs/>
          <w:noProof/>
          <w:szCs w:val="24"/>
        </w:rPr>
        <w:t>Conference: Proceedings of the 1st Workshop on Multidisciplinary and Its Applications Part 1</w:t>
      </w:r>
      <w:r w:rsidRPr="007E6AF7">
        <w:rPr>
          <w:rFonts w:ascii="Cambria" w:hAnsi="Cambria" w:cs="Times New Roman"/>
          <w:noProof/>
          <w:szCs w:val="24"/>
        </w:rPr>
        <w:t>, 19–20. https://doi.org/10.4108/eai.20-1-2018.2282448</w:t>
      </w:r>
    </w:p>
    <w:p w:rsidR="00C47ECA" w:rsidRPr="007E6AF7" w:rsidRDefault="00C47ECA" w:rsidP="00C47ECA">
      <w:pPr>
        <w:widowControl w:val="0"/>
        <w:autoSpaceDE w:val="0"/>
        <w:autoSpaceDN w:val="0"/>
        <w:adjustRightInd w:val="0"/>
        <w:spacing w:line="240" w:lineRule="auto"/>
        <w:ind w:left="0" w:hanging="2"/>
        <w:rPr>
          <w:rFonts w:ascii="Cambria" w:hAnsi="Cambria"/>
          <w:noProof/>
        </w:rPr>
      </w:pPr>
      <w:r w:rsidRPr="007E6AF7">
        <w:rPr>
          <w:rFonts w:ascii="Cambria" w:hAnsi="Cambria" w:cs="Times New Roman"/>
          <w:noProof/>
          <w:szCs w:val="24"/>
        </w:rPr>
        <w:t xml:space="preserve">Zaheer, S. (2013). </w:t>
      </w:r>
      <w:r w:rsidRPr="007E6AF7">
        <w:rPr>
          <w:rFonts w:ascii="Cambria" w:hAnsi="Cambria" w:cs="Times New Roman"/>
          <w:i/>
          <w:iCs/>
          <w:noProof/>
          <w:szCs w:val="24"/>
        </w:rPr>
        <w:t>Financial Intermediation and Monetery Transmission Through Conventional and Islamic Channels</w:t>
      </w:r>
      <w:r w:rsidRPr="007E6AF7">
        <w:rPr>
          <w:rFonts w:ascii="Cambria" w:hAnsi="Cambria" w:cs="Times New Roman"/>
          <w:noProof/>
          <w:szCs w:val="24"/>
        </w:rPr>
        <w:t>. Rozenberg Publishing Service.</w:t>
      </w:r>
    </w:p>
    <w:p w:rsidR="00C47ECA" w:rsidRPr="00FA3E0F" w:rsidRDefault="00C47ECA" w:rsidP="00C47ECA">
      <w:pPr>
        <w:widowControl w:val="0"/>
        <w:spacing w:line="240" w:lineRule="auto"/>
        <w:ind w:left="0" w:hanging="2"/>
        <w:rPr>
          <w:rFonts w:ascii="Cambria" w:eastAsia="Cambria" w:hAnsi="Cambria" w:cs="Cambria"/>
        </w:rPr>
      </w:pPr>
      <w:r w:rsidRPr="00FA3E0F">
        <w:rPr>
          <w:rFonts w:ascii="Cambria" w:eastAsia="Cambria" w:hAnsi="Cambria" w:cs="Cambria"/>
        </w:rPr>
        <w:fldChar w:fldCharType="end"/>
      </w:r>
    </w:p>
    <w:p w:rsidR="005613A3" w:rsidRDefault="005613A3">
      <w:pPr>
        <w:ind w:left="0" w:hanging="2"/>
      </w:pPr>
    </w:p>
    <w:sectPr w:rsidR="005613A3">
      <w:headerReference w:type="default" r:id="rId8"/>
      <w:footerReference w:type="default" r:id="rId9"/>
      <w:headerReference w:type="first" r:id="rId10"/>
      <w:footerReference w:type="first" r:id="rId11"/>
      <w:pgSz w:w="11907" w:h="16839"/>
      <w:pgMar w:top="1701" w:right="1701" w:bottom="1701" w:left="2268" w:header="964" w:footer="794" w:gutter="0"/>
      <w:pgNumType w:start="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7A22" w:rsidRDefault="007B7A22">
      <w:pPr>
        <w:spacing w:line="240" w:lineRule="auto"/>
        <w:ind w:left="0" w:hanging="2"/>
      </w:pPr>
      <w:r>
        <w:separator/>
      </w:r>
    </w:p>
  </w:endnote>
  <w:endnote w:type="continuationSeparator" w:id="0">
    <w:p w:rsidR="007B7A22" w:rsidRDefault="007B7A2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orts Mill Goudy">
    <w:altName w:val="Calibri"/>
    <w:charset w:val="00"/>
    <w:family w:val="auto"/>
    <w:pitch w:val="default"/>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L-Hosam">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755CC" w:rsidRDefault="00FC7888">
    <w:pPr>
      <w:pBdr>
        <w:top w:val="nil"/>
        <w:left w:val="nil"/>
        <w:bottom w:val="nil"/>
        <w:right w:val="nil"/>
        <w:between w:val="nil"/>
      </w:pBd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X, No. X, Tahun 20XX</w:t>
    </w:r>
    <w:r>
      <w:rPr>
        <w:rFonts w:ascii="Cambria" w:eastAsia="Cambria" w:hAnsi="Cambria" w:cs="Cambria"/>
        <w:color w:val="000000"/>
        <w:sz w:val="22"/>
        <w:szCs w:val="22"/>
      </w:rPr>
      <w:t xml:space="preserve">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Pr>
        <w:rFonts w:ascii="Cambria" w:eastAsia="Cambria" w:hAnsi="Cambria" w:cs="Cambria"/>
        <w:noProof/>
        <w:color w:val="000000"/>
        <w:sz w:val="22"/>
        <w:szCs w:val="22"/>
      </w:rPr>
      <w:t>84</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sidR="00C47ECA">
      <w:rPr>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25400</wp:posOffset>
              </wp:positionV>
              <wp:extent cx="5041900" cy="19050"/>
              <wp:effectExtent l="0" t="0" r="2540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1900" cy="1905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6A614D74" id="_x0000_t32" coordsize="21600,21600" o:spt="32" o:oned="t" path="m,l21600,21600e" filled="f">
              <v:path arrowok="t" fillok="f" o:connecttype="none"/>
              <o:lock v:ext="edit" shapetype="t"/>
            </v:shapetype>
            <v:shape id="Straight Arrow Connector 11" o:spid="_x0000_s1026" type="#_x0000_t32" style="position:absolute;margin-left:0;margin-top:2pt;width:397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" strokeweight="1.5pt">
              <v:stroke joinstyle="miter"/>
              <o:lock v:ext="edit" shapetype="f"/>
            </v:shape>
          </w:pict>
        </mc:Fallback>
      </mc:AlternateContent>
    </w:r>
  </w:p>
  <w:p w:rsidR="002755CC" w:rsidRDefault="007B7A22">
    <w:pPr>
      <w:pBdr>
        <w:top w:val="nil"/>
        <w:left w:val="nil"/>
        <w:bottom w:val="nil"/>
        <w:right w:val="nil"/>
        <w:between w:val="nil"/>
      </w:pBdr>
      <w:tabs>
        <w:tab w:val="center" w:pos="4513"/>
        <w:tab w:val="right" w:pos="9026"/>
      </w:tabs>
      <w:ind w:left="0" w:hanging="2"/>
      <w:jc w:val="right"/>
      <w:rPr>
        <w:rFonts w:ascii="Cambria" w:eastAsia="Cambria" w:hAnsi="Cambria" w:cs="Cambria"/>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755CC" w:rsidRDefault="00FC7888">
    <w:pPr>
      <w:pBdr>
        <w:top w:val="nil"/>
        <w:left w:val="nil"/>
        <w:bottom w:val="nil"/>
        <w:right w:val="nil"/>
        <w:between w:val="nil"/>
      </w:pBd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6, No. 1, Tahun 2018</w:t>
    </w:r>
    <w:r>
      <w:rPr>
        <w:rFonts w:ascii="Cambria" w:eastAsia="Cambria" w:hAnsi="Cambria" w:cs="Cambria"/>
        <w:color w:val="000000"/>
        <w:sz w:val="20"/>
        <w:szCs w:val="20"/>
      </w:rPr>
      <w:t xml:space="preserve"> </w:t>
    </w:r>
    <w:r>
      <w:rPr>
        <w:rFonts w:ascii="Cambria" w:eastAsia="Cambria" w:hAnsi="Cambria" w:cs="Cambria"/>
        <w:color w:val="000000"/>
        <w:sz w:val="22"/>
        <w:szCs w:val="22"/>
      </w:rPr>
      <w:t xml:space="preserve">|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Pr>
        <w:rFonts w:ascii="Cambria" w:eastAsia="Cambria" w:hAnsi="Cambria" w:cs="Cambria"/>
        <w:noProof/>
        <w:color w:val="000000"/>
        <w:sz w:val="22"/>
        <w:szCs w:val="22"/>
      </w:rPr>
      <w:t>83</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sidR="00C47ECA">
      <w:rPr>
        <w:noProof/>
      </w:rPr>
      <mc:AlternateContent>
        <mc:Choice Requires="wps">
          <w:drawing>
            <wp:anchor distT="0" distB="0" distL="114300" distR="114300" simplePos="0" relativeHeight="251664384" behindDoc="0" locked="0" layoutInCell="1" allowOverlap="1">
              <wp:simplePos x="0" y="0"/>
              <wp:positionH relativeFrom="column">
                <wp:posOffset>-12700</wp:posOffset>
              </wp:positionH>
              <wp:positionV relativeFrom="paragraph">
                <wp:posOffset>38100</wp:posOffset>
              </wp:positionV>
              <wp:extent cx="5053965" cy="19050"/>
              <wp:effectExtent l="0" t="0" r="3238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53965" cy="1905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29BBB1A5" id="_x0000_t32" coordsize="21600,21600" o:spt="32" o:oned="t" path="m,l21600,21600e" filled="f">
              <v:path arrowok="t" fillok="f" o:connecttype="none"/>
              <o:lock v:ext="edit" shapetype="t"/>
            </v:shapetype>
            <v:shape id="Straight Arrow Connector 5" o:spid="_x0000_s1026" type="#_x0000_t32" style="position:absolute;margin-left:-1pt;margin-top:3pt;width:397.9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" strokeweight="1.5pt">
              <v:stroke joinstyle="miter"/>
              <o:lock v:ext="edit" shapetype="f"/>
            </v:shape>
          </w:pict>
        </mc:Fallback>
      </mc:AlternateContent>
    </w:r>
  </w:p>
  <w:p w:rsidR="002755CC" w:rsidRDefault="007B7A22">
    <w:pPr>
      <w:pBdr>
        <w:top w:val="nil"/>
        <w:left w:val="nil"/>
        <w:bottom w:val="nil"/>
        <w:right w:val="nil"/>
        <w:between w:val="nil"/>
      </w:pBdr>
      <w:tabs>
        <w:tab w:val="center" w:pos="4513"/>
        <w:tab w:val="right" w:pos="9026"/>
      </w:tabs>
      <w:ind w:left="0" w:hanging="2"/>
      <w:rPr>
        <w:rFonts w:ascii="Sorts Mill Goudy" w:hAnsi="Sorts Mill Goudy" w:cs="Sorts Mill Goudy"/>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7A22" w:rsidRDefault="007B7A22">
      <w:pPr>
        <w:spacing w:line="240" w:lineRule="auto"/>
        <w:ind w:left="0" w:hanging="2"/>
      </w:pPr>
      <w:r>
        <w:separator/>
      </w:r>
    </w:p>
  </w:footnote>
  <w:footnote w:type="continuationSeparator" w:id="0">
    <w:p w:rsidR="007B7A22" w:rsidRDefault="007B7A2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755CC" w:rsidRDefault="00C47ECA">
    <w:pPr>
      <w:pBdr>
        <w:top w:val="nil"/>
        <w:left w:val="nil"/>
        <w:bottom w:val="nil"/>
        <w:right w:val="nil"/>
        <w:between w:val="nil"/>
      </w:pBdr>
      <w:tabs>
        <w:tab w:val="center" w:pos="4513"/>
        <w:tab w:val="right" w:pos="9026"/>
      </w:tabs>
      <w:ind w:left="0" w:hanging="2"/>
      <w:jc w:val="left"/>
      <w:rPr>
        <w:rFonts w:ascii="Cambria" w:eastAsia="Cambria" w:hAnsi="Cambria" w:cs="Cambria"/>
        <w:color w:val="000000"/>
        <w:sz w:val="20"/>
        <w:szCs w:val="20"/>
      </w:rPr>
    </w:pPr>
    <w:r>
      <w:rPr>
        <w:noProof/>
      </w:rPr>
      <w:drawing>
        <wp:anchor distT="0" distB="0" distL="114300" distR="114300" simplePos="0" relativeHeight="251659264" behindDoc="0" locked="0" layoutInCell="1" allowOverlap="1">
          <wp:simplePos x="0" y="0"/>
          <wp:positionH relativeFrom="column">
            <wp:posOffset>4853305</wp:posOffset>
          </wp:positionH>
          <wp:positionV relativeFrom="paragraph">
            <wp:posOffset>201930</wp:posOffset>
          </wp:positionV>
          <wp:extent cx="181610" cy="179705"/>
          <wp:effectExtent l="0" t="0" r="889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10" cy="179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55CC" w:rsidRDefault="00FC7888">
    <w:pPr>
      <w:pBdr>
        <w:top w:val="nil"/>
        <w:left w:val="nil"/>
        <w:bottom w:val="nil"/>
        <w:right w:val="nil"/>
        <w:between w:val="nil"/>
      </w:pBdr>
      <w:tabs>
        <w:tab w:val="center" w:pos="4513"/>
        <w:tab w:val="right" w:pos="9026"/>
      </w:tabs>
      <w:ind w:left="0" w:hanging="2"/>
      <w:jc w:val="left"/>
      <w:rPr>
        <w:rFonts w:ascii="Cambria" w:eastAsia="Cambria" w:hAnsi="Cambria" w:cs="Cambria"/>
        <w:color w:val="000000"/>
        <w:sz w:val="20"/>
        <w:szCs w:val="20"/>
      </w:rPr>
    </w:pPr>
    <w:r>
      <w:rPr>
        <w:rFonts w:ascii="Cambria" w:eastAsia="Cambria" w:hAnsi="Cambria" w:cs="Cambria"/>
        <w:b/>
        <w:color w:val="000000"/>
        <w:sz w:val="20"/>
        <w:szCs w:val="20"/>
      </w:rPr>
      <w:t xml:space="preserve">Nama Author: </w:t>
    </w:r>
    <w:r>
      <w:rPr>
        <w:rFonts w:ascii="Cambria" w:eastAsia="Cambria" w:hAnsi="Cambria" w:cs="Cambria"/>
        <w:color w:val="000000"/>
        <w:sz w:val="20"/>
        <w:szCs w:val="20"/>
      </w:rPr>
      <w:t>Judul Artikel</w:t>
    </w:r>
    <w:r w:rsidR="00C47ECA">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177800</wp:posOffset>
              </wp:positionV>
              <wp:extent cx="5044440" cy="19050"/>
              <wp:effectExtent l="0" t="0" r="22860"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4440" cy="1905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22701083" id="_x0000_t32" coordsize="21600,21600" o:spt="32" o:oned="t" path="m,l21600,21600e" filled="f">
              <v:path arrowok="t" fillok="f" o:connecttype="none"/>
              <o:lock v:ext="edit" shapetype="t"/>
            </v:shapetype>
            <v:shape id="Straight Arrow Connector 12" o:spid="_x0000_s1026" type="#_x0000_t32" style="position:absolute;margin-left:0;margin-top:14pt;width:397.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" strokeweight="1.5pt">
              <v:stroke joinstyle="miter"/>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755CC" w:rsidRDefault="00C47ECA">
    <w:pPr>
      <w:pBdr>
        <w:top w:val="nil"/>
        <w:left w:val="nil"/>
        <w:bottom w:val="nil"/>
        <w:right w:val="nil"/>
        <w:between w:val="nil"/>
      </w:pBdr>
      <w:tabs>
        <w:tab w:val="center" w:pos="4513"/>
        <w:tab w:val="right" w:pos="9026"/>
      </w:tabs>
      <w:ind w:left="0" w:hanging="2"/>
      <w:rPr>
        <w:rFonts w:ascii="Sorts Mill Goudy" w:hAnsi="Sorts Mill Goudy" w:cs="Sorts Mill Goudy"/>
        <w:color w:val="000000"/>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-12700</wp:posOffset>
              </wp:positionH>
              <wp:positionV relativeFrom="paragraph">
                <wp:posOffset>444500</wp:posOffset>
              </wp:positionV>
              <wp:extent cx="5053965" cy="19050"/>
              <wp:effectExtent l="0" t="0" r="3238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53965" cy="1905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4B45D11A" id="_x0000_t32" coordsize="21600,21600" o:spt="32" o:oned="t" path="m,l21600,21600e" filled="f">
              <v:path arrowok="t" fillok="f" o:connecttype="none"/>
              <o:lock v:ext="edit" shapetype="t"/>
            </v:shapetype>
            <v:shape id="Straight Arrow Connector 10" o:spid="_x0000_s1026" type="#_x0000_t32" style="position:absolute;margin-left:-1pt;margin-top:35pt;width:397.9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" strokeweight="1.5pt">
              <v:stroke joinstyle="miter"/>
              <o:lock v:ext="edit" shapetype="f"/>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-101600</wp:posOffset>
              </wp:positionV>
              <wp:extent cx="4516120" cy="57721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6120" cy="577215"/>
                      </a:xfrm>
                      <a:prstGeom prst="rect">
                        <a:avLst/>
                      </a:prstGeom>
                      <a:noFill/>
                      <a:ln>
                        <a:noFill/>
                      </a:ln>
                    </wps:spPr>
                    <wps:txbx>
                      <w:txbxContent>
                        <w:p w:rsidR="002755CC" w:rsidRDefault="00FC7888">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rsidR="002755CC" w:rsidRDefault="00FC7888">
                          <w:pPr>
                            <w:spacing w:line="240" w:lineRule="auto"/>
                            <w:ind w:left="0" w:hanging="2"/>
                            <w:jc w:val="left"/>
                          </w:pPr>
                          <w:r>
                            <w:rPr>
                              <w:rFonts w:ascii="Cambria" w:eastAsia="Cambria" w:hAnsi="Cambria" w:cs="Cambria"/>
                              <w:color w:val="000000"/>
                              <w:sz w:val="20"/>
                            </w:rPr>
                            <w:t>Volume X , No. X, Tahun XXXX</w:t>
                          </w:r>
                        </w:p>
                        <w:p w:rsidR="002755CC" w:rsidRDefault="00FC7888">
                          <w:pPr>
                            <w:spacing w:line="240" w:lineRule="auto"/>
                            <w:ind w:left="0" w:hanging="2"/>
                            <w:jc w:val="left"/>
                          </w:pPr>
                          <w:r>
                            <w:rPr>
                              <w:rFonts w:ascii="Cambria" w:eastAsia="Cambria" w:hAnsi="Cambria" w:cs="Cambria"/>
                              <w:color w:val="000000"/>
                              <w:sz w:val="20"/>
                            </w:rPr>
                            <w:t>E ISSN: 2622-0083</w:t>
                          </w:r>
                        </w:p>
                        <w:p w:rsidR="002755CC" w:rsidRDefault="007B7A22">
                          <w:pPr>
                            <w:ind w:left="0"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id="Rectangle 7" o:spid="_x0000_s1032" style="position:absolute;left:0;text-align:left;margin-left:-9pt;margin-top:-8pt;width:355.6pt;height:4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" filled="f" stroked="f">
              <v:textbox inset="2.53958mm,1.2694mm,2.53958mm,1.2694mm">
                <w:txbxContent>
                  <w:p w:rsidR="002755CC" w:rsidRDefault="00FC7888">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rsidR="002755CC" w:rsidRDefault="00FC7888">
                    <w:pPr>
                      <w:spacing w:line="240" w:lineRule="auto"/>
                      <w:ind w:left="0" w:hanging="2"/>
                      <w:jc w:val="left"/>
                    </w:pPr>
                    <w:r>
                      <w:rPr>
                        <w:rFonts w:ascii="Cambria" w:eastAsia="Cambria" w:hAnsi="Cambria" w:cs="Cambria"/>
                        <w:color w:val="000000"/>
                        <w:sz w:val="20"/>
                      </w:rPr>
                      <w:t>Volume X , No. X, Tahun XXXX</w:t>
                    </w:r>
                  </w:p>
                  <w:p w:rsidR="002755CC" w:rsidRDefault="00FC7888">
                    <w:pPr>
                      <w:spacing w:line="240" w:lineRule="auto"/>
                      <w:ind w:left="0" w:hanging="2"/>
                      <w:jc w:val="left"/>
                    </w:pPr>
                    <w:r>
                      <w:rPr>
                        <w:rFonts w:ascii="Cambria" w:eastAsia="Cambria" w:hAnsi="Cambria" w:cs="Cambria"/>
                        <w:color w:val="000000"/>
                        <w:sz w:val="20"/>
                      </w:rPr>
                      <w:t>E ISSN: 262</w:t>
                    </w:r>
                    <w:r>
                      <w:rPr>
                        <w:rFonts w:ascii="Cambria" w:eastAsia="Cambria" w:hAnsi="Cambria" w:cs="Cambria"/>
                        <w:color w:val="000000"/>
                        <w:sz w:val="20"/>
                      </w:rPr>
                      <w:t>2-0083</w:t>
                    </w:r>
                  </w:p>
                  <w:p w:rsidR="002755CC" w:rsidRDefault="00FC7888">
                    <w:pPr>
                      <w:ind w:left="0" w:hanging="2"/>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B5C48"/>
    <w:multiLevelType w:val="hybridMultilevel"/>
    <w:tmpl w:val="6F2A1F5C"/>
    <w:lvl w:ilvl="0" w:tplc="BBF89922">
      <w:start w:val="1"/>
      <w:numFmt w:val="lowerLetter"/>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 w15:restartNumberingAfterBreak="0">
    <w:nsid w:val="35373426"/>
    <w:multiLevelType w:val="hybridMultilevel"/>
    <w:tmpl w:val="CC406CA4"/>
    <w:lvl w:ilvl="0" w:tplc="04090019">
      <w:start w:val="1"/>
      <w:numFmt w:val="lowerLetter"/>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2" w15:restartNumberingAfterBreak="0">
    <w:nsid w:val="3BA7463D"/>
    <w:multiLevelType w:val="hybridMultilevel"/>
    <w:tmpl w:val="CD2CBD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6419A4"/>
    <w:multiLevelType w:val="hybridMultilevel"/>
    <w:tmpl w:val="980A58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90A703A"/>
    <w:multiLevelType w:val="hybridMultilevel"/>
    <w:tmpl w:val="8670EAE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6B8C1FEC"/>
    <w:multiLevelType w:val="hybridMultilevel"/>
    <w:tmpl w:val="B2CE3962"/>
    <w:lvl w:ilvl="0" w:tplc="04090019">
      <w:start w:val="1"/>
      <w:numFmt w:val="lowerLetter"/>
      <w:lvlText w:val="%1."/>
      <w:lvlJc w:val="left"/>
      <w:pPr>
        <w:ind w:left="475" w:hanging="360"/>
      </w:pPr>
    </w:lvl>
    <w:lvl w:ilvl="1" w:tplc="04210019">
      <w:start w:val="1"/>
      <w:numFmt w:val="lowerLetter"/>
      <w:lvlText w:val="%2."/>
      <w:lvlJc w:val="left"/>
      <w:pPr>
        <w:ind w:left="1195" w:hanging="360"/>
      </w:pPr>
    </w:lvl>
    <w:lvl w:ilvl="2" w:tplc="0421001B">
      <w:start w:val="1"/>
      <w:numFmt w:val="lowerRoman"/>
      <w:lvlText w:val="%3."/>
      <w:lvlJc w:val="right"/>
      <w:pPr>
        <w:ind w:left="1915" w:hanging="180"/>
      </w:pPr>
    </w:lvl>
    <w:lvl w:ilvl="3" w:tplc="0421000F">
      <w:start w:val="1"/>
      <w:numFmt w:val="decimal"/>
      <w:lvlText w:val="%4."/>
      <w:lvlJc w:val="left"/>
      <w:pPr>
        <w:ind w:left="2635" w:hanging="360"/>
      </w:pPr>
    </w:lvl>
    <w:lvl w:ilvl="4" w:tplc="04210019">
      <w:start w:val="1"/>
      <w:numFmt w:val="lowerLetter"/>
      <w:lvlText w:val="%5."/>
      <w:lvlJc w:val="left"/>
      <w:pPr>
        <w:ind w:left="3355" w:hanging="360"/>
      </w:pPr>
    </w:lvl>
    <w:lvl w:ilvl="5" w:tplc="0421001B">
      <w:start w:val="1"/>
      <w:numFmt w:val="lowerRoman"/>
      <w:lvlText w:val="%6."/>
      <w:lvlJc w:val="right"/>
      <w:pPr>
        <w:ind w:left="4075" w:hanging="180"/>
      </w:pPr>
    </w:lvl>
    <w:lvl w:ilvl="6" w:tplc="0421000F">
      <w:start w:val="1"/>
      <w:numFmt w:val="decimal"/>
      <w:lvlText w:val="%7."/>
      <w:lvlJc w:val="left"/>
      <w:pPr>
        <w:ind w:left="4795" w:hanging="360"/>
      </w:pPr>
    </w:lvl>
    <w:lvl w:ilvl="7" w:tplc="04210019">
      <w:start w:val="1"/>
      <w:numFmt w:val="lowerLetter"/>
      <w:lvlText w:val="%8."/>
      <w:lvlJc w:val="left"/>
      <w:pPr>
        <w:ind w:left="5515" w:hanging="360"/>
      </w:pPr>
    </w:lvl>
    <w:lvl w:ilvl="8" w:tplc="0421001B">
      <w:start w:val="1"/>
      <w:numFmt w:val="lowerRoman"/>
      <w:lvlText w:val="%9."/>
      <w:lvlJc w:val="right"/>
      <w:pPr>
        <w:ind w:left="6235" w:hanging="180"/>
      </w:pPr>
    </w:lvl>
  </w:abstractNum>
  <w:abstractNum w:abstractNumId="6" w15:restartNumberingAfterBreak="0">
    <w:nsid w:val="6EAB6200"/>
    <w:multiLevelType w:val="hybridMultilevel"/>
    <w:tmpl w:val="58923D66"/>
    <w:lvl w:ilvl="0" w:tplc="F0B4C5C2">
      <w:start w:val="1"/>
      <w:numFmt w:val="lowerLetter"/>
      <w:lvlText w:val="%1."/>
      <w:lvlJc w:val="left"/>
      <w:pPr>
        <w:ind w:left="475" w:hanging="360"/>
      </w:pPr>
    </w:lvl>
    <w:lvl w:ilvl="1" w:tplc="04210019">
      <w:start w:val="1"/>
      <w:numFmt w:val="lowerLetter"/>
      <w:lvlText w:val="%2."/>
      <w:lvlJc w:val="left"/>
      <w:pPr>
        <w:ind w:left="1195" w:hanging="360"/>
      </w:pPr>
    </w:lvl>
    <w:lvl w:ilvl="2" w:tplc="0421001B">
      <w:start w:val="1"/>
      <w:numFmt w:val="lowerRoman"/>
      <w:lvlText w:val="%3."/>
      <w:lvlJc w:val="right"/>
      <w:pPr>
        <w:ind w:left="1915" w:hanging="180"/>
      </w:pPr>
    </w:lvl>
    <w:lvl w:ilvl="3" w:tplc="0421000F">
      <w:start w:val="1"/>
      <w:numFmt w:val="decimal"/>
      <w:lvlText w:val="%4."/>
      <w:lvlJc w:val="left"/>
      <w:pPr>
        <w:ind w:left="2635" w:hanging="360"/>
      </w:pPr>
    </w:lvl>
    <w:lvl w:ilvl="4" w:tplc="04210019">
      <w:start w:val="1"/>
      <w:numFmt w:val="lowerLetter"/>
      <w:lvlText w:val="%5."/>
      <w:lvlJc w:val="left"/>
      <w:pPr>
        <w:ind w:left="3355" w:hanging="360"/>
      </w:pPr>
    </w:lvl>
    <w:lvl w:ilvl="5" w:tplc="0421001B">
      <w:start w:val="1"/>
      <w:numFmt w:val="lowerRoman"/>
      <w:lvlText w:val="%6."/>
      <w:lvlJc w:val="right"/>
      <w:pPr>
        <w:ind w:left="4075" w:hanging="180"/>
      </w:pPr>
    </w:lvl>
    <w:lvl w:ilvl="6" w:tplc="0421000F">
      <w:start w:val="1"/>
      <w:numFmt w:val="decimal"/>
      <w:lvlText w:val="%7."/>
      <w:lvlJc w:val="left"/>
      <w:pPr>
        <w:ind w:left="4795" w:hanging="360"/>
      </w:pPr>
    </w:lvl>
    <w:lvl w:ilvl="7" w:tplc="04210019">
      <w:start w:val="1"/>
      <w:numFmt w:val="lowerLetter"/>
      <w:lvlText w:val="%8."/>
      <w:lvlJc w:val="left"/>
      <w:pPr>
        <w:ind w:left="5515" w:hanging="360"/>
      </w:pPr>
    </w:lvl>
    <w:lvl w:ilvl="8" w:tplc="0421001B">
      <w:start w:val="1"/>
      <w:numFmt w:val="lowerRoman"/>
      <w:lvlText w:val="%9."/>
      <w:lvlJc w:val="right"/>
      <w:pPr>
        <w:ind w:left="623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ECA"/>
    <w:rsid w:val="00161823"/>
    <w:rsid w:val="005613A3"/>
    <w:rsid w:val="00584945"/>
    <w:rsid w:val="007B7A22"/>
    <w:rsid w:val="00C47ECA"/>
    <w:rsid w:val="00FC2EC1"/>
    <w:rsid w:val="00FC78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F284E"/>
  <w15:chartTrackingRefBased/>
  <w15:docId w15:val="{D0EE41AB-521B-4698-A95E-94D91BD0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qFormat="1"/>
    <w:lsdException w:name="Smart Link" w:semiHidden="1" w:unhideWhenUsed="1"/>
  </w:latentStyles>
  <w:style w:type="paragraph" w:default="1" w:styleId="Normal">
    <w:name w:val="Normal"/>
    <w:qFormat/>
    <w:rsid w:val="00C47ECA"/>
    <w:pPr>
      <w:suppressAutoHyphens/>
      <w:spacing w:after="0" w:line="360" w:lineRule="auto"/>
      <w:ind w:leftChars="-1" w:left="-1" w:hangingChars="1" w:hanging="1"/>
      <w:jc w:val="both"/>
      <w:textDirection w:val="btLr"/>
      <w:textAlignment w:val="top"/>
      <w:outlineLvl w:val="0"/>
    </w:pPr>
    <w:rPr>
      <w:rFonts w:ascii="Goudy Old Style" w:eastAsia="Sorts Mill Goudy" w:hAnsi="Goudy Old Style" w:cs="Traditional Arabic"/>
      <w:position w:val="-1"/>
      <w:sz w:val="24"/>
      <w:szCs w:val="36"/>
      <w:lang w:val="id-ID"/>
    </w:rPr>
  </w:style>
  <w:style w:type="paragraph" w:styleId="Heading1">
    <w:name w:val="heading 1"/>
    <w:basedOn w:val="Normal"/>
    <w:next w:val="Normal"/>
    <w:link w:val="Heading1Char"/>
    <w:uiPriority w:val="9"/>
    <w:qFormat/>
    <w:rsid w:val="00C47ECA"/>
    <w:pPr>
      <w:keepNext/>
      <w:keepLines/>
      <w:spacing w:before="240" w:line="259" w:lineRule="auto"/>
      <w:jc w:val="left"/>
    </w:pPr>
    <w:rPr>
      <w:rFonts w:ascii="Calibri Light" w:hAnsi="Calibri Light" w:cs="Times New Roman"/>
      <w:color w:val="2F5496"/>
      <w:sz w:val="32"/>
      <w:szCs w:val="32"/>
      <w:lang w:val="en-US"/>
    </w:rPr>
  </w:style>
  <w:style w:type="paragraph" w:styleId="Heading2">
    <w:name w:val="heading 2"/>
    <w:basedOn w:val="Normal"/>
    <w:next w:val="Normal"/>
    <w:link w:val="Heading2Char"/>
    <w:uiPriority w:val="9"/>
    <w:semiHidden/>
    <w:unhideWhenUsed/>
    <w:qFormat/>
    <w:rsid w:val="00C47ECA"/>
    <w:pPr>
      <w:keepNext/>
      <w:keepLines/>
      <w:spacing w:before="360" w:after="80"/>
      <w:outlineLvl w:val="1"/>
    </w:pPr>
    <w:rPr>
      <w:b/>
      <w:sz w:val="36"/>
    </w:rPr>
  </w:style>
  <w:style w:type="paragraph" w:styleId="Heading3">
    <w:name w:val="heading 3"/>
    <w:basedOn w:val="Normal"/>
    <w:next w:val="Normal"/>
    <w:link w:val="Heading3Char"/>
    <w:uiPriority w:val="9"/>
    <w:semiHidden/>
    <w:unhideWhenUsed/>
    <w:qFormat/>
    <w:rsid w:val="00C47ECA"/>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C47ECA"/>
    <w:pPr>
      <w:keepNext/>
      <w:keepLines/>
      <w:spacing w:before="240" w:after="40"/>
      <w:outlineLvl w:val="3"/>
    </w:pPr>
    <w:rPr>
      <w:b/>
      <w:szCs w:val="24"/>
    </w:rPr>
  </w:style>
  <w:style w:type="paragraph" w:styleId="Heading5">
    <w:name w:val="heading 5"/>
    <w:basedOn w:val="Normal"/>
    <w:next w:val="Normal"/>
    <w:link w:val="Heading5Char"/>
    <w:uiPriority w:val="9"/>
    <w:semiHidden/>
    <w:unhideWhenUsed/>
    <w:qFormat/>
    <w:rsid w:val="00C47ECA"/>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C47EC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ECA"/>
    <w:rPr>
      <w:rFonts w:ascii="Calibri Light" w:eastAsia="Sorts Mill Goudy" w:hAnsi="Calibri Light" w:cs="Times New Roman"/>
      <w:color w:val="2F5496"/>
      <w:position w:val="-1"/>
      <w:sz w:val="32"/>
      <w:szCs w:val="32"/>
    </w:rPr>
  </w:style>
  <w:style w:type="character" w:customStyle="1" w:styleId="Heading2Char">
    <w:name w:val="Heading 2 Char"/>
    <w:basedOn w:val="DefaultParagraphFont"/>
    <w:link w:val="Heading2"/>
    <w:uiPriority w:val="9"/>
    <w:semiHidden/>
    <w:rsid w:val="00C47ECA"/>
    <w:rPr>
      <w:rFonts w:ascii="Goudy Old Style" w:eastAsia="Sorts Mill Goudy" w:hAnsi="Goudy Old Style" w:cs="Traditional Arabic"/>
      <w:b/>
      <w:position w:val="-1"/>
      <w:sz w:val="36"/>
      <w:szCs w:val="36"/>
      <w:lang w:val="id-ID"/>
    </w:rPr>
  </w:style>
  <w:style w:type="character" w:customStyle="1" w:styleId="Heading3Char">
    <w:name w:val="Heading 3 Char"/>
    <w:basedOn w:val="DefaultParagraphFont"/>
    <w:link w:val="Heading3"/>
    <w:uiPriority w:val="9"/>
    <w:semiHidden/>
    <w:rsid w:val="00C47ECA"/>
    <w:rPr>
      <w:rFonts w:ascii="Goudy Old Style" w:eastAsia="Sorts Mill Goudy" w:hAnsi="Goudy Old Style" w:cs="Traditional Arabic"/>
      <w:b/>
      <w:position w:val="-1"/>
      <w:sz w:val="28"/>
      <w:szCs w:val="28"/>
      <w:lang w:val="id-ID"/>
    </w:rPr>
  </w:style>
  <w:style w:type="character" w:customStyle="1" w:styleId="Heading4Char">
    <w:name w:val="Heading 4 Char"/>
    <w:basedOn w:val="DefaultParagraphFont"/>
    <w:link w:val="Heading4"/>
    <w:uiPriority w:val="9"/>
    <w:semiHidden/>
    <w:rsid w:val="00C47ECA"/>
    <w:rPr>
      <w:rFonts w:ascii="Goudy Old Style" w:eastAsia="Sorts Mill Goudy" w:hAnsi="Goudy Old Style" w:cs="Traditional Arabic"/>
      <w:b/>
      <w:position w:val="-1"/>
      <w:sz w:val="24"/>
      <w:szCs w:val="24"/>
      <w:lang w:val="id-ID"/>
    </w:rPr>
  </w:style>
  <w:style w:type="character" w:customStyle="1" w:styleId="Heading5Char">
    <w:name w:val="Heading 5 Char"/>
    <w:basedOn w:val="DefaultParagraphFont"/>
    <w:link w:val="Heading5"/>
    <w:uiPriority w:val="9"/>
    <w:semiHidden/>
    <w:rsid w:val="00C47ECA"/>
    <w:rPr>
      <w:rFonts w:ascii="Goudy Old Style" w:eastAsia="Sorts Mill Goudy" w:hAnsi="Goudy Old Style" w:cs="Traditional Arabic"/>
      <w:b/>
      <w:position w:val="-1"/>
      <w:lang w:val="id-ID"/>
    </w:rPr>
  </w:style>
  <w:style w:type="character" w:customStyle="1" w:styleId="Heading6Char">
    <w:name w:val="Heading 6 Char"/>
    <w:basedOn w:val="DefaultParagraphFont"/>
    <w:link w:val="Heading6"/>
    <w:uiPriority w:val="9"/>
    <w:semiHidden/>
    <w:rsid w:val="00C47ECA"/>
    <w:rPr>
      <w:rFonts w:ascii="Goudy Old Style" w:eastAsia="Sorts Mill Goudy" w:hAnsi="Goudy Old Style" w:cs="Traditional Arabic"/>
      <w:b/>
      <w:position w:val="-1"/>
      <w:sz w:val="20"/>
      <w:szCs w:val="20"/>
      <w:lang w:val="id-ID"/>
    </w:rPr>
  </w:style>
  <w:style w:type="paragraph" w:styleId="Title">
    <w:name w:val="Title"/>
    <w:basedOn w:val="Normal"/>
    <w:next w:val="Normal"/>
    <w:link w:val="TitleChar"/>
    <w:uiPriority w:val="10"/>
    <w:qFormat/>
    <w:rsid w:val="00C47ECA"/>
    <w:pPr>
      <w:keepNext/>
      <w:keepLines/>
      <w:spacing w:before="480" w:after="120"/>
    </w:pPr>
    <w:rPr>
      <w:b/>
      <w:sz w:val="72"/>
      <w:szCs w:val="72"/>
    </w:rPr>
  </w:style>
  <w:style w:type="character" w:customStyle="1" w:styleId="TitleChar">
    <w:name w:val="Title Char"/>
    <w:basedOn w:val="DefaultParagraphFont"/>
    <w:link w:val="Title"/>
    <w:uiPriority w:val="10"/>
    <w:rsid w:val="00C47ECA"/>
    <w:rPr>
      <w:rFonts w:ascii="Goudy Old Style" w:eastAsia="Sorts Mill Goudy" w:hAnsi="Goudy Old Style" w:cs="Traditional Arabic"/>
      <w:b/>
      <w:position w:val="-1"/>
      <w:sz w:val="72"/>
      <w:szCs w:val="72"/>
      <w:lang w:val="id-ID"/>
    </w:rPr>
  </w:style>
  <w:style w:type="paragraph" w:customStyle="1" w:styleId="JUDUL">
    <w:name w:val="JUDUL"/>
    <w:basedOn w:val="Normal"/>
    <w:next w:val="NamaPenulis"/>
    <w:rsid w:val="00C47ECA"/>
    <w:pPr>
      <w:keepNext/>
      <w:spacing w:after="360" w:line="240" w:lineRule="auto"/>
      <w:jc w:val="center"/>
    </w:pPr>
    <w:rPr>
      <w:rFonts w:ascii="Cambria" w:hAnsi="Cambria" w:cs="AL-Hosam"/>
      <w:b/>
      <w:caps/>
      <w:sz w:val="26"/>
    </w:rPr>
  </w:style>
  <w:style w:type="character" w:styleId="CommentReference">
    <w:name w:val="annotation reference"/>
    <w:qFormat/>
    <w:rsid w:val="00C47ECA"/>
    <w:rPr>
      <w:w w:val="100"/>
      <w:position w:val="-1"/>
      <w:sz w:val="16"/>
      <w:szCs w:val="16"/>
      <w:effect w:val="none"/>
      <w:vertAlign w:val="baseline"/>
      <w:cs w:val="0"/>
      <w:em w:val="none"/>
      <w:lang w:bidi="ar-SA"/>
    </w:rPr>
  </w:style>
  <w:style w:type="paragraph" w:styleId="CommentText">
    <w:name w:val="annotation text"/>
    <w:basedOn w:val="Normal"/>
    <w:link w:val="CommentTextChar"/>
    <w:qFormat/>
    <w:rsid w:val="00C47ECA"/>
    <w:pPr>
      <w:spacing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C47ECA"/>
    <w:rPr>
      <w:rFonts w:ascii="Calibri" w:eastAsia="Sorts Mill Goudy" w:hAnsi="Calibri" w:cs="Times New Roman"/>
      <w:position w:val="-1"/>
      <w:sz w:val="20"/>
      <w:szCs w:val="20"/>
      <w:lang w:val="id-ID"/>
    </w:rPr>
  </w:style>
  <w:style w:type="paragraph" w:styleId="CommentSubject">
    <w:name w:val="annotation subject"/>
    <w:basedOn w:val="CommentText"/>
    <w:next w:val="CommentText"/>
    <w:link w:val="CommentSubjectChar"/>
    <w:qFormat/>
    <w:rsid w:val="00C47ECA"/>
    <w:rPr>
      <w:b/>
      <w:bCs/>
    </w:rPr>
  </w:style>
  <w:style w:type="character" w:customStyle="1" w:styleId="CommentSubjectChar">
    <w:name w:val="Comment Subject Char"/>
    <w:basedOn w:val="CommentTextChar"/>
    <w:link w:val="CommentSubject"/>
    <w:rsid w:val="00C47ECA"/>
    <w:rPr>
      <w:rFonts w:ascii="Calibri" w:eastAsia="Sorts Mill Goudy" w:hAnsi="Calibri" w:cs="Times New Roman"/>
      <w:b/>
      <w:bCs/>
      <w:position w:val="-1"/>
      <w:sz w:val="20"/>
      <w:szCs w:val="20"/>
      <w:lang w:val="id-ID"/>
    </w:rPr>
  </w:style>
  <w:style w:type="paragraph" w:styleId="BalloonText">
    <w:name w:val="Balloon Text"/>
    <w:basedOn w:val="Normal"/>
    <w:link w:val="BalloonTextChar"/>
    <w:qFormat/>
    <w:rsid w:val="00C47ECA"/>
    <w:pPr>
      <w:spacing w:line="240" w:lineRule="auto"/>
    </w:pPr>
    <w:rPr>
      <w:rFonts w:ascii="Segoe UI" w:hAnsi="Segoe UI" w:cs="Times New Roman"/>
      <w:sz w:val="18"/>
      <w:szCs w:val="18"/>
    </w:rPr>
  </w:style>
  <w:style w:type="character" w:customStyle="1" w:styleId="BalloonTextChar">
    <w:name w:val="Balloon Text Char"/>
    <w:basedOn w:val="DefaultParagraphFont"/>
    <w:link w:val="BalloonText"/>
    <w:rsid w:val="00C47ECA"/>
    <w:rPr>
      <w:rFonts w:ascii="Segoe UI" w:eastAsia="Sorts Mill Goudy" w:hAnsi="Segoe UI" w:cs="Times New Roman"/>
      <w:position w:val="-1"/>
      <w:sz w:val="18"/>
      <w:szCs w:val="18"/>
      <w:lang w:val="id-ID"/>
    </w:rPr>
  </w:style>
  <w:style w:type="paragraph" w:customStyle="1" w:styleId="NamaPenulis">
    <w:name w:val="Nama Penulis"/>
    <w:basedOn w:val="Normal"/>
    <w:next w:val="NamaLembaga"/>
    <w:rsid w:val="00C47ECA"/>
    <w:pPr>
      <w:spacing w:line="240" w:lineRule="auto"/>
      <w:jc w:val="center"/>
    </w:pPr>
    <w:rPr>
      <w:rFonts w:ascii="Cambria" w:hAnsi="Cambria"/>
    </w:rPr>
  </w:style>
  <w:style w:type="paragraph" w:customStyle="1" w:styleId="NamaLembaga">
    <w:name w:val="Nama Lembaga"/>
    <w:basedOn w:val="NamaPenulis"/>
    <w:next w:val="NomorTelepon"/>
    <w:rsid w:val="00C47ECA"/>
    <w:rPr>
      <w:i/>
      <w:sz w:val="22"/>
    </w:rPr>
  </w:style>
  <w:style w:type="paragraph" w:customStyle="1" w:styleId="NomorTelepon">
    <w:name w:val="Nomor Telepon"/>
    <w:basedOn w:val="NamaLembaga"/>
    <w:next w:val="e-mail"/>
    <w:rsid w:val="00C47ECA"/>
  </w:style>
  <w:style w:type="paragraph" w:customStyle="1" w:styleId="e-mail">
    <w:name w:val="e-mail"/>
    <w:basedOn w:val="NomorTelepon"/>
    <w:next w:val="Abstract"/>
    <w:rsid w:val="00C47ECA"/>
  </w:style>
  <w:style w:type="paragraph" w:customStyle="1" w:styleId="Abstract">
    <w:name w:val="Abstract"/>
    <w:basedOn w:val="NomorTelepon"/>
    <w:next w:val="IsiAbstractBahasaInggris"/>
    <w:rsid w:val="00C47ECA"/>
    <w:pPr>
      <w:spacing w:before="360"/>
      <w:jc w:val="left"/>
    </w:pPr>
    <w:rPr>
      <w:b/>
    </w:rPr>
  </w:style>
  <w:style w:type="paragraph" w:customStyle="1" w:styleId="4ABSTRAK">
    <w:name w:val="4 ABSTRAK"/>
    <w:basedOn w:val="Normal"/>
    <w:rsid w:val="00C47ECA"/>
    <w:pPr>
      <w:suppressAutoHyphens w:val="0"/>
      <w:autoSpaceDE w:val="0"/>
      <w:autoSpaceDN w:val="0"/>
      <w:adjustRightInd w:val="0"/>
      <w:spacing w:line="288" w:lineRule="auto"/>
      <w:jc w:val="left"/>
      <w:textAlignment w:val="center"/>
    </w:pPr>
    <w:rPr>
      <w:rFonts w:cs="Goudy Old Style"/>
      <w:b/>
      <w:bCs/>
      <w:color w:val="000000"/>
      <w:szCs w:val="24"/>
      <w:lang w:val="en-US"/>
    </w:rPr>
  </w:style>
  <w:style w:type="paragraph" w:customStyle="1" w:styleId="IsiAbstractBahasaInggris">
    <w:name w:val="Isi Abstract Bahasa Inggris"/>
    <w:basedOn w:val="Abstract"/>
    <w:next w:val="IsiAbstrakBahasaIndonesia"/>
    <w:rsid w:val="00C47ECA"/>
    <w:pPr>
      <w:spacing w:before="0" w:after="360"/>
      <w:ind w:left="567"/>
      <w:jc w:val="both"/>
    </w:pPr>
    <w:rPr>
      <w:b w:val="0"/>
      <w:i w:val="0"/>
      <w:szCs w:val="24"/>
      <w:lang w:val="en-US"/>
    </w:rPr>
  </w:style>
  <w:style w:type="paragraph" w:customStyle="1" w:styleId="IsiAbstrakBahasaIndonesia">
    <w:name w:val="Isi Abstrak Bahasa Indonesia"/>
    <w:basedOn w:val="IsiAbstractBahasaInggris"/>
    <w:next w:val="KeyWords"/>
    <w:rsid w:val="00C47ECA"/>
    <w:rPr>
      <w:lang w:val="id-ID"/>
    </w:rPr>
  </w:style>
  <w:style w:type="paragraph" w:customStyle="1" w:styleId="KeyWords">
    <w:name w:val="Key Words"/>
    <w:basedOn w:val="IsiAbstractBahasaInggris"/>
    <w:next w:val="SubJudul"/>
    <w:rsid w:val="00C47ECA"/>
    <w:pPr>
      <w:spacing w:after="120"/>
    </w:pPr>
  </w:style>
  <w:style w:type="paragraph" w:customStyle="1" w:styleId="SubJudul">
    <w:name w:val="Sub Judul"/>
    <w:basedOn w:val="Abstract"/>
    <w:next w:val="MateriArtikel"/>
    <w:rsid w:val="00C47ECA"/>
    <w:rPr>
      <w:bCs/>
      <w:sz w:val="24"/>
    </w:rPr>
  </w:style>
  <w:style w:type="paragraph" w:customStyle="1" w:styleId="MateriArtikel">
    <w:name w:val="Materi Artikel"/>
    <w:basedOn w:val="Normal"/>
    <w:rsid w:val="00C47ECA"/>
    <w:pPr>
      <w:ind w:firstLine="567"/>
    </w:pPr>
    <w:rPr>
      <w:rFonts w:ascii="Cambria" w:hAnsi="Cambria"/>
    </w:rPr>
  </w:style>
  <w:style w:type="paragraph" w:customStyle="1" w:styleId="Gambar">
    <w:name w:val="Gambar"/>
    <w:basedOn w:val="MateriArtikel"/>
    <w:rsid w:val="00C47ECA"/>
    <w:pPr>
      <w:spacing w:line="240" w:lineRule="auto"/>
      <w:ind w:firstLine="0"/>
      <w:jc w:val="center"/>
    </w:pPr>
    <w:rPr>
      <w:lang w:val="en-US"/>
    </w:rPr>
  </w:style>
  <w:style w:type="paragraph" w:customStyle="1" w:styleId="JudulGambar">
    <w:name w:val="Judul Gambar"/>
    <w:next w:val="MateriArtikel"/>
    <w:rsid w:val="00C47ECA"/>
    <w:pPr>
      <w:suppressAutoHyphens/>
      <w:spacing w:before="120" w:after="0" w:line="1" w:lineRule="atLeast"/>
      <w:ind w:leftChars="-1" w:left="-1" w:hangingChars="1" w:hanging="1"/>
      <w:jc w:val="center"/>
      <w:textDirection w:val="btLr"/>
      <w:textAlignment w:val="top"/>
      <w:outlineLvl w:val="0"/>
    </w:pPr>
    <w:rPr>
      <w:rFonts w:ascii="Cambria" w:eastAsia="Sorts Mill Goudy" w:hAnsi="Cambria" w:cs="Traditional Arabic"/>
      <w:b/>
      <w:position w:val="-1"/>
      <w:sz w:val="24"/>
      <w:szCs w:val="36"/>
      <w:lang w:val="id-ID"/>
    </w:rPr>
  </w:style>
  <w:style w:type="paragraph" w:customStyle="1" w:styleId="SumberGambar">
    <w:name w:val="Sumber Gambar"/>
    <w:basedOn w:val="JudulGambar"/>
    <w:next w:val="MateriArtikel"/>
    <w:rsid w:val="00C47ECA"/>
    <w:pPr>
      <w:spacing w:before="0" w:after="120"/>
    </w:pPr>
    <w:rPr>
      <w:lang w:val="en-US"/>
    </w:rPr>
  </w:style>
  <w:style w:type="table" w:styleId="TableGrid">
    <w:name w:val="Table Grid"/>
    <w:basedOn w:val="TableNormal"/>
    <w:rsid w:val="00C47ECA"/>
    <w:pPr>
      <w:suppressAutoHyphens/>
      <w:spacing w:after="0" w:line="240" w:lineRule="auto"/>
      <w:ind w:leftChars="-1" w:left="-1" w:hangingChars="1" w:hanging="1"/>
      <w:textDirection w:val="btLr"/>
      <w:textAlignment w:val="top"/>
      <w:outlineLvl w:val="0"/>
    </w:pPr>
    <w:rPr>
      <w:rFonts w:ascii="Sorts Mill Goudy" w:eastAsia="Sorts Mill Goudy" w:hAnsi="Sorts Mill Goudy" w:cs="Sorts Mill Goudy"/>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Tabel">
    <w:name w:val="Judul Tabel"/>
    <w:basedOn w:val="MateriArtikel"/>
    <w:rsid w:val="00C47ECA"/>
    <w:pPr>
      <w:spacing w:after="120" w:line="240" w:lineRule="auto"/>
      <w:ind w:firstLine="0"/>
      <w:jc w:val="left"/>
    </w:pPr>
    <w:rPr>
      <w:b/>
      <w:sz w:val="20"/>
    </w:rPr>
  </w:style>
  <w:style w:type="paragraph" w:styleId="Header">
    <w:name w:val="header"/>
    <w:basedOn w:val="Normal"/>
    <w:link w:val="HeaderChar"/>
    <w:qFormat/>
    <w:rsid w:val="00C47ECA"/>
    <w:pPr>
      <w:tabs>
        <w:tab w:val="center" w:pos="4513"/>
        <w:tab w:val="right" w:pos="9026"/>
      </w:tabs>
    </w:pPr>
    <w:rPr>
      <w:rFonts w:cs="Times New Roman"/>
    </w:rPr>
  </w:style>
  <w:style w:type="character" w:customStyle="1" w:styleId="HeaderChar">
    <w:name w:val="Header Char"/>
    <w:basedOn w:val="DefaultParagraphFont"/>
    <w:link w:val="Header"/>
    <w:rsid w:val="00C47ECA"/>
    <w:rPr>
      <w:rFonts w:ascii="Goudy Old Style" w:eastAsia="Sorts Mill Goudy" w:hAnsi="Goudy Old Style" w:cs="Times New Roman"/>
      <w:position w:val="-1"/>
      <w:sz w:val="24"/>
      <w:szCs w:val="36"/>
      <w:lang w:val="id-ID"/>
    </w:rPr>
  </w:style>
  <w:style w:type="paragraph" w:styleId="Footer">
    <w:name w:val="footer"/>
    <w:basedOn w:val="Normal"/>
    <w:link w:val="FooterChar"/>
    <w:qFormat/>
    <w:rsid w:val="00C47ECA"/>
    <w:pPr>
      <w:tabs>
        <w:tab w:val="center" w:pos="4513"/>
        <w:tab w:val="right" w:pos="9026"/>
      </w:tabs>
    </w:pPr>
    <w:rPr>
      <w:rFonts w:cs="Times New Roman"/>
    </w:rPr>
  </w:style>
  <w:style w:type="character" w:customStyle="1" w:styleId="FooterChar">
    <w:name w:val="Footer Char"/>
    <w:basedOn w:val="DefaultParagraphFont"/>
    <w:link w:val="Footer"/>
    <w:rsid w:val="00C47ECA"/>
    <w:rPr>
      <w:rFonts w:ascii="Goudy Old Style" w:eastAsia="Sorts Mill Goudy" w:hAnsi="Goudy Old Style" w:cs="Times New Roman"/>
      <w:position w:val="-1"/>
      <w:sz w:val="24"/>
      <w:szCs w:val="36"/>
      <w:lang w:val="id-ID"/>
    </w:rPr>
  </w:style>
  <w:style w:type="paragraph" w:styleId="NormalWeb">
    <w:name w:val="Normal (Web)"/>
    <w:basedOn w:val="Normal"/>
    <w:qFormat/>
    <w:rsid w:val="00C47ECA"/>
    <w:pPr>
      <w:spacing w:before="100" w:beforeAutospacing="1" w:after="100" w:afterAutospacing="1" w:line="240" w:lineRule="auto"/>
      <w:jc w:val="left"/>
    </w:pPr>
    <w:rPr>
      <w:rFonts w:ascii="Times New Roman" w:hAnsi="Times New Roman" w:cs="Times New Roman"/>
      <w:szCs w:val="24"/>
      <w:lang w:eastAsia="id-ID"/>
    </w:rPr>
  </w:style>
  <w:style w:type="character" w:customStyle="1" w:styleId="notranslate">
    <w:name w:val="notranslate"/>
    <w:rsid w:val="00C47ECA"/>
    <w:rPr>
      <w:w w:val="100"/>
      <w:position w:val="-1"/>
      <w:effect w:val="none"/>
      <w:vertAlign w:val="baseline"/>
      <w:cs w:val="0"/>
      <w:em w:val="none"/>
    </w:rPr>
  </w:style>
  <w:style w:type="paragraph" w:styleId="NoSpacing">
    <w:name w:val="No Spacing"/>
    <w:rsid w:val="00C47ECA"/>
    <w:pPr>
      <w:suppressAutoHyphens/>
      <w:spacing w:after="0" w:line="1" w:lineRule="atLeast"/>
      <w:ind w:leftChars="-1" w:left="-1" w:hangingChars="1" w:hanging="1"/>
      <w:jc w:val="both"/>
      <w:textDirection w:val="btLr"/>
      <w:textAlignment w:val="top"/>
      <w:outlineLvl w:val="0"/>
    </w:pPr>
    <w:rPr>
      <w:rFonts w:ascii="Sorts Mill Goudy" w:eastAsia="Sorts Mill Goudy" w:hAnsi="Sorts Mill Goudy" w:cs="Sorts Mill Goudy"/>
      <w:position w:val="-1"/>
      <w:lang w:val="id-ID"/>
    </w:rPr>
  </w:style>
  <w:style w:type="character" w:styleId="Hyperlink">
    <w:name w:val="Hyperlink"/>
    <w:qFormat/>
    <w:rsid w:val="00C47ECA"/>
    <w:rPr>
      <w:color w:val="0000FF"/>
      <w:w w:val="100"/>
      <w:position w:val="-1"/>
      <w:u w:val="single"/>
      <w:effect w:val="none"/>
      <w:vertAlign w:val="baseline"/>
      <w:cs w:val="0"/>
      <w:em w:val="none"/>
    </w:rPr>
  </w:style>
  <w:style w:type="paragraph" w:styleId="HTMLPreformatted">
    <w:name w:val="HTML Preformatted"/>
    <w:basedOn w:val="Normal"/>
    <w:link w:val="HTMLPreformattedChar"/>
    <w:qFormat/>
    <w:rsid w:val="00C47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Times New Roman"/>
      <w:sz w:val="20"/>
      <w:szCs w:val="20"/>
    </w:rPr>
  </w:style>
  <w:style w:type="character" w:customStyle="1" w:styleId="HTMLPreformattedChar">
    <w:name w:val="HTML Preformatted Char"/>
    <w:basedOn w:val="DefaultParagraphFont"/>
    <w:link w:val="HTMLPreformatted"/>
    <w:rsid w:val="00C47ECA"/>
    <w:rPr>
      <w:rFonts w:ascii="Courier New" w:eastAsia="Sorts Mill Goudy" w:hAnsi="Courier New" w:cs="Times New Roman"/>
      <w:position w:val="-1"/>
      <w:sz w:val="20"/>
      <w:szCs w:val="20"/>
      <w:lang w:val="id-ID"/>
    </w:rPr>
  </w:style>
  <w:style w:type="character" w:styleId="UnresolvedMention">
    <w:name w:val="Unresolved Mention"/>
    <w:qFormat/>
    <w:rsid w:val="00C47ECA"/>
    <w:rPr>
      <w:color w:val="605E5C"/>
      <w:w w:val="100"/>
      <w:position w:val="-1"/>
      <w:effect w:val="none"/>
      <w:shd w:val="clear" w:color="auto" w:fill="E1DFDD"/>
      <w:vertAlign w:val="baseline"/>
      <w:cs w:val="0"/>
      <w:em w:val="none"/>
    </w:rPr>
  </w:style>
  <w:style w:type="paragraph" w:styleId="Subtitle">
    <w:name w:val="Subtitle"/>
    <w:basedOn w:val="Normal"/>
    <w:next w:val="Normal"/>
    <w:link w:val="SubtitleChar"/>
    <w:uiPriority w:val="11"/>
    <w:qFormat/>
    <w:rsid w:val="00C47EC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47ECA"/>
    <w:rPr>
      <w:rFonts w:ascii="Georgia" w:eastAsia="Georgia" w:hAnsi="Georgia" w:cs="Georgia"/>
      <w:i/>
      <w:color w:val="666666"/>
      <w:position w:val="-1"/>
      <w:sz w:val="48"/>
      <w:szCs w:val="48"/>
      <w:lang w:val="id-ID"/>
    </w:rPr>
  </w:style>
  <w:style w:type="paragraph" w:styleId="ListParagraph">
    <w:name w:val="List Paragraph"/>
    <w:basedOn w:val="Normal"/>
    <w:uiPriority w:val="34"/>
    <w:qFormat/>
    <w:rsid w:val="00C47ECA"/>
    <w:pPr>
      <w:ind w:left="720"/>
      <w:contextualSpacing/>
    </w:pPr>
  </w:style>
  <w:style w:type="paragraph" w:styleId="FootnoteText">
    <w:name w:val="footnote text"/>
    <w:basedOn w:val="Normal"/>
    <w:link w:val="FootnoteTextChar"/>
    <w:uiPriority w:val="99"/>
    <w:semiHidden/>
    <w:unhideWhenUsed/>
    <w:rsid w:val="00C47ECA"/>
    <w:pPr>
      <w:spacing w:line="240" w:lineRule="auto"/>
    </w:pPr>
    <w:rPr>
      <w:sz w:val="20"/>
      <w:szCs w:val="20"/>
    </w:rPr>
  </w:style>
  <w:style w:type="character" w:customStyle="1" w:styleId="FootnoteTextChar">
    <w:name w:val="Footnote Text Char"/>
    <w:basedOn w:val="DefaultParagraphFont"/>
    <w:link w:val="FootnoteText"/>
    <w:uiPriority w:val="99"/>
    <w:semiHidden/>
    <w:rsid w:val="00C47ECA"/>
    <w:rPr>
      <w:rFonts w:ascii="Goudy Old Style" w:eastAsia="Sorts Mill Goudy" w:hAnsi="Goudy Old Style" w:cs="Traditional Arabic"/>
      <w:position w:val="-1"/>
      <w:sz w:val="20"/>
      <w:szCs w:val="20"/>
      <w:lang w:val="id-ID"/>
    </w:rPr>
  </w:style>
  <w:style w:type="character" w:styleId="FootnoteReference">
    <w:name w:val="footnote reference"/>
    <w:uiPriority w:val="99"/>
    <w:semiHidden/>
    <w:unhideWhenUsed/>
    <w:rsid w:val="00C47ECA"/>
    <w:rPr>
      <w:vertAlign w:val="superscript"/>
    </w:rPr>
  </w:style>
  <w:style w:type="character" w:customStyle="1" w:styleId="AffiliationsChar">
    <w:name w:val="Affiliations Char"/>
    <w:link w:val="Affiliations"/>
    <w:locked/>
    <w:rsid w:val="00C47ECA"/>
    <w:rPr>
      <w:rFonts w:ascii="Times New Roman" w:hAnsi="Times New Roman" w:cs="Times New Roman"/>
      <w:sz w:val="24"/>
    </w:rPr>
  </w:style>
  <w:style w:type="paragraph" w:customStyle="1" w:styleId="Affiliations">
    <w:name w:val="Affiliations"/>
    <w:basedOn w:val="Normal"/>
    <w:link w:val="AffiliationsChar"/>
    <w:rsid w:val="00C47ECA"/>
    <w:pPr>
      <w:widowControl w:val="0"/>
      <w:suppressAutoHyphens w:val="0"/>
      <w:ind w:leftChars="0" w:left="0" w:firstLineChars="0" w:firstLine="0"/>
      <w:jc w:val="center"/>
      <w:textDirection w:val="lrTb"/>
      <w:textAlignment w:val="auto"/>
      <w:outlineLvl w:val="9"/>
    </w:pPr>
    <w:rPr>
      <w:rFonts w:ascii="Times New Roman" w:eastAsiaTheme="minorHAnsi" w:hAnsi="Times New Roman" w:cs="Times New Roman"/>
      <w:position w:val="0"/>
      <w:szCs w:val="22"/>
      <w:lang w:val="en-US"/>
    </w:rPr>
  </w:style>
  <w:style w:type="table" w:customStyle="1" w:styleId="TableGrid2">
    <w:name w:val="Table Grid2"/>
    <w:basedOn w:val="TableNormal"/>
    <w:uiPriority w:val="39"/>
    <w:rsid w:val="00C47ECA"/>
    <w:pPr>
      <w:spacing w:after="0" w:line="240" w:lineRule="auto"/>
    </w:pPr>
    <w:rPr>
      <w:rFonts w:ascii="Calibri" w:eastAsia="Calibri" w:hAnsi="Calibri" w:cs="Arial"/>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C47ECA"/>
    <w:pPr>
      <w:spacing w:after="0" w:line="240" w:lineRule="auto"/>
    </w:pPr>
    <w:rPr>
      <w:rFonts w:ascii="Calibri" w:eastAsia="Calibri" w:hAnsi="Calibri" w:cs="Arial"/>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C47ECA"/>
    <w:pPr>
      <w:spacing w:after="0" w:line="240" w:lineRule="auto"/>
    </w:pPr>
    <w:rPr>
      <w:rFonts w:ascii="Calibri" w:eastAsia="Calibri" w:hAnsi="Calibri" w:cs="Arial"/>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C47ECA"/>
    <w:pPr>
      <w:spacing w:after="0" w:line="240" w:lineRule="auto"/>
    </w:pPr>
    <w:rPr>
      <w:rFonts w:ascii="Calibri" w:eastAsia="Calibri" w:hAnsi="Calibri" w:cs="Arial"/>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C47ECA"/>
    <w:pPr>
      <w:spacing w:after="0" w:line="240" w:lineRule="auto"/>
    </w:pPr>
    <w:rPr>
      <w:rFonts w:ascii="Calibri" w:eastAsia="Calibri" w:hAnsi="Calibri" w:cs="Arial"/>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18750</Words>
  <Characters>106877</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bambang iswanto</dc:creator>
  <cp:keywords/>
  <dc:description/>
  <cp:lastModifiedBy>bambang iswanto</cp:lastModifiedBy>
  <cp:revision>4</cp:revision>
  <dcterms:created xsi:type="dcterms:W3CDTF">2022-09-20T12:11:00Z</dcterms:created>
  <dcterms:modified xsi:type="dcterms:W3CDTF">2022-09-21T08:40:00Z</dcterms:modified>
</cp:coreProperties>
</file>