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08D" w:rsidRDefault="00A2008D">
      <w:pPr>
        <w:keepNext/>
        <w:spacing w:line="240" w:lineRule="auto"/>
        <w:ind w:left="1" w:hanging="3"/>
        <w:jc w:val="center"/>
        <w:rPr>
          <w:rFonts w:ascii="Cambria" w:eastAsia="Cambria" w:hAnsi="Cambria" w:cs="Cambria"/>
          <w:b/>
          <w:smallCaps/>
          <w:color w:val="000000"/>
          <w:sz w:val="26"/>
          <w:szCs w:val="26"/>
        </w:rPr>
      </w:pPr>
    </w:p>
    <w:p w:rsidR="00A2008D" w:rsidRDefault="00856E33">
      <w:pPr>
        <w:keepNext/>
        <w:spacing w:line="276" w:lineRule="auto"/>
        <w:ind w:left="1" w:hanging="3"/>
        <w:jc w:val="center"/>
        <w:rPr>
          <w:rFonts w:ascii="Cambria" w:eastAsia="Cambria" w:hAnsi="Cambria" w:cs="Cambria"/>
          <w:b/>
          <w:smallCaps/>
          <w:color w:val="000000"/>
          <w:sz w:val="26"/>
          <w:szCs w:val="26"/>
        </w:rPr>
      </w:pPr>
      <w:r>
        <w:rPr>
          <w:rFonts w:ascii="Cambria" w:eastAsia="Cambria" w:hAnsi="Cambria"/>
          <w:b/>
          <w:color w:val="000000"/>
          <w:sz w:val="26"/>
          <w:szCs w:val="26"/>
        </w:rPr>
        <w:t xml:space="preserve">CRITICAL IMPRESSIONS ON </w:t>
      </w:r>
      <w:r w:rsidR="00CB7C8E" w:rsidRPr="00CB7C8E">
        <w:rPr>
          <w:rFonts w:ascii="Cambria" w:eastAsia="Cambria" w:hAnsi="Cambria"/>
          <w:b/>
          <w:i/>
          <w:color w:val="000000"/>
          <w:sz w:val="26"/>
          <w:szCs w:val="26"/>
        </w:rPr>
        <w:t>AMIL</w:t>
      </w:r>
      <w:r>
        <w:rPr>
          <w:rFonts w:ascii="Cambria" w:eastAsia="Cambria" w:hAnsi="Cambria"/>
          <w:b/>
          <w:color w:val="000000"/>
          <w:sz w:val="26"/>
          <w:szCs w:val="26"/>
        </w:rPr>
        <w:t xml:space="preserve"> PROFESSIONALIZATION AND ITS INFLUENCE ON CAREER INTENTIONS: A PLS-SEM APPROACH </w:t>
      </w:r>
    </w:p>
    <w:p w:rsidR="00A2008D" w:rsidRDefault="00A2008D">
      <w:pPr>
        <w:spacing w:line="276" w:lineRule="auto"/>
        <w:ind w:left="0" w:hanging="2"/>
        <w:jc w:val="center"/>
        <w:rPr>
          <w:rFonts w:ascii="Cambria" w:eastAsia="Cambria" w:hAnsi="Cambria" w:cs="Cambria"/>
          <w:color w:val="000000"/>
          <w:szCs w:val="24"/>
        </w:rPr>
      </w:pPr>
    </w:p>
    <w:p w:rsidR="00A2008D" w:rsidRDefault="00856E33">
      <w:pPr>
        <w:spacing w:line="276" w:lineRule="auto"/>
        <w:ind w:left="0" w:hanging="2"/>
        <w:jc w:val="center"/>
        <w:rPr>
          <w:rFonts w:ascii="Cambria" w:eastAsia="Cambria" w:hAnsi="Cambria" w:cs="Cambria"/>
          <w:color w:val="000000"/>
          <w:szCs w:val="24"/>
          <w:lang w:val="en-US"/>
        </w:rPr>
      </w:pPr>
      <w:r>
        <w:rPr>
          <w:rFonts w:ascii="Cambria" w:eastAsia="Cambria" w:hAnsi="Cambria" w:cs="Cambria"/>
          <w:b/>
          <w:color w:val="000000"/>
          <w:szCs w:val="24"/>
          <w:lang w:val="en-US"/>
        </w:rPr>
        <w:t>Maryam Batubara</w:t>
      </w:r>
      <w:r>
        <w:rPr>
          <w:rFonts w:ascii="Cambria" w:eastAsia="Cambria" w:hAnsi="Cambria" w:cs="Cambria"/>
          <w:b/>
          <w:vertAlign w:val="superscript"/>
        </w:rPr>
        <w:t>1</w:t>
      </w:r>
      <w:r>
        <w:rPr>
          <w:rFonts w:ascii="Cambria" w:eastAsia="Cambria" w:hAnsi="Cambria" w:cs="Cambria"/>
          <w:b/>
        </w:rPr>
        <w:t>,</w:t>
      </w:r>
      <w:r>
        <w:rPr>
          <w:rFonts w:ascii="Cambria" w:eastAsia="Cambria" w:hAnsi="Cambria" w:cs="Cambria"/>
          <w:b/>
          <w:lang w:val="en-US"/>
        </w:rPr>
        <w:t xml:space="preserve"> </w:t>
      </w:r>
      <w:r>
        <w:rPr>
          <w:rFonts w:ascii="Cambria" w:eastAsia="Cambria" w:hAnsi="Cambria" w:cs="Cambria"/>
          <w:b/>
          <w:color w:val="000000"/>
          <w:szCs w:val="24"/>
          <w:lang w:val="en-US"/>
        </w:rPr>
        <w:t>Anas Zahir Almasri</w:t>
      </w:r>
      <w:r>
        <w:rPr>
          <w:rFonts w:ascii="Cambria" w:eastAsia="Cambria" w:hAnsi="Cambria" w:cs="Cambria"/>
          <w:b/>
          <w:color w:val="000000"/>
          <w:szCs w:val="24"/>
          <w:vertAlign w:val="superscript"/>
        </w:rPr>
        <w:t>2</w:t>
      </w:r>
      <w:r>
        <w:rPr>
          <w:rFonts w:ascii="Cambria" w:eastAsia="Cambria" w:hAnsi="Cambria" w:cs="Cambria"/>
          <w:b/>
          <w:color w:val="000000"/>
          <w:szCs w:val="24"/>
        </w:rPr>
        <w:t xml:space="preserve">, </w:t>
      </w:r>
      <w:r>
        <w:rPr>
          <w:rFonts w:ascii="Cambria" w:eastAsia="Cambria" w:hAnsi="Cambria" w:cs="Cambria"/>
          <w:b/>
          <w:color w:val="000000"/>
          <w:szCs w:val="24"/>
          <w:lang w:val="en-US"/>
        </w:rPr>
        <w:t>Juliana Nasution</w:t>
      </w:r>
      <w:r>
        <w:rPr>
          <w:rFonts w:ascii="Cambria" w:eastAsia="Cambria" w:hAnsi="Cambria" w:cs="Cambria"/>
          <w:b/>
          <w:color w:val="000000"/>
          <w:szCs w:val="24"/>
          <w:vertAlign w:val="superscript"/>
        </w:rPr>
        <w:t>3</w:t>
      </w:r>
      <w:r>
        <w:rPr>
          <w:rFonts w:ascii="Cambria" w:eastAsia="Cambria" w:hAnsi="Cambria" w:cs="Cambria"/>
          <w:b/>
          <w:color w:val="000000"/>
          <w:szCs w:val="24"/>
        </w:rPr>
        <w:t xml:space="preserve">, </w:t>
      </w:r>
      <w:r>
        <w:rPr>
          <w:rFonts w:ascii="Cambria" w:eastAsia="Cambria" w:hAnsi="Cambria" w:cs="Cambria"/>
          <w:b/>
          <w:color w:val="000000"/>
          <w:szCs w:val="24"/>
          <w:lang w:val="en-US"/>
        </w:rPr>
        <w:t>Muhammad Idris Nasution</w:t>
      </w:r>
      <w:r>
        <w:rPr>
          <w:rFonts w:ascii="Cambria" w:eastAsia="Cambria" w:hAnsi="Cambria" w:cs="Cambria"/>
          <w:b/>
          <w:color w:val="000000"/>
          <w:szCs w:val="24"/>
          <w:vertAlign w:val="superscript"/>
          <w:lang w:val="en-US"/>
        </w:rPr>
        <w:t>4</w:t>
      </w:r>
    </w:p>
    <w:p w:rsidR="00A2008D" w:rsidRDefault="00A2008D">
      <w:pPr>
        <w:spacing w:line="276" w:lineRule="auto"/>
        <w:ind w:leftChars="0" w:left="0" w:firstLineChars="0" w:firstLine="0"/>
        <w:rPr>
          <w:rFonts w:ascii="Cambria" w:eastAsia="Cambria" w:hAnsi="Cambria" w:cs="Cambria"/>
          <w:color w:val="000000"/>
          <w:sz w:val="20"/>
          <w:szCs w:val="20"/>
        </w:rPr>
      </w:pPr>
    </w:p>
    <w:p w:rsidR="00A2008D" w:rsidRDefault="00A2008D">
      <w:pPr>
        <w:spacing w:line="276" w:lineRule="auto"/>
        <w:ind w:left="0" w:hanging="2"/>
        <w:jc w:val="center"/>
        <w:rPr>
          <w:rFonts w:ascii="Cambria" w:eastAsia="Cambria" w:hAnsi="Cambria" w:cs="Cambria"/>
          <w:color w:val="000000"/>
          <w:sz w:val="20"/>
          <w:szCs w:val="20"/>
          <w:vertAlign w:val="superscript"/>
        </w:rPr>
      </w:pPr>
    </w:p>
    <w:p w:rsidR="00A2008D" w:rsidRDefault="00856E33">
      <w:pPr>
        <w:spacing w:line="276" w:lineRule="auto"/>
        <w:ind w:left="0" w:hanging="2"/>
        <w:jc w:val="center"/>
        <w:rPr>
          <w:rFonts w:ascii="Cambria" w:eastAsia="Cambria" w:hAnsi="Cambria" w:cs="Cambria"/>
          <w:color w:val="000000"/>
          <w:sz w:val="22"/>
          <w:szCs w:val="22"/>
        </w:rPr>
      </w:pPr>
      <w:r>
        <w:rPr>
          <w:rFonts w:ascii="Cambria" w:eastAsia="Cambria" w:hAnsi="Cambria" w:cs="Cambria"/>
          <w:i/>
          <w:color w:val="000000"/>
          <w:sz w:val="22"/>
          <w:szCs w:val="22"/>
          <w:vertAlign w:val="superscript"/>
        </w:rPr>
        <w:t>1,</w:t>
      </w:r>
      <w:r>
        <w:rPr>
          <w:rFonts w:ascii="Cambria" w:eastAsia="Cambria" w:hAnsi="Cambria" w:cs="Cambria"/>
          <w:i/>
          <w:color w:val="000000"/>
          <w:sz w:val="22"/>
          <w:szCs w:val="22"/>
          <w:vertAlign w:val="superscript"/>
          <w:lang w:val="en-US"/>
        </w:rPr>
        <w:t>3</w:t>
      </w:r>
      <w:r>
        <w:rPr>
          <w:rFonts w:ascii="Cambria" w:eastAsia="Cambria" w:hAnsi="Cambria" w:cs="Cambria"/>
          <w:i/>
          <w:color w:val="000000"/>
          <w:sz w:val="22"/>
          <w:szCs w:val="22"/>
          <w:vertAlign w:val="superscript"/>
        </w:rPr>
        <w:t xml:space="preserve"> </w:t>
      </w:r>
      <w:r>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Faculty of Islamic Economics and Business, UIN Sumatera Utara</w:t>
      </w:r>
    </w:p>
    <w:p w:rsidR="00A2008D" w:rsidRDefault="00856E33">
      <w:pPr>
        <w:spacing w:line="276" w:lineRule="auto"/>
        <w:ind w:left="0" w:hanging="2"/>
        <w:jc w:val="center"/>
        <w:rPr>
          <w:rFonts w:ascii="Cambria" w:eastAsia="Cambria" w:hAnsi="Cambria" w:cs="Cambria"/>
          <w:color w:val="000000"/>
          <w:sz w:val="22"/>
          <w:szCs w:val="22"/>
        </w:rPr>
      </w:pPr>
      <w:r>
        <w:rPr>
          <w:rFonts w:ascii="Cambria" w:eastAsia="Cambria" w:hAnsi="Cambria"/>
          <w:i/>
          <w:color w:val="000000"/>
          <w:sz w:val="22"/>
          <w:szCs w:val="22"/>
        </w:rPr>
        <w:t>William Iskandar Street</w:t>
      </w:r>
      <w:r>
        <w:rPr>
          <w:rFonts w:ascii="Cambria" w:eastAsia="Cambria" w:hAnsi="Cambria"/>
          <w:i/>
          <w:color w:val="000000"/>
          <w:sz w:val="22"/>
          <w:szCs w:val="22"/>
          <w:lang w:val="en-US"/>
        </w:rPr>
        <w:t xml:space="preserve"> </w:t>
      </w:r>
      <w:r>
        <w:rPr>
          <w:rFonts w:ascii="Cambria" w:eastAsia="Cambria" w:hAnsi="Cambria"/>
          <w:i/>
          <w:color w:val="000000"/>
          <w:sz w:val="22"/>
          <w:szCs w:val="22"/>
        </w:rPr>
        <w:t>Ps. V, Medan Estate, North Sumatra</w:t>
      </w:r>
      <w:r>
        <w:rPr>
          <w:rFonts w:ascii="Cambria" w:eastAsia="Cambria" w:hAnsi="Cambria"/>
          <w:i/>
          <w:color w:val="000000"/>
          <w:sz w:val="22"/>
          <w:szCs w:val="22"/>
          <w:lang w:val="en-US"/>
        </w:rPr>
        <w:t>, 20371, Indonesia</w:t>
      </w:r>
    </w:p>
    <w:p w:rsidR="00A2008D" w:rsidRDefault="00856E33">
      <w:pPr>
        <w:spacing w:line="276" w:lineRule="auto"/>
        <w:ind w:left="0" w:hanging="2"/>
        <w:jc w:val="center"/>
        <w:rPr>
          <w:rFonts w:ascii="Cambria" w:eastAsia="Cambria" w:hAnsi="Cambria" w:cs="Cambria"/>
          <w:color w:val="000000"/>
          <w:sz w:val="22"/>
          <w:szCs w:val="22"/>
        </w:rPr>
      </w:pPr>
      <w:r>
        <w:rPr>
          <w:rFonts w:ascii="Cambria" w:eastAsia="Cambria" w:hAnsi="Cambria" w:cs="Cambria"/>
          <w:i/>
          <w:color w:val="000000"/>
          <w:sz w:val="22"/>
          <w:szCs w:val="22"/>
          <w:vertAlign w:val="superscript"/>
          <w:lang w:val="en-US"/>
        </w:rPr>
        <w:t>2</w:t>
      </w:r>
      <w:r>
        <w:rPr>
          <w:rFonts w:ascii="Cambria" w:eastAsia="Cambria" w:hAnsi="Cambria" w:cs="Cambria"/>
          <w:i/>
          <w:color w:val="000000"/>
          <w:sz w:val="22"/>
          <w:szCs w:val="22"/>
          <w:vertAlign w:val="superscript"/>
        </w:rPr>
        <w:t xml:space="preserve"> </w:t>
      </w:r>
      <w:r>
        <w:rPr>
          <w:rFonts w:ascii="Cambria" w:eastAsia="Cambria" w:hAnsi="Cambria"/>
          <w:i/>
          <w:color w:val="000000"/>
          <w:sz w:val="22"/>
          <w:szCs w:val="22"/>
        </w:rPr>
        <w:t>College of Commerce and Business</w:t>
      </w:r>
      <w:r>
        <w:rPr>
          <w:rFonts w:ascii="Cambria" w:eastAsia="Cambria" w:hAnsi="Cambria"/>
          <w:i/>
          <w:color w:val="000000"/>
          <w:sz w:val="22"/>
          <w:szCs w:val="22"/>
          <w:lang w:val="en-US"/>
        </w:rPr>
        <w:t xml:space="preserve">, </w:t>
      </w:r>
      <w:r>
        <w:rPr>
          <w:rFonts w:ascii="Cambria" w:eastAsia="Cambria" w:hAnsi="Cambria"/>
          <w:i/>
          <w:color w:val="000000"/>
          <w:sz w:val="22"/>
          <w:szCs w:val="22"/>
        </w:rPr>
        <w:t>Palestine Technical University- Kadoorie</w:t>
      </w:r>
    </w:p>
    <w:p w:rsidR="00A2008D" w:rsidRDefault="00856E33">
      <w:pPr>
        <w:spacing w:line="276" w:lineRule="auto"/>
        <w:ind w:left="0" w:hanging="2"/>
        <w:jc w:val="center"/>
        <w:rPr>
          <w:rFonts w:ascii="Cambria" w:eastAsia="Cambria" w:hAnsi="Cambria"/>
          <w:i/>
          <w:color w:val="000000"/>
          <w:sz w:val="22"/>
          <w:szCs w:val="22"/>
          <w:lang w:val="en-US"/>
        </w:rPr>
      </w:pPr>
      <w:r>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 xml:space="preserve">Jaffa Street, </w:t>
      </w:r>
      <w:r>
        <w:rPr>
          <w:rFonts w:ascii="Cambria" w:eastAsia="Cambria" w:hAnsi="Cambria"/>
          <w:i/>
          <w:color w:val="000000"/>
          <w:sz w:val="22"/>
          <w:szCs w:val="22"/>
          <w:lang w:val="en-US"/>
        </w:rPr>
        <w:t>Tulkarm, Palestine</w:t>
      </w:r>
    </w:p>
    <w:p w:rsidR="00A2008D" w:rsidRDefault="00856E33">
      <w:pPr>
        <w:spacing w:line="276" w:lineRule="auto"/>
        <w:ind w:left="0" w:hanging="2"/>
        <w:jc w:val="center"/>
        <w:rPr>
          <w:rFonts w:ascii="Cambria" w:eastAsia="Cambria" w:hAnsi="Cambria" w:cs="Cambria"/>
          <w:color w:val="000000"/>
          <w:sz w:val="22"/>
          <w:szCs w:val="22"/>
        </w:rPr>
      </w:pPr>
      <w:r>
        <w:rPr>
          <w:rFonts w:ascii="Cambria" w:eastAsia="Cambria" w:hAnsi="Cambria" w:cs="Cambria"/>
          <w:i/>
          <w:color w:val="000000"/>
          <w:sz w:val="22"/>
          <w:szCs w:val="22"/>
          <w:vertAlign w:val="superscript"/>
          <w:lang w:val="en-US"/>
        </w:rPr>
        <w:t>4</w:t>
      </w:r>
      <w:r>
        <w:rPr>
          <w:rFonts w:ascii="Cambria" w:eastAsia="Cambria" w:hAnsi="Cambria" w:cs="Cambria"/>
          <w:i/>
          <w:color w:val="000000"/>
          <w:sz w:val="22"/>
          <w:szCs w:val="22"/>
          <w:vertAlign w:val="superscript"/>
        </w:rPr>
        <w:t xml:space="preserve"> </w:t>
      </w:r>
      <w:r>
        <w:rPr>
          <w:rFonts w:ascii="Cambria" w:eastAsia="Cambria" w:hAnsi="Cambria" w:cs="Cambria"/>
          <w:i/>
          <w:color w:val="000000"/>
          <w:sz w:val="22"/>
          <w:szCs w:val="22"/>
        </w:rPr>
        <w:t xml:space="preserve"> </w:t>
      </w:r>
      <w:r>
        <w:rPr>
          <w:rFonts w:ascii="Cambria" w:eastAsia="Cambria" w:hAnsi="Cambria" w:cs="Cambria"/>
          <w:i/>
          <w:color w:val="000000"/>
          <w:sz w:val="22"/>
          <w:szCs w:val="22"/>
          <w:lang w:val="en-US"/>
        </w:rPr>
        <w:t>Postgraduate, UIN Sumatera Utara</w:t>
      </w:r>
    </w:p>
    <w:p w:rsidR="00A2008D" w:rsidRDefault="00856E33">
      <w:pPr>
        <w:spacing w:line="276" w:lineRule="auto"/>
        <w:ind w:left="0" w:hanging="2"/>
        <w:jc w:val="center"/>
        <w:rPr>
          <w:rFonts w:ascii="Cambria" w:eastAsia="Cambria" w:hAnsi="Cambria" w:cs="Cambria"/>
          <w:color w:val="000000"/>
          <w:sz w:val="22"/>
          <w:szCs w:val="22"/>
        </w:rPr>
      </w:pPr>
      <w:r>
        <w:rPr>
          <w:rFonts w:ascii="Cambria" w:eastAsia="Cambria" w:hAnsi="Cambria"/>
          <w:i/>
          <w:color w:val="000000"/>
          <w:sz w:val="22"/>
          <w:szCs w:val="22"/>
        </w:rPr>
        <w:t xml:space="preserve"> IAIN </w:t>
      </w:r>
      <w:r>
        <w:rPr>
          <w:rFonts w:ascii="Cambria" w:eastAsia="Cambria" w:hAnsi="Cambria"/>
          <w:i/>
          <w:color w:val="000000"/>
          <w:sz w:val="22"/>
          <w:szCs w:val="22"/>
          <w:lang w:val="en-US"/>
        </w:rPr>
        <w:t xml:space="preserve"> </w:t>
      </w:r>
      <w:r>
        <w:rPr>
          <w:rFonts w:ascii="Cambria" w:eastAsia="Cambria" w:hAnsi="Cambria"/>
          <w:i/>
          <w:color w:val="000000"/>
          <w:sz w:val="22"/>
          <w:szCs w:val="22"/>
        </w:rPr>
        <w:t>Street</w:t>
      </w:r>
      <w:r>
        <w:rPr>
          <w:rFonts w:ascii="Cambria" w:eastAsia="Cambria" w:hAnsi="Cambria"/>
          <w:i/>
          <w:color w:val="000000"/>
          <w:sz w:val="22"/>
          <w:szCs w:val="22"/>
          <w:lang w:val="en-US"/>
        </w:rPr>
        <w:t xml:space="preserve"> </w:t>
      </w:r>
      <w:r>
        <w:rPr>
          <w:rFonts w:ascii="Cambria" w:eastAsia="Cambria" w:hAnsi="Cambria"/>
          <w:i/>
          <w:color w:val="000000"/>
          <w:sz w:val="22"/>
          <w:szCs w:val="22"/>
        </w:rPr>
        <w:t>No. 1</w:t>
      </w:r>
      <w:r>
        <w:rPr>
          <w:rFonts w:ascii="Cambria" w:eastAsia="Cambria" w:hAnsi="Cambria"/>
          <w:i/>
          <w:color w:val="000000"/>
          <w:sz w:val="22"/>
          <w:szCs w:val="22"/>
          <w:lang w:val="en-US"/>
        </w:rPr>
        <w:t>,</w:t>
      </w:r>
      <w:r>
        <w:rPr>
          <w:rFonts w:ascii="Cambria" w:eastAsia="Cambria" w:hAnsi="Cambria"/>
          <w:i/>
          <w:color w:val="000000"/>
          <w:sz w:val="22"/>
          <w:szCs w:val="22"/>
        </w:rPr>
        <w:t xml:space="preserve"> Medan, North Sumatra</w:t>
      </w:r>
      <w:r>
        <w:rPr>
          <w:rFonts w:ascii="Cambria" w:eastAsia="Cambria" w:hAnsi="Cambria"/>
          <w:i/>
          <w:color w:val="000000"/>
          <w:sz w:val="22"/>
          <w:szCs w:val="22"/>
          <w:lang w:val="en-US"/>
        </w:rPr>
        <w:t>, 20235, Indonesia</w:t>
      </w:r>
    </w:p>
    <w:p w:rsidR="00A2008D" w:rsidRDefault="00A2008D">
      <w:pPr>
        <w:spacing w:before="360" w:line="240" w:lineRule="auto"/>
        <w:ind w:left="0" w:hanging="2"/>
        <w:jc w:val="left"/>
        <w:rPr>
          <w:rFonts w:ascii="Cambria" w:eastAsia="Cambria" w:hAnsi="Cambria" w:cs="Cambria"/>
          <w:b/>
          <w:i/>
          <w:color w:val="000000"/>
          <w:sz w:val="22"/>
          <w:szCs w:val="22"/>
        </w:rPr>
      </w:pPr>
    </w:p>
    <w:p w:rsidR="00A2008D" w:rsidRDefault="00856E33">
      <w:pPr>
        <w:spacing w:line="240" w:lineRule="auto"/>
        <w:ind w:left="0" w:hanging="2"/>
        <w:rPr>
          <w:rFonts w:ascii="Cambria" w:eastAsia="Cambria" w:hAnsi="Cambria" w:cs="Cambria"/>
          <w:color w:val="FF0000"/>
          <w:sz w:val="20"/>
          <w:szCs w:val="20"/>
        </w:rPr>
      </w:pPr>
      <w:r>
        <w:rPr>
          <w:rFonts w:ascii="Cambria" w:eastAsia="Cambria" w:hAnsi="Cambria" w:cs="Cambria"/>
          <w:noProof/>
          <w:sz w:val="20"/>
          <w:szCs w:val="20"/>
          <w:lang w:val="en-US"/>
        </w:rPr>
        <w:drawing>
          <wp:inline distT="0" distB="0" distL="114300" distR="114300">
            <wp:extent cx="144145" cy="143510"/>
            <wp:effectExtent l="0" t="0" r="0" b="0"/>
            <wp:docPr id="1032" name="image2.png" descr="Image result for symbol email"/>
            <wp:cNvGraphicFramePr/>
            <a:graphic xmlns:a="http://schemas.openxmlformats.org/drawingml/2006/main">
              <a:graphicData uri="http://schemas.openxmlformats.org/drawingml/2006/picture">
                <pic:pic xmlns:pic="http://schemas.openxmlformats.org/drawingml/2006/picture">
                  <pic:nvPicPr>
                    <pic:cNvPr id="1032" name="image2.png" descr="Image result for symbol email"/>
                    <pic:cNvPicPr preferRelativeResize="0"/>
                  </pic:nvPicPr>
                  <pic:blipFill>
                    <a:blip r:embed="rId9"/>
                    <a:srcRect/>
                    <a:stretch>
                      <a:fillRect/>
                    </a:stretch>
                  </pic:blipFill>
                  <pic:spPr>
                    <a:xfrm>
                      <a:off x="0" y="0"/>
                      <a:ext cx="144145" cy="143510"/>
                    </a:xfrm>
                    <a:prstGeom prst="rect">
                      <a:avLst/>
                    </a:prstGeom>
                  </pic:spPr>
                </pic:pic>
              </a:graphicData>
            </a:graphic>
          </wp:inline>
        </w:drawing>
      </w:r>
      <w:r>
        <w:rPr>
          <w:rFonts w:ascii="Cambria" w:eastAsia="Cambria" w:hAnsi="Cambria" w:cs="Cambria"/>
          <w:sz w:val="20"/>
          <w:szCs w:val="20"/>
        </w:rPr>
        <w:t xml:space="preserve"> Corresponding Author:</w:t>
      </w:r>
    </w:p>
    <w:p w:rsidR="00A2008D" w:rsidRDefault="00856E33">
      <w:pPr>
        <w:spacing w:line="240" w:lineRule="auto"/>
        <w:ind w:left="0" w:hanging="2"/>
        <w:rPr>
          <w:rFonts w:ascii="Cambria" w:eastAsia="Cambria" w:hAnsi="Cambria" w:cs="Cambria"/>
          <w:sz w:val="20"/>
          <w:szCs w:val="20"/>
        </w:rPr>
      </w:pPr>
      <w:r>
        <w:rPr>
          <w:rFonts w:ascii="Cambria" w:eastAsia="Cambria" w:hAnsi="Cambria" w:cs="Cambria"/>
          <w:b/>
          <w:sz w:val="20"/>
          <w:szCs w:val="20"/>
        </w:rPr>
        <w:t>Writer's name</w:t>
      </w:r>
      <w:r>
        <w:rPr>
          <w:rFonts w:ascii="Cambria" w:eastAsia="Cambria" w:hAnsi="Cambria" w:cs="Cambria"/>
          <w:sz w:val="20"/>
          <w:szCs w:val="20"/>
        </w:rPr>
        <w:t xml:space="preserve">: </w:t>
      </w:r>
      <w:r>
        <w:rPr>
          <w:rFonts w:ascii="Cambria" w:eastAsia="Cambria" w:hAnsi="Cambria" w:cs="Cambria"/>
          <w:sz w:val="20"/>
          <w:szCs w:val="20"/>
          <w:lang w:val="en-US"/>
        </w:rPr>
        <w:t>Juliana Nasution</w:t>
      </w:r>
    </w:p>
    <w:p w:rsidR="00A2008D" w:rsidRDefault="00856E33">
      <w:pPr>
        <w:spacing w:line="240" w:lineRule="auto"/>
        <w:ind w:left="0" w:hanging="2"/>
        <w:rPr>
          <w:rFonts w:ascii="Cambria" w:eastAsia="Cambria" w:hAnsi="Cambria" w:cs="Cambria"/>
          <w:color w:val="000000"/>
          <w:sz w:val="20"/>
          <w:szCs w:val="20"/>
          <w:lang w:val="en-US"/>
        </w:rPr>
      </w:pPr>
      <w:r>
        <w:rPr>
          <w:rFonts w:ascii="Cambria" w:eastAsia="Cambria" w:hAnsi="Cambria" w:cs="Cambria"/>
          <w:sz w:val="20"/>
          <w:szCs w:val="20"/>
        </w:rPr>
        <w:t xml:space="preserve">E-mail: </w:t>
      </w:r>
      <w:r>
        <w:rPr>
          <w:rFonts w:ascii="Cambria" w:eastAsia="Cambria" w:hAnsi="Cambria" w:cs="Cambria"/>
          <w:sz w:val="20"/>
          <w:szCs w:val="20"/>
          <w:lang w:val="en-US"/>
        </w:rPr>
        <w:t>juliananasution@uinsu.ac.id</w:t>
      </w:r>
    </w:p>
    <w:p w:rsidR="00A2008D" w:rsidRDefault="00856E33">
      <w:pPr>
        <w:spacing w:before="360" w:line="240" w:lineRule="auto"/>
        <w:ind w:left="0" w:hanging="2"/>
        <w:jc w:val="left"/>
        <w:rPr>
          <w:rFonts w:ascii="Cambria" w:eastAsia="Cambria" w:hAnsi="Cambria" w:cs="Cambria"/>
          <w:b/>
          <w:i/>
          <w:color w:val="000000"/>
          <w:sz w:val="22"/>
          <w:szCs w:val="22"/>
        </w:rPr>
      </w:pPr>
      <w:r>
        <w:rPr>
          <w:rFonts w:ascii="Cambria" w:eastAsia="Cambria" w:hAnsi="Cambria" w:cs="Cambria"/>
          <w:b/>
          <w:i/>
          <w:color w:val="000000"/>
          <w:sz w:val="22"/>
          <w:szCs w:val="22"/>
        </w:rPr>
        <w:t>Abstract</w:t>
      </w:r>
    </w:p>
    <w:p w:rsidR="00A2008D" w:rsidRPr="00FF3E16" w:rsidRDefault="003E4E7A" w:rsidP="00FF3E16">
      <w:pPr>
        <w:spacing w:after="240" w:line="240" w:lineRule="auto"/>
        <w:ind w:leftChars="399" w:left="958" w:firstLineChars="0" w:firstLine="0"/>
        <w:rPr>
          <w:rFonts w:ascii="Cambria" w:eastAsia="Cambria" w:hAnsi="Cambria"/>
          <w:i/>
          <w:color w:val="000000"/>
          <w:sz w:val="22"/>
          <w:szCs w:val="22"/>
          <w:lang w:val="en-ID"/>
        </w:rPr>
      </w:pPr>
      <w:r w:rsidRPr="003E4E7A">
        <w:rPr>
          <w:rFonts w:ascii="Cambria" w:eastAsia="Cambria" w:hAnsi="Cambria"/>
          <w:i/>
          <w:color w:val="000000"/>
          <w:sz w:val="22"/>
          <w:szCs w:val="22"/>
        </w:rPr>
        <w:t xml:space="preserve">The issue of professionalization of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(zakat managers) still continues to occur in zakat organizations and has received strong criticism, including from students of the zakat and waqf management study program (MAZAWA). These criticisms include whether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has become a full-time profession, education, training and competency development for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the legitimacy of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associations, the existence of a zakat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code of ethics, as well as legal protection and the role of the state for the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profession. This research aims to find out whether their critical impressions influence their intention to pursue a career as a professional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Conducted at UIN Sunan Ampel, Surabaya, and IAIN Langsa, this research involved 95 respondents. Descriptive statistics and SEM-PLS via SmartPLS 4.0 software were used for data analysis. The results of the research show that students' impressions of the professionalization of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in Indonesia are in the medium category, which shows that there is still a lot of criticism towards it, but their intention to pursue a career as </w:t>
      </w:r>
      <w:r w:rsidR="00CB7C8E" w:rsidRPr="00CB7C8E">
        <w:rPr>
          <w:rFonts w:ascii="Cambria" w:eastAsia="Cambria" w:hAnsi="Cambria"/>
          <w:i/>
          <w:color w:val="000000"/>
          <w:sz w:val="22"/>
          <w:szCs w:val="22"/>
        </w:rPr>
        <w:t>amil</w:t>
      </w:r>
      <w:r w:rsidRPr="003E4E7A">
        <w:rPr>
          <w:rFonts w:ascii="Cambria" w:eastAsia="Cambria" w:hAnsi="Cambria"/>
          <w:i/>
          <w:color w:val="000000"/>
          <w:sz w:val="22"/>
          <w:szCs w:val="22"/>
        </w:rPr>
        <w:t xml:space="preserve"> remains high. Their perceptions significantly influence their career intentions; the better their perception, the higher their intention.</w:t>
      </w:r>
    </w:p>
    <w:p w:rsidR="00A2008D" w:rsidRDefault="00856E33" w:rsidP="00D12062">
      <w:pPr>
        <w:spacing w:after="360" w:line="240" w:lineRule="auto"/>
        <w:ind w:leftChars="399" w:left="958" w:firstLineChars="0" w:firstLine="0"/>
        <w:rPr>
          <w:rFonts w:ascii="Cambria" w:eastAsia="Cambria" w:hAnsi="Cambria" w:cs="Cambria"/>
          <w:color w:val="000000"/>
          <w:sz w:val="22"/>
          <w:szCs w:val="22"/>
        </w:rPr>
      </w:pPr>
      <w:r w:rsidRPr="00FF3E16">
        <w:rPr>
          <w:rFonts w:ascii="Cambria" w:eastAsia="Cambria" w:hAnsi="Cambria" w:cs="Cambria"/>
          <w:b/>
          <w:color w:val="000000"/>
          <w:sz w:val="22"/>
          <w:szCs w:val="22"/>
        </w:rPr>
        <w:t>Keywords</w:t>
      </w:r>
      <w:r>
        <w:rPr>
          <w:rFonts w:ascii="Cambria" w:eastAsia="Cambria" w:hAnsi="Cambria" w:cs="Cambria"/>
          <w:i/>
          <w:color w:val="000000"/>
          <w:sz w:val="22"/>
          <w:szCs w:val="22"/>
        </w:rPr>
        <w:t xml:space="preserve">: </w:t>
      </w:r>
      <w:r w:rsidR="00CB7C8E" w:rsidRPr="00CB7C8E">
        <w:rPr>
          <w:rFonts w:ascii="Cambria" w:eastAsia="Cambria" w:hAnsi="Cambria" w:cs="Cambria"/>
          <w:i/>
          <w:color w:val="000000"/>
          <w:sz w:val="22"/>
          <w:szCs w:val="22"/>
        </w:rPr>
        <w:t>Amil</w:t>
      </w:r>
      <w:r w:rsidR="00D12062" w:rsidRPr="00D12062">
        <w:rPr>
          <w:rFonts w:ascii="Cambria" w:eastAsia="Cambria" w:hAnsi="Cambria" w:cs="Cambria"/>
          <w:i/>
          <w:color w:val="000000"/>
          <w:sz w:val="22"/>
          <w:szCs w:val="22"/>
        </w:rPr>
        <w:t xml:space="preserve"> professionalization; Critical impression; Career intention</w:t>
      </w:r>
    </w:p>
    <w:p w:rsidR="00A2008D" w:rsidRDefault="00A2008D">
      <w:pPr>
        <w:spacing w:line="240" w:lineRule="auto"/>
        <w:ind w:left="0" w:hanging="2"/>
        <w:rPr>
          <w:rFonts w:ascii="Cambria" w:eastAsia="Cambria" w:hAnsi="Cambria" w:cs="Cambria"/>
          <w:color w:val="000000"/>
          <w:sz w:val="22"/>
          <w:szCs w:val="22"/>
        </w:rPr>
      </w:pPr>
    </w:p>
    <w:p w:rsidR="00A2008D" w:rsidRDefault="00856E33">
      <w:pPr>
        <w:spacing w:line="240" w:lineRule="auto"/>
        <w:ind w:left="0" w:hanging="2"/>
        <w:jc w:val="left"/>
        <w:rPr>
          <w:rFonts w:ascii="Cambria" w:eastAsia="Cambria" w:hAnsi="Cambria" w:cs="Cambria"/>
          <w:b/>
          <w:color w:val="000000"/>
          <w:sz w:val="22"/>
          <w:szCs w:val="22"/>
        </w:rPr>
      </w:pPr>
      <w:r>
        <w:rPr>
          <w:rFonts w:ascii="Cambria" w:eastAsia="Cambria" w:hAnsi="Cambria" w:cs="Cambria"/>
          <w:b/>
          <w:color w:val="000000"/>
          <w:sz w:val="22"/>
          <w:szCs w:val="22"/>
        </w:rPr>
        <w:t>Abstrak</w:t>
      </w:r>
    </w:p>
    <w:p w:rsidR="00A2008D" w:rsidRDefault="00891292">
      <w:pPr>
        <w:spacing w:after="240" w:line="240" w:lineRule="auto"/>
        <w:ind w:leftChars="399" w:left="958" w:firstLineChars="0" w:firstLine="0"/>
        <w:rPr>
          <w:rFonts w:ascii="Cambria" w:eastAsia="Cambria" w:hAnsi="Cambria"/>
          <w:color w:val="000000"/>
          <w:sz w:val="22"/>
          <w:szCs w:val="22"/>
          <w:lang w:val="en-US"/>
        </w:rPr>
      </w:pPr>
      <w:r w:rsidRPr="00891292">
        <w:rPr>
          <w:rFonts w:ascii="Cambria" w:eastAsia="Cambria" w:hAnsi="Cambria"/>
          <w:color w:val="000000"/>
          <w:sz w:val="22"/>
          <w:szCs w:val="22"/>
        </w:rPr>
        <w:t xml:space="preserve">Isu profesionalisasi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(pengelola zakat) masih terus terjadi di organisasi zakat dan mendapat kritik keras, termasuk dari mahasiswa program studi manajemen zakat dan wakaf (MAZAWA). Kritik-kritik tersebut antara lain </w:t>
      </w:r>
      <w:r w:rsidRPr="00891292">
        <w:rPr>
          <w:rFonts w:ascii="Cambria" w:eastAsia="Cambria" w:hAnsi="Cambria"/>
          <w:color w:val="000000"/>
          <w:sz w:val="22"/>
          <w:szCs w:val="22"/>
        </w:rPr>
        <w:lastRenderedPageBreak/>
        <w:t xml:space="preserve">apakah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telah menjadi profesi penuh waktu, pendidikan, pelatihan dan pengembangan kompetensi bagi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legitimasi perkumpulan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keberadaan kode etik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zakat, serta perlindungan hukum dan peran negara bagi profesi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Penelitian ini bertujuan untuk mengetahui apakah impresi kritis mereka mempengaruhi intensi mereka untuk berkarir sebagai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profesional. Dilakukan di UIN Sunan Ampel, Surabaya, dan IAIN Langsa, penelitian ini melibatkan 95 responden. Statistik deskriptif dan SEM-PLS melalui perangkat lunak SmartPLS 4.0 digunakan untuk analisis data. Hasil penelitian menunjukkan bahwa impresi mahasiswa terhadap profesionalisasi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di Indonesia berada pada kategori sedang yang menunjukkan masih banyak kritik terhadapnya, namun intensi mereka untuk berkarir sebagai </w:t>
      </w:r>
      <w:r w:rsidR="00CB7C8E" w:rsidRPr="00CB7C8E">
        <w:rPr>
          <w:rFonts w:ascii="Cambria" w:eastAsia="Cambria" w:hAnsi="Cambria"/>
          <w:i/>
          <w:color w:val="000000"/>
          <w:sz w:val="22"/>
          <w:szCs w:val="22"/>
        </w:rPr>
        <w:t>amil</w:t>
      </w:r>
      <w:r w:rsidRPr="00891292">
        <w:rPr>
          <w:rFonts w:ascii="Cambria" w:eastAsia="Cambria" w:hAnsi="Cambria"/>
          <w:color w:val="000000"/>
          <w:sz w:val="22"/>
          <w:szCs w:val="22"/>
        </w:rPr>
        <w:t xml:space="preserve"> tetap tinggi. Persepsi mereka berpengaruh secara signifikan terhadap intensi berkarir mereka; semakin baik persepsi mereka, maka semakin tinggi intensi mereka.</w:t>
      </w:r>
    </w:p>
    <w:p w:rsidR="00A2008D" w:rsidRDefault="00856E33" w:rsidP="00D12062">
      <w:pPr>
        <w:spacing w:after="360" w:line="240" w:lineRule="auto"/>
        <w:ind w:leftChars="399" w:left="958" w:firstLineChars="0" w:firstLine="0"/>
        <w:rPr>
          <w:rFonts w:ascii="Cambria" w:eastAsia="Cambria" w:hAnsi="Cambria" w:cs="Cambria"/>
          <w:color w:val="000000"/>
          <w:sz w:val="22"/>
          <w:szCs w:val="22"/>
        </w:rPr>
      </w:pPr>
      <w:r>
        <w:rPr>
          <w:rFonts w:ascii="Cambria" w:eastAsia="Cambria" w:hAnsi="Cambria" w:cs="Cambria"/>
          <w:b/>
          <w:color w:val="000000"/>
          <w:sz w:val="22"/>
          <w:szCs w:val="22"/>
        </w:rPr>
        <w:t>Kata kunci</w:t>
      </w:r>
      <w:r>
        <w:rPr>
          <w:rFonts w:ascii="Cambria" w:eastAsia="Cambria" w:hAnsi="Cambria" w:cs="Cambria"/>
          <w:color w:val="000000"/>
          <w:sz w:val="22"/>
          <w:szCs w:val="22"/>
        </w:rPr>
        <w:t xml:space="preserve">: </w:t>
      </w:r>
      <w:r w:rsidR="00D12062">
        <w:rPr>
          <w:rFonts w:ascii="Cambria" w:eastAsia="Cambria" w:hAnsi="Cambria" w:cs="Cambria"/>
          <w:color w:val="000000"/>
          <w:sz w:val="22"/>
          <w:szCs w:val="22"/>
          <w:lang w:val="en-US"/>
        </w:rPr>
        <w:t>P</w:t>
      </w:r>
      <w:r w:rsidR="00D12062" w:rsidRPr="00D12062">
        <w:rPr>
          <w:rFonts w:ascii="Cambria" w:eastAsia="Cambria" w:hAnsi="Cambria" w:cs="Cambria"/>
          <w:color w:val="000000"/>
          <w:sz w:val="22"/>
          <w:szCs w:val="22"/>
          <w:lang w:val="en-US"/>
        </w:rPr>
        <w:t xml:space="preserve">rofesionalisasi </w:t>
      </w:r>
      <w:r w:rsidR="00CB7C8E" w:rsidRPr="00CB7C8E">
        <w:rPr>
          <w:rFonts w:ascii="Cambria" w:eastAsia="Cambria" w:hAnsi="Cambria" w:cs="Cambria"/>
          <w:i/>
          <w:color w:val="000000"/>
          <w:sz w:val="22"/>
          <w:szCs w:val="22"/>
          <w:lang w:val="en-US"/>
        </w:rPr>
        <w:t>amil</w:t>
      </w:r>
      <w:r w:rsidR="00D12062" w:rsidRPr="00D12062">
        <w:rPr>
          <w:rFonts w:ascii="Cambria" w:eastAsia="Cambria" w:hAnsi="Cambria" w:cs="Cambria"/>
          <w:color w:val="000000"/>
          <w:sz w:val="22"/>
          <w:szCs w:val="22"/>
          <w:lang w:val="en-US"/>
        </w:rPr>
        <w:t xml:space="preserve">; </w:t>
      </w:r>
      <w:r w:rsidR="00D12062">
        <w:rPr>
          <w:rFonts w:ascii="Cambria" w:eastAsia="Cambria" w:hAnsi="Cambria" w:cs="Cambria"/>
          <w:color w:val="000000"/>
          <w:sz w:val="22"/>
          <w:szCs w:val="22"/>
          <w:lang w:val="en-US"/>
        </w:rPr>
        <w:t>Impresi kritis; Intensi ber</w:t>
      </w:r>
      <w:r w:rsidR="00D12062" w:rsidRPr="00D12062">
        <w:rPr>
          <w:rFonts w:ascii="Cambria" w:eastAsia="Cambria" w:hAnsi="Cambria" w:cs="Cambria"/>
          <w:color w:val="000000"/>
          <w:sz w:val="22"/>
          <w:szCs w:val="22"/>
          <w:lang w:val="en-US"/>
        </w:rPr>
        <w:t>karir</w:t>
      </w:r>
    </w:p>
    <w:p w:rsidR="00A2008D" w:rsidRDefault="00A2008D">
      <w:pPr>
        <w:spacing w:line="240" w:lineRule="auto"/>
        <w:ind w:left="0" w:hanging="2"/>
        <w:rPr>
          <w:rFonts w:ascii="Cambria" w:eastAsia="Cambria" w:hAnsi="Cambria" w:cs="Cambria"/>
          <w:color w:val="000000"/>
          <w:sz w:val="22"/>
          <w:szCs w:val="22"/>
        </w:rPr>
      </w:pPr>
    </w:p>
    <w:p w:rsidR="00A2008D" w:rsidRDefault="00856E33">
      <w:pPr>
        <w:spacing w:before="100" w:after="100" w:line="276" w:lineRule="auto"/>
        <w:ind w:left="0" w:hanging="2"/>
        <w:rPr>
          <w:rFonts w:ascii="Cambria" w:eastAsia="Cambria" w:hAnsi="Cambria" w:cs="Cambria"/>
          <w:b/>
          <w:color w:val="000000"/>
          <w:szCs w:val="24"/>
        </w:rPr>
      </w:pPr>
      <w:r>
        <w:rPr>
          <w:rFonts w:ascii="Cambria" w:eastAsia="Cambria" w:hAnsi="Cambria" w:cs="Cambria"/>
          <w:b/>
          <w:color w:val="000000"/>
          <w:szCs w:val="24"/>
        </w:rPr>
        <w:t xml:space="preserve">INTRODUCTION </w:t>
      </w:r>
    </w:p>
    <w:p w:rsidR="00285E3A" w:rsidRDefault="00285E3A" w:rsidP="00A30815">
      <w:pPr>
        <w:spacing w:line="276" w:lineRule="auto"/>
        <w:ind w:leftChars="0" w:left="0" w:firstLineChars="200" w:firstLine="480"/>
        <w:rPr>
          <w:rFonts w:ascii="Cambria" w:eastAsiaTheme="minorEastAsia" w:hAnsi="Cambria" w:cs="Cambria"/>
          <w:color w:val="000000"/>
          <w:szCs w:val="24"/>
          <w:lang w:val="zh-CN" w:eastAsia="zh-CN"/>
        </w:rPr>
      </w:pPr>
      <w:r w:rsidRPr="00285E3A">
        <w:rPr>
          <w:rFonts w:ascii="Cambria" w:eastAsia="Cambria" w:hAnsi="Cambria" w:cs="Cambria"/>
          <w:color w:val="000000"/>
          <w:szCs w:val="24"/>
          <w:lang w:val="zh-CN"/>
        </w:rPr>
        <w:t xml:space="preserve">Professionalism stands out as a fundamental concept within the realms of work, professions, and organizations in the field of sociology </w:t>
      </w:r>
      <w:r w:rsidR="00A30815">
        <w:rPr>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{"citationItems":[{"id":"ITEM-1","itemData":{"DOI":"10.1177/0011392113479316","abstract":"… ’ orientation of professionalism and how professionalism might form a bulwark against threats to stable democratic processes. In these interpretations professionalism was regarded as …","author":[{"dropping-particle":"","family":"Evetts","given":"J","non-dropping-particle":"","parse-names":false,"suffix":""}],"container-title":"Current sociology","id":"ITEM-1","issued":{"date-parts":[["2013"]]},"note":"Cited By (since 2013): 858","publisher":"journals.sagepub.com","title":"Professionalism: Value and ideology","type":"article-journal"},"uris":["http://www.mendeley.com/documents/?uuid=0511de83-7a23-49d4-b191-457592a3cadb"]}],"mendeley":{"formattedCitation":"(Evetts, 2013)","plainTextFormattedCitation":"(Evetts, 2013)","previouslyFormattedCitation":"(Evetts, 2013)"},"properties":{"noteIndex":0},"schema":"https://github.com/citation-style-language/schema/raw/master/csl-citation.json"}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(Evetts, 2013)</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xml:space="preserve">. The significance of this professionalism lies in its pivotal role in improving the quality of performance </w:t>
      </w:r>
      <w:r w:rsidR="00A30815">
        <w:rPr>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{"citationItems":[{"id":"ITEM-1","itemData":{"abstract":"The objective of this study is to determine the influence of the professionalism and transparency of zakat management on financial performance, especially in the case of the Amil Zakat Institution of Daarut Tauhid Peduli Jabodetabek. The method used in the research is SEM (structural equation modeling) using AMOS, with 156 respondents. The results show that:(1) professionalism has a negative and insignificant impact on the transparency of zakat management;(2) professionalism has a positive and significant impact …","author":[{"dropping-particle":"","family":"Nasri","given":"R","non-dropping-particle":"","parse-names":false,"suffix":""},{"dropping-particle":"","family":"Aeni","given":"N","non-dropping-particle":"","parse-names":false,"suffix":""},{"dropping-particle":"","family":"Haque-Fawzi","given":"M G","non-dropping-particle":"","parse-names":false,"suffix":""}],"container-title":"Journal of Islamic Monetary …","id":"ITEM-1","issued":{"date-parts":[["2019"]]},"note":"Cited By (since 2019): 22","publisher":"jimf-bi.org","title":"Determination of professionalism and transparency and its implications for the financial performance of zakat institutions","type":"article-journal"},"uris":["http://www.mendeley.com/documents/?uuid=fadd73e8-a990-4140-8501-447bc6075b0c"]}],"mendeley":{"formattedCitation":"(Nasri et al., 2019)","plainTextFormattedCitation":"(Nasri et al., 2019)","previouslyFormattedCitation":"(Nasri et al., 2019)"},"properties":{"noteIndex":0},"schema":"https://github.com/citation-style-language/schema/raw/master/csl-citation.json"}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(Nasri et al., 2019)</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xml:space="preserve"> and elevating job satisfaction levels </w:t>
      </w:r>
      <w:r w:rsidR="00A30815">
        <w:rPr>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{"citationItems":[{"id":"ITEM-1","itemData":{"DOI":"10.1177/107769909507200317","abstract":"Organizations stress routinized activities that contribute to profitability. Professionalism stresses ethical performance that contributes to social responsibility. When the organization prevails, autonomy, authority, and control, the hallmarks of professionalism, weaken. This leads to a decrease in the intrinsic meaning of work and, ultimately, less job satisfaction. Using a stratified random national sample, these assumptions were explored among Canadian newsworkers. More professionalism, a less formal and smaller organization …","author":[{"dropping-particle":"","family":"Pollard","given":"G","non-dropping-particle":"","parse-names":false,"suffix":""}],"container-title":"Journalism &amp;Mass Communication Quarterly","id":"ITEM-1","issued":{"date-parts":[["1995"]]},"note":"Cited By (since 1995): 124","publisher":"journals.sagepub.com","title":"Job satisfaction among newsworkers: The influence of professionalism, perceptions of organizational structure, and social attributes","type":"article-journal"},"uris":["http://www.mendeley.com/documents/?uuid=ed6eb0f8-cb45-4ff7-98ee-14aa91bef27c"]}],"mendeley":{"formattedCitation":"(Pollard, 1995)","plainTextFormattedCitation":"(Pollard, 1995)","previouslyFormattedCitation":"(Pollard, 1995)"},"properties":{"noteIndex":0},"schema":"https://github.com/citation-style-language/schema/raw/master/csl-citation.json"}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(Pollard, 1995)</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xml:space="preserve">. According to the research findings by Leonard and Masatu </w:t>
      </w:r>
      <w:r w:rsidR="00A30815">
        <w:rPr>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{"citationItems":[{"id":"ITEM-1","itemData":{"DOI":"10.1002/hec.1564","abstract":"Professionalism can be defined generally as adhering to the accepted standards of a profession and placing the interests of the public above the individual professional's immediate interests. In the field of medicine, professionalism should lead at least some practitioners in developing countries to effectively care for their patients despite the absence of extrinsic incentives to do so. In this study we examine the behavior of 80 practitioners from the Arusha region of Tanzania for evidence of professionalism. We show that about 20% of …","author":[{"dropping-particle":"","family":"Leonard","given":"K L","non-dropping-particle":"","parse-names":false,"suffix":""},{"dropping-particle":"","family":"Masatu","given":"M C","non-dropping-particle":"","parse-names":false,"suffix":""}],"container-title":"Health economics","id":"ITEM-1","issued":{"date-parts":[["2010"]]},"note":"Cited By (since 2010): 174","publisher":"Wiley Online Library","title":"Professionalism and the know‐do gap: Exploring intrinsic motivation among health workers in Tanzania","type":"article-journal"},"uris":["http://www.mendeley.com/documents/?uuid=30823ac4-5594-4c3e-9612-8804b44e952d"]}],"mendeley":{"formattedCitation":"(Leonard &amp; Masatu, 2010)","plainTextFormattedCitation":"(Leonard &amp; Masatu, 2010)","previouslyFormattedCitation":"(Leonard &amp; Masatu, 2010)"},"properties":{"noteIndex":0},"schema":"https://github.com/citation-style-language/schema/raw/master/csl-citation.json"}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(Leonard &amp; Masatu, 2010)</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xml:space="preserve">, professionals are capable of delivering exemplary performance even when operating in environments that may not fully recognize or value their endeavors. The practice of professionalism plays a vital role in enhancing the resilience of workers </w:t>
      </w:r>
      <w:r w:rsidR="00A30815">
        <w:rPr>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{"citationItems":[{"id":"ITEM-1","itemData":{"abstract":"Purpose The purpose of this study was to identify the level of terminal care performance of nurses in long-term care hospitals, and investigate how nursing professionalism, attitudes on advance directives and death anxiety affects their terminal care performance. Methods Total of 294 nurses from long-term care hospitals completed the structured questionnaires including nursing professionalism scale, advance directives attitude survey, death anxiety scale and terminal care performance scale. Data were analyzed using the SPSS/WIN 24.0 …","author":[{"dropping-particle":"","family":"Park","given":"E H","non-dropping-particle":"","parse-names":false,"suffix":""},{"dropping-particle":"","family":"Kim","given":"N Y","non-dropping-particle":"","parse-names":false,"suffix":""}],"container-title":"Korean Journal of Adult Nursing","id":"ITEM-1","issued":{"date-parts":[["2018"]]},"note":"Cited By (since 2018): 40","publisher":"synapse.koreamed.org","title":"The influence of nursing professionalism, attitudes toward advance directive, and death anxiety on terminal care performance of nurses in longterm care …","type":"article"},"uris":["http://www.mendeley.com/documents/?uuid=4b05c193-318d-429e-8844-af608761e1c5"]}],"mendeley":{"formattedCitation":"(Park &amp; Kim, 2018)","plainTextFormattedCitation":"(Park &amp; Kim, 2018)","previouslyFormattedCitation":"(Park &amp; Kim, 2018)"},"properties":{"noteIndex":0},"schema":"https://github.com/citation-style-language/schema/raw/master/csl-citation.json"}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(Park &amp; Kim, 2018)</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xml:space="preserve"> and influencing innovative work behaviors </w:t>
      </w:r>
      <w:r w:rsidR="00A30815">
        <w:rPr>
          <w:rFonts w:ascii="Cambria" w:eastAsia="Cambria" w:hAnsi="Cambria" w:cs="Cambria"/>
          <w:color w:val="000000"/>
          <w:szCs w:val="24"/>
          <w:lang w:val="zh-CN"/>
        </w:rPr>
        <w:fldChar w:fldCharType="begin" w:fldLock="1"/>
      </w:r>
      <w:r w:rsidR="00595670">
        <w:rPr>
          <w:rFonts w:ascii="Cambria" w:eastAsia="Cambria" w:hAnsi="Cambria" w:cs="Cambria"/>
          <w:color w:val="000000"/>
          <w:szCs w:val="24"/>
          <w:lang w:val="zh-CN"/>
        </w:rPr>
        <w:instrText>ADDIN CSL_CITATION {"citationItems":[{"id":"ITEM-1","itemData":{"DOI":"10.1007/BF03546487","abstract":"Innovative work behaviour of teachers is important to develop innovations in vocational colleges. However, it depends on individual characteristics, in particular professional knowledge, professional performance and professional development. To investigate the role of these attributes, a questionnaire study with 60 vocational teachers was conducted. The study showed that characteristics of professionalism are positively related to innovative work behaviour. Aspects of professional development like “occupational learning” and “social …","author":[{"dropping-particle":"","family":"Messmann","given":"G","non-dropping-particle":"","parse-names":false,"suffix":""},{"dropping-particle":"","family":"Mulder","given":"R H","non-dropping-particle":"","parse-names":false,"suffix":""},{"dropping-particle":"","family":"...","given":"","non-dropping-particle":"","parse-names":false,"suffix":""}],"container-title":"Empirical …","id":"ITEM-1","issued":{"date-parts":[["2010"]]},"note":"Cited By (since 2010): 84","publisher":"ervet-journal.springeropen.com","title":"Relations between vocational teachers' characteristics of professionalism and their innovative work behaviour","type":"article-journal"},"uris":["http://www.mendeley.com/documents/?uuid=06e8ff53-cf26-420b-8145-70af376a478a"]}],"mendeley":{"formattedCitation":"(Messmann et al., 2010)","plainTextFormattedCitation":"(Messmann et al., 2010)","previouslyFormattedCitation":"(Messmann et al., 2010)"},"properties":{"noteIndex":0},"schema":"https://github.com/citation-style-language/schema/raw/master/csl-citation.json"}</w:instrText>
      </w:r>
      <w:r w:rsidR="00A30815">
        <w:rPr>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(Messmann et al., 2010)</w:t>
      </w:r>
      <w:r w:rsidR="00A30815">
        <w:rPr>
          <w:rFonts w:ascii="Cambria" w:eastAsia="Cambria" w:hAnsi="Cambria" w:cs="Cambria"/>
          <w:color w:val="000000"/>
          <w:szCs w:val="24"/>
          <w:lang w:val="zh-CN"/>
        </w:rPr>
        <w:fldChar w:fldCharType="end"/>
      </w:r>
      <w:r w:rsidRPr="00285E3A">
        <w:rPr>
          <w:rFonts w:ascii="Cambria" w:eastAsia="Cambria" w:hAnsi="Cambria" w:cs="Cambria"/>
          <w:color w:val="000000"/>
          <w:szCs w:val="24"/>
          <w:lang w:val="zh-CN"/>
        </w:rPr>
        <w:t>, traits that are particularly sought after in today's fiercely competitive job market.</w:t>
      </w:r>
    </w:p>
    <w:p w:rsidR="00A2008D" w:rsidRDefault="00B523EF" w:rsidP="00595670">
      <w:pPr>
        <w:spacing w:line="276" w:lineRule="auto"/>
        <w:ind w:leftChars="0" w:left="0" w:firstLineChars="200" w:firstLine="480"/>
        <w:rPr>
          <w:rFonts w:ascii="Cambria" w:eastAsiaTheme="minorEastAsia" w:hAnsi="Cambria" w:cs="Cambria"/>
          <w:color w:val="000000"/>
          <w:szCs w:val="24"/>
          <w:lang w:val="zh-CN" w:eastAsia="zh-CN"/>
        </w:rPr>
      </w:pPr>
      <w:r w:rsidRPr="00B523EF">
        <w:rPr>
          <w:rFonts w:ascii="Cambria" w:eastAsia="Cambria" w:hAnsi="Cambria" w:cs="Cambria"/>
          <w:color w:val="000000"/>
          <w:szCs w:val="24"/>
          <w:lang w:val="zh-CN"/>
        </w:rPr>
        <w:t>Zakat institutions must adopt professionalism to foster enhancements in their performance. According to Nasri et al.'s research findings</w:t>
      </w:r>
      <w:r w:rsidR="00595670">
        <w:rPr>
          <w:rFonts w:ascii="Cambria" w:eastAsia="Cambria" w:hAnsi="Cambria" w:cs="Cambria"/>
          <w:color w:val="000000"/>
          <w:szCs w:val="24"/>
          <w:lang w:val="en-ID"/>
        </w:rPr>
        <w:t xml:space="preserve"> </w:t>
      </w:r>
      <w:r w:rsidR="00595670">
        <w:rPr>
          <w:rFonts w:ascii="Cambria" w:eastAsia="Cambria" w:hAnsi="Cambria" w:cs="Cambria"/>
          <w:color w:val="000000"/>
          <w:szCs w:val="24"/>
          <w:lang w:val="en-ID"/>
        </w:rPr>
        <w:fldChar w:fldCharType="begin" w:fldLock="1"/>
      </w:r>
      <w:r w:rsidR="00595670">
        <w:rPr>
          <w:rFonts w:ascii="Cambria" w:eastAsia="Cambria" w:hAnsi="Cambria" w:cs="Cambria"/>
          <w:color w:val="000000"/>
          <w:szCs w:val="24"/>
          <w:lang w:val="en-ID"/>
        </w:rPr>
        <w:instrText>ADDIN CSL_CITATION {"citationItems":[{"id":"ITEM-1","itemData":{"abstract":"The objective of this study is to determine the influence of the professionalism and transparency of zakat management on financial performance, especially in the case of the Amil Zakat Institution of Daarut Tauhid Peduli Jabodetabek. The method used in the research is SEM (structural equation modeling) using AMOS, with 156 respondents. The results show that:(1) professionalism has a negative and insignificant impact on the transparency of zakat management;(2) professionalism has a positive and significant impact …","author":[{"dropping-particle":"","family":"Nasri","given":"R","non-dropping-particle":"","parse-names":false,"suffix":""},{"dropping-particle":"","family":"Aeni","given":"N","non-dropping-particle":"","parse-names":false,"suffix":""},{"dropping-particle":"","family":"Haque-Fawzi","given":"M G","non-dropping-particle":"","parse-names":false,"suffix":""}],"container-title":"Journal of Islamic Monetary …","id":"ITEM-1","issued":{"date-parts":[["2019"]]},"note":"Cited By (since 2019): 22","publisher":"jimf-bi.org","title":"Determination of professionalism and transparency and its implications for the financial performance of zakat institutions","type":"article-journal"},"uris":["http://www.mendeley.com/documents/?uuid=fadd73e8-a990-4140-8501-447bc6075b0c"]}],"mendeley":{"formattedCitation":"(Nasri et al., 2019)","plainTextFormattedCitation":"(Nasri et al., 2019)","previouslyFormattedCitation":"(Nasri et al., 2019)"},"properties":{"noteIndex":0},"schema":"https://github.com/citation-style-language/schema/raw/master/csl-citation.json"}</w:instrText>
      </w:r>
      <w:r w:rsidR="00595670">
        <w:rPr>
          <w:rFonts w:ascii="Cambria" w:eastAsia="Cambria" w:hAnsi="Cambria" w:cs="Cambria"/>
          <w:color w:val="000000"/>
          <w:szCs w:val="24"/>
          <w:lang w:val="en-ID"/>
        </w:rPr>
        <w:fldChar w:fldCharType="separate"/>
      </w:r>
      <w:r w:rsidR="00595670" w:rsidRPr="00595670">
        <w:rPr>
          <w:rFonts w:ascii="Cambria" w:eastAsia="Cambria" w:hAnsi="Cambria" w:cs="Cambria"/>
          <w:noProof/>
          <w:color w:val="000000"/>
          <w:szCs w:val="24"/>
          <w:lang w:val="en-ID"/>
        </w:rPr>
        <w:t>(Nasri et al., 2019)</w:t>
      </w:r>
      <w:r w:rsidR="00595670">
        <w:rPr>
          <w:rFonts w:ascii="Cambria" w:eastAsia="Cambria" w:hAnsi="Cambria" w:cs="Cambria"/>
          <w:color w:val="000000"/>
          <w:szCs w:val="24"/>
          <w:lang w:val="en-ID"/>
        </w:rPr>
        <w:fldChar w:fldCharType="end"/>
      </w:r>
      <w:r w:rsidRPr="00B523EF">
        <w:rPr>
          <w:rFonts w:ascii="Cambria" w:eastAsia="Cambria" w:hAnsi="Cambria" w:cs="Cambria"/>
          <w:color w:val="000000"/>
          <w:szCs w:val="24"/>
          <w:lang w:val="zh-CN"/>
        </w:rPr>
        <w:t xml:space="preserve">, professionalism within zakat institutions significantly impacts the financial </w:t>
      </w:r>
      <w:r w:rsidR="00595670">
        <w:rPr>
          <w:rFonts w:ascii="Cambria" w:eastAsia="Cambria" w:hAnsi="Cambria" w:cs="Cambria"/>
          <w:color w:val="000000"/>
          <w:szCs w:val="24"/>
          <w:lang w:val="zh-CN"/>
        </w:rPr>
        <w:t>performance of the institution</w:t>
      </w:r>
      <w:r w:rsidRPr="00B523EF">
        <w:rPr>
          <w:rFonts w:ascii="Cambria" w:eastAsia="Cambria" w:hAnsi="Cambria" w:cs="Cambria"/>
          <w:color w:val="000000"/>
          <w:szCs w:val="24"/>
          <w:lang w:val="zh-CN"/>
        </w:rPr>
        <w:t xml:space="preserve">. Nasution </w:t>
      </w:r>
      <w:r w:rsidR="00595670">
        <w:rPr>
          <w:rFonts w:ascii="Cambria" w:eastAsia="Cambria" w:hAnsi="Cambria" w:cs="Cambria"/>
          <w:color w:val="000000"/>
          <w:szCs w:val="24"/>
          <w:lang w:val="zh-CN"/>
        </w:rPr>
        <w:fldChar w:fldCharType="begin" w:fldLock="1"/>
      </w:r>
      <w:r w:rsidR="00595670">
        <w:rPr>
          <w:rFonts w:ascii="Cambria" w:eastAsia="Cambria" w:hAnsi="Cambria" w:cs="Cambria"/>
          <w:color w:val="000000"/>
          <w:szCs w:val="24"/>
          <w:lang w:val="zh-CN"/>
        </w:rPr>
        <w:instrText>ADDIN CSL_CITATION {"citationItems":[{"id":"ITEM-1","itemData":{"abstract":"… directly, and there is a wide gap between the potential and reality of zakat collection. This … digital zakat campaign, consisting of content or messages in the zakat campaign, amil or zakat …","author":[{"dropping-particle":"","family":"Nasution","given":"J","non-dropping-particle":"","parse-names":false,"suffix":""}],"container-title":"Ekuilibrium: Jurnal Ilmiah Bidang Ilmu Ekonomi","id":"ITEM-1","issued":{"date-parts":[["2023"]]},"publisher":"journal.umpo.ac.id","title":"Determinants of the Successful Digital Campaigns on Zakat: an Analysis Based on Islamic Marketing Perspective","type":"article-journal"},"uris":["http://www.mendeley.com/documents/?uuid=fa5236a9-5b83-40fe-b14b-5b75072d7d84"]}],"mendeley":{"formattedCitation":"(Nasution, 2023)","plainTextFormattedCitation":"(Nasution, 2023)","previouslyFormattedCitation":"(Nasution, 2023)"},"properties":{"noteIndex":0},"schema":"https://github.com/citation-style-language/schema/raw/master/csl-citation.json"}</w:instrText>
      </w:r>
      <w:r w:rsidR="00595670">
        <w:rPr>
          <w:rFonts w:ascii="Cambria" w:eastAsia="Cambria" w:hAnsi="Cambria" w:cs="Cambria"/>
          <w:color w:val="000000"/>
          <w:szCs w:val="24"/>
          <w:lang w:val="zh-CN"/>
        </w:rPr>
        <w:fldChar w:fldCharType="separate"/>
      </w:r>
      <w:r w:rsidR="00595670" w:rsidRPr="00595670">
        <w:rPr>
          <w:rFonts w:ascii="Cambria" w:eastAsia="Cambria" w:hAnsi="Cambria" w:cs="Cambria"/>
          <w:noProof/>
          <w:color w:val="000000"/>
          <w:szCs w:val="24"/>
          <w:lang w:val="zh-CN"/>
        </w:rPr>
        <w:t>(Nasution, 2023)</w:t>
      </w:r>
      <w:r w:rsidR="00595670">
        <w:rPr>
          <w:rFonts w:ascii="Cambria" w:eastAsia="Cambria" w:hAnsi="Cambria" w:cs="Cambria"/>
          <w:color w:val="000000"/>
          <w:szCs w:val="24"/>
          <w:lang w:val="zh-CN"/>
        </w:rPr>
        <w:fldChar w:fldCharType="end"/>
      </w:r>
      <w:r w:rsidRPr="00B523EF">
        <w:rPr>
          <w:rFonts w:ascii="Cambria" w:eastAsia="Cambria" w:hAnsi="Cambria" w:cs="Cambria"/>
          <w:color w:val="000000"/>
          <w:szCs w:val="24"/>
          <w:lang w:val="zh-CN"/>
        </w:rPr>
        <w:t xml:space="preserve"> emphasized that the professionalism of </w:t>
      </w:r>
      <w:r w:rsidR="00CB7C8E" w:rsidRPr="00CB7C8E">
        <w:rPr>
          <w:rFonts w:ascii="Cambria" w:eastAsia="Cambria" w:hAnsi="Cambria" w:cs="Cambria"/>
          <w:i/>
          <w:color w:val="000000"/>
          <w:szCs w:val="24"/>
          <w:lang w:val="zh-CN"/>
        </w:rPr>
        <w:t>amil</w:t>
      </w:r>
      <w:r w:rsidRPr="00B523EF">
        <w:rPr>
          <w:rFonts w:ascii="Cambria" w:eastAsia="Cambria" w:hAnsi="Cambria" w:cs="Cambria"/>
          <w:color w:val="000000"/>
          <w:szCs w:val="24"/>
          <w:lang w:val="zh-CN"/>
        </w:rPr>
        <w:t xml:space="preserve"> remains a crucial factor influencing the decision to contribute zakat, despite the rapid digitization of zakat processes. While some research indicates that </w:t>
      </w:r>
      <w:r w:rsidR="00CB7C8E" w:rsidRPr="00CB7C8E">
        <w:rPr>
          <w:rFonts w:ascii="Cambria" w:eastAsia="Cambria" w:hAnsi="Cambria" w:cs="Cambria"/>
          <w:i/>
          <w:color w:val="000000"/>
          <w:szCs w:val="24"/>
          <w:lang w:val="zh-CN"/>
        </w:rPr>
        <w:t>amil</w:t>
      </w:r>
      <w:r w:rsidRPr="00B523EF">
        <w:rPr>
          <w:rFonts w:ascii="Cambria" w:eastAsia="Cambria" w:hAnsi="Cambria" w:cs="Cambria"/>
          <w:color w:val="000000"/>
          <w:szCs w:val="24"/>
          <w:lang w:val="zh-CN"/>
        </w:rPr>
        <w:t xml:space="preserve"> at both the </w:t>
      </w:r>
      <w:r w:rsidR="00CB7C8E" w:rsidRPr="00CB7C8E">
        <w:rPr>
          <w:rFonts w:ascii="Cambria" w:eastAsia="Cambria" w:hAnsi="Cambria" w:cs="Cambria"/>
          <w:i/>
          <w:color w:val="000000"/>
          <w:szCs w:val="24"/>
          <w:lang w:val="zh-CN"/>
        </w:rPr>
        <w:t>Amil</w:t>
      </w:r>
      <w:r w:rsidRPr="00B523EF">
        <w:rPr>
          <w:rFonts w:ascii="Cambria" w:eastAsia="Cambria" w:hAnsi="Cambria" w:cs="Cambria"/>
          <w:color w:val="000000"/>
          <w:szCs w:val="24"/>
          <w:lang w:val="zh-CN"/>
        </w:rPr>
        <w:t xml:space="preserve"> Zakat Agency (BAZ) and the </w:t>
      </w:r>
      <w:r w:rsidR="00CB7C8E" w:rsidRPr="00CB7C8E">
        <w:rPr>
          <w:rFonts w:ascii="Cambria" w:eastAsia="Cambria" w:hAnsi="Cambria" w:cs="Cambria"/>
          <w:i/>
          <w:color w:val="000000"/>
          <w:szCs w:val="24"/>
          <w:lang w:val="zh-CN"/>
        </w:rPr>
        <w:t>Amil</w:t>
      </w:r>
      <w:r w:rsidRPr="00B523EF">
        <w:rPr>
          <w:rFonts w:ascii="Cambria" w:eastAsia="Cambria" w:hAnsi="Cambria" w:cs="Cambria"/>
          <w:color w:val="000000"/>
          <w:szCs w:val="24"/>
          <w:lang w:val="zh-CN"/>
        </w:rPr>
        <w:t xml:space="preserve"> Zakat Institute (LAZ) demonstrate a considerable level of professionalism </w:t>
      </w:r>
      <w:r w:rsidR="00595670">
        <w:rPr>
          <w:rFonts w:ascii="Cambria" w:eastAsia="Cambria" w:hAnsi="Cambria" w:cs="Cambria"/>
          <w:color w:val="000000"/>
          <w:szCs w:val="24"/>
          <w:lang w:val="zh-CN"/>
        </w:rPr>
        <w:fldChar w:fldCharType="begin" w:fldLock="1"/>
      </w:r>
      <w:r w:rsidR="00595670">
        <w:rPr>
          <w:rFonts w:ascii="Cambria" w:eastAsia="Cambria" w:hAnsi="Cambria" w:cs="Cambria"/>
          <w:color w:val="000000"/>
          <w:szCs w:val="24"/>
          <w:lang w:val="zh-CN"/>
        </w:rPr>
        <w:instrText>ADDIN CSL_CITATION {"citationItems":[{"id":"ITEM-1","itemData":{"abstract":"… zakat management institutions. The results of this study are that the performance of zakat institutions in East Java … a very good category in performance and professionalism in terms of (i) …","author":[{"dropping-particle":"","family":"Yudha","given":"ATRC","non-dropping-particle":"","parse-names":false,"suffix":""},{"dropping-particle":"","family":"RIDLWAN","given":"A A","non-dropping-particle":"","parse-names":false,"suffix":""},{"dropping-particle":"","family":"...","given":"","non-dropping-particle":"","parse-names":false,"suffix":""}],"container-title":"KnE Social Sciences …","id":"ITEM-1","issued":{"date-parts":[["2018"]]},"note":"Cited By (since 2018): 3","publisher":"repository.unair.ac.id","title":"Measuring professionalism in zakat management institution in East Java","type":"article-journal"},"uris":["http://www.mendeley.com/documents/?uuid=14a682ed-f615-4f7f-a7e0-5009ad124951"]}],"mendeley":{"formattedCitation":"(Yudha et al., 2018)","plainTextFormattedCitation":"(Yudha et al., 2018)","previouslyFormattedCitation":"(Yudha et al., 2018)"},"properties":{"noteIndex":0},"schema":"https://github.com/citation-style-language/schema/raw/master/csl-citation.json"}</w:instrText>
      </w:r>
      <w:r w:rsidR="00595670">
        <w:rPr>
          <w:rFonts w:ascii="Cambria" w:eastAsia="Cambria" w:hAnsi="Cambria" w:cs="Cambria"/>
          <w:color w:val="000000"/>
          <w:szCs w:val="24"/>
          <w:lang w:val="zh-CN"/>
        </w:rPr>
        <w:fldChar w:fldCharType="separate"/>
      </w:r>
      <w:r w:rsidR="00595670" w:rsidRPr="00595670">
        <w:rPr>
          <w:rFonts w:ascii="Cambria" w:eastAsia="Cambria" w:hAnsi="Cambria" w:cs="Cambria"/>
          <w:noProof/>
          <w:color w:val="000000"/>
          <w:szCs w:val="24"/>
          <w:lang w:val="zh-CN"/>
        </w:rPr>
        <w:t>(Yudha et al., 2018)</w:t>
      </w:r>
      <w:r w:rsidR="00595670">
        <w:rPr>
          <w:rFonts w:ascii="Cambria" w:eastAsia="Cambria" w:hAnsi="Cambria" w:cs="Cambria"/>
          <w:color w:val="000000"/>
          <w:szCs w:val="24"/>
          <w:lang w:val="zh-CN"/>
        </w:rPr>
        <w:fldChar w:fldCharType="end"/>
      </w:r>
      <w:r w:rsidRPr="00B523EF">
        <w:rPr>
          <w:rFonts w:ascii="Cambria" w:eastAsia="Cambria" w:hAnsi="Cambria" w:cs="Cambria"/>
          <w:color w:val="000000"/>
          <w:szCs w:val="24"/>
          <w:lang w:val="zh-CN"/>
        </w:rPr>
        <w:t xml:space="preserve">, it is paradoxical to note that human resource competence continues to be a persistent issue at BAZ and LAZ, as highlighted in various studies </w:t>
      </w:r>
      <w:r w:rsidR="00595670">
        <w:rPr>
          <w:rFonts w:ascii="Cambria" w:eastAsia="Cambria" w:hAnsi="Cambria" w:cs="Cambria"/>
          <w:color w:val="000000"/>
          <w:szCs w:val="24"/>
          <w:lang w:val="zh-CN"/>
        </w:rPr>
        <w:fldChar w:fldCharType="begin" w:fldLock="1"/>
      </w:r>
      <w:r w:rsidR="00595670">
        <w:rPr>
          <w:rFonts w:ascii="Cambria" w:eastAsia="Cambria" w:hAnsi="Cambria" w:cs="Cambria"/>
          <w:color w:val="000000"/>
          <w:szCs w:val="24"/>
          <w:lang w:val="zh-CN"/>
        </w:rPr>
        <w:instrText>ADDIN CSL_CITATION {"citationItems":[{"id":"ITEM-1","itemData":{"abstract":"… Strategi penggalangan dana penting dilakukan untuk mengoptimalkan penerimaan … strategi penggalangan dana, hambatan dalam penggalangan dana zakat, dan dampak dari strategi …","author":[{"dropping-particle":"","family":"Listanti","given":"M","non-dropping-particle":"","parse-names":false,"suffix":""},{"dropping-particle":"","family":"Nurdin","given":"R","non-dropping-particle":"","parse-names":false,"suffix":""},{"dropping-particle":"","family":"Hasnita","given":"N","non-dropping-particle":"","parse-names":false,"suffix":""}],"container-title":"Journal of Sharia …","id":"ITEM-1","issued":{"date-parts":[["2021"]]},"note":"Cited By (since 2021): 1","publisher":"journal.ar-raniry.ac.id","title":"Analisis Strategi Fundraising Dalam Mengoptimalkan Penerimaan Zakat Di Baitul Mal Kabupaten Aceh Barat","type":"article-journal"},"uris":["http://www.mendeley.com/documents/?uuid=d2a7448f-5e55-4305-af4a-9c7a529b557a"]}],"mendeley":{"formattedCitation":"(Listanti et al., 2021)","manualFormatting":"(Listanti et al., 2021","plainTextFormattedCitation":"(Listanti et al., 2021)","previouslyFormattedCitation":"(Listanti et al., 2021)"},"properties":{"noteIndex":0},"schema":"https://github.com/citation-style-language/schema/raw/master/csl-citation.json"}</w:instrText>
      </w:r>
      <w:r w:rsidR="00595670">
        <w:rPr>
          <w:rFonts w:ascii="Cambria" w:eastAsia="Cambria" w:hAnsi="Cambria" w:cs="Cambria"/>
          <w:color w:val="000000"/>
          <w:szCs w:val="24"/>
          <w:lang w:val="zh-CN"/>
        </w:rPr>
        <w:fldChar w:fldCharType="separate"/>
      </w:r>
      <w:r w:rsidR="00595670" w:rsidRPr="00595670">
        <w:rPr>
          <w:rFonts w:ascii="Cambria" w:eastAsia="Cambria" w:hAnsi="Cambria" w:cs="Cambria"/>
          <w:noProof/>
          <w:color w:val="000000"/>
          <w:szCs w:val="24"/>
          <w:lang w:val="zh-CN"/>
        </w:rPr>
        <w:t>(Listanti et al., 2021</w:t>
      </w:r>
      <w:r w:rsidR="00595670">
        <w:rPr>
          <w:rFonts w:ascii="Cambria" w:eastAsia="Cambria" w:hAnsi="Cambria" w:cs="Cambria"/>
          <w:color w:val="000000"/>
          <w:szCs w:val="24"/>
          <w:lang w:val="zh-CN"/>
        </w:rPr>
        <w:fldChar w:fldCharType="end"/>
      </w:r>
      <w:r w:rsidRPr="00B523EF">
        <w:rPr>
          <w:rFonts w:ascii="Cambria" w:eastAsia="Cambria" w:hAnsi="Cambria" w:cs="Cambria"/>
          <w:color w:val="000000"/>
          <w:szCs w:val="24"/>
          <w:lang w:val="zh-CN"/>
        </w:rPr>
        <w:t xml:space="preserve">; </w:t>
      </w:r>
      <w:r w:rsidR="00595670">
        <w:rPr>
          <w:rFonts w:ascii="Cambria" w:eastAsia="Cambria" w:hAnsi="Cambria" w:cs="Cambria"/>
          <w:color w:val="000000"/>
          <w:szCs w:val="24"/>
          <w:lang w:val="zh-CN"/>
        </w:rPr>
        <w:fldChar w:fldCharType="begin" w:fldLock="1"/>
      </w:r>
      <w:r w:rsidR="00595670">
        <w:rPr>
          <w:rFonts w:ascii="Cambria" w:eastAsia="Cambria" w:hAnsi="Cambria" w:cs="Cambria"/>
          <w:color w:val="000000"/>
          <w:szCs w:val="24"/>
          <w:lang w:val="zh-CN"/>
        </w:rPr>
        <w:instrText>ADDIN CSL_CITATION {"citationItems":[{"id":"ITEM-1","itemData":{"abstract":"Penelitian ini bertujuan untuk mengidentifikasi persoalan zakat yang dihadapi Indonesia secara umum, program dan persoalan yang dihadapi organisasi pengelola zakat (OPZ) dalam menjalankan fungsi penghimpunan, pendistribusian dan pendayagunaan dana zakat serta memberikan usulan pemikiran terhadap persoalan yang dihadapi. Metode yang digunakan pada disertasi ini yaitu metode action research modifikasi, dengan melakukan dua langkah utama yaitu mengidentifikasi persoalan dan memberikan usulan pemikiran …","author":[{"dropping-particle":"","family":"Huda","given":"N","non-dropping-particle":"","parse-names":false,"suffix":""}],"id":"ITEM-1","issued":{"date-parts":[["2013"]]},"note":"Cited By (since 2013): 2","publisher":"repository.unair.ac.id","title":"Solusi persoalan zakat Indonesia pendekatan action research modifikasi","type":"book"},"uris":["http://www.mendeley.com/documents/?uuid=a42ff631-0641-4992-9a15-4fdc5d2abecd"]}],"mendeley":{"formattedCitation":"(Huda, 2013)","manualFormatting":"Huda, 2013)","plainTextFormattedCitation":"(Huda, 2013)","previouslyFormattedCitation":"(Huda, 2013)"},"properties":{"noteIndex":0},"schema":"https://github.com/citation-style-language/schema/raw/master/csl-citation.json"}</w:instrText>
      </w:r>
      <w:r w:rsidR="00595670">
        <w:rPr>
          <w:rFonts w:ascii="Cambria" w:eastAsia="Cambria" w:hAnsi="Cambria" w:cs="Cambria"/>
          <w:color w:val="000000"/>
          <w:szCs w:val="24"/>
          <w:lang w:val="zh-CN"/>
        </w:rPr>
        <w:fldChar w:fldCharType="separate"/>
      </w:r>
      <w:r w:rsidR="00595670" w:rsidRPr="00595670">
        <w:rPr>
          <w:rFonts w:ascii="Cambria" w:eastAsia="Cambria" w:hAnsi="Cambria" w:cs="Cambria"/>
          <w:noProof/>
          <w:color w:val="000000"/>
          <w:szCs w:val="24"/>
          <w:lang w:val="zh-CN"/>
        </w:rPr>
        <w:t>Huda, 2013)</w:t>
      </w:r>
      <w:r w:rsidR="00595670">
        <w:rPr>
          <w:rFonts w:ascii="Cambria" w:eastAsia="Cambria" w:hAnsi="Cambria" w:cs="Cambria"/>
          <w:color w:val="000000"/>
          <w:szCs w:val="24"/>
          <w:lang w:val="zh-CN"/>
        </w:rPr>
        <w:fldChar w:fldCharType="end"/>
      </w:r>
      <w:r w:rsidRPr="00B523EF">
        <w:rPr>
          <w:rFonts w:ascii="Cambria" w:eastAsia="Cambria" w:hAnsi="Cambria" w:cs="Cambria"/>
          <w:color w:val="000000"/>
          <w:szCs w:val="24"/>
          <w:lang w:val="zh-CN"/>
        </w:rPr>
        <w:t xml:space="preserve">. This ongoing professionalization challenge persists in zakat organizations, despite prior criticisms of </w:t>
      </w:r>
      <w:r w:rsidR="00CB7C8E" w:rsidRPr="00CB7C8E">
        <w:rPr>
          <w:rFonts w:ascii="Cambria" w:eastAsia="Cambria" w:hAnsi="Cambria" w:cs="Cambria"/>
          <w:i/>
          <w:color w:val="000000"/>
          <w:szCs w:val="24"/>
          <w:lang w:val="zh-CN"/>
        </w:rPr>
        <w:t>amil</w:t>
      </w:r>
      <w:r w:rsidRPr="00B523EF">
        <w:rPr>
          <w:rFonts w:ascii="Cambria" w:eastAsia="Cambria" w:hAnsi="Cambria" w:cs="Cambria"/>
          <w:color w:val="000000"/>
          <w:szCs w:val="24"/>
          <w:lang w:val="zh-CN"/>
        </w:rPr>
        <w:t xml:space="preserve"> professionalism, such as those </w:t>
      </w:r>
      <w:r w:rsidRPr="00B523EF">
        <w:rPr>
          <w:rFonts w:ascii="Cambria" w:eastAsia="Cambria" w:hAnsi="Cambria" w:cs="Cambria"/>
          <w:color w:val="000000"/>
          <w:szCs w:val="24"/>
          <w:lang w:val="zh-CN"/>
        </w:rPr>
        <w:lastRenderedPageBreak/>
        <w:t xml:space="preserve">expressed by Nasir Alam </w:t>
      </w:r>
      <w:r w:rsidR="00595670">
        <w:rPr>
          <w:rFonts w:ascii="Cambria" w:eastAsia="Cambria" w:hAnsi="Cambria" w:cs="Cambria"/>
          <w:color w:val="000000"/>
          <w:szCs w:val="24"/>
          <w:lang w:val="zh-CN"/>
        </w:rPr>
        <w:fldChar w:fldCharType="begin" w:fldLock="1"/>
      </w:r>
      <w:r w:rsidR="00F10FDD">
        <w:rPr>
          <w:rFonts w:ascii="Cambria" w:eastAsia="Cambria" w:hAnsi="Cambria" w:cs="Cambria"/>
          <w:color w:val="000000"/>
          <w:szCs w:val="24"/>
          <w:lang w:val="zh-CN"/>
        </w:rPr>
        <w:instrText>ADDIN CSL_CITATION {"citationItems":[{"id":"ITEM-1","itemData":{"abstract":"… Islamic philanthropy can be interpreted using conventional models of venture philanthropy. … For example it can be used for professional financial advice and assistance to build strong …","author":[{"dropping-particle":"","family":"Alam","given":"N","non-dropping-particle":"","parse-names":false,"suffix":""}],"container-title":"Available at SSRN 1565859","id":"ITEM-1","issued":{"date-parts":[["2010"]]},"note":"Cited By (since 2010): 41","publisher":"papers.ssrn.com","title":"Islamic venture philanthropy: A tool for sustainable community development","type":"article-journal"},"uris":["http://www.mendeley.com/documents/?uuid=f25a04a8-c855-4002-8891-8dbd5f33e8a9"]}],"mendeley":{"formattedCitation":"(Alam, 2010)","plainTextFormattedCitation":"(Alam, 2010)","previouslyFormattedCitation":"(Alam, 2010)"},"properties":{"noteIndex":0},"schema":"https://github.com/citation-style-language/schema/raw/master/csl-citation.json"}</w:instrText>
      </w:r>
      <w:r w:rsidR="00595670">
        <w:rPr>
          <w:rFonts w:ascii="Cambria" w:eastAsia="Cambria" w:hAnsi="Cambria" w:cs="Cambria"/>
          <w:color w:val="000000"/>
          <w:szCs w:val="24"/>
          <w:lang w:val="zh-CN"/>
        </w:rPr>
        <w:fldChar w:fldCharType="separate"/>
      </w:r>
      <w:r w:rsidR="00595670" w:rsidRPr="00595670">
        <w:rPr>
          <w:rFonts w:ascii="Cambria" w:eastAsia="Cambria" w:hAnsi="Cambria" w:cs="Cambria"/>
          <w:noProof/>
          <w:color w:val="000000"/>
          <w:szCs w:val="24"/>
          <w:lang w:val="zh-CN"/>
        </w:rPr>
        <w:t>(Alam, 2010)</w:t>
      </w:r>
      <w:r w:rsidR="00595670">
        <w:rPr>
          <w:rFonts w:ascii="Cambria" w:eastAsia="Cambria" w:hAnsi="Cambria" w:cs="Cambria"/>
          <w:color w:val="000000"/>
          <w:szCs w:val="24"/>
          <w:lang w:val="zh-CN"/>
        </w:rPr>
        <w:fldChar w:fldCharType="end"/>
      </w:r>
      <w:r w:rsidRPr="00B523EF">
        <w:rPr>
          <w:rFonts w:ascii="Cambria" w:eastAsia="Cambria" w:hAnsi="Cambria" w:cs="Cambria"/>
          <w:color w:val="000000"/>
          <w:szCs w:val="24"/>
          <w:lang w:val="zh-CN"/>
        </w:rPr>
        <w:t>, who asserted that philanthropic wealth is often mismanaged or misused in many countries, reflecting poor organizational management, dysfunction, and neglect of personnel systems, thereby hindering the improvement of human resource quality.</w:t>
      </w:r>
    </w:p>
    <w:p w:rsidR="00A2008D" w:rsidRPr="00246B1E" w:rsidRDefault="00F10FDD" w:rsidP="00246B1E">
      <w:pPr>
        <w:spacing w:line="276" w:lineRule="auto"/>
        <w:ind w:leftChars="0" w:left="0" w:firstLineChars="200" w:firstLine="480"/>
        <w:rPr>
          <w:rFonts w:ascii="Cambria" w:eastAsiaTheme="minorEastAsia" w:hAnsi="Cambria" w:cs="Cambria"/>
          <w:color w:val="000000"/>
          <w:szCs w:val="24"/>
          <w:lang w:val="en-ID" w:eastAsia="zh-CN"/>
        </w:rPr>
      </w:pPr>
      <w:r w:rsidRPr="00F10FDD">
        <w:rPr>
          <w:rFonts w:ascii="Cambria" w:eastAsia="Cambria" w:hAnsi="Cambria" w:cs="Cambria"/>
          <w:color w:val="000000"/>
          <w:szCs w:val="24"/>
          <w:lang w:val="zh-CN"/>
        </w:rPr>
        <w:t xml:space="preserve">Developing educational programs constitutes a crucial aspect of cultivating professionalism (Park and Kim, 2018; </w:t>
      </w:r>
      <w:r>
        <w:rPr>
          <w:rFonts w:ascii="Cambria" w:eastAsia="Cambria" w:hAnsi="Cambria" w:cs="Cambria"/>
          <w:color w:val="000000"/>
          <w:szCs w:val="24"/>
          <w:lang w:val="zh-CN"/>
        </w:rPr>
        <w:fldChar w:fldCharType="begin" w:fldLock="1"/>
      </w:r>
      <w:r w:rsidR="005F3D47">
        <w:rPr>
          <w:rFonts w:ascii="Cambria" w:eastAsia="Cambria" w:hAnsi="Cambria" w:cs="Cambria"/>
          <w:color w:val="000000"/>
          <w:szCs w:val="24"/>
          <w:lang w:val="zh-CN"/>
        </w:rPr>
        <w:instrText>ADDIN CSL_CITATION {"citationItems":[{"id":"ITEM-1","itemData":{"abstract":"… After a successful semester, we thank everyone for their support and participation in Accounting Society. We hope everyone has a good holiday and look forward to seeing everyone …","author":[{"dropping-particle":"","family":"West","given":"P B","non-dropping-particle":"","parse-names":false,"suffix":""}],"id":"ITEM-1","issued":{"date-parts":[["1993"]]},"note":"Cited By (since 1993): 2","publisher":"rso.business.siu.edu","title":"Accounting and Society","type":"article"},"uris":["http://www.mendeley.com/documents/?uuid=6987db50-b07f-4d12-8643-97a90294f93c"]}],"mendeley":{"formattedCitation":"(West, 1993)","manualFormatting":"West, 1993)","plainTextFormattedCitation":"(West, 1993)","previouslyFormattedCitation":"(West, 1993)"},"properties":{"noteIndex":0},"schema":"https://github.com/citation-style-language/schema/raw/master/csl-citation.json"}</w:instrText>
      </w:r>
      <w:r>
        <w:rPr>
          <w:rFonts w:ascii="Cambria" w:eastAsia="Cambria" w:hAnsi="Cambria" w:cs="Cambria"/>
          <w:color w:val="000000"/>
          <w:szCs w:val="24"/>
          <w:lang w:val="zh-CN"/>
        </w:rPr>
        <w:fldChar w:fldCharType="separate"/>
      </w:r>
      <w:r w:rsidRPr="00F10FDD">
        <w:rPr>
          <w:rFonts w:ascii="Cambria" w:eastAsia="Cambria" w:hAnsi="Cambria" w:cs="Cambria"/>
          <w:noProof/>
          <w:color w:val="000000"/>
          <w:szCs w:val="24"/>
          <w:lang w:val="zh-CN"/>
        </w:rPr>
        <w:t>West, 1993)</w:t>
      </w:r>
      <w:r>
        <w:rPr>
          <w:rFonts w:ascii="Cambria" w:eastAsia="Cambria" w:hAnsi="Cambria" w:cs="Cambria"/>
          <w:color w:val="000000"/>
          <w:szCs w:val="24"/>
          <w:lang w:val="zh-CN"/>
        </w:rPr>
        <w:fldChar w:fldCharType="end"/>
      </w:r>
      <w:r w:rsidRPr="00F10FDD">
        <w:rPr>
          <w:rFonts w:ascii="Cambria" w:eastAsia="Cambria" w:hAnsi="Cambria" w:cs="Cambria"/>
          <w:color w:val="000000"/>
          <w:szCs w:val="24"/>
          <w:lang w:val="zh-CN"/>
        </w:rPr>
        <w:t xml:space="preserve">. Consequently, our inquiry revolves around the curiosity of whether students enrolled in the MAZAWA study program harbor an inclination to pursue a career as zakat </w:t>
      </w:r>
      <w:r w:rsidR="00CB7C8E" w:rsidRPr="00CB7C8E">
        <w:rPr>
          <w:rFonts w:ascii="Cambria" w:eastAsia="Cambria" w:hAnsi="Cambria" w:cs="Cambria"/>
          <w:i/>
          <w:iCs/>
          <w:color w:val="000000"/>
          <w:szCs w:val="24"/>
          <w:lang w:val="en-ID"/>
        </w:rPr>
        <w:t>amil</w:t>
      </w:r>
      <w:r w:rsidRPr="00F10FDD">
        <w:rPr>
          <w:rFonts w:ascii="Cambria" w:eastAsia="Cambria" w:hAnsi="Cambria" w:cs="Cambria"/>
          <w:color w:val="000000"/>
          <w:szCs w:val="24"/>
          <w:lang w:val="zh-CN"/>
        </w:rPr>
        <w:t xml:space="preserve">. </w:t>
      </w:r>
      <w:r w:rsidR="00F81516">
        <w:rPr>
          <w:rFonts w:ascii="Cambria" w:eastAsia="Cambria" w:hAnsi="Cambria" w:cs="Cambria"/>
          <w:color w:val="000000"/>
          <w:szCs w:val="24"/>
          <w:lang w:val="zh-CN"/>
        </w:rPr>
        <w:t xml:space="preserve">These intentions and interests can be significant predictors of performance outcomes </w:t>
      </w:r>
      <w:r w:rsidR="00F81516">
        <w:rPr>
          <w:rStyle w:val="FootnoteReference"/>
          <w:rFonts w:ascii="Cambria" w:eastAsia="Cambria" w:hAnsi="Cambria" w:cs="Cambria"/>
          <w:color w:val="000000"/>
          <w:szCs w:val="24"/>
          <w:lang w:val="zh-CN"/>
        </w:rPr>
        <w:fldChar w:fldCharType="begin" w:fldLock="1"/>
      </w:r>
      <w:r w:rsidR="00F81516">
        <w:rPr>
          <w:rFonts w:ascii="Cambria" w:eastAsia="Cambria" w:hAnsi="Cambria" w:cs="Cambria"/>
          <w:color w:val="000000"/>
          <w:szCs w:val="24"/>
          <w:lang w:val="zh-CN"/>
        </w:rPr>
        <w:instrText>ADDIN CSL_CITATION {"citationItems":[{"id":"ITEM-1","itemData":{"DOI":"10.1177/1745691612449021","abstract":"Despite early claims that vocational interests could be used to distinguish successful workers and superior students from their peers, interest measures are generally ignored in the employee selection literature. Nevertheless, theoretical descriptions of vocational interests from vocational and educational psychology have proposed that interest constructs should be related to performance and persistence in work and academic settings. Moreover, on the basis of Holland's (1959, 1997) theoretical predictions, congruence indices, which …","author":[{"dropping-particle":"","family":"Nye","given":"C D","non-dropping-particle":"","parse-names":false,"suffix":""},{"dropping-particle":"","family":"Su","given":"R","non-dropping-particle":"","parse-names":false,"suffix":""},{"dropping-particle":"","family":"Rounds","given":"J","non-dropping-particle":"","parse-names":false,"suffix":""},{"dropping-particle":"","family":"...","given":"","non-dropping-particle":"","parse-names":false,"suffix":""}],"container-title":"… on Psychological Science","id":"ITEM-1","issued":{"date-parts":[["2012"]]},"note":"Cited By (since 2012): 492","publisher":"journals.sagepub.com","title":"Vocational interests and performance: A quantitative summary of over 60 years of research","type":"article-journal"},"uris":["http://www.mendeley.com/documents/?uuid=f806235a-8729-4b8a-82ce-d55c337a1a09"]}],"mendeley":{"formattedCitation":"(Nye et al., 2012)","plainTextFormattedCitation":"(Nye et al., 2012)","previouslyFormattedCitation":"(Nye et al., 2012)"},"properties":{"noteIndex":0},"schema":"https://github.com/citation-style-language/schema/raw/master/csl-citation.json"}</w:instrText>
      </w:r>
      <w:r w:rsidR="00F81516">
        <w:rPr>
          <w:rStyle w:val="FootnoteReference"/>
          <w:rFonts w:ascii="Cambria" w:eastAsia="Cambria" w:hAnsi="Cambria" w:cs="Cambria"/>
          <w:color w:val="000000"/>
          <w:szCs w:val="24"/>
          <w:lang w:val="zh-CN"/>
        </w:rPr>
        <w:fldChar w:fldCharType="separate"/>
      </w:r>
      <w:r w:rsidR="00F81516" w:rsidRPr="00A30815">
        <w:rPr>
          <w:rFonts w:ascii="Cambria" w:eastAsia="Cambria" w:hAnsi="Cambria" w:cs="Cambria"/>
          <w:noProof/>
          <w:color w:val="000000"/>
          <w:szCs w:val="24"/>
          <w:lang w:val="zh-CN"/>
        </w:rPr>
        <w:t>(Nye et al., 2012)</w:t>
      </w:r>
      <w:r w:rsidR="00F81516">
        <w:rPr>
          <w:rStyle w:val="FootnoteReference"/>
          <w:rFonts w:ascii="Cambria" w:eastAsia="Cambria" w:hAnsi="Cambria" w:cs="Cambria"/>
          <w:color w:val="000000"/>
          <w:szCs w:val="24"/>
          <w:lang w:val="zh-CN"/>
        </w:rPr>
        <w:fldChar w:fldCharType="end"/>
      </w:r>
      <w:r w:rsidR="00F81516">
        <w:rPr>
          <w:rFonts w:ascii="Cambria" w:eastAsia="Cambria" w:hAnsi="Cambria" w:cs="Cambria"/>
          <w:color w:val="000000"/>
          <w:szCs w:val="24"/>
          <w:lang w:val="zh-CN"/>
        </w:rPr>
        <w:t xml:space="preserve">. </w:t>
      </w:r>
      <w:r w:rsidRPr="00F10FDD">
        <w:rPr>
          <w:rFonts w:ascii="Cambria" w:eastAsia="Cambria" w:hAnsi="Cambria" w:cs="Cambria"/>
          <w:color w:val="000000"/>
          <w:szCs w:val="24"/>
          <w:lang w:val="zh-CN"/>
        </w:rPr>
        <w:t xml:space="preserve">This inquiry stems from a comparative analysis with agricultural students, whose disinterest in becoming professional farmers was demonstrated in the research findings of Nainggolan (2022) and Kharisudin and Irwandi </w:t>
      </w:r>
      <w:r>
        <w:rPr>
          <w:rFonts w:ascii="Cambria" w:eastAsia="Cambria" w:hAnsi="Cambria" w:cs="Cambria"/>
          <w:color w:val="000000"/>
          <w:szCs w:val="24"/>
          <w:lang w:val="zh-CN"/>
        </w:rPr>
        <w:fldChar w:fldCharType="begin" w:fldLock="1"/>
      </w:r>
      <w:r>
        <w:rPr>
          <w:rFonts w:ascii="Cambria" w:eastAsia="Cambria" w:hAnsi="Cambria" w:cs="Cambria"/>
          <w:color w:val="000000"/>
          <w:szCs w:val="24"/>
          <w:lang w:val="zh-CN"/>
        </w:rPr>
        <w:instrText>ADDIN CSL_CITATION {"citationItems":[{"id":"ITEM-1","itemData":{"abstract":"The agricultural sector is a sector that contributes almost half of the Indonesian economy. Based on data from BPS for 2019-2020, the agricultural sector provides food for more than 270 million people and dominates as a source of income in Indonesia by 33.4 million (27.33%). The high opportunity and prospect of working in agriculture, unfortunately, is followed by the phenomenon of the interest of the younger generation to work in this sector, resulting in a decline in the regeneration of future young farmers. In addition, it also has an …","author":[{"dropping-particle":"","family":"Kharisudin","given":"A","non-dropping-particle":"","parse-names":false,"suffix":""},{"dropping-particle":"","family":"Irwandi","given":"P","non-dropping-particle":"","parse-names":false,"suffix":""}],"container-title":"Sigmagri","id":"ITEM-1","issued":{"date-parts":[["2022"]]},"note":"Cited By (since 2022): 1","publisher":"ojs.unwaha.ac.id","title":"Perspektif Mahasiswa Bekerja di Bidang Pertanian Sebagai Upaya Peningkatan Pembangunan SDM Indonesia","type":"article-journal"},"uris":["http://www.mendeley.com/documents/?uuid=007b94ea-c90f-41b9-b6e4-85eb6aadd4ee"]}],"mendeley":{"formattedCitation":"(Kharisudin &amp; Irwandi, 2022)","plainTextFormattedCitation":"(Kharisudin &amp; Irwandi, 2022)","previouslyFormattedCitation":"(Kharisudin &amp; Irwandi, 2022)"},"properties":{"noteIndex":0},"schema":"https://github.com/citation-style-language/schema/raw/master/csl-citation.json"}</w:instrText>
      </w:r>
      <w:r>
        <w:rPr>
          <w:rFonts w:ascii="Cambria" w:eastAsia="Cambria" w:hAnsi="Cambria" w:cs="Cambria"/>
          <w:color w:val="000000"/>
          <w:szCs w:val="24"/>
          <w:lang w:val="zh-CN"/>
        </w:rPr>
        <w:fldChar w:fldCharType="separate"/>
      </w:r>
      <w:r w:rsidRPr="00F10FDD">
        <w:rPr>
          <w:rFonts w:ascii="Cambria" w:eastAsia="Cambria" w:hAnsi="Cambria" w:cs="Cambria"/>
          <w:noProof/>
          <w:color w:val="000000"/>
          <w:szCs w:val="24"/>
          <w:lang w:val="zh-CN"/>
        </w:rPr>
        <w:t>(Kharisudin &amp; Irwandi, 2022)</w:t>
      </w:r>
      <w:r>
        <w:rPr>
          <w:rFonts w:ascii="Cambria" w:eastAsia="Cambria" w:hAnsi="Cambria" w:cs="Cambria"/>
          <w:color w:val="000000"/>
          <w:szCs w:val="24"/>
          <w:lang w:val="zh-CN"/>
        </w:rPr>
        <w:fldChar w:fldCharType="end"/>
      </w:r>
      <w:r w:rsidRPr="00F10FDD">
        <w:rPr>
          <w:rFonts w:ascii="Cambria" w:eastAsia="Cambria" w:hAnsi="Cambria" w:cs="Cambria"/>
          <w:color w:val="000000"/>
          <w:szCs w:val="24"/>
          <w:lang w:val="zh-CN"/>
        </w:rPr>
        <w:t>. The mentioned studies indicated a preference among agricultural students for establishing businesses in alternative sectors rather than pursuing a career in farming (Nainggolan, 2022). Agus Budiyanto, the Executive Director of the Zakat Forum (FOZ), further disclosed that the enthusiasm for working as a zakat collector currently remains relatively</w:t>
      </w:r>
      <w:r>
        <w:rPr>
          <w:rFonts w:ascii="Cambria" w:eastAsia="Cambria" w:hAnsi="Cambria" w:cs="Cambria"/>
          <w:color w:val="000000"/>
          <w:szCs w:val="24"/>
          <w:lang w:val="zh-CN"/>
        </w:rPr>
        <w:t xml:space="preserve"> subdued </w:t>
      </w:r>
      <w:r>
        <w:rPr>
          <w:rFonts w:ascii="Cambria" w:eastAsia="Cambria" w:hAnsi="Cambria" w:cs="Cambria"/>
          <w:color w:val="000000"/>
          <w:szCs w:val="24"/>
          <w:lang w:val="zh-CN"/>
        </w:rPr>
        <w:fldChar w:fldCharType="begin" w:fldLock="1"/>
      </w:r>
      <w:r>
        <w:rPr>
          <w:rFonts w:ascii="Cambria" w:eastAsia="Cambria" w:hAnsi="Cambria" w:cs="Cambria"/>
          <w:color w:val="000000"/>
          <w:szCs w:val="24"/>
          <w:lang w:val="zh-CN"/>
        </w:rPr>
        <w:instrText>ADDIN CSL_CITATION {"citationItems":[{"id":"ITEM-1","itemData":{"abstract":"Social entrepreneurship or social entrepreneurship has become an increasingly prominent topic. The development of social-based and oriented business units shows an increasing trend in line with the increasing public awareness of social problems that occur. Philanthropic institutions as a form of Social Entrepreneurship have taken on many social roles since several years ago. However, there are not many research results that examine it from a human resource perspective. Is it possible that being amil is a career choice? Is a …","author":[{"dropping-particle":"","family":"Anggoro","given":"Y","non-dropping-particle":"","parse-names":false,"suffix":""},{"dropping-particle":"","family":"Realita","given":"T N","non-dropping-particle":"","parse-names":false,"suffix":""},{"dropping-particle":"","family":"...","given":"","non-dropping-particle":"","parse-names":false,"suffix":""}],"container-title":"Jurnal Ilmiah Ekonomi …","id":"ITEM-1","issued":{"date-parts":[["2021"]]},"note":"Cited By (since 2021): 3","publisher":"jurnal.stie-aas.ac.id","title":"Social entrepreneurship, career choice and religiosity: Ziswaf institution perspective","type":"article-journal"},"uris":["http://www.mendeley.com/documents/?uuid=9125b980-c0e9-4155-b766-0665ba133911"]}],"mendeley":{"formattedCitation":"(Anggoro et al., 2021)","plainTextFormattedCitation":"(Anggoro et al., 2021)","previouslyFormattedCitation":"(Anggoro et al., 2021)"},"properties":{"noteIndex":0},"schema":"https://github.com/citation-style-language/schema/raw/master/csl-citation.json"}</w:instrText>
      </w:r>
      <w:r>
        <w:rPr>
          <w:rFonts w:ascii="Cambria" w:eastAsia="Cambria" w:hAnsi="Cambria" w:cs="Cambria"/>
          <w:color w:val="000000"/>
          <w:szCs w:val="24"/>
          <w:lang w:val="zh-CN"/>
        </w:rPr>
        <w:fldChar w:fldCharType="separate"/>
      </w:r>
      <w:r w:rsidRPr="00F10FDD">
        <w:rPr>
          <w:rFonts w:ascii="Cambria" w:eastAsia="Cambria" w:hAnsi="Cambria" w:cs="Cambria"/>
          <w:noProof/>
          <w:color w:val="000000"/>
          <w:szCs w:val="24"/>
          <w:lang w:val="zh-CN"/>
        </w:rPr>
        <w:t>(Anggoro et al., 2021)</w:t>
      </w:r>
      <w:r>
        <w:rPr>
          <w:rFonts w:ascii="Cambria" w:eastAsia="Cambria" w:hAnsi="Cambria" w:cs="Cambria"/>
          <w:color w:val="000000"/>
          <w:szCs w:val="24"/>
          <w:lang w:val="zh-CN"/>
        </w:rPr>
        <w:fldChar w:fldCharType="end"/>
      </w:r>
      <w:r w:rsidR="00856E33">
        <w:rPr>
          <w:rFonts w:ascii="Cambria" w:eastAsia="Cambria" w:hAnsi="Cambria" w:cs="Cambria"/>
          <w:color w:val="000000"/>
          <w:szCs w:val="24"/>
          <w:lang w:val="zh-CN"/>
        </w:rPr>
        <w:t>.</w:t>
      </w:r>
      <w:r w:rsidR="00246B1E">
        <w:rPr>
          <w:rFonts w:ascii="Cambria" w:eastAsia="Cambria" w:hAnsi="Cambria" w:cs="Cambria"/>
          <w:color w:val="000000"/>
          <w:szCs w:val="24"/>
          <w:lang w:val="en-ID"/>
        </w:rPr>
        <w:t xml:space="preserve"> </w:t>
      </w:r>
      <w:r w:rsidR="00F82A52" w:rsidRPr="00F82A52">
        <w:rPr>
          <w:rFonts w:ascii="Cambria" w:eastAsia="Cambria" w:hAnsi="Cambria" w:cs="Cambria"/>
          <w:color w:val="000000"/>
          <w:szCs w:val="24"/>
          <w:lang w:val="en-ID"/>
        </w:rPr>
        <w:t xml:space="preserve">Our research also shows that there are critical impressions from students regarding the process of professionalization of </w:t>
      </w:r>
      <w:r w:rsidR="00CB7C8E" w:rsidRPr="00CB7C8E">
        <w:rPr>
          <w:rFonts w:ascii="Cambria" w:eastAsia="Cambria" w:hAnsi="Cambria" w:cs="Cambria"/>
          <w:i/>
          <w:iCs/>
          <w:color w:val="000000"/>
          <w:szCs w:val="24"/>
          <w:lang w:val="en-ID"/>
        </w:rPr>
        <w:t>amil</w:t>
      </w:r>
      <w:r w:rsidR="00F82A52" w:rsidRPr="00F82A52">
        <w:rPr>
          <w:rFonts w:ascii="Cambria" w:eastAsia="Cambria" w:hAnsi="Cambria" w:cs="Cambria"/>
          <w:color w:val="000000"/>
          <w:szCs w:val="24"/>
          <w:lang w:val="en-ID"/>
        </w:rPr>
        <w:t xml:space="preserve"> in Indonesia, including whether </w:t>
      </w:r>
      <w:r w:rsidR="00CB7C8E" w:rsidRPr="00CB7C8E">
        <w:rPr>
          <w:rFonts w:ascii="Cambria" w:eastAsia="Cambria" w:hAnsi="Cambria" w:cs="Cambria"/>
          <w:i/>
          <w:iCs/>
          <w:color w:val="000000"/>
          <w:szCs w:val="24"/>
          <w:lang w:val="en-ID"/>
        </w:rPr>
        <w:t>amil</w:t>
      </w:r>
      <w:r w:rsidR="00F82A52" w:rsidRPr="00F82A52">
        <w:rPr>
          <w:rFonts w:ascii="Cambria" w:eastAsia="Cambria" w:hAnsi="Cambria" w:cs="Cambria"/>
          <w:color w:val="000000"/>
          <w:szCs w:val="24"/>
          <w:lang w:val="en-ID"/>
        </w:rPr>
        <w:t xml:space="preserve"> has become a full-time profession, education, training and competency development for </w:t>
      </w:r>
      <w:r w:rsidR="00CB7C8E" w:rsidRPr="00CB7C8E">
        <w:rPr>
          <w:rFonts w:ascii="Cambria" w:eastAsia="Cambria" w:hAnsi="Cambria" w:cs="Cambria"/>
          <w:i/>
          <w:iCs/>
          <w:color w:val="000000"/>
          <w:szCs w:val="24"/>
          <w:lang w:val="en-ID"/>
        </w:rPr>
        <w:t>amil</w:t>
      </w:r>
      <w:r w:rsidR="00F82A52" w:rsidRPr="00F82A52">
        <w:rPr>
          <w:rFonts w:ascii="Cambria" w:eastAsia="Cambria" w:hAnsi="Cambria" w:cs="Cambria"/>
          <w:color w:val="000000"/>
          <w:szCs w:val="24"/>
          <w:lang w:val="en-ID"/>
        </w:rPr>
        <w:t xml:space="preserve">, the legitimacy of </w:t>
      </w:r>
      <w:r w:rsidR="00CB7C8E" w:rsidRPr="00CB7C8E">
        <w:rPr>
          <w:rFonts w:ascii="Cambria" w:eastAsia="Cambria" w:hAnsi="Cambria" w:cs="Cambria"/>
          <w:i/>
          <w:iCs/>
          <w:color w:val="000000"/>
          <w:szCs w:val="24"/>
          <w:lang w:val="en-ID"/>
        </w:rPr>
        <w:t>amil</w:t>
      </w:r>
      <w:r w:rsidR="00F82A52" w:rsidRPr="00F82A52">
        <w:rPr>
          <w:rFonts w:ascii="Cambria" w:eastAsia="Cambria" w:hAnsi="Cambria" w:cs="Cambria"/>
          <w:color w:val="000000"/>
          <w:szCs w:val="24"/>
          <w:lang w:val="en-ID"/>
        </w:rPr>
        <w:t xml:space="preserve"> associations, the existence of </w:t>
      </w:r>
      <w:r w:rsidR="00CB7C8E" w:rsidRPr="00CB7C8E">
        <w:rPr>
          <w:rFonts w:ascii="Cambria" w:eastAsia="Cambria" w:hAnsi="Cambria" w:cs="Cambria"/>
          <w:i/>
          <w:iCs/>
          <w:color w:val="000000"/>
          <w:szCs w:val="24"/>
          <w:lang w:val="en-ID"/>
        </w:rPr>
        <w:t>amil</w:t>
      </w:r>
      <w:r w:rsidR="00F82A52" w:rsidRPr="00F82A52">
        <w:rPr>
          <w:rFonts w:ascii="Cambria" w:eastAsia="Cambria" w:hAnsi="Cambria" w:cs="Cambria"/>
          <w:color w:val="000000"/>
          <w:szCs w:val="24"/>
          <w:lang w:val="en-ID"/>
        </w:rPr>
        <w:t xml:space="preserve"> zakat code of ethics, as well as legal protection and the role of the state for the professional profession.</w:t>
      </w:r>
    </w:p>
    <w:p w:rsidR="00A2008D" w:rsidRDefault="005F3D47" w:rsidP="005F3D47">
      <w:pPr>
        <w:spacing w:line="276" w:lineRule="auto"/>
        <w:ind w:leftChars="0" w:left="0" w:firstLineChars="200" w:firstLine="480"/>
        <w:rPr>
          <w:rFonts w:ascii="Cambria" w:eastAsia="Cambria" w:hAnsi="Cambria" w:cs="Cambria"/>
          <w:color w:val="000000"/>
          <w:szCs w:val="24"/>
          <w:lang w:val="en-US" w:eastAsia="zh-CN"/>
        </w:rPr>
      </w:pPr>
      <w:r w:rsidRPr="005F3D47">
        <w:rPr>
          <w:rFonts w:ascii="Cambria" w:eastAsia="Cambria" w:hAnsi="Cambria" w:cs="Cambria"/>
          <w:color w:val="000000"/>
          <w:szCs w:val="24"/>
          <w:lang w:val="zh-CN"/>
        </w:rPr>
        <w:t xml:space="preserve">This research aims to determine the intentions of MAZAWA students to pursue a career as professional </w:t>
      </w:r>
      <w:r w:rsidR="00CB7C8E" w:rsidRPr="00CB7C8E">
        <w:rPr>
          <w:rFonts w:ascii="Cambria" w:eastAsia="Cambria" w:hAnsi="Cambria" w:cs="Cambria"/>
          <w:i/>
          <w:color w:val="000000"/>
          <w:szCs w:val="24"/>
          <w:lang w:val="zh-CN"/>
        </w:rPr>
        <w:t>amil</w:t>
      </w:r>
      <w:r w:rsidRPr="005F3D47">
        <w:rPr>
          <w:rFonts w:ascii="Cambria" w:eastAsia="Cambria" w:hAnsi="Cambria" w:cs="Cambria"/>
          <w:color w:val="000000"/>
          <w:szCs w:val="24"/>
          <w:lang w:val="zh-CN"/>
        </w:rPr>
        <w:t xml:space="preserve"> amidst their critical impressions of efforts to professionalize </w:t>
      </w:r>
      <w:r w:rsidR="00CB7C8E" w:rsidRPr="00CB7C8E">
        <w:rPr>
          <w:rFonts w:ascii="Cambria" w:eastAsia="Cambria" w:hAnsi="Cambria" w:cs="Cambria"/>
          <w:i/>
          <w:color w:val="000000"/>
          <w:szCs w:val="24"/>
          <w:lang w:val="zh-CN"/>
        </w:rPr>
        <w:t>amil</w:t>
      </w:r>
      <w:r w:rsidRPr="005F3D47">
        <w:rPr>
          <w:rFonts w:ascii="Cambria" w:eastAsia="Cambria" w:hAnsi="Cambria" w:cs="Cambria"/>
          <w:color w:val="000000"/>
          <w:szCs w:val="24"/>
          <w:lang w:val="zh-CN"/>
        </w:rPr>
        <w:t xml:space="preserve"> itself. It is important to know their intentions because they are expected to regenerate zakat management. Regeneration is certainly important considering the tendency of older workers to be less productive and efficient and reluctant to adopt the latest technology </w:t>
      </w:r>
      <w:r>
        <w:rPr>
          <w:rFonts w:ascii="Cambria" w:eastAsia="Cambria" w:hAnsi="Cambria" w:cs="Cambria"/>
          <w:color w:val="000000"/>
          <w:szCs w:val="24"/>
          <w:lang w:val="zh-CN"/>
        </w:rPr>
        <w:fldChar w:fldCharType="begin" w:fldLock="1"/>
      </w:r>
      <w:r w:rsidR="008331EB">
        <w:rPr>
          <w:rFonts w:ascii="Cambria" w:eastAsia="Cambria" w:hAnsi="Cambria" w:cs="Cambria"/>
          <w:color w:val="000000"/>
          <w:szCs w:val="24"/>
          <w:lang w:val="zh-CN"/>
        </w:rPr>
        <w:instrText>ADDIN CSL_CITATION {"citationItems":[{"id":"ITEM-1","itemData":{"author":[{"dropping-particle":"","family":"Hamilton","given":"W","non-dropping-particle":"","parse-names":false,"suffix":""},{"dropping-particle":"","family":"Bosworth","given":"G","non-dropping-particle":"","parse-names":false,"suffix":""},{"dropping-particle":"","family":"Ruto","given":"E","non-dropping-particle":"","parse-names":false,"suffix":""}],"id":"ITEM-1","issued":{"date-parts":[["2015"]]},"note":"Cited By (since 2015): 2","title":"Entrepreneurial younger farmers and the “Young Farmer Problem” in England. Agriculture and Forestry, 61 (4), 61-69","type":"article"},"uris":["http://www.mendeley.com/documents/?uuid=8eb3cb3d-7983-4776-adf9-486d64a91b71"]}],"mendeley":{"formattedCitation":"(Hamilton et al., 2015)","plainTextFormattedCitation":"(Hamilton et al., 2015)","previouslyFormattedCitation":"(Hamilton et al., 2015)"},"properties":{"noteIndex":0},"schema":"https://github.com/citation-style-language/schema/raw/master/csl-citation.json"}</w:instrText>
      </w:r>
      <w:r>
        <w:rPr>
          <w:rFonts w:ascii="Cambria" w:eastAsia="Cambria" w:hAnsi="Cambria" w:cs="Cambria"/>
          <w:color w:val="000000"/>
          <w:szCs w:val="24"/>
          <w:lang w:val="zh-CN"/>
        </w:rPr>
        <w:fldChar w:fldCharType="separate"/>
      </w:r>
      <w:r w:rsidRPr="005F3D47">
        <w:rPr>
          <w:rFonts w:ascii="Cambria" w:eastAsia="Cambria" w:hAnsi="Cambria" w:cs="Cambria"/>
          <w:noProof/>
          <w:color w:val="000000"/>
          <w:szCs w:val="24"/>
          <w:lang w:val="zh-CN"/>
        </w:rPr>
        <w:t>(H</w:t>
      </w:r>
      <w:r w:rsidR="00CB7C8E" w:rsidRPr="00CB7C8E">
        <w:rPr>
          <w:rFonts w:ascii="Cambria" w:eastAsia="Cambria" w:hAnsi="Cambria" w:cs="Cambria"/>
          <w:i/>
          <w:noProof/>
          <w:color w:val="000000"/>
          <w:szCs w:val="24"/>
          <w:lang w:val="zh-CN"/>
        </w:rPr>
        <w:t>amil</w:t>
      </w:r>
      <w:r w:rsidRPr="005F3D47">
        <w:rPr>
          <w:rFonts w:ascii="Cambria" w:eastAsia="Cambria" w:hAnsi="Cambria" w:cs="Cambria"/>
          <w:noProof/>
          <w:color w:val="000000"/>
          <w:szCs w:val="24"/>
          <w:lang w:val="zh-CN"/>
        </w:rPr>
        <w:t>ton et al., 2015)</w:t>
      </w:r>
      <w:r>
        <w:rPr>
          <w:rFonts w:ascii="Cambria" w:eastAsia="Cambria" w:hAnsi="Cambria" w:cs="Cambria"/>
          <w:color w:val="000000"/>
          <w:szCs w:val="24"/>
          <w:lang w:val="zh-CN"/>
        </w:rPr>
        <w:fldChar w:fldCharType="end"/>
      </w:r>
      <w:r w:rsidRPr="005F3D47">
        <w:rPr>
          <w:rFonts w:ascii="Cambria" w:eastAsia="Cambria" w:hAnsi="Cambria" w:cs="Cambria"/>
          <w:color w:val="000000"/>
          <w:szCs w:val="24"/>
          <w:lang w:val="zh-CN"/>
        </w:rPr>
        <w:t xml:space="preserve">. Thus, this research will describe the critical impressions of students regarding the professionalization of </w:t>
      </w:r>
      <w:r w:rsidR="00CB7C8E" w:rsidRPr="00CB7C8E">
        <w:rPr>
          <w:rFonts w:ascii="Cambria" w:eastAsia="Cambria" w:hAnsi="Cambria" w:cs="Cambria"/>
          <w:i/>
          <w:color w:val="000000"/>
          <w:szCs w:val="24"/>
          <w:lang w:val="zh-CN"/>
        </w:rPr>
        <w:t>amil</w:t>
      </w:r>
      <w:r w:rsidRPr="005F3D47">
        <w:rPr>
          <w:rFonts w:ascii="Cambria" w:eastAsia="Cambria" w:hAnsi="Cambria" w:cs="Cambria"/>
          <w:color w:val="000000"/>
          <w:szCs w:val="24"/>
          <w:lang w:val="zh-CN"/>
        </w:rPr>
        <w:t>, what is the level of their career intentions, and whether these impressi</w:t>
      </w:r>
      <w:r>
        <w:rPr>
          <w:rFonts w:ascii="Cambria" w:eastAsia="Cambria" w:hAnsi="Cambria" w:cs="Cambria"/>
          <w:color w:val="000000"/>
          <w:szCs w:val="24"/>
          <w:lang w:val="zh-CN"/>
        </w:rPr>
        <w:t>ons influence career intentions</w:t>
      </w:r>
      <w:r w:rsidR="00856E33">
        <w:rPr>
          <w:rFonts w:ascii="Cambria" w:eastAsia="Cambria" w:hAnsi="Cambria" w:cs="Cambria"/>
          <w:color w:val="000000"/>
          <w:szCs w:val="24"/>
          <w:lang w:val="zh-CN"/>
        </w:rPr>
        <w:t>.</w:t>
      </w:r>
      <w:r w:rsidR="00856E33">
        <w:rPr>
          <w:rFonts w:ascii="Cambria" w:eastAsia="Cambria" w:hAnsi="Cambria" w:cs="Cambria"/>
          <w:color w:val="000000"/>
          <w:szCs w:val="24"/>
          <w:lang w:eastAsia="zh-CN"/>
        </w:rPr>
        <w:t xml:space="preserve"> </w:t>
      </w:r>
    </w:p>
    <w:p w:rsidR="00A2008D" w:rsidRDefault="00A2008D">
      <w:pPr>
        <w:spacing w:line="276" w:lineRule="auto"/>
        <w:ind w:left="0" w:hanging="2"/>
        <w:rPr>
          <w:rFonts w:ascii="Cambria" w:eastAsia="Cambria" w:hAnsi="Cambria" w:cs="Cambria"/>
          <w:color w:val="000000"/>
          <w:szCs w:val="24"/>
          <w:lang w:eastAsia="zh-CN"/>
        </w:rPr>
      </w:pPr>
    </w:p>
    <w:p w:rsidR="00A2008D" w:rsidRDefault="00856E33">
      <w:pPr>
        <w:spacing w:line="276" w:lineRule="auto"/>
        <w:ind w:left="0" w:hanging="2"/>
        <w:rPr>
          <w:rFonts w:ascii="Cambria" w:eastAsia="Cambria" w:hAnsi="Cambria" w:cs="Cambria"/>
          <w:b/>
          <w:color w:val="000000"/>
          <w:szCs w:val="24"/>
        </w:rPr>
      </w:pPr>
      <w:r>
        <w:rPr>
          <w:rFonts w:ascii="Cambria" w:eastAsia="Cambria" w:hAnsi="Cambria" w:cs="Cambria"/>
          <w:b/>
          <w:color w:val="000000"/>
          <w:szCs w:val="24"/>
        </w:rPr>
        <w:t>LITERATURE REVIEW</w:t>
      </w:r>
    </w:p>
    <w:p w:rsidR="00A2008D" w:rsidRDefault="00856E33">
      <w:pPr>
        <w:spacing w:line="276" w:lineRule="auto"/>
        <w:ind w:left="0" w:hanging="2"/>
        <w:rPr>
          <w:rFonts w:ascii="Cambria" w:eastAsia="Cambria" w:hAnsi="Cambria" w:cs="Cambria"/>
          <w:b/>
          <w:bCs/>
          <w:color w:val="000000"/>
          <w:szCs w:val="24"/>
          <w:lang w:val="zh-CN" w:eastAsia="en-GB"/>
        </w:rPr>
      </w:pPr>
      <w:r>
        <w:rPr>
          <w:rFonts w:ascii="Cambria" w:eastAsia="Cambria" w:hAnsi="Cambria" w:cs="Cambria"/>
          <w:b/>
          <w:bCs/>
          <w:color w:val="000000"/>
          <w:szCs w:val="24"/>
          <w:lang w:val="zh-CN" w:eastAsia="en-GB"/>
        </w:rPr>
        <w:t>Professionalization</w:t>
      </w:r>
    </w:p>
    <w:p w:rsidR="00A2008D" w:rsidRDefault="00856E33" w:rsidP="008331EB">
      <w:pPr>
        <w:spacing w:line="276" w:lineRule="auto"/>
        <w:ind w:leftChars="0" w:left="0" w:firstLineChars="200" w:firstLine="480"/>
        <w:rPr>
          <w:rFonts w:ascii="Cambria" w:eastAsia="Cambria" w:hAnsi="Cambria" w:cs="Cambria"/>
          <w:color w:val="000000"/>
          <w:szCs w:val="24"/>
          <w:lang w:val="zh-CN"/>
        </w:rPr>
      </w:pPr>
      <w:r>
        <w:rPr>
          <w:rFonts w:ascii="Cambria" w:eastAsia="Cambria" w:hAnsi="Cambria" w:cs="Cambria"/>
          <w:color w:val="000000"/>
          <w:szCs w:val="24"/>
          <w:lang w:val="zh-CN"/>
        </w:rPr>
        <w:t xml:space="preserve">Older sociological approaches generally differentiate professions based on their definition of job characteristics. In their own dictionaries, including the Big Indonesian Dictionary and The Britannica Dictionary, they add certain characteristics to professions, not limited to work, but must be based on </w:t>
      </w:r>
      <w:r>
        <w:rPr>
          <w:rFonts w:ascii="Cambria" w:eastAsia="Cambria" w:hAnsi="Cambria" w:cs="Cambria"/>
          <w:color w:val="000000"/>
          <w:szCs w:val="24"/>
          <w:lang w:val="zh-CN"/>
        </w:rPr>
        <w:lastRenderedPageBreak/>
        <w:t>education, training or special skills. Wilensky</w:t>
      </w:r>
      <w:r w:rsidR="008331EB">
        <w:rPr>
          <w:rFonts w:ascii="Cambria" w:eastAsia="Cambria" w:hAnsi="Cambria" w:cs="Cambria"/>
          <w:color w:val="000000"/>
          <w:szCs w:val="24"/>
          <w:lang w:val="en-ID"/>
        </w:rPr>
        <w:t xml:space="preserve"> </w:t>
      </w:r>
      <w:r w:rsidR="008331EB">
        <w:rPr>
          <w:rFonts w:ascii="Cambria" w:eastAsia="Cambria" w:hAnsi="Cambria" w:cs="Cambria"/>
          <w:color w:val="000000"/>
          <w:szCs w:val="24"/>
          <w:lang w:val="en-ID"/>
        </w:rPr>
        <w:fldChar w:fldCharType="begin" w:fldLock="1"/>
      </w:r>
      <w:r w:rsidR="0005636F">
        <w:rPr>
          <w:rFonts w:ascii="Cambria" w:eastAsia="Cambria" w:hAnsi="Cambria" w:cs="Cambria"/>
          <w:color w:val="000000"/>
          <w:szCs w:val="24"/>
          <w:lang w:val="en-ID"/>
        </w:rPr>
        <w:instrText>ADDIN CSL_CITATION {"citationItems":[{"id":"ITEM-1","itemData":{"DOI":"10.1086/223790","abstract":"… Yet there is a recurrent idea among students of occupations that the labor force as a whole … In 1 This paper is a general development and test of ideas about the professionalization of …","author":[{"dropping-particle":"","family":"Wilensky","given":"H L","non-dropping-particle":"","parse-names":false,"suffix":""}],"container-title":"American journal of sociology","id":"ITEM-1","issued":{"date-parts":[["1964"]]},"note":"Cited By (since 1964): 5427","publisher":"journals.uchicago.edu","title":"The professionalization of everyone?","type":"article-journal"},"uris":["http://www.mendeley.com/documents/?uuid=bdc2b259-7b2d-4ed5-8aa1-1b8dac08f29d"]}],"mendeley":{"formattedCitation":"(Wilensky, 1964)","plainTextFormattedCitation":"(Wilensky, 1964)","previouslyFormattedCitation":"(Wilensky, 1964)"},"properties":{"noteIndex":0},"schema":"https://github.com/citation-style-language/schema/raw/master/csl-citation.json"}</w:instrText>
      </w:r>
      <w:r w:rsidR="008331EB">
        <w:rPr>
          <w:rFonts w:ascii="Cambria" w:eastAsia="Cambria" w:hAnsi="Cambria" w:cs="Cambria"/>
          <w:color w:val="000000"/>
          <w:szCs w:val="24"/>
          <w:lang w:val="en-ID"/>
        </w:rPr>
        <w:fldChar w:fldCharType="separate"/>
      </w:r>
      <w:r w:rsidR="008331EB" w:rsidRPr="008331EB">
        <w:rPr>
          <w:rFonts w:ascii="Cambria" w:eastAsia="Cambria" w:hAnsi="Cambria" w:cs="Cambria"/>
          <w:noProof/>
          <w:color w:val="000000"/>
          <w:szCs w:val="24"/>
          <w:lang w:val="en-ID"/>
        </w:rPr>
        <w:t>(Wilensky, 1964)</w:t>
      </w:r>
      <w:r w:rsidR="008331EB">
        <w:rPr>
          <w:rFonts w:ascii="Cambria" w:eastAsia="Cambria" w:hAnsi="Cambria" w:cs="Cambria"/>
          <w:color w:val="000000"/>
          <w:szCs w:val="24"/>
          <w:lang w:val="en-ID"/>
        </w:rPr>
        <w:fldChar w:fldCharType="end"/>
      </w:r>
      <w:r>
        <w:rPr>
          <w:rFonts w:ascii="Cambria" w:eastAsia="Cambria" w:hAnsi="Cambria" w:cs="Cambria"/>
          <w:color w:val="000000"/>
          <w:szCs w:val="24"/>
          <w:lang w:val="zh-CN"/>
        </w:rPr>
        <w:t xml:space="preserve"> expresses this of course to differentiate between doctors and carpenters, lawyers and auto workers. </w:t>
      </w:r>
    </w:p>
    <w:p w:rsidR="00A2008D" w:rsidRDefault="00856E33" w:rsidP="00A30815">
      <w:pPr>
        <w:spacing w:line="276" w:lineRule="auto"/>
        <w:ind w:leftChars="0" w:left="0" w:firstLineChars="200" w:firstLine="480"/>
        <w:rPr>
          <w:rFonts w:ascii="Cambria" w:eastAsia="Cambria" w:hAnsi="Cambria" w:cs="Cambria"/>
          <w:color w:val="000000"/>
          <w:szCs w:val="24"/>
          <w:lang w:val="zh-CN"/>
        </w:rPr>
      </w:pPr>
      <w:r>
        <w:rPr>
          <w:rFonts w:ascii="Cambria" w:eastAsia="Cambria" w:hAnsi="Cambria" w:cs="Cambria"/>
          <w:color w:val="000000"/>
          <w:szCs w:val="24"/>
          <w:lang w:val="zh-CN"/>
        </w:rPr>
        <w:t xml:space="preserve">Wilensky </w:t>
      </w:r>
      <w:r w:rsidR="00A30815" w:rsidRPr="008331EB">
        <w:rPr>
          <w:rStyle w:val="FootnoteReference"/>
          <w:rFonts w:ascii="Cambria" w:eastAsia="Cambria" w:hAnsi="Cambria" w:cs="Cambria"/>
          <w:color w:val="000000"/>
          <w:szCs w:val="24"/>
          <w:vertAlign w:val="baseline"/>
          <w:lang w:val="zh-CN"/>
        </w:rPr>
        <w:fldChar w:fldCharType="begin" w:fldLock="1"/>
      </w:r>
      <w:r w:rsidR="00A30815" w:rsidRPr="008331EB">
        <w:rPr>
          <w:rFonts w:ascii="Cambria" w:eastAsia="Cambria" w:hAnsi="Cambria" w:cs="Cambria"/>
          <w:color w:val="000000"/>
          <w:szCs w:val="24"/>
          <w:lang w:val="zh-CN"/>
        </w:rPr>
        <w:instrText>ADDIN CSL_CITATION {"citationItems":[{"id":"ITEM-1","itemData":{"DOI":"10.1086/223790","abstract":"… Yet there is a recurrent idea among students of occupations that the labor force as a whole … In 1 This paper is a general development and test of ideas about the professionalization of …","author":[{"dropping-particle":"","family":"Wilensky","given":"H L","non-dropping-particle":"","parse-names":false,"suffix":""}],"container-title":"American journal of sociology","id":"ITEM-1","issued":{"date-parts":[["1964"]]},"note":"Cited By (since 1964): 5427","publisher":"journals.uchicago.edu","title":"The professionalization of everyone?","type":"article-journal"},"uris":["http://www.mendeley.com/documents/?uuid=bdc2b259-7b2d-4ed5-8aa1-1b8dac08f29d"]}],"mendeley":{"formattedCitation":"(Wilensky, 1964)","manualFormatting":"(1964)","plainTextFormattedCitation":"(Wilensky, 1964)","previouslyFormattedCitation":"(Wilensky, 1964)"},"properties":{"noteIndex":0},"schema":"https://github.com/citation-style-language/schema/raw/master/csl-citation.json"}</w:instrText>
      </w:r>
      <w:r w:rsidR="00A30815" w:rsidRPr="008331EB">
        <w:rPr>
          <w:rStyle w:val="FootnoteReference"/>
          <w:rFonts w:ascii="Cambria" w:eastAsia="Cambria" w:hAnsi="Cambria" w:cs="Cambria"/>
          <w:color w:val="000000"/>
          <w:szCs w:val="24"/>
          <w:vertAlign w:val="baseline"/>
          <w:lang w:val="zh-CN"/>
        </w:rPr>
        <w:fldChar w:fldCharType="separate"/>
      </w:r>
      <w:r w:rsidR="00A30815" w:rsidRPr="008331EB">
        <w:rPr>
          <w:rStyle w:val="FootnoteReference"/>
          <w:rFonts w:ascii="Cambria" w:eastAsia="Cambria" w:hAnsi="Cambria" w:cs="Cambria"/>
          <w:noProof/>
          <w:color w:val="000000"/>
          <w:szCs w:val="24"/>
          <w:vertAlign w:val="baseline"/>
          <w:lang w:val="zh-CN"/>
        </w:rPr>
        <w:t>(1964)</w:t>
      </w:r>
      <w:r w:rsidR="00A30815" w:rsidRPr="008331EB">
        <w:rPr>
          <w:rStyle w:val="FootnoteReference"/>
          <w:rFonts w:ascii="Cambria" w:eastAsia="Cambria" w:hAnsi="Cambria" w:cs="Cambria"/>
          <w:color w:val="000000"/>
          <w:szCs w:val="24"/>
          <w:vertAlign w:val="baseline"/>
          <w:lang w:val="zh-CN"/>
        </w:rPr>
        <w:fldChar w:fldCharType="end"/>
      </w:r>
      <w:r>
        <w:rPr>
          <w:rFonts w:ascii="Cambria" w:eastAsia="Cambria" w:hAnsi="Cambria" w:cs="Cambria"/>
          <w:color w:val="000000"/>
          <w:szCs w:val="24"/>
          <w:lang w:val="zh-CN"/>
        </w:rPr>
        <w:t xml:space="preserve"> stated that for something to be considered professional, it must have specialization, major application of theory, transferability of skills, job stability or attachment to the company, and the existence of work rules. Any occupation that wishes to exercise professional authority must find a technical basis for it, assert exclusive jurisdiction, link skills and jurisdiction to training standards, and convince the public that its services are uniquely trustworthy.</w:t>
      </w:r>
    </w:p>
    <w:p w:rsidR="00A2008D" w:rsidRDefault="00856E33" w:rsidP="00A30815">
      <w:pPr>
        <w:spacing w:line="276" w:lineRule="auto"/>
        <w:ind w:leftChars="0" w:left="0" w:firstLineChars="200" w:firstLine="480"/>
        <w:rPr>
          <w:rFonts w:ascii="Cambria" w:eastAsiaTheme="minorEastAsia" w:hAnsi="Cambria" w:cs="Cambria"/>
          <w:color w:val="000000"/>
          <w:szCs w:val="24"/>
          <w:lang w:val="en-US" w:eastAsia="zh-CN"/>
        </w:rPr>
      </w:pPr>
      <w:r>
        <w:rPr>
          <w:rFonts w:ascii="Cambria" w:eastAsia="Cambria" w:hAnsi="Cambria" w:cs="Cambria"/>
          <w:color w:val="000000"/>
          <w:szCs w:val="24"/>
          <w:lang w:val="zh-CN"/>
        </w:rPr>
        <w:t xml:space="preserve">Professionalization is the process by which occupations have become, or are attempting to become, publicly recognized as professions according to the extent to which they meet presumptive criteria. Professionalization can be seen as having two strands. One strand relates to increasing status. Another strand relates to increasing the capacity of members to improve the quality of services provided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{"citationItems":[{"id":"ITEM-1","itemData":{"author":[{"dropping-particle":"","family":"Hoyle","given":"E","non-dropping-particle":"","parse-names":false,"suffix":""}],"id":"ITEM-1","issued":{"date-parts":[["2001"]]},"note":"Cited By (since 2001): 3","publisher":"Elsevier, Amsterdam","title":"Teaching as a profession. International encyclopedia of the social and behavioural sciences","type":"article"},"uris":["http://www.mendeley.com/documents/?uuid=2ab54ac8-8271-47cd-83d6-c5c8967d1d4a"]}],"mendeley":{"formattedCitation":"(Hoyle, 2001)","plainTextFormattedCitation":"(Hoyle, 2001)","previouslyFormattedCitation":"(Hoyle, 2001)"},"properties":{"noteIndex":0},"schema":"https://github.com/citation-style-language/schema/raw/master/csl-citation.json"}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(Hoyle, 2001)</w:t>
      </w:r>
      <w:r w:rsidR="00A30815">
        <w:rPr>
          <w:rStyle w:val="FootnoteReference"/>
          <w:rFonts w:ascii="Cambria" w:eastAsia="Cambria" w:hAnsi="Cambria" w:cs="Cambria"/>
          <w:color w:val="000000"/>
          <w:szCs w:val="24"/>
          <w:lang w:val="zh-CN"/>
        </w:rPr>
        <w:fldChar w:fldCharType="end"/>
      </w:r>
      <w:r>
        <w:rPr>
          <w:rFonts w:ascii="Cambria" w:eastAsia="Cambria" w:hAnsi="Cambria" w:cs="Cambria"/>
          <w:color w:val="000000"/>
          <w:szCs w:val="24"/>
          <w:lang w:val="zh-CN"/>
        </w:rPr>
        <w:t xml:space="preserve">. Professionalization involves developing the skills, identity, norms, and values associated with being part of a professional group. Professionalization can begin during undergraduate education, is central to graduate training, and continues during early career stages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{"citationItems":[{"id":"ITEM-1","itemData":{"author":[{"dropping-particle":"","family":"Levine","given":"F J","non-dropping-particle":"","parse-names":false,"suffix":""},{"dropping-particle":"","family":"Bell","given":"N E","non-dropping-particle":"","parse-names":false,"suffix":""}],"id":"ITEM-1","issued":{"date-parts":[["2015"]]},"note":"Cited By (since 2015): 3","publisher":"Elsevier","title":"Social science professions and professionalization","type":"article"},"uris":["http://www.mendeley.com/documents/?uuid=e3ec2a9f-d01a-4048-a6d4-cda0f3ad8d2e"]}],"mendeley":{"formattedCitation":"(Levine &amp; Bell, 2015)","plainTextFormattedCitation":"(Levine &amp; Bell, 2015)","previouslyFormattedCitation":"(Levine &amp; Bell, 2015)"},"properties":{"noteIndex":0},"schema":"https://github.com/citation-style-language/schema/raw/master/csl-citation.json"}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(Levine &amp; Bell, 2015)</w:t>
      </w:r>
      <w:r w:rsidR="00A30815">
        <w:rPr>
          <w:rStyle w:val="FootnoteReference"/>
          <w:rFonts w:ascii="Cambria" w:eastAsia="Cambria" w:hAnsi="Cambria" w:cs="Cambria"/>
          <w:color w:val="000000"/>
          <w:szCs w:val="24"/>
          <w:lang w:val="zh-CN"/>
        </w:rPr>
        <w:fldChar w:fldCharType="end"/>
      </w:r>
      <w:r>
        <w:rPr>
          <w:rFonts w:ascii="Cambria" w:eastAsia="Cambria" w:hAnsi="Cambria" w:cs="Cambria"/>
          <w:color w:val="000000"/>
          <w:szCs w:val="24"/>
          <w:lang w:val="en-US"/>
        </w:rPr>
        <w:t>.</w:t>
      </w:r>
    </w:p>
    <w:p w:rsidR="00A2008D" w:rsidRDefault="00856E33" w:rsidP="00A30815">
      <w:pPr>
        <w:spacing w:line="276" w:lineRule="auto"/>
        <w:ind w:leftChars="0" w:left="0" w:firstLineChars="200" w:firstLine="480"/>
        <w:rPr>
          <w:rFonts w:ascii="Cambria" w:eastAsiaTheme="minorEastAsia" w:hAnsi="Cambria" w:cs="Cambria"/>
          <w:color w:val="000000"/>
          <w:szCs w:val="24"/>
          <w:lang w:val="zh-CN" w:eastAsia="zh-CN"/>
        </w:rPr>
      </w:pPr>
      <w:r>
        <w:rPr>
          <w:rFonts w:ascii="Cambria" w:eastAsia="Cambria" w:hAnsi="Cambria" w:cs="Cambria"/>
          <w:color w:val="000000"/>
          <w:szCs w:val="24"/>
          <w:lang w:val="zh-CN"/>
        </w:rPr>
        <w:t xml:space="preserve">The process to professionalize a job, according to Wilensky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{"citationItems":[{"id":"ITEM-1","itemData":{"DOI":"10.1086/223790","abstract":"… Yet there is a recurrent idea among students of occupations that the labor force as a whole … In 1 This paper is a general development and test of ideas about the professionalization of …","author":[{"dropping-particle":"","family":"Wilensky","given":"H L","non-dropping-particle":"","parse-names":false,"suffix":""}],"container-title":"American journal of sociology","id":"ITEM-1","issued":{"date-parts":[["1964"]]},"note":"Cited By (since 1964): 5427","publisher":"journals.uchicago.edu","title":"The professionalization of everyone?","type":"article-journal"},"uris":["http://www.mendeley.com/documents/?uuid=bdc2b259-7b2d-4ed5-8aa1-1b8dac08f29d"]}],"mendeley":{"formattedCitation":"(Wilensky, 1964)","plainTextFormattedCitation":"(Wilensky, 1964)","previouslyFormattedCitation":"(Wilensky, 1964)"},"properties":{"noteIndex":0},"schema":"https://github.com/citation-style-language/schema/raw/master/csl-citation.json"}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(Wilensky, 1964)</w:t>
      </w:r>
      <w:r w:rsidR="00A30815">
        <w:rPr>
          <w:rStyle w:val="FootnoteReference"/>
          <w:rFonts w:ascii="Cambria" w:eastAsia="Cambria" w:hAnsi="Cambria" w:cs="Cambria"/>
          <w:color w:val="000000"/>
          <w:szCs w:val="24"/>
          <w:lang w:val="zh-CN"/>
        </w:rPr>
        <w:fldChar w:fldCharType="end"/>
      </w:r>
      <w:r>
        <w:rPr>
          <w:rFonts w:ascii="Cambria" w:eastAsia="Cambria" w:hAnsi="Cambria" w:cs="Cambria"/>
          <w:color w:val="000000"/>
          <w:szCs w:val="24"/>
          <w:lang w:val="zh-CN"/>
        </w:rPr>
        <w:t xml:space="preserve">, requires five steps: 1) start doing the full-time work that needs to be done; 2) providing training with the establishment of development schools; 3) join to form a professional association; 4) There will be persistent political agitation to obtain legal support to protect the work area and maintain the code of ethics. If areas of competence are not clearly exclusive, legal protection of the title will be the goal; 5) Ultimately rules to eliminate the unreasonable and immoral, rules to reduce internal competition, and rules to protect clients and emphasize ideal service will be embodied in a formal code of ethics. Wilensky's opinion can be said to be in line with the opinions of subsequent experts, including West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{"citationItems":[{"id":"ITEM-1","itemData":{"abstract":"… After a successful semester, we thank everyone for their support and participation in Accounting Society. We hope everyone has a good holiday and look forward to seeing everyone …","author":[{"dropping-particle":"","family":"West","given":"P B","non-dropping-particle":"","parse-names":false,"suffix":""}],"id":"ITEM-1","issued":{"date-parts":[["1993"]]},"note":"Cited By (since 1993): 2","publisher":"rso.business.siu.edu","title":"Accounting and Society","type":"article"},"uris":["http://www.mendeley.com/documents/?uuid=6987db50-b07f-4d12-8643-97a90294f93c"]}],"mendeley":{"formattedCitation":"(West, 1993)","plainTextFormattedCitation":"(West, 1993)","previouslyFormattedCitation":"(West, 1993)"},"properties":{"noteIndex":0},"schema":"https://github.com/citation-style-language/schema/raw/master/csl-citation.json"}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(West, 1993)</w:t>
      </w:r>
      <w:r w:rsidR="00A30815">
        <w:rPr>
          <w:rStyle w:val="FootnoteReference"/>
          <w:rFonts w:ascii="Cambria" w:eastAsia="Cambria" w:hAnsi="Cambria" w:cs="Cambria"/>
          <w:color w:val="000000"/>
          <w:szCs w:val="24"/>
          <w:lang w:val="zh-CN"/>
        </w:rPr>
        <w:fldChar w:fldCharType="end"/>
      </w:r>
      <w:r>
        <w:rPr>
          <w:rFonts w:ascii="Cambria" w:eastAsia="Cambria" w:hAnsi="Cambria" w:cs="Cambria"/>
          <w:color w:val="000000"/>
          <w:szCs w:val="24"/>
          <w:lang w:val="zh-CN"/>
        </w:rPr>
        <w:t>, with modifications or perhaps additions and subtractions in certain parts.</w:t>
      </w:r>
    </w:p>
    <w:p w:rsidR="00A2008D" w:rsidRDefault="00A2008D">
      <w:pPr>
        <w:spacing w:line="276" w:lineRule="auto"/>
        <w:ind w:leftChars="0" w:left="0" w:firstLineChars="200" w:firstLine="480"/>
        <w:rPr>
          <w:rFonts w:ascii="Cambria" w:eastAsiaTheme="minorEastAsia" w:hAnsi="Cambria" w:cs="Cambria"/>
          <w:color w:val="000000"/>
          <w:szCs w:val="24"/>
          <w:lang w:val="en-US" w:eastAsia="zh-CN"/>
        </w:rPr>
      </w:pPr>
    </w:p>
    <w:p w:rsidR="00E84DA0" w:rsidRDefault="00CB7C8E">
      <w:pPr>
        <w:spacing w:line="276" w:lineRule="auto"/>
        <w:ind w:left="0" w:hanging="2"/>
        <w:rPr>
          <w:rFonts w:ascii="Cambria" w:eastAsia="Cambria" w:hAnsi="Cambria" w:cs="Cambria"/>
          <w:b/>
          <w:bCs/>
          <w:color w:val="000000"/>
          <w:szCs w:val="24"/>
          <w:lang w:val="zh-CN"/>
        </w:rPr>
      </w:pPr>
      <w:r w:rsidRPr="00CB7C8E">
        <w:rPr>
          <w:rFonts w:ascii="Cambria" w:eastAsia="Cambria" w:hAnsi="Cambria" w:cs="Cambria"/>
          <w:b/>
          <w:bCs/>
          <w:i/>
          <w:iCs/>
          <w:color w:val="000000"/>
          <w:szCs w:val="24"/>
          <w:lang w:val="zh-CN"/>
        </w:rPr>
        <w:t>Amil</w:t>
      </w:r>
      <w:r w:rsidR="00E84DA0" w:rsidRPr="00E84DA0">
        <w:rPr>
          <w:rFonts w:ascii="Cambria" w:eastAsia="Cambria" w:hAnsi="Cambria" w:cs="Cambria"/>
          <w:b/>
          <w:bCs/>
          <w:color w:val="000000"/>
          <w:szCs w:val="24"/>
          <w:lang w:val="zh-CN"/>
        </w:rPr>
        <w:t xml:space="preserve"> as a professional career</w:t>
      </w:r>
    </w:p>
    <w:p w:rsidR="00A2008D" w:rsidRDefault="00CB7C8E" w:rsidP="00A30815">
      <w:pPr>
        <w:spacing w:line="276" w:lineRule="auto"/>
        <w:ind w:leftChars="0" w:left="0" w:firstLineChars="200" w:firstLine="480"/>
        <w:rPr>
          <w:rFonts w:ascii="Cambria" w:eastAsia="Cambria" w:hAnsi="Cambria" w:cs="Cambria"/>
          <w:color w:val="000000"/>
          <w:szCs w:val="24"/>
          <w:lang w:val="zh-CN"/>
        </w:rPr>
      </w:pPr>
      <w:r w:rsidRPr="00CB7C8E">
        <w:rPr>
          <w:rFonts w:ascii="Cambria" w:eastAsia="Cambria" w:hAnsi="Cambria" w:cs="Cambria"/>
          <w:i/>
          <w:iCs/>
          <w:color w:val="000000"/>
          <w:szCs w:val="24"/>
          <w:lang w:val="zh-CN"/>
        </w:rPr>
        <w:t>Amil</w:t>
      </w:r>
      <w:r w:rsidR="00856E33">
        <w:rPr>
          <w:rFonts w:ascii="Cambria" w:eastAsia="Cambria" w:hAnsi="Cambria" w:cs="Cambria"/>
          <w:color w:val="000000"/>
          <w:szCs w:val="24"/>
          <w:lang w:val="zh-CN"/>
        </w:rPr>
        <w:t xml:space="preserve"> is everyone involved in an administrative body that administers and manages zakat, whether he is a fundraiser, accountant, financial, program, and zakat distributor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{"citationItems":[{"id":"ITEM-1","itemData":{"author":[{"dropping-particle":"","family":"al-Qaradhawi","given":"Y","non-dropping-particle":"","parse-names":false,"suffix":""}],"container-title":"Beirut: Muassasah ar-Risalah","id":"ITEM-1","issued":{"date-parts":[["1973"]]},"note":"Cited By (since 1973): 4","title":"Fiqh az-Zakah, cet. II, 1973","type":"article"},"uris":["http://www.mendeley.com/documents/?uuid=354ed271-bea2-4c13-aed8-ecf34c93a6ed"]}],"mendeley":{"formattedCitation":"(al-Qaradhawi, 1973)","plainTextFormattedCitation":"(al-Qaradhawi, 1973)","previouslyFormattedCitation":"(al-Qaradhawi, 1973)"},"properties":{"noteIndex":0},"schema":"https://github.com/citation-style-language/schema/raw/master/csl-citation.json"}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(al-Qaradhawi, 1973)</w:t>
      </w:r>
      <w:r w:rsidR="00A30815">
        <w:rPr>
          <w:rStyle w:val="FootnoteReference"/>
          <w:rFonts w:ascii="Cambria" w:eastAsia="Cambria" w:hAnsi="Cambria" w:cs="Cambria"/>
          <w:color w:val="000000"/>
          <w:szCs w:val="24"/>
          <w:lang w:val="zh-CN"/>
        </w:rPr>
        <w:fldChar w:fldCharType="end"/>
      </w:r>
      <w:r w:rsidR="00856E33">
        <w:rPr>
          <w:rFonts w:ascii="Cambria" w:eastAsia="Cambria" w:hAnsi="Cambria" w:cs="Cambria"/>
          <w:color w:val="000000"/>
          <w:szCs w:val="24"/>
          <w:lang w:val="zh-CN"/>
        </w:rPr>
        <w:t xml:space="preserve">. The role of </w:t>
      </w:r>
      <w:r w:rsidRPr="00CB7C8E">
        <w:rPr>
          <w:rFonts w:ascii="Cambria" w:eastAsia="Cambria" w:hAnsi="Cambria" w:cs="Cambria"/>
          <w:i/>
          <w:iCs/>
          <w:color w:val="000000"/>
          <w:szCs w:val="24"/>
          <w:lang w:val="zh-CN"/>
        </w:rPr>
        <w:t>amil</w:t>
      </w:r>
      <w:r w:rsidR="00856E33">
        <w:rPr>
          <w:rFonts w:ascii="Cambria" w:eastAsia="Cambria" w:hAnsi="Cambria" w:cs="Cambria"/>
          <w:color w:val="000000"/>
          <w:szCs w:val="24"/>
          <w:lang w:val="zh-CN"/>
        </w:rPr>
        <w:t xml:space="preserve"> in managing zakat is mentioned in the Al-Quran Surah At-Taubah: 60, which shows the urgency of their role. The emphasis on the position of </w:t>
      </w:r>
      <w:r w:rsidRPr="00CB7C8E">
        <w:rPr>
          <w:rFonts w:ascii="Cambria" w:eastAsia="Cambria" w:hAnsi="Cambria" w:cs="Cambria"/>
          <w:i/>
          <w:color w:val="000000"/>
          <w:szCs w:val="24"/>
          <w:lang w:val="zh-CN"/>
        </w:rPr>
        <w:t>amil</w:t>
      </w:r>
      <w:r w:rsidR="00856E33">
        <w:rPr>
          <w:rFonts w:ascii="Cambria" w:eastAsia="Cambria" w:hAnsi="Cambria" w:cs="Cambria"/>
          <w:color w:val="000000"/>
          <w:szCs w:val="24"/>
          <w:lang w:val="zh-CN"/>
        </w:rPr>
        <w:t xml:space="preserve"> wants to emphasize that zakat in Islam should not be perceived as an individual task, even though it is part of </w:t>
      </w:r>
      <w:r w:rsidR="00856E33">
        <w:rPr>
          <w:rFonts w:ascii="Cambria" w:eastAsia="Cambria" w:hAnsi="Cambria" w:cs="Cambria"/>
          <w:color w:val="000000"/>
          <w:szCs w:val="24"/>
          <w:lang w:val="zh-CN"/>
        </w:rPr>
        <w:lastRenderedPageBreak/>
        <w:t xml:space="preserve">the government's task </w:t>
      </w:r>
      <w:r w:rsidR="00A30815">
        <w:rPr>
          <w:rStyle w:val="FootnoteReference"/>
          <w:rFonts w:ascii="Cambria" w:eastAsia="Cambria" w:hAnsi="Cambria" w:cs="Cambria"/>
          <w:color w:val="000000"/>
          <w:szCs w:val="24"/>
          <w:lang w:val="zh-CN"/>
        </w:rPr>
        <w:fldChar w:fldCharType="begin" w:fldLock="1"/>
      </w:r>
      <w:r w:rsidR="00A30815">
        <w:rPr>
          <w:rFonts w:ascii="Cambria" w:eastAsia="Cambria" w:hAnsi="Cambria" w:cs="Cambria"/>
          <w:color w:val="000000"/>
          <w:szCs w:val="24"/>
          <w:lang w:val="zh-CN"/>
        </w:rPr>
        <w:instrText>ADDIN CSL_CITATION {"citationItems":[{"id":"ITEM-1","itemData":{"author":[{"dropping-particle":"","family":"al-Qaradhawi","given":"Y","non-dropping-particle":"","parse-names":false,"suffix":""}],"container-title":"Beirut: Muassasah ar-Risalah","id":"ITEM-1","issued":{"date-parts":[["1973"]]},"note":"Cited By (since 1973): 4","title":"Fiqh az-Zakah, cet. II, 1973","type":"article"},"uris":["http://www.mendeley.com/documents/?uuid=354ed271-bea2-4c13-aed8-ecf34c93a6ed"]}],"mendeley":{"formattedCitation":"(al-Qaradhawi, 1973)","plainTextFormattedCitation":"(al-Qaradhawi, 1973)","previouslyFormattedCitation":"(al-Qaradhawi, 1973)"},"properties":{"noteIndex":0},"schema":"https://github.com/citation-style-language/schema/raw/master/csl-citation.json"}</w:instrText>
      </w:r>
      <w:r w:rsidR="00A30815">
        <w:rPr>
          <w:rStyle w:val="FootnoteReference"/>
          <w:rFonts w:ascii="Cambria" w:eastAsia="Cambria" w:hAnsi="Cambria" w:cs="Cambria"/>
          <w:color w:val="000000"/>
          <w:szCs w:val="24"/>
          <w:lang w:val="zh-CN"/>
        </w:rPr>
        <w:fldChar w:fldCharType="separate"/>
      </w:r>
      <w:r w:rsidR="00A30815" w:rsidRPr="00A30815">
        <w:rPr>
          <w:rFonts w:ascii="Cambria" w:eastAsia="Cambria" w:hAnsi="Cambria" w:cs="Cambria"/>
          <w:noProof/>
          <w:color w:val="000000"/>
          <w:szCs w:val="24"/>
          <w:lang w:val="zh-CN"/>
        </w:rPr>
        <w:t>(al-Qaradhawi, 1973)</w:t>
      </w:r>
      <w:r w:rsidR="00A30815">
        <w:rPr>
          <w:rStyle w:val="FootnoteReference"/>
          <w:rFonts w:ascii="Cambria" w:eastAsia="Cambria" w:hAnsi="Cambria" w:cs="Cambria"/>
          <w:color w:val="000000"/>
          <w:szCs w:val="24"/>
          <w:lang w:val="zh-CN"/>
        </w:rPr>
        <w:fldChar w:fldCharType="end"/>
      </w:r>
      <w:r w:rsidR="00856E33">
        <w:rPr>
          <w:rFonts w:ascii="Cambria" w:eastAsia="Cambria" w:hAnsi="Cambria" w:cs="Cambria"/>
          <w:color w:val="000000"/>
          <w:szCs w:val="24"/>
          <w:lang w:val="zh-CN"/>
        </w:rPr>
        <w:t xml:space="preserve">. In this context, professionalization of </w:t>
      </w:r>
      <w:r w:rsidRPr="00CB7C8E">
        <w:rPr>
          <w:rFonts w:ascii="Cambria" w:eastAsia="Cambria" w:hAnsi="Cambria" w:cs="Cambria"/>
          <w:i/>
          <w:color w:val="000000"/>
          <w:szCs w:val="24"/>
          <w:lang w:val="zh-CN"/>
        </w:rPr>
        <w:t>amil</w:t>
      </w:r>
      <w:r w:rsidR="00856E33">
        <w:rPr>
          <w:rFonts w:ascii="Cambria" w:eastAsia="Cambria" w:hAnsi="Cambria" w:cs="Cambria"/>
          <w:color w:val="000000"/>
          <w:szCs w:val="24"/>
          <w:lang w:val="zh-CN"/>
        </w:rPr>
        <w:t xml:space="preserve"> becomes important in managing zakat; Zakat should not be managed haphazardly because it is an important part of the Islamic economy.</w:t>
      </w:r>
    </w:p>
    <w:p w:rsidR="00A2008D" w:rsidRDefault="00CB7C8E" w:rsidP="00A30815">
      <w:pPr>
        <w:spacing w:line="276" w:lineRule="auto"/>
        <w:ind w:leftChars="0" w:left="0" w:firstLineChars="200" w:firstLine="480"/>
        <w:rPr>
          <w:rFonts w:ascii="Cambria" w:eastAsia="Cambria" w:hAnsi="Cambria" w:cs="Cambria"/>
          <w:color w:val="000000"/>
          <w:szCs w:val="24"/>
          <w:lang w:val="zh-CN"/>
        </w:rPr>
      </w:pPr>
      <w:r w:rsidRPr="00CB7C8E">
        <w:rPr>
          <w:rFonts w:ascii="Cambria" w:eastAsia="Cambria" w:hAnsi="Cambria" w:cs="Cambria"/>
          <w:i/>
          <w:iCs/>
          <w:color w:val="000000"/>
          <w:szCs w:val="24"/>
          <w:lang w:val="zh-CN"/>
        </w:rPr>
        <w:t>Amil</w:t>
      </w:r>
      <w:r w:rsidR="00856E33">
        <w:rPr>
          <w:rFonts w:ascii="Cambria" w:eastAsia="Cambria" w:hAnsi="Cambria" w:cs="Cambria"/>
          <w:color w:val="000000"/>
          <w:szCs w:val="24"/>
          <w:lang w:val="zh-CN"/>
        </w:rPr>
        <w:t xml:space="preserve"> as a profession, so far, still encounters obstacles and challenges. Work as </w:t>
      </w:r>
      <w:r w:rsidRPr="00CB7C8E">
        <w:rPr>
          <w:rFonts w:ascii="Cambria" w:eastAsia="Cambria" w:hAnsi="Cambria" w:cs="Cambria"/>
          <w:i/>
          <w:color w:val="000000"/>
          <w:szCs w:val="24"/>
          <w:lang w:val="zh-CN"/>
        </w:rPr>
        <w:t>amil</w:t>
      </w:r>
      <w:r w:rsidR="00856E33">
        <w:rPr>
          <w:rFonts w:ascii="Cambria" w:eastAsia="Cambria" w:hAnsi="Cambria" w:cs="Cambria"/>
          <w:color w:val="000000"/>
          <w:szCs w:val="24"/>
          <w:lang w:val="zh-CN"/>
        </w:rPr>
        <w:t xml:space="preserve"> is still mostly done as part-time and side work. It is considered part of social work so it is not considered a career choice. Liljegren </w:t>
      </w:r>
      <w:r w:rsidR="00A30815" w:rsidRPr="006B6CC2">
        <w:rPr>
          <w:rStyle w:val="FootnoteReference"/>
          <w:rFonts w:ascii="Cambria" w:eastAsia="Cambria" w:hAnsi="Cambria" w:cs="Cambria"/>
          <w:color w:val="000000"/>
          <w:szCs w:val="24"/>
          <w:vertAlign w:val="baseline"/>
          <w:lang w:val="zh-CN"/>
        </w:rPr>
        <w:fldChar w:fldCharType="begin" w:fldLock="1"/>
      </w:r>
      <w:r w:rsidR="00A30815" w:rsidRPr="006B6CC2">
        <w:rPr>
          <w:rFonts w:ascii="Cambria" w:eastAsia="Cambria" w:hAnsi="Cambria" w:cs="Cambria"/>
          <w:color w:val="000000"/>
          <w:szCs w:val="24"/>
          <w:lang w:val="zh-CN"/>
        </w:rPr>
        <w:instrText>ADDIN CSL_CITATION {"citationItems":[{"id":"ITEM-1","itemData":{"author":[{"dropping-particle":"","family":"Liljegren","given":"A","non-dropping-particle":"","parse-names":false,"suffix":""}],"container-title":"Göteborg: Universitetet i Göteborg","id":"ITEM-1","issued":{"date-parts":[["2008"]]},"note":"Cited By (since 2008): 2","title":"Professionellt gränsarbete: socionomexemplet [Professional Boundary Work: Social Workers in Sweden]","type":"article"},"uris":["http://www.mendeley.com/documents/?uuid=0afb6faf-6725-46a0-af4e-6b09276231ca"]}],"mendeley":{"formattedCitation":"(Liljegren, 2008)","manualFormatting":"(2008)","plainTextFormattedCitation":"(Liljegren, 2008)","previouslyFormattedCitation":"(Liljegren, 2008)"},"properties":{"noteIndex":0},"schema":"https://github.com/citation-style-language/schema/raw/master/csl-citation.json"}</w:instrText>
      </w:r>
      <w:r w:rsidR="00A30815" w:rsidRPr="006B6CC2">
        <w:rPr>
          <w:rStyle w:val="FootnoteReference"/>
          <w:rFonts w:ascii="Cambria" w:eastAsia="Cambria" w:hAnsi="Cambria" w:cs="Cambria"/>
          <w:color w:val="000000"/>
          <w:szCs w:val="24"/>
          <w:vertAlign w:val="baseline"/>
          <w:lang w:val="zh-CN"/>
        </w:rPr>
        <w:fldChar w:fldCharType="separate"/>
      </w:r>
      <w:r w:rsidR="00A30815" w:rsidRPr="006B6CC2">
        <w:rPr>
          <w:rStyle w:val="FootnoteReference"/>
          <w:rFonts w:ascii="Cambria" w:eastAsia="Cambria" w:hAnsi="Cambria" w:cs="Cambria"/>
          <w:noProof/>
          <w:color w:val="000000"/>
          <w:szCs w:val="24"/>
          <w:vertAlign w:val="baseline"/>
          <w:lang w:val="zh-CN"/>
        </w:rPr>
        <w:t>(2008)</w:t>
      </w:r>
      <w:r w:rsidR="00A30815" w:rsidRPr="006B6CC2">
        <w:rPr>
          <w:rStyle w:val="FootnoteReference"/>
          <w:rFonts w:ascii="Cambria" w:eastAsia="Cambria" w:hAnsi="Cambria" w:cs="Cambria"/>
          <w:color w:val="000000"/>
          <w:szCs w:val="24"/>
          <w:vertAlign w:val="baseline"/>
          <w:lang w:val="zh-CN"/>
        </w:rPr>
        <w:fldChar w:fldCharType="end"/>
      </w:r>
      <w:r w:rsidR="00856E33">
        <w:rPr>
          <w:rFonts w:ascii="Cambria" w:eastAsia="Cambria" w:hAnsi="Cambria" w:cs="Cambria"/>
          <w:color w:val="000000"/>
          <w:szCs w:val="24"/>
          <w:lang w:val="zh-CN"/>
        </w:rPr>
        <w:t xml:space="preserve"> wrote that in America's own history there was a debate about whether American social workers could be considered part of a profession based on criteria such as scientific knowledge, status and societal mandate. It was then concluded that social work cannot be considered a profession. Among other things, social work is considered to not have an adequate scientific basis in the form of its own scientific journal. However, later, cited by Liljegren </w:t>
      </w:r>
      <w:r w:rsidR="00A30815" w:rsidRPr="009F14C3">
        <w:rPr>
          <w:rStyle w:val="FootnoteReference"/>
          <w:rFonts w:ascii="Cambria" w:eastAsia="Cambria" w:hAnsi="Cambria" w:cs="Cambria"/>
          <w:color w:val="000000"/>
          <w:szCs w:val="24"/>
          <w:vertAlign w:val="baseline"/>
          <w:lang w:val="zh-CN"/>
        </w:rPr>
        <w:fldChar w:fldCharType="begin" w:fldLock="1"/>
      </w:r>
      <w:r w:rsidR="00A30815" w:rsidRPr="009F14C3">
        <w:rPr>
          <w:rFonts w:ascii="Cambria" w:eastAsia="Cambria" w:hAnsi="Cambria" w:cs="Cambria"/>
          <w:color w:val="000000"/>
          <w:szCs w:val="24"/>
          <w:lang w:val="zh-CN"/>
        </w:rPr>
        <w:instrText>ADDIN CSL_CITATION {"citationItems":[{"id":"ITEM-1","itemData":{"author":[{"dropping-particle":"","family":"Liljegren","given":"A","non-dropping-particle":"","parse-names":false,"suffix":""}],"container-title":"Göteborg: Universitetet i Göteborg","id":"ITEM-1","issued":{"date-parts":[["2008"]]},"note":"Cited By (since 2008): 2","title":"Professionellt gränsarbete: socionomexemplet [Professional Boundary Work: Social Workers in Sweden]","type":"article"},"uris":["http://www.mendeley.com/documents/?uuid=0afb6faf-6725-46a0-af4e-6b09276231ca"]}],"mendeley":{"formattedCitation":"(Liljegren, 2008)","manualFormatting":"(2008)","plainTextFormattedCitation":"(Liljegren, 2008)","previouslyFormattedCitation":"(Liljegren, 2008)"},"properties":{"noteIndex":0},"schema":"https://github.com/citation-style-language/schema/raw/master/csl-citation.json"}</w:instrText>
      </w:r>
      <w:r w:rsidR="00A30815" w:rsidRPr="009F14C3">
        <w:rPr>
          <w:rStyle w:val="FootnoteReference"/>
          <w:rFonts w:ascii="Cambria" w:eastAsia="Cambria" w:hAnsi="Cambria" w:cs="Cambria"/>
          <w:color w:val="000000"/>
          <w:szCs w:val="24"/>
          <w:vertAlign w:val="baseline"/>
          <w:lang w:val="zh-CN"/>
        </w:rPr>
        <w:fldChar w:fldCharType="separate"/>
      </w:r>
      <w:r w:rsidR="00A30815" w:rsidRPr="009F14C3">
        <w:rPr>
          <w:rStyle w:val="FootnoteReference"/>
          <w:rFonts w:ascii="Cambria" w:eastAsia="Cambria" w:hAnsi="Cambria" w:cs="Cambria"/>
          <w:noProof/>
          <w:color w:val="000000"/>
          <w:szCs w:val="24"/>
          <w:vertAlign w:val="baseline"/>
          <w:lang w:val="zh-CN"/>
        </w:rPr>
        <w:t>(2008)</w:t>
      </w:r>
      <w:r w:rsidR="00A30815" w:rsidRPr="009F14C3">
        <w:rPr>
          <w:rStyle w:val="FootnoteReference"/>
          <w:rFonts w:ascii="Cambria" w:eastAsia="Cambria" w:hAnsi="Cambria" w:cs="Cambria"/>
          <w:color w:val="000000"/>
          <w:szCs w:val="24"/>
          <w:vertAlign w:val="baseline"/>
          <w:lang w:val="zh-CN"/>
        </w:rPr>
        <w:fldChar w:fldCharType="end"/>
      </w:r>
      <w:r w:rsidR="00856E33">
        <w:rPr>
          <w:rFonts w:ascii="Cambria" w:eastAsia="Cambria" w:hAnsi="Cambria" w:cs="Cambria"/>
          <w:color w:val="000000"/>
          <w:szCs w:val="24"/>
          <w:lang w:val="zh-CN"/>
        </w:rPr>
        <w:t xml:space="preserve">, Greenwood remade the analysis based on his own criteria and concluded that now social work in the US can be considered a profession. This view is also being strengthened in Indonesia by building various facilities and infrastructure to support the professionalization of </w:t>
      </w:r>
      <w:r w:rsidRPr="00CB7C8E">
        <w:rPr>
          <w:rFonts w:ascii="Cambria" w:eastAsia="Cambria" w:hAnsi="Cambria" w:cs="Cambria"/>
          <w:i/>
          <w:iCs/>
          <w:color w:val="000000"/>
          <w:szCs w:val="24"/>
          <w:lang w:val="zh-CN"/>
        </w:rPr>
        <w:t>amil</w:t>
      </w:r>
      <w:r w:rsidR="00856E33">
        <w:rPr>
          <w:rFonts w:ascii="Cambria" w:eastAsia="Cambria" w:hAnsi="Cambria" w:cs="Cambria"/>
          <w:color w:val="000000"/>
          <w:szCs w:val="24"/>
          <w:lang w:val="zh-CN"/>
        </w:rPr>
        <w:t>.</w:t>
      </w:r>
    </w:p>
    <w:p w:rsidR="00A2008D" w:rsidRDefault="00A2008D">
      <w:pPr>
        <w:spacing w:line="276" w:lineRule="auto"/>
        <w:ind w:leftChars="0" w:left="0" w:firstLineChars="200" w:firstLine="480"/>
        <w:rPr>
          <w:rFonts w:ascii="Cambria" w:eastAsia="Cambria" w:hAnsi="Cambria" w:cs="Cambria"/>
          <w:color w:val="000000"/>
          <w:szCs w:val="24"/>
          <w:lang w:val="zh-CN"/>
        </w:rPr>
      </w:pPr>
    </w:p>
    <w:p w:rsidR="00A2008D" w:rsidRDefault="00856E33">
      <w:pPr>
        <w:spacing w:before="100" w:after="100" w:line="276" w:lineRule="auto"/>
        <w:ind w:left="0" w:hanging="2"/>
        <w:rPr>
          <w:rFonts w:ascii="Cambria" w:eastAsia="Cambria" w:hAnsi="Cambria" w:cs="Cambria"/>
          <w:b/>
          <w:color w:val="000000"/>
          <w:szCs w:val="24"/>
        </w:rPr>
      </w:pPr>
      <w:r>
        <w:rPr>
          <w:rFonts w:ascii="Cambria" w:eastAsia="Cambria" w:hAnsi="Cambria" w:cs="Cambria"/>
          <w:b/>
          <w:color w:val="000000"/>
          <w:szCs w:val="24"/>
        </w:rPr>
        <w:t>METHOD</w:t>
      </w:r>
    </w:p>
    <w:p w:rsidR="0005636F" w:rsidRDefault="0005636F" w:rsidP="0005636F">
      <w:pPr>
        <w:spacing w:line="276" w:lineRule="auto"/>
        <w:ind w:leftChars="0" w:left="0" w:firstLineChars="200" w:firstLine="480"/>
        <w:rPr>
          <w:rFonts w:ascii="Cambria" w:eastAsia="Cambria" w:hAnsi="Cambria" w:cs="Cambria"/>
          <w:color w:val="000000"/>
          <w:szCs w:val="24"/>
        </w:rPr>
      </w:pPr>
      <w:r w:rsidRPr="0005636F">
        <w:rPr>
          <w:rFonts w:ascii="Cambria" w:eastAsia="Cambria" w:hAnsi="Cambria" w:cs="Cambria"/>
          <w:color w:val="000000"/>
          <w:szCs w:val="24"/>
        </w:rPr>
        <w:t>This study is based on empirical research conducted at two campuses that offer programs in zakat and waqf management, specifically at UIN Sunan Ampel, Surabaya, and IAIN Langsa. The minimum sample size for this research adheres to Dawn Iacobucci's recommendation</w:t>
      </w:r>
      <w:r>
        <w:rPr>
          <w:rFonts w:ascii="Cambria" w:eastAsia="Cambria" w:hAnsi="Cambria" w:cs="Cambria"/>
          <w:color w:val="000000"/>
          <w:szCs w:val="24"/>
        </w:rPr>
        <w:fldChar w:fldCharType="begin" w:fldLock="1"/>
      </w:r>
      <w:r w:rsidR="00F973A7">
        <w:rPr>
          <w:rFonts w:ascii="Cambria" w:eastAsia="Cambria" w:hAnsi="Cambria" w:cs="Cambria"/>
          <w:color w:val="000000"/>
          <w:szCs w:val="24"/>
        </w:rPr>
        <w:instrText>ADDIN CSL_CITATION {"citationItems":[{"id":"ITEM-1","itemData":{"abstract":"This article is the second of two parts intended to serve as a primer for structural equations models for the behavioral researcher. The first article introduced the basics: the measurement model, the structural model, and the combined, full structural equations model. In this second article, advanced issues are addressed, including fit indices and sample size, moderators, longitudinal data, mediation, and so forth.","author":[{"dropping-particle":"","family":"Iacobucci","given":"D","non-dropping-particle":"","parse-names":false,"suffix":""}],"container-title":"Journal of consumer psychology","id":"ITEM-1","issued":{"date-parts":[["2010"]]},"note":"Cited By (since 2010): 2521","publisher":"Elsevier","title":"Structural equations modeling: Fit indices, sample size, and advanced topics","type":"article-journal"},"uris":["http://www.mendeley.com/documents/?uuid=daaa2fa9-17ab-42e6-9e89-cd243e1c9c3c"]}],"mendeley":{"formattedCitation":"(Iacobucci, 2010)","plainTextFormattedCitation":"(Iacobucci, 2010)","previouslyFormattedCitation":"(Iacobucci, 2010)"},"properties":{"noteIndex":0},"schema":"https://github.com/citation-style-language/schema/raw/master/csl-citation.json"}</w:instrText>
      </w:r>
      <w:r>
        <w:rPr>
          <w:rFonts w:ascii="Cambria" w:eastAsia="Cambria" w:hAnsi="Cambria" w:cs="Cambria"/>
          <w:color w:val="000000"/>
          <w:szCs w:val="24"/>
        </w:rPr>
        <w:fldChar w:fldCharType="separate"/>
      </w:r>
      <w:r w:rsidRPr="0005636F">
        <w:rPr>
          <w:rFonts w:ascii="Cambria" w:eastAsia="Cambria" w:hAnsi="Cambria" w:cs="Cambria"/>
          <w:noProof/>
          <w:color w:val="000000"/>
          <w:szCs w:val="24"/>
        </w:rPr>
        <w:t>(Iacobucci, 2010)</w:t>
      </w:r>
      <w:r>
        <w:rPr>
          <w:rFonts w:ascii="Cambria" w:eastAsia="Cambria" w:hAnsi="Cambria" w:cs="Cambria"/>
          <w:color w:val="000000"/>
          <w:szCs w:val="24"/>
        </w:rPr>
        <w:fldChar w:fldCharType="end"/>
      </w:r>
      <w:r w:rsidRPr="0005636F">
        <w:rPr>
          <w:rFonts w:ascii="Cambria" w:eastAsia="Cambria" w:hAnsi="Cambria" w:cs="Cambria"/>
          <w:color w:val="000000"/>
          <w:szCs w:val="24"/>
        </w:rPr>
        <w:t xml:space="preserve"> for SEM-based studies, which is 95 respondents. The data were collected using a questionnaire employing a 1-5 Likert scale. To streamline the data collection process, the questionnaires were administered to the respondents through a Google Form. Consequently, the data addressing this research problem are considered primary data, originating directly from the respondents. Nevertheless, we will complement our analysis of this primary data with the utilization of secondary data.</w:t>
      </w:r>
    </w:p>
    <w:p w:rsidR="00A2008D" w:rsidRDefault="00F973A7" w:rsidP="00F973A7">
      <w:pPr>
        <w:spacing w:line="276" w:lineRule="auto"/>
        <w:ind w:leftChars="0" w:left="0" w:firstLineChars="200" w:firstLine="480"/>
        <w:rPr>
          <w:rFonts w:ascii="Cambria" w:eastAsiaTheme="minorEastAsia" w:hAnsi="Cambria" w:cs="Cambria"/>
          <w:color w:val="000000"/>
          <w:szCs w:val="24"/>
          <w:lang w:val="zh-CN" w:eastAsia="zh-CN"/>
        </w:rPr>
      </w:pPr>
      <w:r w:rsidRPr="00F973A7">
        <w:rPr>
          <w:rFonts w:ascii="Cambria" w:eastAsia="Cambria" w:hAnsi="Cambria" w:cs="Cambria"/>
          <w:color w:val="000000"/>
          <w:szCs w:val="24"/>
          <w:lang w:val="zh-CN"/>
        </w:rPr>
        <w:t xml:space="preserve">Data analysis techniques use descriptive statistics and PLS-SEM using SmartPLS 4.0 </w:t>
      </w:r>
      <w:r w:rsidRPr="00F973A7">
        <w:rPr>
          <w:rFonts w:ascii="Cambria" w:eastAsia="Cambria" w:hAnsi="Cambria" w:cs="Cambria"/>
          <w:color w:val="000000"/>
          <w:szCs w:val="24"/>
        </w:rPr>
        <w:t>software</w:t>
      </w:r>
      <w:r w:rsidRPr="00F973A7">
        <w:rPr>
          <w:rFonts w:ascii="Cambria" w:eastAsia="Cambria" w:hAnsi="Cambria" w:cs="Cambria"/>
          <w:color w:val="000000"/>
          <w:szCs w:val="24"/>
          <w:lang w:val="zh-CN"/>
        </w:rPr>
        <w:t xml:space="preserve">. This technique is used to see whether students' critical impressions or perceptions of </w:t>
      </w:r>
      <w:r w:rsidR="00CB7C8E" w:rsidRPr="00CB7C8E">
        <w:rPr>
          <w:rFonts w:ascii="Cambria" w:eastAsia="Cambria" w:hAnsi="Cambria" w:cs="Cambria"/>
          <w:i/>
          <w:color w:val="000000"/>
          <w:szCs w:val="24"/>
          <w:lang w:val="zh-CN"/>
        </w:rPr>
        <w:t>amil</w:t>
      </w:r>
      <w:r w:rsidRPr="00F973A7">
        <w:rPr>
          <w:rFonts w:ascii="Cambria" w:eastAsia="Cambria" w:hAnsi="Cambria" w:cs="Cambria"/>
          <w:color w:val="000000"/>
          <w:szCs w:val="24"/>
          <w:lang w:val="zh-CN"/>
        </w:rPr>
        <w:t xml:space="preserve">'s professionalization influence their career intentions. Meanwhile, to see their level of impression and intention to pursue a career as </w:t>
      </w:r>
      <w:r w:rsidR="00CB7C8E" w:rsidRPr="00CB7C8E">
        <w:rPr>
          <w:rFonts w:ascii="Cambria" w:eastAsia="Cambria" w:hAnsi="Cambria" w:cs="Cambria"/>
          <w:i/>
          <w:color w:val="000000"/>
          <w:szCs w:val="24"/>
          <w:lang w:val="zh-CN"/>
        </w:rPr>
        <w:t>amil</w:t>
      </w:r>
      <w:r w:rsidRPr="00F973A7">
        <w:rPr>
          <w:rFonts w:ascii="Cambria" w:eastAsia="Cambria" w:hAnsi="Cambria" w:cs="Cambria"/>
          <w:color w:val="000000"/>
          <w:szCs w:val="24"/>
          <w:lang w:val="zh-CN"/>
        </w:rPr>
        <w:t xml:space="preserve">, a hypothetical statistical analysis technique was used, as suggested by Azwar </w:t>
      </w:r>
      <w:r>
        <w:rPr>
          <w:rFonts w:ascii="Cambria" w:eastAsia="Cambria" w:hAnsi="Cambria" w:cs="Cambria"/>
          <w:color w:val="000000"/>
          <w:szCs w:val="24"/>
          <w:lang w:val="zh-CN"/>
        </w:rPr>
        <w:fldChar w:fldCharType="begin" w:fldLock="1"/>
      </w:r>
      <w:r w:rsidR="00163D8C">
        <w:rPr>
          <w:rFonts w:ascii="Cambria" w:eastAsia="Cambria" w:hAnsi="Cambria" w:cs="Cambria"/>
          <w:color w:val="000000"/>
          <w:szCs w:val="24"/>
          <w:lang w:val="zh-CN"/>
        </w:rPr>
        <w:instrText>ADDIN CSL_CITATION {"citationItems":[{"id":"ITEM-1","itemData":{"abstract":"Perkembangan teknologi komputer memiliki kontribusi yang sangat besar dalam meningkatkan sofistikasi tehnik analisis kuantitatif yang digunakan dalam berbagai penelitian. Kalau pada dekade 70an para peneliti di Indonesia masih banyak yang mengandalkan kalkulator tangan (yang juga belum secanggih kalkulator generasi kini), maka pada dekade 80an komputer telah menjadi partner akrab bagi para peneliti.","author":[{"dropping-particle":"","family":"Azwar","given":"S","non-dropping-particle":"","parse-names":false,"suffix":""}],"container-title":"Buletin Psikologi","id":"ITEM-1","issued":{"date-parts":[["1993"]]},"note":"Cited By (since 1993): 46","publisher":"journal.ugm.ac.id","title":"Kelompok Subjek Ini Memiliki Harga Diri Yang Rendah\"; Kok, Tahu...?","type":"article-journal"},"uris":["http://www.mendeley.com/documents/?uuid=dbd74393-6f79-47f3-a523-0376d5743e61"]}],"mendeley":{"formattedCitation":"(Azwar, 1993)","plainTextFormattedCitation":"(Azwar, 1993)","previouslyFormattedCitation":"(Azwar, 1993)"},"properties":{"noteIndex":0},"schema":"https://github.com/citation-style-language/schema/raw/master/csl-citation.json"}</w:instrText>
      </w:r>
      <w:r>
        <w:rPr>
          <w:rFonts w:ascii="Cambria" w:eastAsia="Cambria" w:hAnsi="Cambria" w:cs="Cambria"/>
          <w:color w:val="000000"/>
          <w:szCs w:val="24"/>
          <w:lang w:val="zh-CN"/>
        </w:rPr>
        <w:fldChar w:fldCharType="separate"/>
      </w:r>
      <w:r w:rsidRPr="00F973A7">
        <w:rPr>
          <w:rFonts w:ascii="Cambria" w:eastAsia="Cambria" w:hAnsi="Cambria" w:cs="Cambria"/>
          <w:noProof/>
          <w:color w:val="000000"/>
          <w:szCs w:val="24"/>
          <w:lang w:val="zh-CN"/>
        </w:rPr>
        <w:t>(Azwar, 1993)</w:t>
      </w:r>
      <w:r>
        <w:rPr>
          <w:rFonts w:ascii="Cambria" w:eastAsia="Cambria" w:hAnsi="Cambria" w:cs="Cambria"/>
          <w:color w:val="000000"/>
          <w:szCs w:val="24"/>
          <w:lang w:val="zh-CN"/>
        </w:rPr>
        <w:fldChar w:fldCharType="end"/>
      </w:r>
      <w:r w:rsidRPr="00F973A7">
        <w:rPr>
          <w:rFonts w:ascii="Cambria" w:eastAsia="Cambria" w:hAnsi="Cambria" w:cs="Cambria"/>
          <w:color w:val="000000"/>
          <w:szCs w:val="24"/>
          <w:lang w:val="zh-CN"/>
        </w:rPr>
        <w:t>, a three-categorization version with the formula: (x ≤ m - l.5s), (m - l.5s &lt; x ≤ m - l.5s) and (x &gt; m + l.5s).</w:t>
      </w:r>
    </w:p>
    <w:p w:rsidR="00F973A7" w:rsidRDefault="00F973A7" w:rsidP="00F973A7">
      <w:pPr>
        <w:spacing w:line="276" w:lineRule="auto"/>
        <w:ind w:leftChars="0" w:left="0" w:firstLineChars="200" w:firstLine="480"/>
        <w:rPr>
          <w:rFonts w:ascii="Cambria" w:eastAsiaTheme="minorEastAsia" w:hAnsi="Cambria" w:cs="Cambria"/>
          <w:color w:val="000000"/>
          <w:szCs w:val="24"/>
          <w:lang w:val="zh-CN" w:eastAsia="zh-CN"/>
        </w:rPr>
      </w:pPr>
    </w:p>
    <w:p w:rsidR="00F973A7" w:rsidRPr="00F973A7" w:rsidRDefault="00F973A7" w:rsidP="00F973A7">
      <w:pPr>
        <w:spacing w:line="276" w:lineRule="auto"/>
        <w:ind w:leftChars="0" w:left="0" w:firstLineChars="200" w:firstLine="480"/>
        <w:rPr>
          <w:rFonts w:ascii="Cambria" w:eastAsiaTheme="minorEastAsia" w:hAnsi="Cambria" w:cs="Cambria" w:hint="eastAsia"/>
          <w:color w:val="000000"/>
          <w:szCs w:val="24"/>
          <w:lang w:eastAsia="zh-CN"/>
        </w:rPr>
      </w:pPr>
    </w:p>
    <w:p w:rsidR="00A2008D" w:rsidRDefault="00856E33">
      <w:pPr>
        <w:spacing w:line="276" w:lineRule="auto"/>
        <w:ind w:left="0" w:hanging="2"/>
        <w:rPr>
          <w:rFonts w:ascii="Cambria" w:eastAsiaTheme="minorEastAsia" w:hAnsi="Cambria" w:cs="Cambria"/>
          <w:b/>
          <w:bCs/>
          <w:color w:val="000000"/>
          <w:szCs w:val="24"/>
          <w:lang w:val="zh-CN" w:eastAsia="zh-CN"/>
        </w:rPr>
      </w:pPr>
      <w:r>
        <w:rPr>
          <w:rFonts w:ascii="Cambria" w:eastAsia="Cambria" w:hAnsi="Cambria" w:cs="Cambria"/>
          <w:b/>
          <w:bCs/>
          <w:color w:val="000000"/>
          <w:szCs w:val="24"/>
          <w:lang w:val="zh-CN" w:eastAsia="en-GB"/>
        </w:rPr>
        <w:lastRenderedPageBreak/>
        <w:t>RESULTS AND DISCUSSION</w:t>
      </w:r>
    </w:p>
    <w:p w:rsidR="00A2008D" w:rsidRDefault="00011896">
      <w:pPr>
        <w:spacing w:line="276" w:lineRule="auto"/>
        <w:ind w:left="0" w:hanging="2"/>
        <w:rPr>
          <w:rFonts w:ascii="Cambria" w:eastAsia="Cambria" w:hAnsi="Cambria" w:cs="Cambria"/>
          <w:b/>
          <w:bCs/>
          <w:color w:val="000000"/>
          <w:szCs w:val="24"/>
          <w:lang w:val="en-US"/>
        </w:rPr>
      </w:pPr>
      <w:r>
        <w:rPr>
          <w:rFonts w:ascii="Cambria" w:eastAsia="Cambria" w:hAnsi="Cambria" w:cs="Cambria"/>
          <w:b/>
          <w:bCs/>
          <w:color w:val="000000"/>
          <w:szCs w:val="24"/>
          <w:lang w:val="en-US" w:eastAsia="en-GB"/>
        </w:rPr>
        <w:t>E</w:t>
      </w:r>
      <w:r w:rsidRPr="00011896">
        <w:rPr>
          <w:rFonts w:ascii="Cambria" w:eastAsia="Cambria" w:hAnsi="Cambria" w:cs="Cambria"/>
          <w:b/>
          <w:bCs/>
          <w:color w:val="000000"/>
          <w:szCs w:val="24"/>
          <w:lang w:val="en-US" w:eastAsia="en-GB"/>
        </w:rPr>
        <w:t>xamination of respondents</w:t>
      </w:r>
    </w:p>
    <w:p w:rsidR="00A2008D" w:rsidRDefault="004C6C46">
      <w:pPr>
        <w:spacing w:line="276" w:lineRule="auto"/>
        <w:ind w:leftChars="0" w:left="0" w:firstLineChars="0" w:firstLine="720"/>
        <w:rPr>
          <w:rFonts w:ascii="Cambria" w:eastAsia="Cambria" w:hAnsi="Cambria" w:cs="Cambria"/>
          <w:b/>
          <w:color w:val="000000"/>
          <w:sz w:val="20"/>
          <w:szCs w:val="20"/>
        </w:rPr>
      </w:pPr>
      <w:r w:rsidRPr="004C6C46">
        <w:rPr>
          <w:rFonts w:ascii="Cambria" w:eastAsia="Cambria" w:hAnsi="Cambria"/>
          <w:color w:val="000000"/>
          <w:szCs w:val="24"/>
        </w:rPr>
        <w:t>Participants in the study consisted of students enrolled in the zakat and waqf management study program at two educational institutions, namely UIN Sunan Ampel and IAIN Langsa. The examination of respondents' characteristics in this research focused on three dimens</w:t>
      </w:r>
      <w:r>
        <w:rPr>
          <w:rFonts w:ascii="Cambria" w:eastAsia="Cambria" w:hAnsi="Cambria"/>
          <w:color w:val="000000"/>
          <w:szCs w:val="24"/>
        </w:rPr>
        <w:t>ions: gender, age, and semester</w:t>
      </w:r>
      <w:r w:rsidR="00856E33">
        <w:rPr>
          <w:rFonts w:ascii="Cambria" w:eastAsia="Cambria" w:hAnsi="Cambria"/>
          <w:color w:val="000000"/>
          <w:szCs w:val="24"/>
        </w:rPr>
        <w:t>.</w:t>
      </w:r>
    </w:p>
    <w:p w:rsidR="00A2008D" w:rsidRDefault="00856E33">
      <w:pPr>
        <w:spacing w:after="120" w:line="276" w:lineRule="auto"/>
        <w:ind w:left="0" w:hanging="2"/>
        <w:jc w:val="center"/>
        <w:rPr>
          <w:rFonts w:ascii="Cambria" w:eastAsia="Cambria" w:hAnsi="Cambria" w:cs="Cambria"/>
          <w:b/>
          <w:color w:val="000000"/>
          <w:sz w:val="20"/>
          <w:szCs w:val="20"/>
          <w:lang w:val="en-US"/>
        </w:rPr>
      </w:pPr>
      <w:r>
        <w:rPr>
          <w:rFonts w:ascii="Cambria" w:eastAsia="Cambria" w:hAnsi="Cambria" w:cs="Cambria"/>
          <w:b/>
          <w:color w:val="000000"/>
          <w:sz w:val="20"/>
          <w:szCs w:val="20"/>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rPr>
        <w:t xml:space="preserve"> </w:t>
      </w:r>
      <w:r w:rsidR="00092421">
        <w:rPr>
          <w:rFonts w:ascii="Cambria" w:eastAsia="Cambria" w:hAnsi="Cambria" w:cs="Cambria"/>
          <w:b/>
          <w:color w:val="000000"/>
          <w:sz w:val="20"/>
          <w:szCs w:val="20"/>
          <w:lang w:val="en-US"/>
        </w:rPr>
        <w:t>1</w:t>
      </w:r>
      <w:r>
        <w:rPr>
          <w:rFonts w:ascii="Cambria" w:eastAsia="Cambria" w:hAnsi="Cambria" w:cs="Cambria"/>
          <w:b/>
          <w:color w:val="000000"/>
          <w:sz w:val="20"/>
          <w:szCs w:val="20"/>
        </w:rPr>
        <w:t xml:space="preserve">.   </w:t>
      </w:r>
      <w:r>
        <w:rPr>
          <w:rFonts w:ascii="Cambria" w:eastAsia="Cambria" w:hAnsi="Cambria" w:cs="Cambria"/>
          <w:b/>
          <w:color w:val="000000"/>
          <w:sz w:val="20"/>
          <w:szCs w:val="20"/>
          <w:lang w:val="en-US"/>
        </w:rPr>
        <w:t>Respondent Description</w:t>
      </w:r>
    </w:p>
    <w:tbl>
      <w:tblPr>
        <w:tblStyle w:val="TableGrid"/>
        <w:tblW w:w="0" w:type="auto"/>
        <w:jc w:val="center"/>
        <w:tblInd w:w="0" w:type="dxa"/>
        <w:tblBorders>
          <w:left w:val="none" w:sz="0" w:space="0" w:color="auto"/>
          <w:right w:val="none" w:sz="0" w:space="0" w:color="auto"/>
          <w:insideV w:val="none" w:sz="0" w:space="0" w:color="auto"/>
        </w:tblBorders>
        <w:tblCellMar>
          <w:left w:w="108" w:type="dxa"/>
          <w:right w:w="108" w:type="dxa"/>
        </w:tblCellMar>
        <w:tblLook w:val="04A0" w:firstRow="1" w:lastRow="0" w:firstColumn="1" w:lastColumn="0" w:noHBand="0" w:noVBand="1"/>
      </w:tblPr>
      <w:tblGrid>
        <w:gridCol w:w="1856"/>
        <w:gridCol w:w="2044"/>
        <w:gridCol w:w="1144"/>
        <w:gridCol w:w="1350"/>
      </w:tblGrid>
      <w:tr w:rsidR="00A2008D">
        <w:trPr>
          <w:jc w:val="center"/>
        </w:trPr>
        <w:tc>
          <w:tcPr>
            <w:tcW w:w="1856" w:type="dxa"/>
          </w:tcPr>
          <w:p w:rsidR="00A2008D" w:rsidRDefault="00856E33">
            <w:pPr>
              <w:spacing w:line="276" w:lineRule="auto"/>
              <w:ind w:left="0" w:hanging="2"/>
              <w:jc w:val="center"/>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Category</w:t>
            </w:r>
          </w:p>
        </w:tc>
        <w:tc>
          <w:tcPr>
            <w:tcW w:w="2044" w:type="dxa"/>
          </w:tcPr>
          <w:p w:rsidR="00A2008D" w:rsidRDefault="00856E33">
            <w:pPr>
              <w:spacing w:line="276" w:lineRule="auto"/>
              <w:ind w:left="0" w:hanging="2"/>
              <w:jc w:val="center"/>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Indicator</w:t>
            </w:r>
          </w:p>
        </w:tc>
        <w:tc>
          <w:tcPr>
            <w:tcW w:w="1144" w:type="dxa"/>
          </w:tcPr>
          <w:p w:rsidR="00A2008D" w:rsidRDefault="00856E33">
            <w:pPr>
              <w:spacing w:line="276" w:lineRule="auto"/>
              <w:ind w:left="0" w:hanging="2"/>
              <w:jc w:val="center"/>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Total</w:t>
            </w:r>
          </w:p>
        </w:tc>
        <w:tc>
          <w:tcPr>
            <w:tcW w:w="1350" w:type="dxa"/>
          </w:tcPr>
          <w:p w:rsidR="00A2008D" w:rsidRDefault="00856E33">
            <w:pPr>
              <w:spacing w:line="276" w:lineRule="auto"/>
              <w:ind w:left="0" w:hanging="2"/>
              <w:jc w:val="center"/>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Percentage</w:t>
            </w:r>
          </w:p>
        </w:tc>
      </w:tr>
      <w:tr w:rsidR="00A2008D">
        <w:trPr>
          <w:jc w:val="center"/>
        </w:trPr>
        <w:tc>
          <w:tcPr>
            <w:tcW w:w="1856" w:type="dxa"/>
            <w:vMerge w:val="restart"/>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Gender</w:t>
            </w: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Male</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49</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51,5</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Female</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46</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48.4</w:t>
            </w:r>
          </w:p>
        </w:tc>
      </w:tr>
      <w:tr w:rsidR="00A2008D">
        <w:trPr>
          <w:jc w:val="center"/>
        </w:trPr>
        <w:tc>
          <w:tcPr>
            <w:tcW w:w="1856" w:type="dxa"/>
            <w:vMerge w:val="restart"/>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Semester</w:t>
            </w: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I</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53</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55.7</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III</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18</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18.9</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V</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14</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14.7</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VII</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10</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10.5</w:t>
            </w:r>
          </w:p>
        </w:tc>
      </w:tr>
      <w:tr w:rsidR="00A2008D">
        <w:trPr>
          <w:jc w:val="center"/>
        </w:trPr>
        <w:tc>
          <w:tcPr>
            <w:tcW w:w="1856" w:type="dxa"/>
            <w:vMerge w:val="restart"/>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Age</w:t>
            </w: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18</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33</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34.7</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19</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25</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26.3</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20</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17</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17.8</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21</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9</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9.4</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22</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7</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7.3</w:t>
            </w:r>
          </w:p>
        </w:tc>
      </w:tr>
      <w:tr w:rsidR="00A2008D">
        <w:trPr>
          <w:jc w:val="center"/>
        </w:trPr>
        <w:tc>
          <w:tcPr>
            <w:tcW w:w="1856" w:type="dxa"/>
            <w:vMerge/>
          </w:tcPr>
          <w:p w:rsidR="00A2008D" w:rsidRDefault="00A2008D">
            <w:pPr>
              <w:spacing w:line="276" w:lineRule="auto"/>
              <w:ind w:left="0" w:hanging="2"/>
              <w:rPr>
                <w:rFonts w:ascii="Cambria" w:eastAsia="Cambria" w:hAnsi="Cambria" w:cs="Cambria"/>
                <w:color w:val="000000"/>
                <w:sz w:val="20"/>
                <w:szCs w:val="20"/>
                <w:lang w:val="zh-CN" w:eastAsia="id-ID"/>
              </w:rPr>
            </w:pPr>
          </w:p>
        </w:tc>
        <w:tc>
          <w:tcPr>
            <w:tcW w:w="20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23</w:t>
            </w:r>
          </w:p>
        </w:tc>
        <w:tc>
          <w:tcPr>
            <w:tcW w:w="1144"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4</w:t>
            </w:r>
          </w:p>
        </w:tc>
        <w:tc>
          <w:tcPr>
            <w:tcW w:w="1350" w:type="dxa"/>
          </w:tcPr>
          <w:p w:rsidR="00A2008D" w:rsidRDefault="00856E33">
            <w:pPr>
              <w:spacing w:line="276" w:lineRule="auto"/>
              <w:ind w:left="0" w:hanging="2"/>
              <w:rPr>
                <w:rFonts w:ascii="Cambria" w:eastAsia="Cambria" w:hAnsi="Cambria" w:cs="Cambria"/>
                <w:color w:val="000000"/>
                <w:sz w:val="20"/>
                <w:szCs w:val="20"/>
                <w:lang w:val="en-US" w:eastAsia="id-ID"/>
              </w:rPr>
            </w:pPr>
            <w:r>
              <w:rPr>
                <w:rFonts w:ascii="Cambria" w:eastAsia="Cambria" w:hAnsi="Cambria" w:cs="Cambria"/>
                <w:color w:val="000000"/>
                <w:sz w:val="20"/>
                <w:szCs w:val="20"/>
                <w:lang w:val="en-US" w:eastAsia="id-ID"/>
              </w:rPr>
              <w:t>4.2</w:t>
            </w:r>
          </w:p>
        </w:tc>
      </w:tr>
    </w:tbl>
    <w:p w:rsidR="00A2008D" w:rsidRDefault="00856E33">
      <w:pPr>
        <w:spacing w:after="120" w:line="276" w:lineRule="auto"/>
        <w:ind w:left="0" w:hanging="2"/>
        <w:jc w:val="left"/>
        <w:rPr>
          <w:rFonts w:ascii="Cambria" w:eastAsia="Cambria" w:hAnsi="Cambria" w:cs="Cambria"/>
          <w:b/>
          <w:color w:val="000000"/>
          <w:sz w:val="20"/>
          <w:szCs w:val="20"/>
        </w:rPr>
      </w:pPr>
      <w:r>
        <w:rPr>
          <w:rFonts w:ascii="Cambria" w:eastAsia="Cambria" w:hAnsi="Cambria" w:cs="Cambria"/>
          <w:b/>
          <w:color w:val="000000"/>
          <w:sz w:val="20"/>
          <w:szCs w:val="20"/>
        </w:rPr>
        <w:t xml:space="preserve">Source: Data processed by researchers (2023) </w:t>
      </w:r>
    </w:p>
    <w:p w:rsidR="00A2008D" w:rsidRDefault="00092421">
      <w:pPr>
        <w:spacing w:line="276" w:lineRule="auto"/>
        <w:ind w:leftChars="0" w:left="0" w:firstLineChars="0" w:firstLine="720"/>
        <w:rPr>
          <w:rFonts w:ascii="Cambria" w:eastAsia="Cambria" w:hAnsi="Cambria" w:cs="Cambria"/>
          <w:color w:val="000000"/>
          <w:szCs w:val="24"/>
          <w:lang w:val="en-US"/>
        </w:rPr>
      </w:pPr>
      <w:r w:rsidRPr="00092421">
        <w:rPr>
          <w:rFonts w:ascii="Cambria" w:eastAsia="Cambria" w:hAnsi="Cambria"/>
          <w:color w:val="000000"/>
          <w:szCs w:val="24"/>
        </w:rPr>
        <w:t xml:space="preserve">According </w:t>
      </w:r>
      <w:r>
        <w:rPr>
          <w:rFonts w:ascii="Cambria" w:eastAsia="Cambria" w:hAnsi="Cambria"/>
          <w:color w:val="000000"/>
          <w:szCs w:val="24"/>
        </w:rPr>
        <w:t xml:space="preserve">to the data presented in table </w:t>
      </w:r>
      <w:r>
        <w:rPr>
          <w:rFonts w:ascii="Cambria" w:eastAsia="Cambria" w:hAnsi="Cambria"/>
          <w:color w:val="000000"/>
          <w:szCs w:val="24"/>
          <w:lang w:val="en-ID"/>
        </w:rPr>
        <w:t>1</w:t>
      </w:r>
      <w:r w:rsidRPr="00092421">
        <w:rPr>
          <w:rFonts w:ascii="Cambria" w:eastAsia="Cambria" w:hAnsi="Cambria"/>
          <w:color w:val="000000"/>
          <w:szCs w:val="24"/>
        </w:rPr>
        <w:t>, it is evident that 51.5% of the research participants were male (49 individuals), while 48.4% were female (46 individuals). Consequently, there was a nearly equal distribution of respondents between the two genders in this study. The majority of respondents were first-semester students, comprising 53 individuals, followed by 18.9% from the third semester, 14.7% from the fifth semester, and 10.5% from the seventh semester. Regarding age distribution, respondents in this research were predominantly 18 years old, with a total of 33 individuals. The age range of the respondents varied, encompassing bot</w:t>
      </w:r>
      <w:r>
        <w:rPr>
          <w:rFonts w:ascii="Cambria" w:eastAsia="Cambria" w:hAnsi="Cambria"/>
          <w:color w:val="000000"/>
          <w:szCs w:val="24"/>
        </w:rPr>
        <w:t>h older and younger individuals</w:t>
      </w:r>
      <w:r w:rsidR="00856E33">
        <w:rPr>
          <w:rFonts w:ascii="Cambria" w:eastAsia="Cambria" w:hAnsi="Cambria"/>
          <w:color w:val="000000"/>
          <w:szCs w:val="24"/>
        </w:rPr>
        <w:t>.</w:t>
      </w:r>
    </w:p>
    <w:p w:rsidR="00092421" w:rsidRDefault="00092421" w:rsidP="00A30815">
      <w:pPr>
        <w:spacing w:line="276" w:lineRule="auto"/>
        <w:ind w:leftChars="0" w:left="0" w:firstLineChars="0" w:firstLine="720"/>
        <w:rPr>
          <w:rFonts w:ascii="Cambria" w:eastAsia="Cambria" w:hAnsi="Cambria"/>
          <w:color w:val="000000"/>
          <w:szCs w:val="24"/>
          <w:lang w:val="en-US"/>
        </w:rPr>
      </w:pPr>
    </w:p>
    <w:p w:rsidR="00092421" w:rsidRPr="00092421" w:rsidRDefault="00092421" w:rsidP="00092421">
      <w:pPr>
        <w:spacing w:line="276" w:lineRule="auto"/>
        <w:ind w:left="0" w:hanging="2"/>
        <w:rPr>
          <w:rFonts w:ascii="Cambria" w:eastAsia="Cambria" w:hAnsi="Cambria" w:cs="Cambria"/>
          <w:b/>
          <w:bCs/>
          <w:color w:val="000000"/>
          <w:szCs w:val="24"/>
          <w:lang w:val="en-US" w:eastAsia="en-GB"/>
        </w:rPr>
      </w:pPr>
      <w:r w:rsidRPr="00092421">
        <w:rPr>
          <w:rFonts w:ascii="Cambria" w:eastAsia="Cambria" w:hAnsi="Cambria" w:cs="Cambria"/>
          <w:b/>
          <w:bCs/>
          <w:color w:val="000000"/>
          <w:szCs w:val="24"/>
          <w:lang w:val="en-US" w:eastAsia="en-GB"/>
        </w:rPr>
        <w:t>Hypothetical statistics of impressions and intentions</w:t>
      </w:r>
    </w:p>
    <w:p w:rsidR="002C6DA6" w:rsidRPr="002C6DA6" w:rsidRDefault="002C6DA6" w:rsidP="002C6DA6">
      <w:pPr>
        <w:spacing w:line="276" w:lineRule="auto"/>
        <w:ind w:leftChars="0" w:firstLineChars="0" w:firstLine="720"/>
        <w:rPr>
          <w:rFonts w:ascii="Cambria" w:eastAsia="Cambria" w:hAnsi="Cambria"/>
          <w:color w:val="000000"/>
          <w:szCs w:val="24"/>
          <w:lang w:val="en-US"/>
        </w:rPr>
      </w:pPr>
      <w:r w:rsidRPr="002C6DA6">
        <w:rPr>
          <w:rFonts w:ascii="Cambria" w:eastAsia="Cambria" w:hAnsi="Cambria"/>
          <w:color w:val="000000"/>
          <w:szCs w:val="24"/>
          <w:lang w:val="en-US"/>
        </w:rPr>
        <w:t>The author has proposed five statements to respondents, the results are as follows: It is known that the maximum score for the total of these five statements is 2,375, while the minimum score is 475. To obtain the hypothetical mean value, the formula is used: µ=1/2(i_max+i_min)∑ k, resulting in a value of 1.425, while to get the standard deviation value, use the formula: σ=1/6(X_max-X_min), resulting in a value of 316.6. Meanwhile, the total score for student answers was 1,850.</w:t>
      </w:r>
    </w:p>
    <w:p w:rsidR="00CD2F44" w:rsidRDefault="002C6DA6" w:rsidP="000A286E">
      <w:pPr>
        <w:spacing w:line="276" w:lineRule="auto"/>
        <w:ind w:leftChars="0" w:left="0" w:firstLineChars="0" w:firstLine="720"/>
        <w:rPr>
          <w:rFonts w:ascii="Cambria" w:eastAsia="Cambria" w:hAnsi="Cambria"/>
          <w:color w:val="000000"/>
          <w:szCs w:val="24"/>
          <w:lang w:val="en-US"/>
        </w:rPr>
      </w:pPr>
      <w:r w:rsidRPr="002C6DA6">
        <w:rPr>
          <w:rFonts w:ascii="Cambria" w:eastAsia="Cambria" w:hAnsi="Cambria"/>
          <w:color w:val="000000"/>
          <w:szCs w:val="24"/>
          <w:lang w:val="en-US"/>
        </w:rPr>
        <w:lastRenderedPageBreak/>
        <w:t>Meanwhile, for each question, it is known that the maximum score is 475, while the minimum score is 95. Using the same formula, the hypothetical mean value is 285, while the standard deviation value is 63.3. Meanwhile, the score obtained for each question: the first question got a score of 367, the second question got a score of 367, the third question got a score of 358, the fourth question got a score of 382, and the fifth statement got a score of 376. The results can be seen in the following table.</w:t>
      </w:r>
    </w:p>
    <w:p w:rsidR="002C6DA6" w:rsidRDefault="002C6DA6" w:rsidP="002C6DA6">
      <w:pPr>
        <w:spacing w:line="276" w:lineRule="auto"/>
        <w:ind w:leftChars="0" w:left="0" w:firstLineChars="0" w:firstLine="0"/>
        <w:jc w:val="center"/>
        <w:rPr>
          <w:rFonts w:ascii="Cambria" w:eastAsia="Cambria" w:hAnsi="Cambria" w:cs="Cambria"/>
          <w:color w:val="000000"/>
          <w:szCs w:val="24"/>
          <w:lang w:val="en-US"/>
        </w:rPr>
      </w:pPr>
      <w:r>
        <w:rPr>
          <w:rFonts w:ascii="Cambria" w:eastAsia="Cambria" w:hAnsi="Cambria" w:cs="Cambria"/>
          <w:b/>
          <w:color w:val="000000"/>
          <w:sz w:val="20"/>
          <w:szCs w:val="20"/>
          <w:lang w:val="zh-CN"/>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lang w:val="zh-CN"/>
        </w:rPr>
        <w:t xml:space="preserve"> </w:t>
      </w:r>
      <w:r>
        <w:rPr>
          <w:rFonts w:ascii="Cambria" w:eastAsia="Cambria" w:hAnsi="Cambria" w:cs="Cambria"/>
          <w:b/>
          <w:color w:val="000000"/>
          <w:sz w:val="20"/>
          <w:szCs w:val="20"/>
          <w:lang w:val="en-US"/>
        </w:rPr>
        <w:t>2</w:t>
      </w:r>
      <w:r>
        <w:rPr>
          <w:rFonts w:ascii="Cambria" w:eastAsia="Cambria" w:hAnsi="Cambria" w:cs="Cambria"/>
          <w:b/>
          <w:color w:val="000000"/>
          <w:sz w:val="20"/>
          <w:szCs w:val="20"/>
          <w:lang w:val="en-US"/>
        </w:rPr>
        <w:t>.</w:t>
      </w:r>
      <w:r>
        <w:rPr>
          <w:rFonts w:ascii="Cambria" w:eastAsia="Cambria" w:hAnsi="Cambria" w:cs="Cambria"/>
          <w:b/>
          <w:color w:val="000000"/>
          <w:sz w:val="20"/>
          <w:szCs w:val="20"/>
          <w:lang w:val="zh-CN"/>
        </w:rPr>
        <w:t xml:space="preserve"> </w:t>
      </w:r>
      <w:r w:rsidRPr="002C6DA6">
        <w:rPr>
          <w:rFonts w:ascii="Cambria" w:eastAsia="Cambria" w:hAnsi="Cambria" w:cs="Cambria"/>
          <w:b/>
          <w:color w:val="000000"/>
          <w:sz w:val="20"/>
          <w:szCs w:val="20"/>
          <w:lang w:val="zh-CN"/>
        </w:rPr>
        <w:t xml:space="preserve">Hypothetical statistics of impressions on the professionalization of </w:t>
      </w:r>
      <w:r w:rsidR="00CB7C8E" w:rsidRPr="00CB7C8E">
        <w:rPr>
          <w:rFonts w:ascii="Cambria" w:eastAsia="Cambria" w:hAnsi="Cambria" w:cs="Cambria"/>
          <w:b/>
          <w:i/>
          <w:iCs/>
          <w:color w:val="000000"/>
          <w:sz w:val="20"/>
          <w:szCs w:val="20"/>
          <w:lang w:val="zh-CN"/>
        </w:rPr>
        <w:t>amil</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5813"/>
        <w:gridCol w:w="993"/>
        <w:gridCol w:w="1134"/>
      </w:tblGrid>
      <w:tr w:rsidR="005A7051" w:rsidRPr="005A7051" w:rsidTr="00832CEC">
        <w:trPr>
          <w:jc w:val="center"/>
        </w:trPr>
        <w:tc>
          <w:tcPr>
            <w:tcW w:w="5813" w:type="dxa"/>
            <w:tcBorders>
              <w:top w:val="outset" w:sz="6" w:space="0" w:color="auto"/>
              <w:left w:val="nil"/>
              <w:bottom w:val="outset" w:sz="6" w:space="0" w:color="auto"/>
              <w:right w:val="nil"/>
            </w:tcBorders>
            <w:noWrap/>
            <w:vAlign w:val="center"/>
            <w:hideMark/>
          </w:tcPr>
          <w:p w:rsidR="005A7051" w:rsidRPr="00832CEC" w:rsidRDefault="00832CEC" w:rsidP="00832CEC">
            <w:pPr>
              <w:spacing w:line="276" w:lineRule="auto"/>
              <w:ind w:left="0" w:hanging="2"/>
              <w:jc w:val="center"/>
              <w:rPr>
                <w:rFonts w:ascii="Cambria" w:eastAsia="Cambria" w:hAnsi="Cambria" w:cs="Cambria"/>
                <w:color w:val="000000"/>
                <w:sz w:val="20"/>
                <w:szCs w:val="20"/>
                <w:lang w:val="en-ID"/>
              </w:rPr>
            </w:pPr>
            <w:r>
              <w:rPr>
                <w:rFonts w:ascii="Cambria" w:eastAsia="Cambria" w:hAnsi="Cambria" w:cs="Cambria"/>
                <w:color w:val="000000"/>
                <w:sz w:val="20"/>
                <w:szCs w:val="20"/>
                <w:lang w:val="en-ID"/>
              </w:rPr>
              <w:t>Category</w:t>
            </w:r>
          </w:p>
        </w:tc>
        <w:tc>
          <w:tcPr>
            <w:tcW w:w="993" w:type="dxa"/>
            <w:tcBorders>
              <w:top w:val="outset" w:sz="6" w:space="0" w:color="auto"/>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rPr>
              <w:t>S</w:t>
            </w:r>
            <w:r>
              <w:rPr>
                <w:rFonts w:ascii="Cambria" w:eastAsia="Cambria" w:hAnsi="Cambria" w:cs="Cambria"/>
                <w:color w:val="000000"/>
                <w:sz w:val="20"/>
                <w:szCs w:val="20"/>
                <w:lang w:val="en-ID"/>
              </w:rPr>
              <w:t>c</w:t>
            </w:r>
            <w:r w:rsidRPr="005A7051">
              <w:rPr>
                <w:rFonts w:ascii="Cambria" w:eastAsia="Cambria" w:hAnsi="Cambria" w:cs="Cambria"/>
                <w:color w:val="000000"/>
                <w:sz w:val="20"/>
                <w:szCs w:val="20"/>
              </w:rPr>
              <w:t>or</w:t>
            </w:r>
            <w:r>
              <w:rPr>
                <w:rFonts w:ascii="Cambria" w:eastAsia="Cambria" w:hAnsi="Cambria" w:cs="Cambria"/>
                <w:color w:val="000000"/>
                <w:sz w:val="20"/>
                <w:szCs w:val="20"/>
                <w:lang w:val="en-ID"/>
              </w:rPr>
              <w:t>e</w:t>
            </w:r>
          </w:p>
        </w:tc>
        <w:tc>
          <w:tcPr>
            <w:tcW w:w="1134" w:type="dxa"/>
            <w:tcBorders>
              <w:top w:val="outset" w:sz="6" w:space="0" w:color="auto"/>
              <w:left w:val="nil"/>
              <w:bottom w:val="outset" w:sz="6" w:space="0" w:color="auto"/>
              <w:right w:val="nil"/>
            </w:tcBorders>
            <w:noWrap/>
            <w:vAlign w:val="center"/>
            <w:hideMark/>
          </w:tcPr>
          <w:p w:rsidR="005A7051" w:rsidRPr="00832CEC" w:rsidRDefault="00832CEC" w:rsidP="00832CEC">
            <w:pPr>
              <w:spacing w:line="276" w:lineRule="auto"/>
              <w:ind w:left="0" w:hanging="2"/>
              <w:jc w:val="center"/>
              <w:rPr>
                <w:rFonts w:ascii="Cambria" w:eastAsia="Cambria" w:hAnsi="Cambria" w:cs="Cambria"/>
                <w:color w:val="000000"/>
                <w:sz w:val="20"/>
                <w:szCs w:val="20"/>
                <w:lang w:val="en-ID"/>
              </w:rPr>
            </w:pPr>
            <w:r>
              <w:rPr>
                <w:rFonts w:ascii="Cambria" w:eastAsia="Cambria" w:hAnsi="Cambria" w:cs="Cambria"/>
                <w:color w:val="000000"/>
                <w:sz w:val="20"/>
                <w:szCs w:val="20"/>
                <w:lang w:val="en-ID"/>
              </w:rPr>
              <w:t>Result</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CB7C8E" w:rsidP="00C07BE5">
            <w:pPr>
              <w:spacing w:line="276" w:lineRule="auto"/>
              <w:ind w:left="0" w:hanging="2"/>
              <w:rPr>
                <w:rFonts w:ascii="Cambria" w:eastAsia="Cambria" w:hAnsi="Cambria" w:cs="Cambria"/>
                <w:color w:val="000000"/>
                <w:sz w:val="20"/>
                <w:szCs w:val="20"/>
                <w:lang w:val="en-ID"/>
              </w:rPr>
            </w:pPr>
            <w:r w:rsidRPr="00CB7C8E">
              <w:rPr>
                <w:rFonts w:ascii="Cambria" w:eastAsia="Cambria" w:hAnsi="Cambria" w:cs="Cambria"/>
                <w:i/>
                <w:iCs/>
                <w:color w:val="000000"/>
                <w:sz w:val="20"/>
                <w:szCs w:val="20"/>
                <w:lang w:val="en-ID"/>
              </w:rPr>
              <w:t>Amil</w:t>
            </w:r>
            <w:r w:rsidR="005A7051" w:rsidRPr="005A7051">
              <w:rPr>
                <w:rFonts w:ascii="Cambria" w:eastAsia="Cambria" w:hAnsi="Cambria" w:cs="Cambria"/>
                <w:color w:val="000000"/>
                <w:sz w:val="20"/>
                <w:szCs w:val="20"/>
                <w:lang w:val="en-ID"/>
              </w:rPr>
              <w:t xml:space="preserve"> has become a full-time profession</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367</w:t>
            </w:r>
          </w:p>
        </w:tc>
        <w:tc>
          <w:tcPr>
            <w:tcW w:w="1134" w:type="dxa"/>
            <w:tcBorders>
              <w:top w:val="nil"/>
              <w:left w:val="nil"/>
              <w:bottom w:val="outset" w:sz="6" w:space="0" w:color="auto"/>
              <w:right w:val="nil"/>
            </w:tcBorders>
            <w:noWrap/>
            <w:vAlign w:val="center"/>
            <w:hideMark/>
          </w:tcPr>
          <w:p w:rsidR="005A7051" w:rsidRPr="005A7051" w:rsidRDefault="00832CEC"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Medium</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5A7051" w:rsidP="00C07BE5">
            <w:pPr>
              <w:spacing w:line="276" w:lineRule="auto"/>
              <w:ind w:left="0" w:hanging="2"/>
              <w:rPr>
                <w:rFonts w:ascii="Cambria" w:eastAsia="Cambria" w:hAnsi="Cambria" w:cs="Cambria"/>
                <w:color w:val="000000"/>
                <w:sz w:val="20"/>
                <w:szCs w:val="20"/>
                <w:lang w:val="en-ID"/>
              </w:rPr>
            </w:pPr>
            <w:r>
              <w:rPr>
                <w:rFonts w:ascii="Cambria" w:eastAsia="Cambria" w:hAnsi="Cambria" w:cs="Cambria"/>
                <w:color w:val="000000"/>
                <w:sz w:val="20"/>
                <w:szCs w:val="20"/>
                <w:lang w:val="en-ID"/>
              </w:rPr>
              <w:t>E</w:t>
            </w:r>
            <w:r w:rsidRPr="005A7051">
              <w:rPr>
                <w:rFonts w:ascii="Cambria" w:eastAsia="Cambria" w:hAnsi="Cambria" w:cs="Cambria"/>
                <w:color w:val="000000"/>
                <w:sz w:val="20"/>
                <w:szCs w:val="20"/>
                <w:lang w:val="en-ID"/>
              </w:rPr>
              <w:t xml:space="preserve">ducation, training and competency development for </w:t>
            </w:r>
            <w:r w:rsidR="00CB7C8E" w:rsidRPr="00CB7C8E">
              <w:rPr>
                <w:rFonts w:ascii="Cambria" w:eastAsia="Cambria" w:hAnsi="Cambria" w:cs="Cambria"/>
                <w:i/>
                <w:iCs/>
                <w:color w:val="000000"/>
                <w:sz w:val="20"/>
                <w:szCs w:val="20"/>
                <w:lang w:val="en-ID"/>
              </w:rPr>
              <w:t>amil</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367</w:t>
            </w:r>
          </w:p>
        </w:tc>
        <w:tc>
          <w:tcPr>
            <w:tcW w:w="1134" w:type="dxa"/>
            <w:tcBorders>
              <w:top w:val="nil"/>
              <w:left w:val="nil"/>
              <w:bottom w:val="outset" w:sz="6" w:space="0" w:color="auto"/>
              <w:right w:val="nil"/>
            </w:tcBorders>
            <w:noWrap/>
            <w:vAlign w:val="center"/>
            <w:hideMark/>
          </w:tcPr>
          <w:p w:rsidR="005A7051" w:rsidRPr="005A7051" w:rsidRDefault="00832CEC"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Medium</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5A7051" w:rsidP="00C07BE5">
            <w:pPr>
              <w:spacing w:line="276" w:lineRule="auto"/>
              <w:ind w:left="0" w:hanging="2"/>
              <w:rPr>
                <w:rFonts w:ascii="Cambria" w:eastAsia="Cambria" w:hAnsi="Cambria" w:cs="Cambria"/>
                <w:color w:val="000000"/>
                <w:sz w:val="20"/>
                <w:szCs w:val="20"/>
                <w:lang w:val="en-ID"/>
              </w:rPr>
            </w:pPr>
            <w:r>
              <w:rPr>
                <w:rFonts w:ascii="Cambria" w:eastAsia="Cambria" w:hAnsi="Cambria" w:cs="Cambria"/>
                <w:color w:val="000000"/>
                <w:sz w:val="20"/>
                <w:szCs w:val="20"/>
                <w:lang w:val="en-ID"/>
              </w:rPr>
              <w:t>T</w:t>
            </w:r>
            <w:r w:rsidRPr="005A7051">
              <w:rPr>
                <w:rFonts w:ascii="Cambria" w:eastAsia="Cambria" w:hAnsi="Cambria" w:cs="Cambria"/>
                <w:color w:val="000000"/>
                <w:sz w:val="20"/>
                <w:szCs w:val="20"/>
                <w:lang w:val="en-ID"/>
              </w:rPr>
              <w:t xml:space="preserve">he legitimacy of </w:t>
            </w:r>
            <w:r w:rsidR="00CB7C8E" w:rsidRPr="00CB7C8E">
              <w:rPr>
                <w:rFonts w:ascii="Cambria" w:eastAsia="Cambria" w:hAnsi="Cambria" w:cs="Cambria"/>
                <w:i/>
                <w:iCs/>
                <w:color w:val="000000"/>
                <w:sz w:val="20"/>
                <w:szCs w:val="20"/>
                <w:lang w:val="en-ID"/>
              </w:rPr>
              <w:t>amil</w:t>
            </w:r>
            <w:r w:rsidRPr="005A7051">
              <w:rPr>
                <w:rFonts w:ascii="Cambria" w:eastAsia="Cambria" w:hAnsi="Cambria" w:cs="Cambria"/>
                <w:color w:val="000000"/>
                <w:sz w:val="20"/>
                <w:szCs w:val="20"/>
                <w:lang w:val="en-ID"/>
              </w:rPr>
              <w:t xml:space="preserve"> associations</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358</w:t>
            </w:r>
          </w:p>
        </w:tc>
        <w:tc>
          <w:tcPr>
            <w:tcW w:w="1134" w:type="dxa"/>
            <w:tcBorders>
              <w:top w:val="nil"/>
              <w:left w:val="nil"/>
              <w:bottom w:val="outset" w:sz="6" w:space="0" w:color="auto"/>
              <w:right w:val="nil"/>
            </w:tcBorders>
            <w:noWrap/>
            <w:vAlign w:val="center"/>
            <w:hideMark/>
          </w:tcPr>
          <w:p w:rsidR="005A7051" w:rsidRPr="005A7051" w:rsidRDefault="00832CEC"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Medium</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5A7051" w:rsidP="00C07BE5">
            <w:pPr>
              <w:spacing w:line="276" w:lineRule="auto"/>
              <w:ind w:left="0" w:hanging="2"/>
              <w:rPr>
                <w:rFonts w:ascii="Cambria" w:eastAsia="Cambria" w:hAnsi="Cambria" w:cs="Cambria"/>
                <w:color w:val="000000"/>
                <w:sz w:val="20"/>
                <w:szCs w:val="20"/>
                <w:lang w:val="en-ID"/>
              </w:rPr>
            </w:pPr>
            <w:r>
              <w:rPr>
                <w:rFonts w:ascii="Cambria" w:eastAsia="Cambria" w:hAnsi="Cambria" w:cs="Cambria"/>
                <w:color w:val="000000"/>
                <w:sz w:val="20"/>
                <w:szCs w:val="20"/>
                <w:lang w:val="en-ID"/>
              </w:rPr>
              <w:t>E</w:t>
            </w:r>
            <w:r w:rsidRPr="005A7051">
              <w:rPr>
                <w:rFonts w:ascii="Cambria" w:eastAsia="Cambria" w:hAnsi="Cambria" w:cs="Cambria"/>
                <w:color w:val="000000"/>
                <w:sz w:val="20"/>
                <w:szCs w:val="20"/>
                <w:lang w:val="en-ID"/>
              </w:rPr>
              <w:t xml:space="preserve">xistence of </w:t>
            </w:r>
            <w:r w:rsidR="00CB7C8E" w:rsidRPr="00CB7C8E">
              <w:rPr>
                <w:rFonts w:ascii="Cambria" w:eastAsia="Cambria" w:hAnsi="Cambria" w:cs="Cambria"/>
                <w:i/>
                <w:iCs/>
                <w:color w:val="000000"/>
                <w:sz w:val="20"/>
                <w:szCs w:val="20"/>
                <w:lang w:val="en-ID"/>
              </w:rPr>
              <w:t>amil</w:t>
            </w:r>
            <w:r w:rsidRPr="005A7051">
              <w:rPr>
                <w:rFonts w:ascii="Cambria" w:eastAsia="Cambria" w:hAnsi="Cambria" w:cs="Cambria"/>
                <w:color w:val="000000"/>
                <w:sz w:val="20"/>
                <w:szCs w:val="20"/>
                <w:lang w:val="en-ID"/>
              </w:rPr>
              <w:t xml:space="preserve"> zakat code of ethics</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382</w:t>
            </w:r>
          </w:p>
        </w:tc>
        <w:tc>
          <w:tcPr>
            <w:tcW w:w="1134" w:type="dxa"/>
            <w:tcBorders>
              <w:top w:val="nil"/>
              <w:left w:val="nil"/>
              <w:bottom w:val="outset" w:sz="6" w:space="0" w:color="auto"/>
              <w:right w:val="nil"/>
            </w:tcBorders>
            <w:noWrap/>
            <w:vAlign w:val="center"/>
            <w:hideMark/>
          </w:tcPr>
          <w:p w:rsidR="005A7051" w:rsidRPr="00832CEC" w:rsidRDefault="00832CEC" w:rsidP="00832CEC">
            <w:pPr>
              <w:spacing w:line="276" w:lineRule="auto"/>
              <w:ind w:left="0" w:hanging="2"/>
              <w:jc w:val="center"/>
              <w:rPr>
                <w:rFonts w:ascii="Cambria" w:eastAsia="Cambria" w:hAnsi="Cambria" w:cs="Cambria"/>
                <w:color w:val="000000"/>
                <w:sz w:val="20"/>
                <w:szCs w:val="20"/>
                <w:lang w:val="en-ID"/>
              </w:rPr>
            </w:pPr>
            <w:r>
              <w:rPr>
                <w:rFonts w:ascii="Cambria" w:eastAsia="Cambria" w:hAnsi="Cambria" w:cs="Cambria"/>
                <w:color w:val="000000"/>
                <w:sz w:val="20"/>
                <w:szCs w:val="20"/>
                <w:lang w:val="en-ID"/>
              </w:rPr>
              <w:t>High</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5A7051" w:rsidP="005A7051">
            <w:pPr>
              <w:spacing w:line="276" w:lineRule="auto"/>
              <w:ind w:left="0" w:hanging="2"/>
              <w:rPr>
                <w:rFonts w:ascii="Cambria" w:eastAsia="Cambria" w:hAnsi="Cambria" w:cs="Cambria"/>
                <w:color w:val="000000"/>
                <w:sz w:val="20"/>
                <w:szCs w:val="20"/>
                <w:lang w:val="en-ID"/>
              </w:rPr>
            </w:pPr>
            <w:r>
              <w:rPr>
                <w:rFonts w:ascii="Cambria" w:eastAsia="Cambria" w:hAnsi="Cambria" w:cs="Cambria"/>
                <w:color w:val="000000"/>
                <w:sz w:val="20"/>
                <w:szCs w:val="20"/>
                <w:lang w:val="en-ID"/>
              </w:rPr>
              <w:t>L</w:t>
            </w:r>
            <w:r w:rsidRPr="005A7051">
              <w:rPr>
                <w:rFonts w:ascii="Cambria" w:eastAsia="Cambria" w:hAnsi="Cambria" w:cs="Cambria"/>
                <w:color w:val="000000"/>
                <w:sz w:val="20"/>
                <w:szCs w:val="20"/>
                <w:lang w:val="en-ID"/>
              </w:rPr>
              <w:t xml:space="preserve">egal protection and the role of the state for the </w:t>
            </w:r>
            <w:r w:rsidR="00CB7C8E" w:rsidRPr="00CB7C8E">
              <w:rPr>
                <w:rFonts w:ascii="Cambria" w:eastAsia="Cambria" w:hAnsi="Cambria" w:cs="Cambria"/>
                <w:i/>
                <w:iCs/>
                <w:color w:val="000000"/>
                <w:sz w:val="20"/>
                <w:szCs w:val="20"/>
                <w:lang w:val="en-ID"/>
              </w:rPr>
              <w:t>amil</w:t>
            </w:r>
            <w:r w:rsidRPr="005A7051">
              <w:rPr>
                <w:rFonts w:ascii="Cambria" w:eastAsia="Cambria" w:hAnsi="Cambria" w:cs="Cambria"/>
                <w:color w:val="000000"/>
                <w:sz w:val="20"/>
                <w:szCs w:val="20"/>
                <w:lang w:val="en-ID"/>
              </w:rPr>
              <w:t xml:space="preserve"> </w:t>
            </w:r>
            <w:r w:rsidRPr="005A7051">
              <w:rPr>
                <w:rFonts w:ascii="Cambria" w:eastAsia="Cambria" w:hAnsi="Cambria" w:cs="Cambria"/>
                <w:color w:val="000000"/>
                <w:sz w:val="20"/>
                <w:szCs w:val="20"/>
                <w:lang w:val="en-ID"/>
              </w:rPr>
              <w:t>profession</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376</w:t>
            </w:r>
          </w:p>
        </w:tc>
        <w:tc>
          <w:tcPr>
            <w:tcW w:w="1134" w:type="dxa"/>
            <w:tcBorders>
              <w:top w:val="nil"/>
              <w:left w:val="nil"/>
              <w:bottom w:val="outset" w:sz="6" w:space="0" w:color="auto"/>
              <w:right w:val="nil"/>
            </w:tcBorders>
            <w:noWrap/>
            <w:vAlign w:val="center"/>
            <w:hideMark/>
          </w:tcPr>
          <w:p w:rsidR="005A7051" w:rsidRPr="005A7051" w:rsidRDefault="00832CEC"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Medium</w:t>
            </w:r>
          </w:p>
        </w:tc>
      </w:tr>
      <w:tr w:rsidR="005A7051" w:rsidRPr="005A7051" w:rsidTr="00832CEC">
        <w:trPr>
          <w:jc w:val="center"/>
        </w:trPr>
        <w:tc>
          <w:tcPr>
            <w:tcW w:w="5813" w:type="dxa"/>
            <w:tcBorders>
              <w:top w:val="nil"/>
              <w:left w:val="nil"/>
              <w:bottom w:val="outset" w:sz="6" w:space="0" w:color="auto"/>
              <w:right w:val="nil"/>
            </w:tcBorders>
            <w:noWrap/>
            <w:vAlign w:val="center"/>
            <w:hideMark/>
          </w:tcPr>
          <w:p w:rsidR="005A7051" w:rsidRPr="005A7051" w:rsidRDefault="005A7051" w:rsidP="00C07BE5">
            <w:pPr>
              <w:spacing w:line="276" w:lineRule="auto"/>
              <w:ind w:left="0" w:hanging="2"/>
              <w:rPr>
                <w:rFonts w:ascii="Cambria" w:eastAsia="Cambria" w:hAnsi="Cambria" w:cs="Cambria"/>
                <w:color w:val="000000"/>
                <w:sz w:val="20"/>
                <w:szCs w:val="20"/>
                <w:lang w:val="en-ID"/>
              </w:rPr>
            </w:pPr>
            <w:r>
              <w:rPr>
                <w:rFonts w:ascii="Cambria" w:eastAsia="Cambria" w:hAnsi="Cambria" w:cs="Cambria"/>
                <w:color w:val="000000"/>
                <w:sz w:val="20"/>
                <w:szCs w:val="20"/>
                <w:lang w:val="en-ID"/>
              </w:rPr>
              <w:t>Total</w:t>
            </w:r>
          </w:p>
        </w:tc>
        <w:tc>
          <w:tcPr>
            <w:tcW w:w="993" w:type="dxa"/>
            <w:tcBorders>
              <w:top w:val="nil"/>
              <w:left w:val="nil"/>
              <w:bottom w:val="outset" w:sz="6" w:space="0" w:color="auto"/>
              <w:right w:val="nil"/>
            </w:tcBorders>
            <w:noWrap/>
            <w:vAlign w:val="center"/>
            <w:hideMark/>
          </w:tcPr>
          <w:p w:rsidR="005A7051" w:rsidRPr="005A7051" w:rsidRDefault="005A7051" w:rsidP="00832CEC">
            <w:pPr>
              <w:spacing w:line="276" w:lineRule="auto"/>
              <w:ind w:left="0" w:hanging="2"/>
              <w:jc w:val="center"/>
              <w:rPr>
                <w:rFonts w:ascii="Cambria" w:eastAsia="Cambria" w:hAnsi="Cambria" w:cs="Cambria"/>
                <w:color w:val="000000"/>
                <w:sz w:val="20"/>
                <w:szCs w:val="20"/>
              </w:rPr>
            </w:pPr>
            <w:r w:rsidRPr="005A7051">
              <w:rPr>
                <w:rFonts w:ascii="Cambria" w:eastAsia="Cambria" w:hAnsi="Cambria" w:cs="Cambria"/>
                <w:color w:val="000000"/>
                <w:sz w:val="20"/>
                <w:szCs w:val="20"/>
              </w:rPr>
              <w:t>1.850</w:t>
            </w:r>
          </w:p>
        </w:tc>
        <w:tc>
          <w:tcPr>
            <w:tcW w:w="1134" w:type="dxa"/>
            <w:tcBorders>
              <w:top w:val="nil"/>
              <w:left w:val="nil"/>
              <w:bottom w:val="outset" w:sz="6" w:space="0" w:color="auto"/>
              <w:right w:val="nil"/>
            </w:tcBorders>
            <w:noWrap/>
            <w:vAlign w:val="center"/>
            <w:hideMark/>
          </w:tcPr>
          <w:p w:rsidR="005A7051" w:rsidRPr="005A7051" w:rsidRDefault="00832CEC" w:rsidP="00832CEC">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Medium</w:t>
            </w:r>
          </w:p>
        </w:tc>
      </w:tr>
    </w:tbl>
    <w:p w:rsidR="002C6DA6" w:rsidRDefault="002C6DA6" w:rsidP="000A286E">
      <w:pPr>
        <w:spacing w:after="120" w:line="276" w:lineRule="auto"/>
        <w:ind w:left="0" w:hanging="2"/>
        <w:jc w:val="left"/>
        <w:rPr>
          <w:rFonts w:ascii="Cambria" w:eastAsia="Cambria" w:hAnsi="Cambria" w:cs="Cambria"/>
          <w:color w:val="000000"/>
          <w:szCs w:val="24"/>
        </w:rPr>
      </w:pPr>
      <w:r>
        <w:rPr>
          <w:rFonts w:ascii="Cambria" w:eastAsia="Cambria" w:hAnsi="Cambria" w:cs="Cambria"/>
          <w:b/>
          <w:color w:val="000000"/>
          <w:sz w:val="20"/>
          <w:szCs w:val="20"/>
        </w:rPr>
        <w:t xml:space="preserve">Source: Data processed by researchers (2023) </w:t>
      </w:r>
    </w:p>
    <w:p w:rsidR="00907BFF" w:rsidRDefault="00907BFF" w:rsidP="00CD2F44">
      <w:pPr>
        <w:spacing w:line="276" w:lineRule="auto"/>
        <w:ind w:leftChars="0" w:left="0" w:firstLineChars="0" w:firstLine="720"/>
        <w:rPr>
          <w:rFonts w:ascii="Cambria" w:eastAsia="Cambria" w:hAnsi="Cambria"/>
          <w:color w:val="000000"/>
          <w:szCs w:val="24"/>
        </w:rPr>
      </w:pPr>
      <w:r w:rsidRPr="00907BFF">
        <w:rPr>
          <w:rFonts w:ascii="Cambria" w:eastAsia="Cambria" w:hAnsi="Cambria"/>
          <w:color w:val="000000"/>
          <w:szCs w:val="24"/>
        </w:rPr>
        <w:t>Based on the table above, the first, second, third and fifth statements are in the medium category, while the fourth question is in the high category. Meanwhile, in total, all questions are in the medium category. This means that MAZAWA students' perceptions of the ongoing professionalization in Indonesia are in the medium category.</w:t>
      </w:r>
    </w:p>
    <w:p w:rsidR="00CD2F44" w:rsidRPr="00CD2F44" w:rsidRDefault="0028426C" w:rsidP="000A286E">
      <w:pPr>
        <w:spacing w:line="276" w:lineRule="auto"/>
        <w:ind w:leftChars="0" w:left="0" w:firstLineChars="0" w:firstLine="720"/>
        <w:rPr>
          <w:rFonts w:ascii="Cambria" w:eastAsia="Cambria" w:hAnsi="Cambria"/>
          <w:color w:val="000000"/>
          <w:szCs w:val="24"/>
          <w:lang w:val="en-ID"/>
        </w:rPr>
      </w:pPr>
      <w:r w:rsidRPr="0028426C">
        <w:rPr>
          <w:rFonts w:ascii="Cambria" w:eastAsia="Cambria" w:hAnsi="Cambria"/>
          <w:color w:val="000000"/>
          <w:szCs w:val="24"/>
        </w:rPr>
        <w:t xml:space="preserve">Assessing students' aspirations for a career as professional </w:t>
      </w:r>
      <w:r w:rsidR="00CB7C8E" w:rsidRPr="00CB7C8E">
        <w:rPr>
          <w:rFonts w:ascii="Cambria" w:eastAsia="Cambria" w:hAnsi="Cambria"/>
          <w:i/>
          <w:color w:val="000000"/>
          <w:szCs w:val="24"/>
        </w:rPr>
        <w:t>amil</w:t>
      </w:r>
      <w:r w:rsidRPr="0028426C">
        <w:rPr>
          <w:rFonts w:ascii="Cambria" w:eastAsia="Cambria" w:hAnsi="Cambria"/>
          <w:color w:val="000000"/>
          <w:szCs w:val="24"/>
        </w:rPr>
        <w:t>s involved the application of hypothetical statistical analysis techniques. The cumulative score for all four questions ranged from a minimum of 380 to a maximum of 1,900. The total score for student responses was 1,522. For each individual question, the maximum score was 475, and the minimum was 95. Applying the same formula, the hypothetical mean value was determined to be 285, and the standard deviation was 63.3. The scores obtained for each question were as follows: the first question garnered a score of 384, the second question received a score of 390, the third question achieved a score of 367, and the fourth question attained a score of 381.</w:t>
      </w:r>
      <w:r>
        <w:rPr>
          <w:rFonts w:ascii="Cambria" w:eastAsia="Cambria" w:hAnsi="Cambria"/>
          <w:color w:val="000000"/>
          <w:szCs w:val="24"/>
          <w:lang w:val="en-ID"/>
        </w:rPr>
        <w:t xml:space="preserve"> </w:t>
      </w:r>
      <w:r w:rsidRPr="0028426C">
        <w:rPr>
          <w:rFonts w:ascii="Cambria" w:eastAsia="Cambria" w:hAnsi="Cambria"/>
          <w:color w:val="000000"/>
          <w:szCs w:val="24"/>
          <w:lang w:val="en-ID"/>
        </w:rPr>
        <w:t xml:space="preserve">Meanwhile, in total, all questions are in the high category. This means that MAZAWA students' intentions to have a career as </w:t>
      </w:r>
      <w:r w:rsidR="00CB7C8E" w:rsidRPr="00CB7C8E">
        <w:rPr>
          <w:rFonts w:ascii="Cambria" w:eastAsia="Cambria" w:hAnsi="Cambria"/>
          <w:i/>
          <w:iCs/>
          <w:color w:val="000000"/>
          <w:szCs w:val="24"/>
          <w:lang w:val="en-ID"/>
        </w:rPr>
        <w:t>amil</w:t>
      </w:r>
      <w:r w:rsidRPr="0028426C">
        <w:rPr>
          <w:rFonts w:ascii="Cambria" w:eastAsia="Cambria" w:hAnsi="Cambria"/>
          <w:color w:val="000000"/>
          <w:szCs w:val="24"/>
          <w:lang w:val="en-ID"/>
        </w:rPr>
        <w:t xml:space="preserve"> are in the high category.</w:t>
      </w:r>
    </w:p>
    <w:p w:rsidR="00092421" w:rsidRDefault="00092421" w:rsidP="00092421">
      <w:pPr>
        <w:spacing w:line="276" w:lineRule="auto"/>
        <w:ind w:leftChars="0" w:left="0" w:firstLineChars="0" w:firstLine="0"/>
        <w:jc w:val="center"/>
        <w:rPr>
          <w:rFonts w:ascii="Cambria" w:eastAsia="Cambria" w:hAnsi="Cambria" w:cs="Cambria"/>
          <w:color w:val="000000"/>
          <w:szCs w:val="24"/>
          <w:lang w:val="en-US"/>
        </w:rPr>
      </w:pPr>
      <w:r>
        <w:rPr>
          <w:rFonts w:ascii="Cambria" w:eastAsia="Cambria" w:hAnsi="Cambria" w:cs="Cambria"/>
          <w:b/>
          <w:color w:val="000000"/>
          <w:sz w:val="20"/>
          <w:szCs w:val="20"/>
          <w:lang w:val="zh-CN"/>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lang w:val="zh-CN"/>
        </w:rPr>
        <w:t xml:space="preserve"> </w:t>
      </w:r>
      <w:r w:rsidR="00CD2F44">
        <w:rPr>
          <w:rFonts w:ascii="Cambria" w:eastAsia="Cambria" w:hAnsi="Cambria" w:cs="Cambria"/>
          <w:b/>
          <w:color w:val="000000"/>
          <w:sz w:val="20"/>
          <w:szCs w:val="20"/>
          <w:lang w:val="en-US"/>
        </w:rPr>
        <w:t>3</w:t>
      </w:r>
      <w:r>
        <w:rPr>
          <w:rFonts w:ascii="Cambria" w:eastAsia="Cambria" w:hAnsi="Cambria" w:cs="Cambria"/>
          <w:b/>
          <w:color w:val="000000"/>
          <w:sz w:val="20"/>
          <w:szCs w:val="20"/>
          <w:lang w:val="en-US"/>
        </w:rPr>
        <w:t>.</w:t>
      </w:r>
      <w:r>
        <w:rPr>
          <w:rFonts w:ascii="Cambria" w:eastAsia="Cambria" w:hAnsi="Cambria" w:cs="Cambria"/>
          <w:b/>
          <w:color w:val="000000"/>
          <w:sz w:val="20"/>
          <w:szCs w:val="20"/>
          <w:lang w:val="zh-CN"/>
        </w:rPr>
        <w:t xml:space="preserve"> </w:t>
      </w:r>
      <w:r>
        <w:rPr>
          <w:rFonts w:ascii="Cambria" w:eastAsia="Cambria" w:hAnsi="Cambria" w:cs="Cambria"/>
          <w:b/>
          <w:color w:val="000000"/>
          <w:sz w:val="20"/>
          <w:szCs w:val="20"/>
          <w:lang w:val="en-US"/>
        </w:rPr>
        <w:t xml:space="preserve">Hypothetical Statistics of Career Intentions as an </w:t>
      </w:r>
      <w:r w:rsidR="00CB7C8E" w:rsidRPr="00CB7C8E">
        <w:rPr>
          <w:rFonts w:ascii="Cambria" w:eastAsia="Cambria" w:hAnsi="Cambria" w:cs="Cambria"/>
          <w:b/>
          <w:i/>
          <w:iCs/>
          <w:color w:val="000000"/>
          <w:sz w:val="20"/>
          <w:szCs w:val="20"/>
          <w:lang w:val="en-US"/>
        </w:rPr>
        <w:t>Amil</w:t>
      </w:r>
    </w:p>
    <w:tbl>
      <w:tblPr>
        <w:tblW w:w="7955" w:type="dxa"/>
        <w:jc w:val="center"/>
        <w:tblBorders>
          <w:top w:val="none" w:sz="4" w:space="0" w:color="auto"/>
          <w:left w:val="none" w:sz="4" w:space="0" w:color="auto"/>
          <w:bottom w:val="single" w:sz="4" w:space="0" w:color="auto"/>
          <w:right w:val="none" w:sz="4" w:space="0" w:color="auto"/>
          <w:insideH w:val="single" w:sz="4" w:space="0" w:color="auto"/>
          <w:insideV w:val="none" w:sz="4" w:space="0" w:color="auto"/>
        </w:tblBorders>
        <w:tblLayout w:type="fixed"/>
        <w:tblLook w:val="04A0" w:firstRow="1" w:lastRow="0" w:firstColumn="1" w:lastColumn="0" w:noHBand="0" w:noVBand="1"/>
      </w:tblPr>
      <w:tblGrid>
        <w:gridCol w:w="5592"/>
        <w:gridCol w:w="938"/>
        <w:gridCol w:w="1425"/>
      </w:tblGrid>
      <w:tr w:rsidR="00CD2F44" w:rsidTr="006A2E59">
        <w:trPr>
          <w:trHeight w:val="300"/>
          <w:jc w:val="center"/>
        </w:trPr>
        <w:tc>
          <w:tcPr>
            <w:tcW w:w="5592" w:type="dxa"/>
            <w:tcBorders>
              <w:top w:val="single" w:sz="4" w:space="0" w:color="auto"/>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rPr>
            </w:pPr>
            <w:r>
              <w:rPr>
                <w:rFonts w:ascii="Cambria" w:eastAsia="Cambria" w:hAnsi="Cambria" w:cs="Cambria"/>
                <w:color w:val="000000"/>
                <w:sz w:val="20"/>
                <w:szCs w:val="20"/>
                <w:lang w:val="en-US"/>
              </w:rPr>
              <w:t>Category</w:t>
            </w:r>
          </w:p>
        </w:tc>
        <w:tc>
          <w:tcPr>
            <w:tcW w:w="938" w:type="dxa"/>
            <w:tcBorders>
              <w:top w:val="single" w:sz="4" w:space="0" w:color="auto"/>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rPr>
              <w:t>Score</w:t>
            </w:r>
          </w:p>
        </w:tc>
        <w:tc>
          <w:tcPr>
            <w:tcW w:w="1425" w:type="dxa"/>
            <w:tcBorders>
              <w:top w:val="single" w:sz="4" w:space="0" w:color="auto"/>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rPr>
              <w:t>Results</w:t>
            </w:r>
          </w:p>
        </w:tc>
      </w:tr>
      <w:tr w:rsidR="00CD2F44" w:rsidTr="006A2E59">
        <w:trPr>
          <w:trHeight w:val="300"/>
          <w:jc w:val="center"/>
        </w:trPr>
        <w:tc>
          <w:tcPr>
            <w:tcW w:w="5592" w:type="dxa"/>
            <w:tcBorders>
              <w:left w:val="nil"/>
              <w:right w:val="nil"/>
            </w:tcBorders>
            <w:shd w:val="clear" w:color="auto" w:fill="auto"/>
            <w:noWrap/>
            <w:vAlign w:val="center"/>
          </w:tcPr>
          <w:p w:rsidR="00CD2F44" w:rsidRDefault="00CD2F44" w:rsidP="00C07BE5">
            <w:pPr>
              <w:spacing w:line="276" w:lineRule="auto"/>
              <w:ind w:left="0" w:hanging="2"/>
              <w:rPr>
                <w:rFonts w:ascii="Cambria" w:eastAsia="Cambria" w:hAnsi="Cambria" w:cs="Cambria"/>
                <w:color w:val="000000"/>
                <w:sz w:val="20"/>
                <w:szCs w:val="20"/>
                <w:lang w:val="en-US"/>
              </w:rPr>
            </w:pPr>
            <w:r w:rsidRPr="00CD2F44">
              <w:rPr>
                <w:rFonts w:ascii="Cambria" w:eastAsia="Cambria" w:hAnsi="Cambria" w:cs="Cambria"/>
                <w:color w:val="000000"/>
                <w:sz w:val="20"/>
                <w:szCs w:val="20"/>
                <w:lang w:val="en-US"/>
              </w:rPr>
              <w:t>I</w:t>
            </w:r>
            <w:r w:rsidRPr="00CD2F44">
              <w:rPr>
                <w:rFonts w:ascii="Cambria" w:eastAsia="Cambria" w:hAnsi="Cambria" w:cs="Cambria"/>
                <w:color w:val="000000"/>
                <w:sz w:val="20"/>
                <w:szCs w:val="20"/>
                <w:lang w:val="en-US"/>
              </w:rPr>
              <w:t xml:space="preserve">nclination toward a career as a zakat </w:t>
            </w:r>
            <w:r w:rsidR="00CB7C8E" w:rsidRPr="00CB7C8E">
              <w:rPr>
                <w:rFonts w:ascii="Cambria" w:eastAsia="Cambria" w:hAnsi="Cambria" w:cs="Cambria"/>
                <w:i/>
                <w:iCs/>
                <w:color w:val="000000"/>
                <w:sz w:val="20"/>
                <w:szCs w:val="20"/>
                <w:lang w:val="en-US"/>
              </w:rPr>
              <w:t>amil</w:t>
            </w:r>
          </w:p>
        </w:tc>
        <w:tc>
          <w:tcPr>
            <w:tcW w:w="938"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384</w:t>
            </w:r>
          </w:p>
        </w:tc>
        <w:tc>
          <w:tcPr>
            <w:tcW w:w="1425"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High</w:t>
            </w:r>
          </w:p>
        </w:tc>
      </w:tr>
      <w:tr w:rsidR="00CD2F44" w:rsidTr="006A2E59">
        <w:trPr>
          <w:trHeight w:val="300"/>
          <w:jc w:val="center"/>
        </w:trPr>
        <w:tc>
          <w:tcPr>
            <w:tcW w:w="5592" w:type="dxa"/>
            <w:tcBorders>
              <w:left w:val="nil"/>
              <w:right w:val="nil"/>
            </w:tcBorders>
            <w:shd w:val="clear" w:color="auto" w:fill="auto"/>
            <w:noWrap/>
            <w:vAlign w:val="center"/>
          </w:tcPr>
          <w:p w:rsidR="00CD2F44" w:rsidRDefault="00CD2F44" w:rsidP="00C07BE5">
            <w:pPr>
              <w:spacing w:line="276" w:lineRule="auto"/>
              <w:ind w:left="0" w:hanging="2"/>
              <w:rPr>
                <w:rFonts w:ascii="Cambria" w:eastAsia="Cambria" w:hAnsi="Cambria" w:cs="Cambria"/>
                <w:color w:val="000000"/>
                <w:sz w:val="20"/>
                <w:szCs w:val="20"/>
                <w:lang w:val="en-US"/>
              </w:rPr>
            </w:pPr>
            <w:r w:rsidRPr="00CD2F44">
              <w:rPr>
                <w:rFonts w:ascii="Cambria" w:eastAsia="Cambria" w:hAnsi="Cambria" w:cs="Cambria"/>
                <w:color w:val="000000"/>
                <w:sz w:val="20"/>
                <w:szCs w:val="20"/>
                <w:lang w:val="en-US"/>
              </w:rPr>
              <w:t>C</w:t>
            </w:r>
            <w:r w:rsidRPr="00CD2F44">
              <w:rPr>
                <w:rFonts w:ascii="Cambria" w:eastAsia="Cambria" w:hAnsi="Cambria" w:cs="Cambria"/>
                <w:color w:val="000000"/>
                <w:sz w:val="20"/>
                <w:szCs w:val="20"/>
                <w:lang w:val="en-US"/>
              </w:rPr>
              <w:t>ommitment to pursuing MAZAWA education</w:t>
            </w:r>
          </w:p>
        </w:tc>
        <w:tc>
          <w:tcPr>
            <w:tcW w:w="938"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390</w:t>
            </w:r>
          </w:p>
        </w:tc>
        <w:tc>
          <w:tcPr>
            <w:tcW w:w="1425"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High</w:t>
            </w:r>
          </w:p>
        </w:tc>
      </w:tr>
      <w:tr w:rsidR="00CD2F44" w:rsidTr="006A2E59">
        <w:trPr>
          <w:trHeight w:val="300"/>
          <w:jc w:val="center"/>
        </w:trPr>
        <w:tc>
          <w:tcPr>
            <w:tcW w:w="5592" w:type="dxa"/>
            <w:tcBorders>
              <w:left w:val="nil"/>
              <w:right w:val="nil"/>
            </w:tcBorders>
            <w:shd w:val="clear" w:color="auto" w:fill="auto"/>
            <w:noWrap/>
            <w:vAlign w:val="center"/>
          </w:tcPr>
          <w:p w:rsidR="00CD2F44" w:rsidRDefault="00CD2F44" w:rsidP="00C07BE5">
            <w:pPr>
              <w:spacing w:line="276" w:lineRule="auto"/>
              <w:ind w:left="0" w:hanging="2"/>
              <w:rPr>
                <w:rFonts w:ascii="Cambria" w:eastAsia="Cambria" w:hAnsi="Cambria" w:cs="Cambria"/>
                <w:color w:val="000000"/>
                <w:sz w:val="20"/>
                <w:szCs w:val="20"/>
                <w:lang w:val="en-US"/>
              </w:rPr>
            </w:pPr>
            <w:r w:rsidRPr="00CD2F44">
              <w:rPr>
                <w:rFonts w:ascii="Cambria" w:eastAsia="Cambria" w:hAnsi="Cambria" w:cs="Cambria"/>
                <w:color w:val="000000"/>
                <w:sz w:val="20"/>
                <w:szCs w:val="20"/>
                <w:lang w:val="en-US"/>
              </w:rPr>
              <w:t>T</w:t>
            </w:r>
            <w:r w:rsidRPr="00CD2F44">
              <w:rPr>
                <w:rFonts w:ascii="Cambria" w:eastAsia="Cambria" w:hAnsi="Cambria" w:cs="Cambria"/>
                <w:color w:val="000000"/>
                <w:sz w:val="20"/>
                <w:szCs w:val="20"/>
                <w:lang w:val="en-US"/>
              </w:rPr>
              <w:t xml:space="preserve">he priority given to a career as a zakat </w:t>
            </w:r>
            <w:r w:rsidR="00CB7C8E" w:rsidRPr="00CB7C8E">
              <w:rPr>
                <w:rFonts w:ascii="Cambria" w:eastAsia="Cambria" w:hAnsi="Cambria" w:cs="Cambria"/>
                <w:i/>
                <w:iCs/>
                <w:color w:val="000000"/>
                <w:sz w:val="20"/>
                <w:szCs w:val="20"/>
                <w:lang w:val="en-US"/>
              </w:rPr>
              <w:t>amil</w:t>
            </w:r>
          </w:p>
        </w:tc>
        <w:tc>
          <w:tcPr>
            <w:tcW w:w="938"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367</w:t>
            </w:r>
          </w:p>
        </w:tc>
        <w:tc>
          <w:tcPr>
            <w:tcW w:w="1425"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Medium</w:t>
            </w:r>
          </w:p>
        </w:tc>
      </w:tr>
      <w:tr w:rsidR="00CD2F44" w:rsidTr="006A2E59">
        <w:trPr>
          <w:trHeight w:val="300"/>
          <w:jc w:val="center"/>
        </w:trPr>
        <w:tc>
          <w:tcPr>
            <w:tcW w:w="5592" w:type="dxa"/>
            <w:tcBorders>
              <w:left w:val="nil"/>
              <w:right w:val="nil"/>
            </w:tcBorders>
            <w:shd w:val="clear" w:color="auto" w:fill="auto"/>
            <w:noWrap/>
            <w:vAlign w:val="center"/>
          </w:tcPr>
          <w:p w:rsidR="00CD2F44" w:rsidRDefault="00CD2F44" w:rsidP="00CD2F44">
            <w:pPr>
              <w:spacing w:line="276" w:lineRule="auto"/>
              <w:ind w:left="0" w:hanging="2"/>
              <w:rPr>
                <w:rFonts w:ascii="Cambria" w:eastAsia="Cambria" w:hAnsi="Cambria" w:cs="Cambria"/>
                <w:color w:val="000000"/>
                <w:sz w:val="20"/>
                <w:szCs w:val="20"/>
                <w:lang w:val="en-US"/>
              </w:rPr>
            </w:pPr>
            <w:r w:rsidRPr="00CD2F44">
              <w:rPr>
                <w:rFonts w:ascii="Cambria" w:eastAsia="Cambria" w:hAnsi="Cambria" w:cs="Cambria"/>
                <w:color w:val="000000"/>
                <w:sz w:val="20"/>
                <w:szCs w:val="20"/>
                <w:lang w:val="en-US"/>
              </w:rPr>
              <w:t>R</w:t>
            </w:r>
            <w:r w:rsidRPr="00CD2F44">
              <w:rPr>
                <w:rFonts w:ascii="Cambria" w:eastAsia="Cambria" w:hAnsi="Cambria" w:cs="Cambria"/>
                <w:color w:val="000000"/>
                <w:sz w:val="20"/>
                <w:szCs w:val="20"/>
                <w:lang w:val="en-US"/>
              </w:rPr>
              <w:t xml:space="preserve">eadiness to embark on a career as an </w:t>
            </w:r>
            <w:r w:rsidR="00CB7C8E" w:rsidRPr="00CB7C8E">
              <w:rPr>
                <w:rFonts w:ascii="Cambria" w:eastAsia="Cambria" w:hAnsi="Cambria" w:cs="Cambria"/>
                <w:i/>
                <w:iCs/>
                <w:color w:val="000000"/>
                <w:sz w:val="20"/>
                <w:szCs w:val="20"/>
                <w:lang w:val="en-US"/>
              </w:rPr>
              <w:t>amil</w:t>
            </w:r>
            <w:r w:rsidRPr="00CD2F44">
              <w:rPr>
                <w:rFonts w:ascii="Cambria" w:eastAsia="Cambria" w:hAnsi="Cambria" w:cs="Cambria"/>
                <w:color w:val="000000"/>
                <w:sz w:val="20"/>
                <w:szCs w:val="20"/>
                <w:lang w:val="en-US"/>
              </w:rPr>
              <w:t xml:space="preserve"> at both BAZ and LAZ</w:t>
            </w:r>
          </w:p>
        </w:tc>
        <w:tc>
          <w:tcPr>
            <w:tcW w:w="938"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381</w:t>
            </w:r>
          </w:p>
        </w:tc>
        <w:tc>
          <w:tcPr>
            <w:tcW w:w="1425"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High</w:t>
            </w:r>
          </w:p>
        </w:tc>
      </w:tr>
      <w:tr w:rsidR="00CD2F44" w:rsidTr="006A2E59">
        <w:trPr>
          <w:trHeight w:val="300"/>
          <w:jc w:val="center"/>
        </w:trPr>
        <w:tc>
          <w:tcPr>
            <w:tcW w:w="5592" w:type="dxa"/>
            <w:tcBorders>
              <w:left w:val="nil"/>
              <w:right w:val="nil"/>
            </w:tcBorders>
            <w:shd w:val="clear" w:color="auto" w:fill="auto"/>
            <w:noWrap/>
            <w:vAlign w:val="center"/>
          </w:tcPr>
          <w:p w:rsidR="00CD2F44" w:rsidRDefault="00CD2F44" w:rsidP="00C07BE5">
            <w:pPr>
              <w:spacing w:line="276" w:lineRule="auto"/>
              <w:ind w:left="0" w:hanging="2"/>
              <w:rPr>
                <w:rFonts w:ascii="Cambria" w:eastAsia="Cambria" w:hAnsi="Cambria" w:cs="Cambria"/>
                <w:color w:val="000000"/>
                <w:sz w:val="20"/>
                <w:szCs w:val="20"/>
                <w:lang w:val="en-US"/>
              </w:rPr>
            </w:pPr>
            <w:r>
              <w:rPr>
                <w:rFonts w:ascii="Cambria" w:eastAsia="Cambria" w:hAnsi="Cambria" w:cs="Cambria"/>
                <w:color w:val="000000"/>
                <w:sz w:val="20"/>
                <w:szCs w:val="20"/>
                <w:lang w:val="en-US"/>
              </w:rPr>
              <w:t xml:space="preserve">Total </w:t>
            </w:r>
          </w:p>
        </w:tc>
        <w:tc>
          <w:tcPr>
            <w:tcW w:w="938"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1522</w:t>
            </w:r>
          </w:p>
        </w:tc>
        <w:tc>
          <w:tcPr>
            <w:tcW w:w="1425" w:type="dxa"/>
            <w:tcBorders>
              <w:left w:val="nil"/>
              <w:right w:val="nil"/>
            </w:tcBorders>
            <w:shd w:val="clear" w:color="auto" w:fill="auto"/>
            <w:noWrap/>
            <w:vAlign w:val="center"/>
          </w:tcPr>
          <w:p w:rsidR="00CD2F44" w:rsidRDefault="00CD2F44" w:rsidP="00CD2F44">
            <w:pPr>
              <w:spacing w:line="276" w:lineRule="auto"/>
              <w:ind w:left="0" w:hanging="2"/>
              <w:jc w:val="center"/>
              <w:rPr>
                <w:rFonts w:ascii="Cambria" w:eastAsia="Cambria" w:hAnsi="Cambria" w:cs="Cambria"/>
                <w:color w:val="000000"/>
                <w:sz w:val="20"/>
                <w:szCs w:val="20"/>
                <w:lang w:val="en-US"/>
              </w:rPr>
            </w:pPr>
            <w:r>
              <w:rPr>
                <w:rFonts w:ascii="Cambria" w:eastAsia="Cambria" w:hAnsi="Cambria" w:cs="Cambria"/>
                <w:color w:val="000000"/>
                <w:sz w:val="20"/>
                <w:szCs w:val="20"/>
                <w:lang w:val="en-US"/>
              </w:rPr>
              <w:t>High</w:t>
            </w:r>
          </w:p>
        </w:tc>
      </w:tr>
    </w:tbl>
    <w:p w:rsidR="00092421" w:rsidRDefault="00092421" w:rsidP="000A286E">
      <w:pPr>
        <w:spacing w:after="120" w:line="276" w:lineRule="auto"/>
        <w:ind w:left="0" w:hanging="2"/>
        <w:jc w:val="left"/>
        <w:rPr>
          <w:rFonts w:ascii="Cambria" w:eastAsia="Cambria" w:hAnsi="Cambria" w:cs="Cambria"/>
          <w:color w:val="000000"/>
          <w:szCs w:val="24"/>
        </w:rPr>
      </w:pPr>
      <w:r>
        <w:rPr>
          <w:rFonts w:ascii="Cambria" w:eastAsia="Cambria" w:hAnsi="Cambria" w:cs="Cambria"/>
          <w:b/>
          <w:color w:val="000000"/>
          <w:sz w:val="20"/>
          <w:szCs w:val="20"/>
        </w:rPr>
        <w:t xml:space="preserve">Source: Data processed by researchers (2023) </w:t>
      </w:r>
    </w:p>
    <w:p w:rsidR="00092421" w:rsidRPr="007B1558" w:rsidRDefault="00907BFF" w:rsidP="007B1558">
      <w:pPr>
        <w:spacing w:line="276" w:lineRule="auto"/>
        <w:ind w:left="0" w:hanging="2"/>
        <w:rPr>
          <w:rFonts w:ascii="Cambria" w:eastAsia="Cambria" w:hAnsi="Cambria" w:cs="Cambria"/>
          <w:b/>
          <w:bCs/>
          <w:color w:val="000000"/>
          <w:szCs w:val="24"/>
          <w:lang w:val="en-US" w:eastAsia="en-GB"/>
        </w:rPr>
      </w:pPr>
      <w:r w:rsidRPr="007B1558">
        <w:rPr>
          <w:rFonts w:ascii="Cambria" w:eastAsia="Cambria" w:hAnsi="Cambria" w:cs="Cambria"/>
          <w:b/>
          <w:bCs/>
          <w:color w:val="000000"/>
          <w:szCs w:val="24"/>
          <w:lang w:val="en-US" w:eastAsia="en-GB"/>
        </w:rPr>
        <w:lastRenderedPageBreak/>
        <w:t>PLS-SEM analysis results</w:t>
      </w:r>
    </w:p>
    <w:p w:rsidR="00DC7A7A" w:rsidRDefault="00856E33" w:rsidP="00DC7A7A">
      <w:pPr>
        <w:spacing w:line="276" w:lineRule="auto"/>
        <w:ind w:leftChars="0" w:left="0" w:firstLineChars="0" w:firstLine="720"/>
        <w:rPr>
          <w:noProof/>
          <w:lang w:val="en-US"/>
        </w:rPr>
      </w:pPr>
      <w:r>
        <w:rPr>
          <w:rFonts w:ascii="Cambria" w:eastAsia="Cambria" w:hAnsi="Cambria"/>
          <w:color w:val="000000"/>
          <w:szCs w:val="24"/>
          <w:lang w:val="en-US"/>
        </w:rPr>
        <w:t xml:space="preserve">The outer model is evaluated by looking at the validity and reliability values of the measurements of the model. </w:t>
      </w:r>
    </w:p>
    <w:p w:rsidR="004E5F73" w:rsidRDefault="00DC7A7A" w:rsidP="004E5F73">
      <w:pPr>
        <w:spacing w:line="276" w:lineRule="auto"/>
        <w:ind w:leftChars="0" w:left="0" w:firstLineChars="0" w:firstLine="0"/>
        <w:jc w:val="center"/>
        <w:rPr>
          <w:rFonts w:ascii="Cambria" w:eastAsia="Cambria" w:hAnsi="Cambria"/>
          <w:color w:val="000000"/>
          <w:szCs w:val="24"/>
          <w:lang w:val="en-US"/>
        </w:rPr>
      </w:pPr>
      <w:r>
        <w:rPr>
          <w:noProof/>
          <w:lang w:val="en-US"/>
        </w:rPr>
        <w:drawing>
          <wp:inline distT="0" distB="0" distL="0" distR="0" wp14:anchorId="01380E0F" wp14:editId="24D06BE9">
            <wp:extent cx="4308504" cy="2095500"/>
            <wp:effectExtent l="19050" t="19050" r="158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7022" t="32938" r="31406" b="31099"/>
                    <a:stretch/>
                  </pic:blipFill>
                  <pic:spPr bwMode="auto">
                    <a:xfrm>
                      <a:off x="0" y="0"/>
                      <a:ext cx="4313976" cy="20981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4E5F73" w:rsidRPr="004E5F73" w:rsidRDefault="004E5F73" w:rsidP="004E5F73">
      <w:pPr>
        <w:spacing w:line="276" w:lineRule="auto"/>
        <w:ind w:leftChars="0" w:left="0" w:firstLineChars="0" w:firstLine="0"/>
        <w:jc w:val="center"/>
        <w:rPr>
          <w:rFonts w:ascii="Cambria" w:eastAsia="Cambria" w:hAnsi="Cambria" w:cs="Cambria"/>
          <w:b/>
          <w:color w:val="000000"/>
          <w:sz w:val="20"/>
          <w:szCs w:val="20"/>
          <w:lang w:val="en-ID"/>
        </w:rPr>
      </w:pPr>
      <w:r>
        <w:rPr>
          <w:rFonts w:ascii="Cambria" w:eastAsia="Cambria" w:hAnsi="Cambria" w:cs="Cambria"/>
          <w:b/>
          <w:color w:val="000000"/>
          <w:sz w:val="20"/>
          <w:szCs w:val="20"/>
          <w:lang w:val="en-US"/>
        </w:rPr>
        <w:t>Figure</w:t>
      </w:r>
      <w:r>
        <w:rPr>
          <w:rFonts w:ascii="Cambria" w:eastAsia="Cambria" w:hAnsi="Cambria" w:cs="Cambria"/>
          <w:b/>
          <w:color w:val="000000"/>
          <w:sz w:val="20"/>
          <w:szCs w:val="20"/>
        </w:rPr>
        <w:t xml:space="preserve"> 1.</w:t>
      </w:r>
      <w:r>
        <w:rPr>
          <w:rFonts w:ascii="Cambria" w:eastAsia="Cambria" w:hAnsi="Cambria" w:cs="Cambria"/>
          <w:b/>
          <w:color w:val="000000"/>
          <w:sz w:val="20"/>
          <w:szCs w:val="20"/>
          <w:lang w:val="en-US"/>
        </w:rPr>
        <w:t xml:space="preserve"> </w:t>
      </w:r>
      <w:r>
        <w:rPr>
          <w:rFonts w:ascii="Cambria" w:eastAsia="Cambria" w:hAnsi="Cambria"/>
          <w:b/>
          <w:color w:val="000000"/>
          <w:sz w:val="20"/>
          <w:szCs w:val="20"/>
          <w:lang w:val="en-ID"/>
        </w:rPr>
        <w:t>PLS Algorithm</w:t>
      </w:r>
    </w:p>
    <w:p w:rsidR="004E5F73" w:rsidRPr="004E5F73" w:rsidRDefault="004E5F73" w:rsidP="004E5F73">
      <w:pPr>
        <w:spacing w:after="120" w:line="276" w:lineRule="auto"/>
        <w:ind w:left="0" w:hanging="2"/>
        <w:jc w:val="center"/>
        <w:rPr>
          <w:rFonts w:ascii="Cambria" w:eastAsia="Cambria" w:hAnsi="Cambria" w:cs="Cambria"/>
          <w:b/>
          <w:color w:val="000000"/>
          <w:sz w:val="20"/>
          <w:szCs w:val="20"/>
        </w:rPr>
      </w:pPr>
      <w:r>
        <w:rPr>
          <w:rFonts w:ascii="Cambria" w:eastAsia="Cambria" w:hAnsi="Cambria" w:cs="Cambria"/>
          <w:b/>
          <w:color w:val="000000"/>
          <w:sz w:val="20"/>
          <w:szCs w:val="20"/>
          <w:lang w:val="en-US"/>
        </w:rPr>
        <w:t>Source</w:t>
      </w:r>
      <w:r>
        <w:rPr>
          <w:rFonts w:ascii="Cambria" w:eastAsia="Cambria" w:hAnsi="Cambria" w:cs="Cambria"/>
          <w:b/>
          <w:color w:val="000000"/>
          <w:sz w:val="20"/>
          <w:szCs w:val="20"/>
        </w:rPr>
        <w:t xml:space="preserve">: </w:t>
      </w:r>
      <w:r>
        <w:rPr>
          <w:rFonts w:ascii="Cambria" w:eastAsia="Cambria" w:hAnsi="Cambria" w:cs="Cambria"/>
          <w:b/>
          <w:color w:val="000000"/>
          <w:sz w:val="20"/>
          <w:szCs w:val="20"/>
          <w:lang w:val="en-US"/>
        </w:rPr>
        <w:t xml:space="preserve"> SmartPLS 4.0 </w:t>
      </w:r>
      <w:r>
        <w:rPr>
          <w:rFonts w:ascii="Cambria" w:eastAsia="Cambria" w:hAnsi="Cambria" w:cs="Cambria"/>
          <w:b/>
          <w:color w:val="000000"/>
          <w:sz w:val="20"/>
          <w:szCs w:val="20"/>
        </w:rPr>
        <w:t>(20</w:t>
      </w:r>
      <w:r>
        <w:rPr>
          <w:rFonts w:ascii="Cambria" w:eastAsia="Cambria" w:hAnsi="Cambria" w:cs="Cambria"/>
          <w:b/>
          <w:color w:val="000000"/>
          <w:sz w:val="20"/>
          <w:szCs w:val="20"/>
          <w:lang w:val="en-US"/>
        </w:rPr>
        <w:t>23</w:t>
      </w:r>
      <w:r>
        <w:rPr>
          <w:rFonts w:ascii="Cambria" w:eastAsia="Cambria" w:hAnsi="Cambria" w:cs="Cambria"/>
          <w:b/>
          <w:color w:val="000000"/>
          <w:sz w:val="20"/>
          <w:szCs w:val="20"/>
        </w:rPr>
        <w:t>)</w:t>
      </w:r>
    </w:p>
    <w:p w:rsidR="00A2008D" w:rsidRDefault="00856E33" w:rsidP="00A30815">
      <w:pPr>
        <w:spacing w:line="276" w:lineRule="auto"/>
        <w:ind w:leftChars="0" w:left="0" w:firstLineChars="0" w:firstLine="720"/>
        <w:rPr>
          <w:rFonts w:ascii="Cambria" w:eastAsia="Cambria" w:hAnsi="Cambria"/>
          <w:color w:val="000000"/>
          <w:szCs w:val="24"/>
          <w:lang w:val="en-US"/>
        </w:rPr>
      </w:pPr>
      <w:r>
        <w:rPr>
          <w:rFonts w:ascii="Cambria" w:eastAsia="Cambria" w:hAnsi="Cambria"/>
          <w:color w:val="000000"/>
          <w:szCs w:val="24"/>
          <w:lang w:val="en-US"/>
        </w:rPr>
        <w:t xml:space="preserve">Convergent validity is the correlation between the indicator score and the construct score. The PLS-SEM model meets convergent validity and can be said to be valid if the outer loading value is &gt; 0.7 and the AVE value is &gt; 0.5 </w:t>
      </w:r>
      <w:r w:rsidR="00A30815">
        <w:rPr>
          <w:rStyle w:val="FootnoteReference"/>
          <w:rFonts w:ascii="Cambria" w:eastAsia="Cambria" w:hAnsi="Cambria"/>
          <w:color w:val="000000"/>
          <w:szCs w:val="24"/>
          <w:lang w:val="en-US"/>
        </w:rPr>
        <w:fldChar w:fldCharType="begin" w:fldLock="1"/>
      </w:r>
      <w:r w:rsidR="00A30815">
        <w:rPr>
          <w:rFonts w:ascii="Cambria" w:eastAsia="Cambria" w:hAnsi="Cambria"/>
          <w:color w:val="000000"/>
          <w:szCs w:val="24"/>
          <w:lang w:val="en-US"/>
        </w:rPr>
        <w:instrText>ADDIN CSL_CITATION {"citationItems":[{"id":"ITEM-1","itemData":{"author":[{"dropping-particle":"","family":"Jogiyanto","given":"H M","non-dropping-particle":"","parse-names":false,"suffix":""},{"dropping-particle":"","family":"Abdillah","given":"W","non-dropping-particle":"","parse-names":false,"suffix":""}],"container-title":"Yogyakarta: BPFE-UGM","id":"ITEM-1","issued":{"date-parts":[["2009"]]},"note":"Cited By (since 2009): 75","title":"Konsep dan Aplikasi PLS untuk penelitian empiris","type":"article"},"uris":["http://www.mendeley.com/documents/?uuid=f04e2d63-7770-40a8-880a-e7109868a7e0"]}],"mendeley":{"formattedCitation":"(Jogiyanto &amp; Abdillah, 2009)","plainTextFormattedCitation":"(Jogiyanto &amp; Abdillah, 2009)","previouslyFormattedCitation":"(Jogiyanto &amp; Abdillah, 2009)"},"properties":{"noteIndex":0},"schema":"https://github.com/citation-style-language/schema/raw/master/csl-citation.json"}</w:instrText>
      </w:r>
      <w:r w:rsidR="00A30815">
        <w:rPr>
          <w:rStyle w:val="FootnoteReference"/>
          <w:rFonts w:ascii="Cambria" w:eastAsia="Cambria" w:hAnsi="Cambria"/>
          <w:color w:val="000000"/>
          <w:szCs w:val="24"/>
          <w:lang w:val="en-US"/>
        </w:rPr>
        <w:fldChar w:fldCharType="separate"/>
      </w:r>
      <w:r w:rsidR="00A30815" w:rsidRPr="00A30815">
        <w:rPr>
          <w:rFonts w:ascii="Cambria" w:eastAsia="Cambria" w:hAnsi="Cambria"/>
          <w:noProof/>
          <w:color w:val="000000"/>
          <w:szCs w:val="24"/>
          <w:lang w:val="en-US"/>
        </w:rPr>
        <w:t>(Jogiyanto &amp; Abdillah, 2009)</w:t>
      </w:r>
      <w:r w:rsidR="00A30815">
        <w:rPr>
          <w:rStyle w:val="FootnoteReference"/>
          <w:rFonts w:ascii="Cambria" w:eastAsia="Cambria" w:hAnsi="Cambria"/>
          <w:color w:val="000000"/>
          <w:szCs w:val="24"/>
          <w:lang w:val="en-US"/>
        </w:rPr>
        <w:fldChar w:fldCharType="end"/>
      </w:r>
      <w:r>
        <w:rPr>
          <w:rFonts w:ascii="Cambria" w:eastAsia="Cambria" w:hAnsi="Cambria"/>
          <w:color w:val="000000"/>
          <w:szCs w:val="24"/>
          <w:lang w:val="en-US"/>
        </w:rPr>
        <w:t>. The data in this study shows that there are no variable indicators whose outer loading value is below 0.7, so that all indicators are declared suitable or valid for research use and can be used for further analysis. Apart from that, the convergent validity test is seen from the Average Variance Extracted (AVE) value. The variables in this research already have an AVE value &gt; 0.5. The AVE value in the model can be seen in table 3 below.</w:t>
      </w:r>
    </w:p>
    <w:p w:rsidR="00A2008D" w:rsidRDefault="00856E33">
      <w:pPr>
        <w:spacing w:after="120" w:line="276" w:lineRule="auto"/>
        <w:ind w:left="0" w:hanging="2"/>
        <w:jc w:val="center"/>
        <w:rPr>
          <w:rFonts w:ascii="Cambria" w:eastAsia="Cambria" w:hAnsi="Cambria" w:cs="Cambria"/>
          <w:b/>
          <w:color w:val="000000"/>
          <w:sz w:val="20"/>
          <w:szCs w:val="20"/>
          <w:lang w:val="en-US"/>
        </w:rPr>
      </w:pPr>
      <w:bookmarkStart w:id="0" w:name="_Toc107968632"/>
      <w:r>
        <w:rPr>
          <w:rFonts w:ascii="Cambria" w:eastAsia="Cambria" w:hAnsi="Cambria" w:cs="Cambria"/>
          <w:b/>
          <w:color w:val="000000"/>
          <w:sz w:val="20"/>
          <w:szCs w:val="20"/>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rPr>
        <w:t xml:space="preserve"> </w:t>
      </w:r>
      <w:bookmarkEnd w:id="0"/>
      <w:r w:rsidR="000A286E">
        <w:rPr>
          <w:rFonts w:ascii="Cambria" w:eastAsia="Cambria" w:hAnsi="Cambria" w:cs="Cambria"/>
          <w:b/>
          <w:color w:val="000000"/>
          <w:sz w:val="20"/>
          <w:szCs w:val="20"/>
          <w:lang w:val="en-US"/>
        </w:rPr>
        <w:t>4</w:t>
      </w:r>
      <w:r>
        <w:rPr>
          <w:rFonts w:ascii="Cambria" w:eastAsia="Cambria" w:hAnsi="Cambria" w:cs="Cambria"/>
          <w:b/>
          <w:color w:val="000000"/>
          <w:sz w:val="20"/>
          <w:szCs w:val="20"/>
          <w:lang w:val="en-US"/>
        </w:rPr>
        <w:t xml:space="preserve">. </w:t>
      </w:r>
      <w:r>
        <w:rPr>
          <w:rFonts w:ascii="Cambria" w:eastAsia="Cambria" w:hAnsi="Cambria" w:cs="Cambria"/>
          <w:b/>
          <w:color w:val="000000"/>
          <w:sz w:val="20"/>
          <w:szCs w:val="20"/>
          <w:lang w:val="zh-CN"/>
        </w:rPr>
        <w:t>Average Variance Extracted (AVE)</w:t>
      </w:r>
      <w:r>
        <w:rPr>
          <w:rFonts w:ascii="Cambria" w:eastAsia="Cambria" w:hAnsi="Cambria" w:cs="Cambria"/>
          <w:b/>
          <w:color w:val="000000"/>
          <w:sz w:val="20"/>
          <w:szCs w:val="20"/>
          <w:lang w:val="en-US"/>
        </w:rPr>
        <w:t xml:space="preserve"> Value</w:t>
      </w:r>
    </w:p>
    <w:tbl>
      <w:tblPr>
        <w:tblStyle w:val="LightShading"/>
        <w:tblW w:w="0" w:type="auto"/>
        <w:jc w:val="center"/>
        <w:tblBorders>
          <w:top w:val="single" w:sz="8" w:space="0" w:color="000000" w:themeColor="text1"/>
          <w:bottom w:val="single" w:sz="8" w:space="0" w:color="000000" w:themeColor="text1"/>
          <w:insideH w:val="single" w:sz="4" w:space="0" w:color="auto"/>
        </w:tblBorders>
        <w:tblLook w:val="04A0" w:firstRow="1" w:lastRow="0" w:firstColumn="1" w:lastColumn="0" w:noHBand="0" w:noVBand="1"/>
      </w:tblPr>
      <w:tblGrid>
        <w:gridCol w:w="3134"/>
        <w:gridCol w:w="2424"/>
      </w:tblGrid>
      <w:tr w:rsidR="00A2008D" w:rsidTr="00A2008D">
        <w:trPr>
          <w:cnfStyle w:val="100000000000" w:firstRow="1" w:lastRow="0" w:firstColumn="0" w:lastColumn="0" w:oddVBand="0" w:evenVBand="0" w:oddHBand="0"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3134" w:type="dxa"/>
            <w:tcBorders>
              <w:top w:val="single" w:sz="8" w:space="0" w:color="000000" w:themeColor="text1"/>
              <w:left w:val="nil"/>
            </w:tcBorders>
            <w:shd w:val="clear" w:color="auto" w:fill="auto"/>
          </w:tcPr>
          <w:p w:rsidR="00A2008D" w:rsidRPr="008B3E86" w:rsidRDefault="00856E33" w:rsidP="008B3E86">
            <w:pPr>
              <w:spacing w:line="276" w:lineRule="auto"/>
              <w:ind w:left="0" w:hanging="2"/>
              <w:jc w:val="center"/>
              <w:rPr>
                <w:rFonts w:ascii="Cambria" w:eastAsia="Cambria" w:hAnsi="Cambria" w:cs="Cambria"/>
                <w:bCs w:val="0"/>
                <w:sz w:val="20"/>
                <w:szCs w:val="20"/>
                <w:lang w:val="en-US"/>
              </w:rPr>
            </w:pPr>
            <w:r w:rsidRPr="008B3E86">
              <w:rPr>
                <w:rFonts w:ascii="Cambria" w:eastAsia="Cambria" w:hAnsi="Cambria" w:cs="Cambria"/>
                <w:bCs w:val="0"/>
                <w:sz w:val="20"/>
                <w:szCs w:val="20"/>
              </w:rPr>
              <w:t>Variabl</w:t>
            </w:r>
            <w:r w:rsidRPr="008B3E86">
              <w:rPr>
                <w:rFonts w:ascii="Cambria" w:eastAsia="Cambria" w:hAnsi="Cambria" w:cs="Cambria"/>
                <w:bCs w:val="0"/>
                <w:sz w:val="20"/>
                <w:szCs w:val="20"/>
                <w:lang w:val="en-US"/>
              </w:rPr>
              <w:t>e</w:t>
            </w:r>
          </w:p>
        </w:tc>
        <w:tc>
          <w:tcPr>
            <w:tcW w:w="2424" w:type="dxa"/>
            <w:tcBorders>
              <w:top w:val="single" w:sz="8" w:space="0" w:color="000000" w:themeColor="text1"/>
            </w:tcBorders>
            <w:shd w:val="clear" w:color="auto" w:fill="auto"/>
          </w:tcPr>
          <w:p w:rsidR="00A2008D" w:rsidRPr="008B3E86" w:rsidRDefault="00856E33" w:rsidP="008B3E86">
            <w:pPr>
              <w:spacing w:line="276" w:lineRule="auto"/>
              <w:ind w:left="0" w:hanging="2"/>
              <w:jc w:val="center"/>
              <w:cnfStyle w:val="100000000000" w:firstRow="1" w:lastRow="0" w:firstColumn="0" w:lastColumn="0" w:oddVBand="0" w:evenVBand="0" w:oddHBand="0" w:evenHBand="0" w:firstRowFirstColumn="0" w:firstRowLastColumn="0" w:lastRowFirstColumn="0" w:lastRowLastColumn="0"/>
              <w:rPr>
                <w:rFonts w:ascii="Cambria" w:eastAsia="Cambria" w:hAnsi="Cambria" w:cs="Cambria"/>
                <w:bCs w:val="0"/>
                <w:sz w:val="20"/>
                <w:szCs w:val="20"/>
                <w:lang w:val="en-US"/>
              </w:rPr>
            </w:pPr>
            <w:r w:rsidRPr="008B3E86">
              <w:rPr>
                <w:rFonts w:ascii="Cambria" w:eastAsia="Cambria" w:hAnsi="Cambria" w:cs="Cambria"/>
                <w:bCs w:val="0"/>
                <w:sz w:val="20"/>
                <w:szCs w:val="20"/>
              </w:rPr>
              <w:t>AVE</w:t>
            </w:r>
            <w:r w:rsidRPr="008B3E86">
              <w:rPr>
                <w:rFonts w:ascii="Cambria" w:eastAsia="Cambria" w:hAnsi="Cambria" w:cs="Cambria"/>
                <w:bCs w:val="0"/>
                <w:sz w:val="20"/>
                <w:szCs w:val="20"/>
                <w:lang w:val="en-US"/>
              </w:rPr>
              <w:t xml:space="preserve"> Value</w:t>
            </w:r>
          </w:p>
        </w:tc>
      </w:tr>
      <w:tr w:rsidR="008B3E86" w:rsidTr="002A5D76">
        <w:trPr>
          <w:trHeight w:val="287"/>
          <w:jc w:val="center"/>
        </w:trPr>
        <w:tc>
          <w:tcPr>
            <w:cnfStyle w:val="001000000000" w:firstRow="0" w:lastRow="0" w:firstColumn="1" w:lastColumn="0" w:oddVBand="0" w:evenVBand="0" w:oddHBand="0" w:evenHBand="0" w:firstRowFirstColumn="0" w:firstRowLastColumn="0" w:lastRowFirstColumn="0" w:lastRowLastColumn="0"/>
            <w:tcW w:w="3134" w:type="dxa"/>
            <w:tcBorders>
              <w:left w:val="nil"/>
              <w:right w:val="nil"/>
            </w:tcBorders>
            <w:shd w:val="clear" w:color="auto" w:fill="auto"/>
          </w:tcPr>
          <w:p w:rsidR="008B3E86" w:rsidRDefault="008B3E86" w:rsidP="008B3E86">
            <w:pPr>
              <w:spacing w:line="276" w:lineRule="auto"/>
              <w:ind w:left="0" w:hanging="2"/>
              <w:jc w:val="center"/>
              <w:rPr>
                <w:rFonts w:ascii="Cambria" w:eastAsia="Cambria" w:hAnsi="Cambria" w:cs="Cambria"/>
                <w:b w:val="0"/>
                <w:bCs w:val="0"/>
                <w:sz w:val="20"/>
                <w:szCs w:val="20"/>
              </w:rPr>
            </w:pPr>
            <w:r>
              <w:rPr>
                <w:rFonts w:ascii="Cambria" w:eastAsia="Cambria" w:hAnsi="Cambria" w:cs="Cambria"/>
                <w:b w:val="0"/>
                <w:sz w:val="20"/>
                <w:szCs w:val="20"/>
              </w:rPr>
              <w:t>(X)</w:t>
            </w:r>
          </w:p>
        </w:tc>
        <w:tc>
          <w:tcPr>
            <w:tcW w:w="2424" w:type="dxa"/>
            <w:tcBorders>
              <w:right w:val="nil"/>
            </w:tcBorders>
            <w:shd w:val="clear" w:color="auto" w:fill="auto"/>
            <w:vAlign w:val="bottom"/>
          </w:tcPr>
          <w:p w:rsidR="008B3E86" w:rsidRPr="008B3E86" w:rsidRDefault="008B3E86" w:rsidP="008B3E86">
            <w:pPr>
              <w:spacing w:line="276" w:lineRule="auto"/>
              <w:ind w:left="0" w:hanging="2"/>
              <w:jc w:val="center"/>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rPr>
            </w:pPr>
            <w:r w:rsidRPr="008B3E86">
              <w:rPr>
                <w:rFonts w:ascii="Cambria" w:eastAsia="Cambria" w:hAnsi="Cambria" w:cs="Cambria"/>
                <w:bCs/>
                <w:sz w:val="20"/>
                <w:szCs w:val="20"/>
              </w:rPr>
              <w:t>0.735</w:t>
            </w:r>
          </w:p>
        </w:tc>
      </w:tr>
      <w:tr w:rsidR="008B3E86" w:rsidTr="002A5D76">
        <w:trPr>
          <w:trHeight w:val="272"/>
          <w:jc w:val="center"/>
        </w:trPr>
        <w:tc>
          <w:tcPr>
            <w:cnfStyle w:val="001000000000" w:firstRow="0" w:lastRow="0" w:firstColumn="1" w:lastColumn="0" w:oddVBand="0" w:evenVBand="0" w:oddHBand="0" w:evenHBand="0" w:firstRowFirstColumn="0" w:firstRowLastColumn="0" w:lastRowFirstColumn="0" w:lastRowLastColumn="0"/>
            <w:tcW w:w="3134" w:type="dxa"/>
            <w:shd w:val="clear" w:color="auto" w:fill="auto"/>
          </w:tcPr>
          <w:p w:rsidR="008B3E86" w:rsidRDefault="008B3E86" w:rsidP="008B3E86">
            <w:pPr>
              <w:spacing w:line="276" w:lineRule="auto"/>
              <w:ind w:left="0" w:hanging="2"/>
              <w:jc w:val="center"/>
              <w:rPr>
                <w:rFonts w:ascii="Cambria" w:eastAsia="Cambria" w:hAnsi="Cambria" w:cs="Cambria"/>
                <w:b w:val="0"/>
                <w:bCs w:val="0"/>
                <w:sz w:val="20"/>
                <w:szCs w:val="20"/>
              </w:rPr>
            </w:pPr>
            <w:r>
              <w:rPr>
                <w:rFonts w:ascii="Cambria" w:eastAsia="Cambria" w:hAnsi="Cambria" w:cs="Cambria"/>
                <w:b w:val="0"/>
                <w:sz w:val="20"/>
                <w:szCs w:val="20"/>
              </w:rPr>
              <w:t>(Y)</w:t>
            </w:r>
          </w:p>
        </w:tc>
        <w:tc>
          <w:tcPr>
            <w:tcW w:w="2424" w:type="dxa"/>
            <w:shd w:val="clear" w:color="auto" w:fill="auto"/>
            <w:vAlign w:val="bottom"/>
          </w:tcPr>
          <w:p w:rsidR="008B3E86" w:rsidRPr="008B3E86" w:rsidRDefault="008B3E86" w:rsidP="008B3E86">
            <w:pPr>
              <w:spacing w:line="276" w:lineRule="auto"/>
              <w:ind w:left="0" w:hanging="2"/>
              <w:jc w:val="center"/>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rPr>
            </w:pPr>
            <w:r w:rsidRPr="008B3E86">
              <w:rPr>
                <w:rFonts w:ascii="Cambria" w:eastAsia="Cambria" w:hAnsi="Cambria" w:cs="Cambria"/>
                <w:bCs/>
                <w:sz w:val="20"/>
                <w:szCs w:val="20"/>
              </w:rPr>
              <w:t>0.795</w:t>
            </w:r>
          </w:p>
        </w:tc>
      </w:tr>
    </w:tbl>
    <w:p w:rsidR="00A2008D" w:rsidRDefault="00856E33">
      <w:pPr>
        <w:spacing w:after="120" w:line="276" w:lineRule="auto"/>
        <w:ind w:left="0" w:hanging="2"/>
        <w:jc w:val="left"/>
        <w:rPr>
          <w:rFonts w:ascii="Cambria" w:eastAsia="Cambria" w:hAnsi="Cambria" w:cs="Cambria"/>
          <w:b/>
          <w:color w:val="000000"/>
          <w:sz w:val="20"/>
          <w:szCs w:val="20"/>
        </w:rPr>
      </w:pPr>
      <w:r>
        <w:rPr>
          <w:rFonts w:ascii="Cambria" w:eastAsia="Cambria" w:hAnsi="Cambria" w:cs="Cambria"/>
          <w:b/>
          <w:color w:val="000000"/>
          <w:sz w:val="20"/>
          <w:szCs w:val="20"/>
        </w:rPr>
        <w:t>Source: Data processed with SmartPLS 4.0 (2023)</w:t>
      </w:r>
    </w:p>
    <w:p w:rsidR="00A2008D" w:rsidRDefault="00856E33" w:rsidP="00A30815">
      <w:pPr>
        <w:spacing w:line="276" w:lineRule="auto"/>
        <w:ind w:leftChars="0" w:left="0" w:firstLineChars="0" w:firstLine="720"/>
        <w:rPr>
          <w:rFonts w:ascii="Cambria" w:eastAsia="Cambria" w:hAnsi="Cambria" w:cs="Cambria"/>
          <w:color w:val="000000"/>
          <w:szCs w:val="24"/>
        </w:rPr>
      </w:pPr>
      <w:r>
        <w:rPr>
          <w:rFonts w:ascii="Cambria" w:eastAsia="Cambria" w:hAnsi="Cambria" w:cs="Cambria"/>
          <w:color w:val="000000"/>
          <w:szCs w:val="24"/>
        </w:rPr>
        <w:t xml:space="preserve">For discriminant validity, the Fornell Larcker Criterion or HTMT and Cross Loading values are used. An indicator is said to meet discriminant validity if the correlation value of the variable with the variable itself on the Fornell Larcker Criterion cannot be smaller than the correlation with other variables, while the HTMT value must be less than 0.9 to ensure discriminant validity between two reflective constructs </w:t>
      </w:r>
      <w:r w:rsidR="00A30815">
        <w:rPr>
          <w:rStyle w:val="FootnoteReference"/>
          <w:rFonts w:ascii="Cambria" w:eastAsia="Cambria" w:hAnsi="Cambria" w:cs="Cambria"/>
          <w:color w:val="000000"/>
          <w:szCs w:val="24"/>
        </w:rPr>
        <w:fldChar w:fldCharType="begin" w:fldLock="1"/>
      </w:r>
      <w:r w:rsidR="00A30815">
        <w:rPr>
          <w:rFonts w:ascii="Cambria" w:eastAsia="Cambria" w:hAnsi="Cambria" w:cs="Cambria"/>
          <w:color w:val="000000"/>
          <w:szCs w:val="24"/>
        </w:rPr>
        <w:instrText>ADDIN CSL_CITATION {"citationItems":[{"id":"ITEM-1","itemData":{"DOI":"10.1007/s11747-014-0403-8","abstract":"Discriminant validity assessment has become a generally accepted prerequisite for analyzing relationships between latent variables. For variance-based structural equation …","author":[{"dropping-particle":"","family":"Henseler","given":"J","non-dropping-particle":"","parse-names":false,"suffix":""},{"dropping-particle":"","family":"Ringle","given":"C M","non-dropping-particle":"","parse-names":false,"suffix":""},{"dropping-particle":"","family":"Sarstedt","given":"M","non-dropping-particle":"","parse-names":false,"suffix":""}],"container-title":"Journal of the academy of marketing …","id":"ITEM-1","issued":{"date-parts":[["2015"]]},"note":"Cited By (since 2015): 20754","publisher":"Springer","title":"A new criterion for assessing discriminant validity in variance-based structural equation modeling","type":"article"},"uris":["http://www.mendeley.com/documents/?uuid=9fcd75c1-8381-4bb3-9b13-7845577cb0dd"]}],"mendeley":{"formattedCitation":"(Henseler et al., 2015)","plainTextFormattedCitation":"(Henseler et al., 2015)","previouslyFormattedCitation":"(Henseler et al., 2015)"},"properties":{"noteIndex":0},"schema":"https://github.com/citation-style-language/schema/raw/master/csl-citation.json"}</w:instrText>
      </w:r>
      <w:r w:rsidR="00A30815">
        <w:rPr>
          <w:rStyle w:val="FootnoteReference"/>
          <w:rFonts w:ascii="Cambria" w:eastAsia="Cambria" w:hAnsi="Cambria" w:cs="Cambria"/>
          <w:color w:val="000000"/>
          <w:szCs w:val="24"/>
        </w:rPr>
        <w:fldChar w:fldCharType="separate"/>
      </w:r>
      <w:r w:rsidR="00A30815" w:rsidRPr="00A30815">
        <w:rPr>
          <w:rFonts w:ascii="Cambria" w:eastAsia="Cambria" w:hAnsi="Cambria" w:cs="Cambria"/>
          <w:noProof/>
          <w:color w:val="000000"/>
          <w:szCs w:val="24"/>
        </w:rPr>
        <w:t>(Henseler et al., 2015)</w:t>
      </w:r>
      <w:r w:rsidR="00A30815">
        <w:rPr>
          <w:rStyle w:val="FootnoteReference"/>
          <w:rFonts w:ascii="Cambria" w:eastAsia="Cambria" w:hAnsi="Cambria" w:cs="Cambria"/>
          <w:color w:val="000000"/>
          <w:szCs w:val="24"/>
        </w:rPr>
        <w:fldChar w:fldCharType="end"/>
      </w:r>
      <w:r>
        <w:rPr>
          <w:rFonts w:ascii="Cambria" w:eastAsia="Cambria" w:hAnsi="Cambria" w:cs="Cambria"/>
          <w:color w:val="000000"/>
          <w:szCs w:val="24"/>
        </w:rPr>
        <w:t>. Meanwhile, the Cross Loading of the indicator on the variable is the largest compared to other variables. The Fornell Larcker Criterion values can be seen in the table below.</w:t>
      </w:r>
    </w:p>
    <w:p w:rsidR="0079200A" w:rsidRDefault="0079200A" w:rsidP="00A30815">
      <w:pPr>
        <w:spacing w:line="276" w:lineRule="auto"/>
        <w:ind w:leftChars="0" w:left="0" w:firstLineChars="0" w:firstLine="720"/>
        <w:rPr>
          <w:rFonts w:ascii="Cambria" w:eastAsia="Cambria" w:hAnsi="Cambria" w:cs="Cambria"/>
          <w:color w:val="000000"/>
          <w:szCs w:val="24"/>
          <w:lang w:val="zh-CN"/>
        </w:rPr>
      </w:pPr>
    </w:p>
    <w:p w:rsidR="00A2008D" w:rsidRDefault="00856E33">
      <w:pPr>
        <w:spacing w:after="120" w:line="276" w:lineRule="auto"/>
        <w:ind w:left="0" w:hanging="2"/>
        <w:jc w:val="center"/>
        <w:rPr>
          <w:rFonts w:ascii="Cambria" w:eastAsia="Cambria" w:hAnsi="Cambria" w:cs="Cambria"/>
          <w:b/>
          <w:color w:val="000000"/>
          <w:sz w:val="20"/>
          <w:szCs w:val="20"/>
          <w:lang w:val="en-US"/>
        </w:rPr>
      </w:pPr>
      <w:r>
        <w:rPr>
          <w:rFonts w:ascii="Cambria" w:eastAsia="Cambria" w:hAnsi="Cambria" w:cs="Cambria"/>
          <w:b/>
          <w:color w:val="000000"/>
          <w:sz w:val="20"/>
          <w:szCs w:val="20"/>
          <w:lang w:val="zh-CN"/>
        </w:rPr>
        <w:lastRenderedPageBreak/>
        <w:t>Tabl</w:t>
      </w:r>
      <w:r>
        <w:rPr>
          <w:rFonts w:ascii="Cambria" w:eastAsia="Cambria" w:hAnsi="Cambria" w:cs="Cambria"/>
          <w:b/>
          <w:color w:val="000000"/>
          <w:sz w:val="20"/>
          <w:szCs w:val="20"/>
          <w:lang w:val="en-US"/>
        </w:rPr>
        <w:t>e</w:t>
      </w:r>
      <w:r w:rsidR="00A02310">
        <w:rPr>
          <w:rFonts w:ascii="Cambria" w:eastAsia="Cambria" w:hAnsi="Cambria" w:cs="Cambria"/>
          <w:b/>
          <w:color w:val="000000"/>
          <w:sz w:val="20"/>
          <w:szCs w:val="20"/>
          <w:lang w:val="zh-CN"/>
        </w:rPr>
        <w:t xml:space="preserve"> </w:t>
      </w:r>
      <w:r w:rsidR="00A02310">
        <w:rPr>
          <w:rFonts w:ascii="Cambria" w:eastAsia="Cambria" w:hAnsi="Cambria" w:cs="Cambria"/>
          <w:b/>
          <w:color w:val="000000"/>
          <w:sz w:val="20"/>
          <w:szCs w:val="20"/>
          <w:lang w:val="en-ID"/>
        </w:rPr>
        <w:t>5</w:t>
      </w:r>
      <w:r>
        <w:rPr>
          <w:rFonts w:ascii="Cambria" w:eastAsia="Cambria" w:hAnsi="Cambria" w:cs="Cambria"/>
          <w:b/>
          <w:color w:val="000000"/>
          <w:sz w:val="20"/>
          <w:szCs w:val="20"/>
          <w:lang w:val="en-US"/>
        </w:rPr>
        <w:t>.</w:t>
      </w:r>
      <w:r>
        <w:rPr>
          <w:rFonts w:ascii="Cambria" w:eastAsia="Cambria" w:hAnsi="Cambria" w:cs="Cambria"/>
          <w:b/>
          <w:color w:val="000000"/>
          <w:sz w:val="20"/>
          <w:szCs w:val="20"/>
          <w:lang w:val="zh-CN"/>
        </w:rPr>
        <w:t xml:space="preserve"> Fornell Larcker Criterion</w:t>
      </w:r>
      <w:r>
        <w:rPr>
          <w:rFonts w:ascii="Cambria" w:eastAsia="Cambria" w:hAnsi="Cambria" w:cs="Cambria"/>
          <w:b/>
          <w:color w:val="000000"/>
          <w:sz w:val="20"/>
          <w:szCs w:val="20"/>
          <w:lang w:val="en-US"/>
        </w:rPr>
        <w:t xml:space="preserve"> Value</w:t>
      </w:r>
    </w:p>
    <w:tbl>
      <w:tblPr>
        <w:tblStyle w:val="LightShading"/>
        <w:tblW w:w="3027" w:type="dxa"/>
        <w:jc w:val="center"/>
        <w:tblBorders>
          <w:top w:val="single" w:sz="8" w:space="0" w:color="000000" w:themeColor="text1"/>
          <w:bottom w:val="single" w:sz="8" w:space="0" w:color="000000" w:themeColor="text1"/>
          <w:insideH w:val="single" w:sz="4" w:space="0" w:color="auto"/>
        </w:tblBorders>
        <w:tblLook w:val="04A0" w:firstRow="1" w:lastRow="0" w:firstColumn="1" w:lastColumn="0" w:noHBand="0" w:noVBand="1"/>
      </w:tblPr>
      <w:tblGrid>
        <w:gridCol w:w="1401"/>
        <w:gridCol w:w="870"/>
        <w:gridCol w:w="756"/>
      </w:tblGrid>
      <w:tr w:rsidR="00D45B7D" w:rsidTr="00D45B7D">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401" w:type="dxa"/>
            <w:tcBorders>
              <w:top w:val="single" w:sz="8" w:space="0" w:color="000000" w:themeColor="text1"/>
              <w:left w:val="nil"/>
            </w:tcBorders>
            <w:shd w:val="clear" w:color="auto" w:fill="auto"/>
          </w:tcPr>
          <w:p w:rsidR="00D45B7D" w:rsidRPr="00A02310" w:rsidRDefault="00D45B7D">
            <w:pPr>
              <w:spacing w:line="276" w:lineRule="auto"/>
              <w:ind w:left="0" w:hanging="2"/>
              <w:rPr>
                <w:rFonts w:ascii="Cambria" w:eastAsia="Cambria" w:hAnsi="Cambria" w:cs="Cambria"/>
                <w:bCs w:val="0"/>
                <w:sz w:val="20"/>
                <w:szCs w:val="20"/>
                <w:lang w:val="en-US"/>
              </w:rPr>
            </w:pPr>
          </w:p>
        </w:tc>
        <w:tc>
          <w:tcPr>
            <w:tcW w:w="870" w:type="dxa"/>
            <w:tcBorders>
              <w:top w:val="single" w:sz="8" w:space="0" w:color="000000" w:themeColor="text1"/>
            </w:tcBorders>
            <w:shd w:val="clear" w:color="auto" w:fill="auto"/>
          </w:tcPr>
          <w:p w:rsidR="00D45B7D" w:rsidRPr="002F26B8" w:rsidRDefault="00D45B7D" w:rsidP="00D45B7D">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bCs w:val="0"/>
                <w:sz w:val="20"/>
                <w:szCs w:val="20"/>
              </w:rPr>
            </w:pPr>
            <w:r w:rsidRPr="002F26B8">
              <w:rPr>
                <w:rFonts w:ascii="Cambria" w:eastAsia="Cambria" w:hAnsi="Cambria" w:cs="Cambria"/>
                <w:bCs w:val="0"/>
                <w:sz w:val="20"/>
                <w:szCs w:val="20"/>
              </w:rPr>
              <w:t>X</w:t>
            </w:r>
          </w:p>
        </w:tc>
        <w:tc>
          <w:tcPr>
            <w:tcW w:w="756" w:type="dxa"/>
            <w:tcBorders>
              <w:top w:val="single" w:sz="8" w:space="0" w:color="000000" w:themeColor="text1"/>
            </w:tcBorders>
            <w:shd w:val="clear" w:color="auto" w:fill="auto"/>
          </w:tcPr>
          <w:p w:rsidR="00D45B7D" w:rsidRPr="002F26B8" w:rsidRDefault="00D45B7D" w:rsidP="00D45B7D">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bCs w:val="0"/>
                <w:sz w:val="20"/>
                <w:szCs w:val="20"/>
              </w:rPr>
            </w:pPr>
            <w:r w:rsidRPr="002F26B8">
              <w:rPr>
                <w:rFonts w:ascii="Cambria" w:eastAsia="Cambria" w:hAnsi="Cambria" w:cs="Cambria"/>
                <w:bCs w:val="0"/>
                <w:sz w:val="20"/>
                <w:szCs w:val="20"/>
              </w:rPr>
              <w:t>Y</w:t>
            </w:r>
          </w:p>
        </w:tc>
      </w:tr>
      <w:tr w:rsidR="00D45B7D" w:rsidTr="00D45B7D">
        <w:trPr>
          <w:trHeight w:val="280"/>
          <w:jc w:val="center"/>
        </w:trPr>
        <w:tc>
          <w:tcPr>
            <w:cnfStyle w:val="001000000000" w:firstRow="0" w:lastRow="0" w:firstColumn="1" w:lastColumn="0" w:oddVBand="0" w:evenVBand="0" w:oddHBand="0" w:evenHBand="0" w:firstRowFirstColumn="0" w:firstRowLastColumn="0" w:lastRowFirstColumn="0" w:lastRowLastColumn="0"/>
            <w:tcW w:w="1401" w:type="dxa"/>
            <w:tcBorders>
              <w:left w:val="nil"/>
              <w:right w:val="nil"/>
            </w:tcBorders>
            <w:shd w:val="clear" w:color="auto" w:fill="auto"/>
          </w:tcPr>
          <w:p w:rsidR="00D45B7D" w:rsidRPr="002F26B8" w:rsidRDefault="00D45B7D" w:rsidP="00D45B7D">
            <w:pPr>
              <w:spacing w:line="276" w:lineRule="auto"/>
              <w:ind w:left="0" w:hanging="2"/>
              <w:rPr>
                <w:rFonts w:ascii="Cambria" w:eastAsia="Cambria" w:hAnsi="Cambria" w:cs="Cambria"/>
                <w:bCs w:val="0"/>
                <w:sz w:val="20"/>
                <w:szCs w:val="20"/>
              </w:rPr>
            </w:pPr>
            <w:r w:rsidRPr="002F26B8">
              <w:rPr>
                <w:rFonts w:ascii="Cambria" w:eastAsia="Cambria" w:hAnsi="Cambria" w:cs="Cambria"/>
                <w:bCs w:val="0"/>
                <w:sz w:val="20"/>
                <w:szCs w:val="20"/>
              </w:rPr>
              <w:t>X</w:t>
            </w:r>
          </w:p>
        </w:tc>
        <w:tc>
          <w:tcPr>
            <w:tcW w:w="870" w:type="dxa"/>
            <w:tcBorders>
              <w:right w:val="nil"/>
            </w:tcBorders>
            <w:shd w:val="clear" w:color="auto" w:fill="D9D9D9" w:themeFill="background1" w:themeFillShade="D9"/>
          </w:tcPr>
          <w:p w:rsidR="00D45B7D" w:rsidRDefault="00D45B7D">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rPr>
            </w:pPr>
            <w:r>
              <w:rPr>
                <w:rFonts w:ascii="Cambria" w:eastAsia="Cambria" w:hAnsi="Cambria" w:cs="Cambria"/>
                <w:sz w:val="20"/>
                <w:szCs w:val="20"/>
              </w:rPr>
              <w:t>0.8</w:t>
            </w:r>
            <w:r>
              <w:rPr>
                <w:rFonts w:ascii="Cambria" w:eastAsia="Cambria" w:hAnsi="Cambria" w:cs="Cambria"/>
                <w:sz w:val="20"/>
                <w:szCs w:val="20"/>
                <w:lang w:val="en-ID"/>
              </w:rPr>
              <w:t>5</w:t>
            </w:r>
            <w:r>
              <w:rPr>
                <w:rFonts w:ascii="Cambria" w:eastAsia="Cambria" w:hAnsi="Cambria" w:cs="Cambria"/>
                <w:sz w:val="20"/>
                <w:szCs w:val="20"/>
              </w:rPr>
              <w:t>8</w:t>
            </w:r>
          </w:p>
        </w:tc>
        <w:tc>
          <w:tcPr>
            <w:tcW w:w="756" w:type="dxa"/>
            <w:tcBorders>
              <w:right w:val="nil"/>
            </w:tcBorders>
            <w:shd w:val="clear" w:color="auto" w:fill="auto"/>
          </w:tcPr>
          <w:p w:rsidR="00D45B7D" w:rsidRDefault="00D45B7D">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rPr>
            </w:pPr>
          </w:p>
        </w:tc>
      </w:tr>
      <w:tr w:rsidR="00D45B7D" w:rsidTr="00D45B7D">
        <w:trPr>
          <w:trHeight w:val="284"/>
          <w:jc w:val="center"/>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rsidR="00D45B7D" w:rsidRPr="002F26B8" w:rsidRDefault="00D45B7D" w:rsidP="00D45B7D">
            <w:pPr>
              <w:spacing w:line="276" w:lineRule="auto"/>
              <w:ind w:left="0" w:hanging="2"/>
              <w:rPr>
                <w:rFonts w:ascii="Cambria" w:eastAsia="Cambria" w:hAnsi="Cambria" w:cs="Cambria"/>
                <w:bCs w:val="0"/>
                <w:sz w:val="20"/>
                <w:szCs w:val="20"/>
              </w:rPr>
            </w:pPr>
            <w:r w:rsidRPr="002F26B8">
              <w:rPr>
                <w:rFonts w:ascii="Cambria" w:eastAsia="Cambria" w:hAnsi="Cambria" w:cs="Cambria"/>
                <w:bCs w:val="0"/>
                <w:sz w:val="20"/>
                <w:szCs w:val="20"/>
              </w:rPr>
              <w:t xml:space="preserve">Y </w:t>
            </w:r>
          </w:p>
        </w:tc>
        <w:tc>
          <w:tcPr>
            <w:tcW w:w="870" w:type="dxa"/>
            <w:shd w:val="clear" w:color="auto" w:fill="auto"/>
          </w:tcPr>
          <w:p w:rsidR="00D45B7D" w:rsidRDefault="00D45B7D">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rPr>
            </w:pPr>
            <w:r>
              <w:rPr>
                <w:rFonts w:ascii="Cambria" w:eastAsia="Cambria" w:hAnsi="Cambria" w:cs="Cambria"/>
                <w:sz w:val="20"/>
                <w:szCs w:val="20"/>
              </w:rPr>
              <w:t>0.59</w:t>
            </w:r>
          </w:p>
        </w:tc>
        <w:tc>
          <w:tcPr>
            <w:tcW w:w="756" w:type="dxa"/>
            <w:shd w:val="clear" w:color="auto" w:fill="D9D9D9" w:themeFill="background1" w:themeFillShade="D9"/>
          </w:tcPr>
          <w:p w:rsidR="00D45B7D" w:rsidRPr="00D45B7D" w:rsidRDefault="00D45B7D">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lang w:val="en-ID"/>
              </w:rPr>
            </w:pPr>
            <w:r>
              <w:rPr>
                <w:rFonts w:ascii="Cambria" w:eastAsia="Cambria" w:hAnsi="Cambria" w:cs="Cambria"/>
                <w:sz w:val="20"/>
                <w:szCs w:val="20"/>
              </w:rPr>
              <w:t>0.89</w:t>
            </w:r>
            <w:r>
              <w:rPr>
                <w:rFonts w:ascii="Cambria" w:eastAsia="Cambria" w:hAnsi="Cambria" w:cs="Cambria"/>
                <w:sz w:val="20"/>
                <w:szCs w:val="20"/>
                <w:lang w:val="en-ID"/>
              </w:rPr>
              <w:t>2</w:t>
            </w:r>
          </w:p>
        </w:tc>
      </w:tr>
    </w:tbl>
    <w:p w:rsidR="00A2008D" w:rsidRDefault="00856E33">
      <w:pPr>
        <w:spacing w:after="120" w:line="276" w:lineRule="auto"/>
        <w:ind w:left="0" w:hanging="2"/>
        <w:jc w:val="left"/>
        <w:rPr>
          <w:rFonts w:ascii="Cambria" w:eastAsia="Cambria" w:hAnsi="Cambria" w:cs="Cambria"/>
          <w:b/>
          <w:color w:val="000000"/>
          <w:sz w:val="20"/>
          <w:szCs w:val="20"/>
        </w:rPr>
      </w:pPr>
      <w:r>
        <w:rPr>
          <w:rFonts w:ascii="Cambria" w:eastAsia="Cambria" w:hAnsi="Cambria" w:cs="Cambria"/>
          <w:b/>
          <w:color w:val="000000"/>
          <w:sz w:val="20"/>
          <w:szCs w:val="20"/>
        </w:rPr>
        <w:t>Source: Data processed with SmartPLS 4.0 (2023)</w:t>
      </w:r>
    </w:p>
    <w:p w:rsidR="00A2008D" w:rsidRDefault="00856E33">
      <w:pPr>
        <w:spacing w:line="276" w:lineRule="auto"/>
        <w:ind w:leftChars="0" w:left="0" w:firstLineChars="0" w:firstLine="720"/>
        <w:rPr>
          <w:rFonts w:ascii="Cambria" w:eastAsia="Cambria" w:hAnsi="Cambria" w:cs="Cambria"/>
          <w:color w:val="000000"/>
          <w:szCs w:val="24"/>
        </w:rPr>
      </w:pPr>
      <w:r>
        <w:rPr>
          <w:rFonts w:ascii="Cambria" w:eastAsia="Cambria" w:hAnsi="Cambria" w:cs="Cambria"/>
          <w:color w:val="000000"/>
          <w:szCs w:val="24"/>
          <w:lang w:val="en-US"/>
        </w:rPr>
        <w:t>Next, the reliability value of the indicators on a variable is tested by Composite Reliability and Cronbach's Alpha. If the Composite Reliability and Cronbach's Alpha values are &gt; 0.7, then a variable can be said to meet Composite Reliability and Cronbach's Alpha. You can see the Composite Reliability and Cronbach's Alpha valu</w:t>
      </w:r>
      <w:r w:rsidR="00A02310">
        <w:rPr>
          <w:rFonts w:ascii="Cambria" w:eastAsia="Cambria" w:hAnsi="Cambria" w:cs="Cambria"/>
          <w:color w:val="000000"/>
          <w:szCs w:val="24"/>
          <w:lang w:val="en-US"/>
        </w:rPr>
        <w:t>es for each variable in table 6.</w:t>
      </w:r>
    </w:p>
    <w:p w:rsidR="00A2008D" w:rsidRDefault="00856E33">
      <w:pPr>
        <w:spacing w:after="120" w:line="276" w:lineRule="auto"/>
        <w:ind w:left="0" w:hanging="2"/>
        <w:jc w:val="center"/>
        <w:rPr>
          <w:rFonts w:ascii="Cambria" w:eastAsia="Cambria" w:hAnsi="Cambria" w:cs="Cambria"/>
          <w:b/>
          <w:color w:val="000000"/>
          <w:sz w:val="20"/>
          <w:szCs w:val="20"/>
          <w:lang w:val="en-US"/>
        </w:rPr>
      </w:pPr>
      <w:bookmarkStart w:id="1" w:name="_Toc107968636"/>
      <w:r>
        <w:rPr>
          <w:rFonts w:ascii="Cambria" w:eastAsia="Cambria" w:hAnsi="Cambria" w:cs="Cambria"/>
          <w:b/>
          <w:color w:val="000000"/>
          <w:sz w:val="20"/>
          <w:szCs w:val="20"/>
          <w:lang w:val="zh-CN"/>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lang w:val="zh-CN"/>
        </w:rPr>
        <w:t xml:space="preserve"> </w:t>
      </w:r>
      <w:r w:rsidR="00A02310">
        <w:rPr>
          <w:rFonts w:ascii="Cambria" w:eastAsia="Cambria" w:hAnsi="Cambria" w:cs="Cambria"/>
          <w:b/>
          <w:color w:val="000000"/>
          <w:sz w:val="20"/>
          <w:szCs w:val="20"/>
          <w:lang w:val="en-US"/>
        </w:rPr>
        <w:t>6</w:t>
      </w:r>
      <w:r>
        <w:rPr>
          <w:rFonts w:ascii="Cambria" w:eastAsia="Cambria" w:hAnsi="Cambria" w:cs="Cambria"/>
          <w:b/>
          <w:color w:val="000000"/>
          <w:sz w:val="20"/>
          <w:szCs w:val="20"/>
          <w:lang w:val="en-US"/>
        </w:rPr>
        <w:t xml:space="preserve">. </w:t>
      </w:r>
      <w:bookmarkEnd w:id="1"/>
      <w:r>
        <w:rPr>
          <w:rFonts w:ascii="Cambria" w:eastAsia="Cambria" w:hAnsi="Cambria" w:cs="Cambria"/>
          <w:b/>
          <w:color w:val="000000"/>
          <w:sz w:val="20"/>
          <w:szCs w:val="20"/>
          <w:lang w:val="zh-CN"/>
        </w:rPr>
        <w:t>Composite Reliability</w:t>
      </w:r>
      <w:r>
        <w:rPr>
          <w:rFonts w:ascii="Cambria" w:eastAsia="Cambria" w:hAnsi="Cambria" w:cs="Cambria"/>
          <w:b/>
          <w:color w:val="000000"/>
          <w:sz w:val="20"/>
          <w:szCs w:val="20"/>
          <w:lang w:val="en-US"/>
        </w:rPr>
        <w:t xml:space="preserve"> and </w:t>
      </w:r>
      <w:r>
        <w:rPr>
          <w:rFonts w:ascii="Cambria" w:eastAsia="Cambria" w:hAnsi="Cambria" w:cs="Cambria"/>
          <w:b/>
          <w:color w:val="000000"/>
          <w:sz w:val="20"/>
          <w:szCs w:val="20"/>
          <w:lang w:val="zh-CN"/>
        </w:rPr>
        <w:t>Cronbach’s Alpha</w:t>
      </w:r>
      <w:r>
        <w:rPr>
          <w:rFonts w:ascii="Cambria" w:eastAsia="Cambria" w:hAnsi="Cambria" w:cs="Cambria"/>
          <w:b/>
          <w:color w:val="000000"/>
          <w:sz w:val="20"/>
          <w:szCs w:val="20"/>
          <w:lang w:val="en-US"/>
        </w:rPr>
        <w:t xml:space="preserve"> Value</w:t>
      </w:r>
    </w:p>
    <w:tbl>
      <w:tblPr>
        <w:tblStyle w:val="LightShading"/>
        <w:tblW w:w="7471" w:type="dxa"/>
        <w:jc w:val="center"/>
        <w:tblBorders>
          <w:top w:val="single" w:sz="8" w:space="0" w:color="000000" w:themeColor="text1"/>
          <w:bottom w:val="single" w:sz="8" w:space="0" w:color="000000" w:themeColor="text1"/>
          <w:insideH w:val="single" w:sz="4" w:space="0" w:color="auto"/>
        </w:tblBorders>
        <w:tblLook w:val="04A0" w:firstRow="1" w:lastRow="0" w:firstColumn="1" w:lastColumn="0" w:noHBand="0" w:noVBand="1"/>
      </w:tblPr>
      <w:tblGrid>
        <w:gridCol w:w="2465"/>
        <w:gridCol w:w="2625"/>
        <w:gridCol w:w="2381"/>
      </w:tblGrid>
      <w:tr w:rsidR="00A2008D" w:rsidTr="00A2008D">
        <w:trPr>
          <w:cnfStyle w:val="100000000000" w:firstRow="1" w:lastRow="0" w:firstColumn="0" w:lastColumn="0" w:oddVBand="0" w:evenVBand="0" w:oddHBand="0"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465" w:type="dxa"/>
            <w:tcBorders>
              <w:top w:val="single" w:sz="8" w:space="0" w:color="000000" w:themeColor="text1"/>
              <w:left w:val="nil"/>
            </w:tcBorders>
            <w:shd w:val="clear" w:color="auto" w:fill="auto"/>
          </w:tcPr>
          <w:p w:rsidR="00A2008D" w:rsidRDefault="00856E33">
            <w:pPr>
              <w:spacing w:line="276" w:lineRule="auto"/>
              <w:ind w:left="0" w:hanging="2"/>
              <w:rPr>
                <w:rFonts w:ascii="Cambria" w:eastAsia="Cambria" w:hAnsi="Cambria" w:cs="Cambria"/>
                <w:b w:val="0"/>
                <w:bCs w:val="0"/>
                <w:sz w:val="20"/>
                <w:szCs w:val="20"/>
                <w:lang w:val="en-US"/>
              </w:rPr>
            </w:pPr>
            <w:r>
              <w:rPr>
                <w:rFonts w:ascii="Cambria" w:eastAsia="Cambria" w:hAnsi="Cambria" w:cs="Cambria"/>
                <w:b w:val="0"/>
                <w:sz w:val="20"/>
                <w:szCs w:val="20"/>
              </w:rPr>
              <w:t>Variabl</w:t>
            </w:r>
            <w:r>
              <w:rPr>
                <w:rFonts w:ascii="Cambria" w:eastAsia="Cambria" w:hAnsi="Cambria" w:cs="Cambria"/>
                <w:b w:val="0"/>
                <w:sz w:val="20"/>
                <w:szCs w:val="20"/>
                <w:lang w:val="en-US"/>
              </w:rPr>
              <w:t>e</w:t>
            </w:r>
          </w:p>
        </w:tc>
        <w:tc>
          <w:tcPr>
            <w:tcW w:w="2625" w:type="dxa"/>
            <w:tcBorders>
              <w:top w:val="single" w:sz="8" w:space="0" w:color="000000" w:themeColor="text1"/>
            </w:tcBorders>
            <w:shd w:val="clear" w:color="auto" w:fill="auto"/>
          </w:tcPr>
          <w:p w:rsidR="00A2008D" w:rsidRDefault="00A02310">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bCs w:val="0"/>
                <w:sz w:val="20"/>
                <w:szCs w:val="20"/>
                <w:lang w:val="en-US"/>
              </w:rPr>
            </w:pPr>
            <w:r>
              <w:rPr>
                <w:rFonts w:ascii="Cambria" w:eastAsia="Cambria" w:hAnsi="Cambria" w:cs="Cambria"/>
                <w:b w:val="0"/>
                <w:sz w:val="20"/>
                <w:szCs w:val="20"/>
                <w:lang w:val="zh-CN"/>
              </w:rPr>
              <w:t>Composite</w:t>
            </w:r>
            <w:r>
              <w:rPr>
                <w:rFonts w:ascii="Cambria" w:eastAsia="Cambria" w:hAnsi="Cambria" w:cs="Cambria"/>
                <w:b w:val="0"/>
                <w:sz w:val="20"/>
                <w:szCs w:val="20"/>
                <w:lang w:val="en-ID"/>
              </w:rPr>
              <w:t xml:space="preserve"> </w:t>
            </w:r>
            <w:r w:rsidR="00856E33">
              <w:rPr>
                <w:rFonts w:ascii="Cambria" w:eastAsia="Cambria" w:hAnsi="Cambria" w:cs="Cambria"/>
                <w:b w:val="0"/>
                <w:sz w:val="20"/>
                <w:szCs w:val="20"/>
                <w:lang w:val="zh-CN"/>
              </w:rPr>
              <w:t>Reliability</w:t>
            </w:r>
            <w:r w:rsidR="00856E33">
              <w:rPr>
                <w:rFonts w:ascii="Cambria" w:eastAsia="Cambria" w:hAnsi="Cambria" w:cs="Cambria"/>
                <w:b w:val="0"/>
                <w:sz w:val="20"/>
                <w:szCs w:val="20"/>
                <w:lang w:val="en-US"/>
              </w:rPr>
              <w:t xml:space="preserve"> Values</w:t>
            </w:r>
          </w:p>
        </w:tc>
        <w:tc>
          <w:tcPr>
            <w:tcW w:w="2381" w:type="dxa"/>
            <w:tcBorders>
              <w:top w:val="single" w:sz="8" w:space="0" w:color="000000" w:themeColor="text1"/>
            </w:tcBorders>
            <w:shd w:val="clear" w:color="auto" w:fill="auto"/>
          </w:tcPr>
          <w:p w:rsidR="00A2008D" w:rsidRDefault="00856E33">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b w:val="0"/>
                <w:bCs w:val="0"/>
                <w:sz w:val="20"/>
                <w:szCs w:val="20"/>
                <w:lang w:val="en-US"/>
              </w:rPr>
            </w:pPr>
            <w:r>
              <w:rPr>
                <w:rFonts w:ascii="Cambria" w:eastAsia="Cambria" w:hAnsi="Cambria" w:cs="Cambria"/>
                <w:b w:val="0"/>
                <w:sz w:val="20"/>
                <w:szCs w:val="20"/>
                <w:lang w:val="zh-CN"/>
              </w:rPr>
              <w:t>Cronbach’s Alpha</w:t>
            </w:r>
            <w:r>
              <w:rPr>
                <w:rFonts w:ascii="Cambria" w:eastAsia="Cambria" w:hAnsi="Cambria" w:cs="Cambria"/>
                <w:b w:val="0"/>
                <w:sz w:val="20"/>
                <w:szCs w:val="20"/>
                <w:lang w:val="en-US"/>
              </w:rPr>
              <w:t xml:space="preserve"> Value</w:t>
            </w:r>
          </w:p>
        </w:tc>
      </w:tr>
      <w:tr w:rsidR="00A2008D" w:rsidTr="00A2008D">
        <w:trPr>
          <w:trHeight w:val="287"/>
          <w:jc w:val="center"/>
        </w:trPr>
        <w:tc>
          <w:tcPr>
            <w:cnfStyle w:val="001000000000" w:firstRow="0" w:lastRow="0" w:firstColumn="1" w:lastColumn="0" w:oddVBand="0" w:evenVBand="0" w:oddHBand="0" w:evenHBand="0" w:firstRowFirstColumn="0" w:firstRowLastColumn="0" w:lastRowFirstColumn="0" w:lastRowLastColumn="0"/>
            <w:tcW w:w="2465" w:type="dxa"/>
            <w:tcBorders>
              <w:left w:val="nil"/>
              <w:right w:val="nil"/>
            </w:tcBorders>
            <w:shd w:val="clear" w:color="auto" w:fill="auto"/>
          </w:tcPr>
          <w:p w:rsidR="00A2008D" w:rsidRPr="00A02310" w:rsidRDefault="00A02310">
            <w:pPr>
              <w:spacing w:line="276" w:lineRule="auto"/>
              <w:ind w:left="0" w:hanging="2"/>
              <w:rPr>
                <w:rFonts w:ascii="Cambria" w:eastAsia="Cambria" w:hAnsi="Cambria" w:cs="Cambria"/>
                <w:b w:val="0"/>
                <w:bCs w:val="0"/>
                <w:sz w:val="20"/>
                <w:szCs w:val="20"/>
                <w:lang w:val="en-ID"/>
              </w:rPr>
            </w:pPr>
            <w:r>
              <w:rPr>
                <w:rFonts w:ascii="Cambria" w:eastAsia="Cambria" w:hAnsi="Cambria" w:cs="Cambria"/>
                <w:b w:val="0"/>
                <w:sz w:val="20"/>
                <w:szCs w:val="20"/>
              </w:rPr>
              <w:t>(X</w:t>
            </w:r>
            <w:r>
              <w:rPr>
                <w:rFonts w:ascii="Cambria" w:eastAsia="Cambria" w:hAnsi="Cambria" w:cs="Cambria"/>
                <w:b w:val="0"/>
                <w:sz w:val="20"/>
                <w:szCs w:val="20"/>
                <w:lang w:val="en-ID"/>
              </w:rPr>
              <w:t>)</w:t>
            </w:r>
          </w:p>
        </w:tc>
        <w:tc>
          <w:tcPr>
            <w:tcW w:w="2625" w:type="dxa"/>
            <w:tcBorders>
              <w:right w:val="nil"/>
            </w:tcBorders>
            <w:shd w:val="clear" w:color="auto" w:fill="auto"/>
          </w:tcPr>
          <w:p w:rsidR="00A2008D" w:rsidRPr="00A02310" w:rsidRDefault="00A02310">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lang w:val="en-ID"/>
              </w:rPr>
            </w:pPr>
            <w:r>
              <w:rPr>
                <w:rFonts w:ascii="Cambria" w:eastAsia="Cambria" w:hAnsi="Cambria" w:cs="Cambria"/>
                <w:sz w:val="20"/>
                <w:szCs w:val="20"/>
              </w:rPr>
              <w:t>0.</w:t>
            </w:r>
            <w:r>
              <w:rPr>
                <w:rFonts w:ascii="Cambria" w:eastAsia="Cambria" w:hAnsi="Cambria" w:cs="Cambria"/>
                <w:sz w:val="20"/>
                <w:szCs w:val="20"/>
                <w:lang w:val="en-ID"/>
              </w:rPr>
              <w:t>933</w:t>
            </w:r>
          </w:p>
        </w:tc>
        <w:tc>
          <w:tcPr>
            <w:tcW w:w="2381" w:type="dxa"/>
            <w:tcBorders>
              <w:right w:val="nil"/>
            </w:tcBorders>
            <w:shd w:val="clear" w:color="auto" w:fill="auto"/>
          </w:tcPr>
          <w:p w:rsidR="00A2008D" w:rsidRPr="00A02310" w:rsidRDefault="00A02310">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lang w:val="en-ID"/>
              </w:rPr>
            </w:pPr>
            <w:r>
              <w:rPr>
                <w:rFonts w:ascii="Cambria" w:eastAsia="Cambria" w:hAnsi="Cambria" w:cs="Cambria"/>
                <w:sz w:val="20"/>
                <w:szCs w:val="20"/>
              </w:rPr>
              <w:t>0.</w:t>
            </w:r>
            <w:r>
              <w:rPr>
                <w:rFonts w:ascii="Cambria" w:eastAsia="Cambria" w:hAnsi="Cambria" w:cs="Cambria"/>
                <w:sz w:val="20"/>
                <w:szCs w:val="20"/>
                <w:lang w:val="en-ID"/>
              </w:rPr>
              <w:t>91</w:t>
            </w:r>
          </w:p>
        </w:tc>
      </w:tr>
      <w:tr w:rsidR="00A2008D" w:rsidTr="00A2008D">
        <w:trPr>
          <w:trHeight w:val="272"/>
          <w:jc w:val="center"/>
        </w:trPr>
        <w:tc>
          <w:tcPr>
            <w:cnfStyle w:val="001000000000" w:firstRow="0" w:lastRow="0" w:firstColumn="1" w:lastColumn="0" w:oddVBand="0" w:evenVBand="0" w:oddHBand="0" w:evenHBand="0" w:firstRowFirstColumn="0" w:firstRowLastColumn="0" w:lastRowFirstColumn="0" w:lastRowLastColumn="0"/>
            <w:tcW w:w="2465" w:type="dxa"/>
            <w:shd w:val="clear" w:color="auto" w:fill="auto"/>
          </w:tcPr>
          <w:p w:rsidR="00A2008D" w:rsidRPr="00A02310" w:rsidRDefault="00856E33" w:rsidP="00A02310">
            <w:pPr>
              <w:spacing w:line="276" w:lineRule="auto"/>
              <w:ind w:left="0" w:hanging="2"/>
              <w:rPr>
                <w:rFonts w:ascii="Cambria" w:eastAsia="Cambria" w:hAnsi="Cambria" w:cs="Cambria"/>
                <w:b w:val="0"/>
                <w:bCs w:val="0"/>
                <w:sz w:val="20"/>
                <w:szCs w:val="20"/>
                <w:lang w:val="en-ID"/>
              </w:rPr>
            </w:pPr>
            <w:r>
              <w:rPr>
                <w:rFonts w:ascii="Cambria" w:eastAsia="Cambria" w:hAnsi="Cambria" w:cs="Cambria"/>
                <w:b w:val="0"/>
                <w:sz w:val="20"/>
                <w:szCs w:val="20"/>
              </w:rPr>
              <w:t>(</w:t>
            </w:r>
            <w:r w:rsidR="00A02310">
              <w:rPr>
                <w:rFonts w:ascii="Cambria" w:eastAsia="Cambria" w:hAnsi="Cambria" w:cs="Cambria"/>
                <w:b w:val="0"/>
                <w:sz w:val="20"/>
                <w:szCs w:val="20"/>
                <w:lang w:val="en-ID"/>
              </w:rPr>
              <w:t>Y)</w:t>
            </w:r>
          </w:p>
        </w:tc>
        <w:tc>
          <w:tcPr>
            <w:tcW w:w="2625" w:type="dxa"/>
            <w:shd w:val="clear" w:color="auto" w:fill="auto"/>
          </w:tcPr>
          <w:p w:rsidR="00A2008D" w:rsidRPr="00A02310" w:rsidRDefault="00856E33">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lang w:val="en-ID"/>
              </w:rPr>
            </w:pPr>
            <w:r>
              <w:rPr>
                <w:rFonts w:ascii="Cambria" w:eastAsia="Cambria" w:hAnsi="Cambria" w:cs="Cambria"/>
                <w:sz w:val="20"/>
                <w:szCs w:val="20"/>
              </w:rPr>
              <w:t>0</w:t>
            </w:r>
            <w:r w:rsidR="00A02310">
              <w:rPr>
                <w:rFonts w:ascii="Cambria" w:eastAsia="Cambria" w:hAnsi="Cambria" w:cs="Cambria"/>
                <w:sz w:val="20"/>
                <w:szCs w:val="20"/>
              </w:rPr>
              <w:t>.9</w:t>
            </w:r>
            <w:r w:rsidR="00A02310">
              <w:rPr>
                <w:rFonts w:ascii="Cambria" w:eastAsia="Cambria" w:hAnsi="Cambria" w:cs="Cambria"/>
                <w:sz w:val="20"/>
                <w:szCs w:val="20"/>
                <w:lang w:val="en-ID"/>
              </w:rPr>
              <w:t>39</w:t>
            </w:r>
          </w:p>
        </w:tc>
        <w:tc>
          <w:tcPr>
            <w:tcW w:w="2381" w:type="dxa"/>
            <w:shd w:val="clear" w:color="auto" w:fill="auto"/>
          </w:tcPr>
          <w:p w:rsidR="00A2008D" w:rsidRPr="00A02310" w:rsidRDefault="00A02310">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sz w:val="20"/>
                <w:szCs w:val="20"/>
                <w:lang w:val="en-ID"/>
              </w:rPr>
            </w:pPr>
            <w:r>
              <w:rPr>
                <w:rFonts w:ascii="Cambria" w:eastAsia="Cambria" w:hAnsi="Cambria" w:cs="Cambria"/>
                <w:sz w:val="20"/>
                <w:szCs w:val="20"/>
              </w:rPr>
              <w:t>0.91</w:t>
            </w:r>
            <w:r>
              <w:rPr>
                <w:rFonts w:ascii="Cambria" w:eastAsia="Cambria" w:hAnsi="Cambria" w:cs="Cambria"/>
                <w:sz w:val="20"/>
                <w:szCs w:val="20"/>
                <w:lang w:val="en-ID"/>
              </w:rPr>
              <w:t>3</w:t>
            </w:r>
          </w:p>
        </w:tc>
      </w:tr>
    </w:tbl>
    <w:p w:rsidR="00A2008D" w:rsidRDefault="00856E33">
      <w:pPr>
        <w:spacing w:after="120" w:line="276" w:lineRule="auto"/>
        <w:ind w:left="0" w:hanging="2"/>
        <w:jc w:val="left"/>
        <w:rPr>
          <w:rFonts w:ascii="Cambria" w:eastAsia="Cambria" w:hAnsi="Cambria" w:cs="Cambria"/>
          <w:color w:val="000000"/>
          <w:szCs w:val="24"/>
        </w:rPr>
      </w:pPr>
      <w:r>
        <w:rPr>
          <w:rFonts w:ascii="Cambria" w:eastAsia="Cambria" w:hAnsi="Cambria" w:cs="Cambria"/>
          <w:b/>
          <w:color w:val="000000"/>
          <w:sz w:val="20"/>
          <w:szCs w:val="20"/>
        </w:rPr>
        <w:t>Source: Data processed with SmartPLS 4.0 (2023)</w:t>
      </w:r>
    </w:p>
    <w:p w:rsidR="00A2008D" w:rsidRDefault="00856E33" w:rsidP="006126CA">
      <w:pPr>
        <w:spacing w:line="276" w:lineRule="auto"/>
        <w:ind w:leftChars="0" w:left="0" w:firstLineChars="0" w:firstLine="720"/>
        <w:rPr>
          <w:rFonts w:ascii="Cambria" w:eastAsia="Cambria" w:hAnsi="Cambria" w:cs="Cambria"/>
          <w:color w:val="000000"/>
          <w:szCs w:val="24"/>
        </w:rPr>
      </w:pPr>
      <w:r>
        <w:rPr>
          <w:rFonts w:ascii="Cambria" w:eastAsia="Cambria" w:hAnsi="Cambria" w:cs="Cambria"/>
          <w:color w:val="000000"/>
          <w:szCs w:val="24"/>
        </w:rPr>
        <w:t>To see the direct and indirect influence between variables, a structural model test or Inner Model evaluation is carried out. Starting by looking at the R-Square value, then the path coefficient, T-Statistic (bootstrapping), predictive relevance, and model fit to evaluate the Inner Model with PLS-SEM. In this research, the R-Square value shown in the table for</w:t>
      </w:r>
      <w:r w:rsidR="006126CA">
        <w:rPr>
          <w:rFonts w:ascii="Cambria" w:eastAsia="Cambria" w:hAnsi="Cambria" w:cs="Cambria"/>
          <w:color w:val="000000"/>
          <w:szCs w:val="24"/>
        </w:rPr>
        <w:t xml:space="preserve"> the intention variable is 0.</w:t>
      </w:r>
      <w:r w:rsidR="006126CA">
        <w:rPr>
          <w:rFonts w:ascii="Cambria" w:eastAsia="Cambria" w:hAnsi="Cambria" w:cs="Cambria"/>
          <w:color w:val="000000"/>
          <w:szCs w:val="24"/>
          <w:lang w:val="en-ID"/>
        </w:rPr>
        <w:t>349</w:t>
      </w:r>
      <w:r>
        <w:rPr>
          <w:rFonts w:ascii="Cambria" w:eastAsia="Cambria" w:hAnsi="Cambria" w:cs="Cambria"/>
          <w:color w:val="000000"/>
          <w:szCs w:val="24"/>
        </w:rPr>
        <w:t>, which means that the percentage infl</w:t>
      </w:r>
      <w:r w:rsidR="006126CA">
        <w:rPr>
          <w:rFonts w:ascii="Cambria" w:eastAsia="Cambria" w:hAnsi="Cambria" w:cs="Cambria"/>
          <w:color w:val="000000"/>
          <w:szCs w:val="24"/>
        </w:rPr>
        <w:t xml:space="preserve">uence of </w:t>
      </w:r>
      <w:r w:rsidR="006126CA">
        <w:rPr>
          <w:rFonts w:ascii="Cambria" w:eastAsia="Cambria" w:hAnsi="Cambria" w:cs="Cambria"/>
          <w:color w:val="000000"/>
          <w:szCs w:val="24"/>
          <w:lang w:val="en-ID"/>
        </w:rPr>
        <w:t xml:space="preserve">impression </w:t>
      </w:r>
      <w:r w:rsidR="006126CA" w:rsidRPr="006126CA">
        <w:rPr>
          <w:rFonts w:ascii="Cambria" w:eastAsia="Cambria" w:hAnsi="Cambria" w:cs="Cambria"/>
          <w:color w:val="000000"/>
          <w:szCs w:val="24"/>
        </w:rPr>
        <w:t xml:space="preserve">on the professionalization of </w:t>
      </w:r>
      <w:r w:rsidR="00CB7C8E" w:rsidRPr="00CB7C8E">
        <w:rPr>
          <w:rFonts w:ascii="Cambria" w:eastAsia="Cambria" w:hAnsi="Cambria" w:cs="Cambria"/>
          <w:i/>
          <w:color w:val="000000"/>
          <w:szCs w:val="24"/>
        </w:rPr>
        <w:t>amil</w:t>
      </w:r>
      <w:r w:rsidR="006126CA">
        <w:rPr>
          <w:rFonts w:ascii="Cambria" w:eastAsia="Cambria" w:hAnsi="Cambria" w:cs="Cambria"/>
          <w:color w:val="000000"/>
          <w:szCs w:val="24"/>
        </w:rPr>
        <w:t xml:space="preserve"> is </w:t>
      </w:r>
      <w:r w:rsidR="006126CA">
        <w:rPr>
          <w:rFonts w:ascii="Cambria" w:eastAsia="Cambria" w:hAnsi="Cambria" w:cs="Cambria"/>
          <w:color w:val="000000"/>
          <w:szCs w:val="24"/>
          <w:lang w:val="en-ID"/>
        </w:rPr>
        <w:t>34.9</w:t>
      </w:r>
      <w:r>
        <w:rPr>
          <w:rFonts w:ascii="Cambria" w:eastAsia="Cambria" w:hAnsi="Cambria" w:cs="Cambria"/>
          <w:color w:val="000000"/>
          <w:szCs w:val="24"/>
        </w:rPr>
        <w:t>%</w:t>
      </w:r>
      <w:r w:rsidR="006126CA">
        <w:rPr>
          <w:rFonts w:ascii="Cambria" w:eastAsia="Cambria" w:hAnsi="Cambria" w:cs="Cambria"/>
          <w:color w:val="000000"/>
          <w:szCs w:val="24"/>
          <w:lang w:val="en-ID"/>
        </w:rPr>
        <w:t>.</w:t>
      </w:r>
      <w:r>
        <w:rPr>
          <w:rFonts w:ascii="Cambria" w:eastAsia="Cambria" w:hAnsi="Cambria" w:cs="Cambria"/>
          <w:color w:val="000000"/>
          <w:szCs w:val="24"/>
        </w:rPr>
        <w:t xml:space="preserve"> </w:t>
      </w:r>
    </w:p>
    <w:p w:rsidR="00A2008D" w:rsidRPr="0079200A" w:rsidRDefault="00856E33" w:rsidP="0079200A">
      <w:pPr>
        <w:spacing w:line="276" w:lineRule="auto"/>
        <w:ind w:leftChars="0" w:left="0" w:firstLineChars="0" w:firstLine="720"/>
        <w:rPr>
          <w:rFonts w:ascii="Cambria" w:eastAsia="Cambria" w:hAnsi="Cambria" w:cs="Cambria"/>
          <w:color w:val="000000"/>
          <w:szCs w:val="24"/>
          <w:lang w:val="en-ID"/>
        </w:rPr>
      </w:pPr>
      <w:r>
        <w:rPr>
          <w:rFonts w:ascii="Cambria" w:eastAsia="Cambria" w:hAnsi="Cambria" w:cs="Cambria"/>
          <w:color w:val="000000"/>
          <w:szCs w:val="24"/>
          <w:lang w:val="zh-CN"/>
        </w:rPr>
        <w:t xml:space="preserve">  </w:t>
      </w:r>
      <w:r w:rsidR="0079200A" w:rsidRPr="0079200A">
        <w:rPr>
          <w:rFonts w:ascii="Cambria" w:eastAsia="Cambria" w:hAnsi="Cambria" w:cs="Cambria"/>
          <w:color w:val="000000"/>
          <w:szCs w:val="24"/>
        </w:rPr>
        <w:t>The path coefficient value is a value that shows the direction of the variable relationship, whether the hypotheses have a positive or negative direction. These path coefficients are between -1 to 1. If the value is 0 to 1 then the relationship is positive and if the value is 0 to -1 then the relationship is negative. The results of the analysis show that variable X has a positive re</w:t>
      </w:r>
      <w:r w:rsidR="0079200A">
        <w:rPr>
          <w:rFonts w:ascii="Cambria" w:eastAsia="Cambria" w:hAnsi="Cambria" w:cs="Cambria"/>
          <w:color w:val="000000"/>
          <w:szCs w:val="24"/>
        </w:rPr>
        <w:t>lationship with Y, namely 0.590</w:t>
      </w:r>
      <w:r>
        <w:rPr>
          <w:rFonts w:ascii="Cambria" w:eastAsia="Cambria" w:hAnsi="Cambria" w:cs="Cambria"/>
          <w:color w:val="000000"/>
          <w:szCs w:val="24"/>
        </w:rPr>
        <w:t>.</w:t>
      </w:r>
      <w:r w:rsidR="0079200A">
        <w:rPr>
          <w:rFonts w:ascii="Cambria" w:eastAsia="Cambria" w:hAnsi="Cambria" w:cs="Cambria"/>
          <w:color w:val="000000"/>
          <w:szCs w:val="24"/>
          <w:lang w:val="en-ID"/>
        </w:rPr>
        <w:t xml:space="preserve"> </w:t>
      </w:r>
      <w:r w:rsidR="0079200A" w:rsidRPr="0079200A">
        <w:rPr>
          <w:rFonts w:ascii="Cambria" w:eastAsia="Cambria" w:hAnsi="Cambria" w:cs="Cambria"/>
          <w:color w:val="000000"/>
          <w:szCs w:val="24"/>
          <w:lang w:val="en-ID"/>
        </w:rPr>
        <w:t>This means that the greater the value of variable X, the greater the intention will increase by the value of the coefficient.</w:t>
      </w:r>
    </w:p>
    <w:p w:rsidR="00A2008D" w:rsidRDefault="00856E33" w:rsidP="006110BA">
      <w:pPr>
        <w:spacing w:line="276" w:lineRule="auto"/>
        <w:ind w:leftChars="0" w:left="0" w:firstLineChars="0" w:firstLine="720"/>
        <w:rPr>
          <w:rFonts w:ascii="Cambria" w:eastAsia="Cambria" w:hAnsi="Cambria" w:cs="Cambria"/>
          <w:color w:val="000000"/>
          <w:szCs w:val="24"/>
        </w:rPr>
      </w:pPr>
      <w:r>
        <w:rPr>
          <w:rFonts w:ascii="Cambria" w:eastAsia="Cambria" w:hAnsi="Cambria" w:cs="Cambria"/>
          <w:color w:val="000000"/>
          <w:szCs w:val="24"/>
          <w:lang w:val="en-US"/>
        </w:rPr>
        <w:t xml:space="preserve">After the previous data meets the measurement requirements, the T-Statistics (bootstrapping) test is carried out. </w:t>
      </w:r>
    </w:p>
    <w:p w:rsidR="00A2008D" w:rsidRDefault="00856E33">
      <w:pPr>
        <w:spacing w:line="276" w:lineRule="auto"/>
        <w:ind w:leftChars="0" w:left="0" w:firstLineChars="0" w:firstLine="0"/>
        <w:jc w:val="center"/>
        <w:rPr>
          <w:rFonts w:ascii="Cambria" w:eastAsia="Cambria" w:hAnsi="Cambria" w:cs="Cambria"/>
          <w:color w:val="000000"/>
          <w:szCs w:val="24"/>
          <w:lang w:val="zh-CN"/>
        </w:rPr>
      </w:pPr>
      <w:r>
        <w:rPr>
          <w:rFonts w:ascii="Cambria" w:eastAsia="Cambria" w:hAnsi="Cambria" w:cs="Cambria"/>
          <w:b/>
          <w:color w:val="000000"/>
          <w:sz w:val="20"/>
          <w:szCs w:val="20"/>
          <w:lang w:val="zh-CN"/>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lang w:val="zh-CN"/>
        </w:rPr>
        <w:t xml:space="preserve"> </w:t>
      </w:r>
      <w:r w:rsidR="006110BA">
        <w:rPr>
          <w:rFonts w:ascii="Cambria" w:eastAsia="Cambria" w:hAnsi="Cambria" w:cs="Cambria"/>
          <w:b/>
          <w:color w:val="000000"/>
          <w:sz w:val="20"/>
          <w:szCs w:val="20"/>
          <w:lang w:val="en-US"/>
        </w:rPr>
        <w:t>7</w:t>
      </w:r>
      <w:r>
        <w:rPr>
          <w:rFonts w:ascii="Cambria" w:eastAsia="Cambria" w:hAnsi="Cambria" w:cs="Cambria"/>
          <w:b/>
          <w:color w:val="000000"/>
          <w:sz w:val="20"/>
          <w:szCs w:val="20"/>
          <w:lang w:val="en-US"/>
        </w:rPr>
        <w:t>.</w:t>
      </w:r>
      <w:r>
        <w:rPr>
          <w:rFonts w:ascii="Cambria" w:eastAsia="Cambria" w:hAnsi="Cambria" w:cs="Cambria"/>
          <w:b/>
          <w:color w:val="000000"/>
          <w:sz w:val="20"/>
          <w:szCs w:val="20"/>
          <w:lang w:val="zh-CN"/>
        </w:rPr>
        <w:t xml:space="preserve"> T-statistics (Bootstrapping)</w:t>
      </w:r>
    </w:p>
    <w:tbl>
      <w:tblPr>
        <w:tblW w:w="8000" w:type="dxa"/>
        <w:jc w:val="center"/>
        <w:tblBorders>
          <w:top w:val="none" w:sz="4" w:space="0" w:color="auto"/>
          <w:left w:val="none" w:sz="4" w:space="0" w:color="auto"/>
          <w:bottom w:val="single" w:sz="4" w:space="0" w:color="auto"/>
          <w:right w:val="none" w:sz="4" w:space="0" w:color="auto"/>
          <w:insideH w:val="single" w:sz="4" w:space="0" w:color="auto"/>
          <w:insideV w:val="none" w:sz="4" w:space="0" w:color="auto"/>
        </w:tblBorders>
        <w:tblLayout w:type="fixed"/>
        <w:tblLook w:val="04A0" w:firstRow="1" w:lastRow="0" w:firstColumn="1" w:lastColumn="0" w:noHBand="0" w:noVBand="1"/>
      </w:tblPr>
      <w:tblGrid>
        <w:gridCol w:w="1686"/>
        <w:gridCol w:w="989"/>
        <w:gridCol w:w="1107"/>
        <w:gridCol w:w="1306"/>
        <w:gridCol w:w="1571"/>
        <w:gridCol w:w="1341"/>
      </w:tblGrid>
      <w:tr w:rsidR="00A2008D">
        <w:trPr>
          <w:trHeight w:val="300"/>
          <w:jc w:val="center"/>
        </w:trPr>
        <w:tc>
          <w:tcPr>
            <w:tcW w:w="1686" w:type="dxa"/>
            <w:tcBorders>
              <w:top w:val="single" w:sz="4" w:space="0" w:color="auto"/>
              <w:left w:val="nil"/>
              <w:right w:val="nil"/>
            </w:tcBorders>
            <w:shd w:val="clear" w:color="auto" w:fill="auto"/>
            <w:noWrap/>
            <w:vAlign w:val="center"/>
          </w:tcPr>
          <w:p w:rsidR="00A2008D" w:rsidRDefault="00A2008D">
            <w:pPr>
              <w:spacing w:line="276" w:lineRule="auto"/>
              <w:ind w:left="0" w:hanging="2"/>
              <w:rPr>
                <w:rFonts w:ascii="Cambria" w:eastAsia="Cambria" w:hAnsi="Cambria" w:cs="Cambria"/>
                <w:color w:val="000000"/>
                <w:sz w:val="20"/>
                <w:szCs w:val="20"/>
              </w:rPr>
            </w:pPr>
          </w:p>
        </w:tc>
        <w:tc>
          <w:tcPr>
            <w:tcW w:w="989" w:type="dxa"/>
            <w:tcBorders>
              <w:top w:val="single" w:sz="4" w:space="0" w:color="auto"/>
              <w:left w:val="nil"/>
              <w:right w:val="nil"/>
            </w:tcBorders>
            <w:shd w:val="clear" w:color="auto" w:fill="auto"/>
            <w:noWrap/>
            <w:vAlign w:val="center"/>
          </w:tcPr>
          <w:p w:rsidR="00A2008D" w:rsidRDefault="00856E33">
            <w:pPr>
              <w:spacing w:line="276" w:lineRule="auto"/>
              <w:ind w:left="0" w:hanging="2"/>
              <w:rPr>
                <w:rFonts w:ascii="Cambria" w:eastAsia="Cambria" w:hAnsi="Cambria" w:cs="Cambria"/>
                <w:color w:val="000000"/>
                <w:sz w:val="20"/>
                <w:szCs w:val="20"/>
              </w:rPr>
            </w:pPr>
            <w:r>
              <w:rPr>
                <w:rFonts w:ascii="Cambria" w:eastAsia="Cambria" w:hAnsi="Cambria" w:cs="Cambria"/>
                <w:color w:val="000000"/>
                <w:sz w:val="20"/>
                <w:szCs w:val="20"/>
              </w:rPr>
              <w:t xml:space="preserve">Original sample (O) </w:t>
            </w:r>
          </w:p>
        </w:tc>
        <w:tc>
          <w:tcPr>
            <w:tcW w:w="1107" w:type="dxa"/>
            <w:tcBorders>
              <w:top w:val="single" w:sz="4" w:space="0" w:color="auto"/>
              <w:left w:val="nil"/>
              <w:right w:val="nil"/>
            </w:tcBorders>
            <w:shd w:val="clear" w:color="auto" w:fill="auto"/>
            <w:noWrap/>
            <w:vAlign w:val="center"/>
          </w:tcPr>
          <w:p w:rsidR="00A2008D" w:rsidRDefault="00856E33">
            <w:pPr>
              <w:spacing w:line="276" w:lineRule="auto"/>
              <w:ind w:left="0" w:hanging="2"/>
              <w:rPr>
                <w:rFonts w:ascii="Cambria" w:eastAsia="Cambria" w:hAnsi="Cambria" w:cs="Cambria"/>
                <w:color w:val="000000"/>
                <w:sz w:val="20"/>
                <w:szCs w:val="20"/>
              </w:rPr>
            </w:pPr>
            <w:r>
              <w:rPr>
                <w:rFonts w:ascii="Cambria" w:eastAsia="Cambria" w:hAnsi="Cambria" w:cs="Cambria"/>
                <w:color w:val="000000"/>
                <w:sz w:val="20"/>
                <w:szCs w:val="20"/>
              </w:rPr>
              <w:t xml:space="preserve">Sample average (M) </w:t>
            </w:r>
          </w:p>
        </w:tc>
        <w:tc>
          <w:tcPr>
            <w:tcW w:w="1306" w:type="dxa"/>
            <w:tcBorders>
              <w:top w:val="single" w:sz="4" w:space="0" w:color="auto"/>
              <w:left w:val="nil"/>
              <w:right w:val="nil"/>
            </w:tcBorders>
            <w:shd w:val="clear" w:color="auto" w:fill="auto"/>
            <w:noWrap/>
            <w:vAlign w:val="center"/>
          </w:tcPr>
          <w:p w:rsidR="00A2008D" w:rsidRDefault="00856E33">
            <w:pPr>
              <w:spacing w:line="276" w:lineRule="auto"/>
              <w:ind w:left="0" w:hanging="2"/>
              <w:rPr>
                <w:rFonts w:ascii="Cambria" w:eastAsia="Cambria" w:hAnsi="Cambria" w:cs="Cambria"/>
                <w:color w:val="000000"/>
                <w:sz w:val="20"/>
                <w:szCs w:val="20"/>
              </w:rPr>
            </w:pPr>
            <w:r>
              <w:rPr>
                <w:rFonts w:ascii="Cambria" w:eastAsia="Cambria" w:hAnsi="Cambria" w:cs="Cambria"/>
                <w:color w:val="000000"/>
                <w:sz w:val="20"/>
                <w:szCs w:val="20"/>
              </w:rPr>
              <w:t>Standard deviation (STDEV)</w:t>
            </w:r>
          </w:p>
        </w:tc>
        <w:tc>
          <w:tcPr>
            <w:tcW w:w="1571" w:type="dxa"/>
            <w:tcBorders>
              <w:top w:val="single" w:sz="4" w:space="0" w:color="auto"/>
              <w:left w:val="nil"/>
              <w:right w:val="nil"/>
            </w:tcBorders>
            <w:shd w:val="clear" w:color="auto" w:fill="auto"/>
            <w:noWrap/>
            <w:vAlign w:val="center"/>
          </w:tcPr>
          <w:p w:rsidR="00A2008D" w:rsidRDefault="00856E33">
            <w:pPr>
              <w:spacing w:line="276" w:lineRule="auto"/>
              <w:ind w:left="0" w:hanging="2"/>
              <w:jc w:val="left"/>
              <w:rPr>
                <w:rFonts w:ascii="Cambria" w:eastAsia="Cambria" w:hAnsi="Cambria" w:cs="Cambria"/>
                <w:color w:val="000000"/>
                <w:sz w:val="20"/>
                <w:szCs w:val="20"/>
              </w:rPr>
            </w:pPr>
            <w:r>
              <w:rPr>
                <w:rFonts w:ascii="Cambria" w:eastAsia="Cambria" w:hAnsi="Cambria" w:cs="Cambria"/>
                <w:color w:val="000000"/>
                <w:sz w:val="20"/>
                <w:szCs w:val="20"/>
              </w:rPr>
              <w:t>T statisti</w:t>
            </w:r>
            <w:r>
              <w:rPr>
                <w:rFonts w:ascii="Cambria" w:eastAsia="Cambria" w:hAnsi="Cambria" w:cs="Cambria"/>
                <w:color w:val="000000"/>
                <w:sz w:val="20"/>
                <w:szCs w:val="20"/>
                <w:lang w:val="en-US"/>
              </w:rPr>
              <w:t>cs</w:t>
            </w:r>
            <w:r>
              <w:rPr>
                <w:rFonts w:ascii="Cambria" w:eastAsia="Cambria" w:hAnsi="Cambria" w:cs="Cambria"/>
                <w:color w:val="000000"/>
                <w:sz w:val="20"/>
                <w:szCs w:val="20"/>
              </w:rPr>
              <w:t xml:space="preserve"> (|O/STDEV|)</w:t>
            </w:r>
          </w:p>
        </w:tc>
        <w:tc>
          <w:tcPr>
            <w:tcW w:w="1341" w:type="dxa"/>
            <w:tcBorders>
              <w:top w:val="single" w:sz="4" w:space="0" w:color="auto"/>
              <w:left w:val="nil"/>
              <w:right w:val="nil"/>
            </w:tcBorders>
            <w:shd w:val="clear" w:color="auto" w:fill="auto"/>
            <w:noWrap/>
            <w:vAlign w:val="center"/>
          </w:tcPr>
          <w:p w:rsidR="00A2008D" w:rsidRDefault="00856E33">
            <w:pPr>
              <w:spacing w:line="276" w:lineRule="auto"/>
              <w:ind w:left="0" w:hanging="2"/>
              <w:rPr>
                <w:rFonts w:ascii="Cambria" w:eastAsia="Cambria" w:hAnsi="Cambria" w:cs="Cambria"/>
                <w:color w:val="000000"/>
                <w:sz w:val="20"/>
                <w:szCs w:val="20"/>
              </w:rPr>
            </w:pPr>
            <w:r>
              <w:rPr>
                <w:rFonts w:ascii="Cambria" w:eastAsia="Cambria" w:hAnsi="Cambria" w:cs="Cambria"/>
                <w:color w:val="000000"/>
                <w:sz w:val="20"/>
                <w:szCs w:val="20"/>
              </w:rPr>
              <w:t>P values</w:t>
            </w:r>
          </w:p>
        </w:tc>
      </w:tr>
      <w:tr w:rsidR="006110BA" w:rsidTr="00B14526">
        <w:trPr>
          <w:trHeight w:val="300"/>
          <w:jc w:val="center"/>
        </w:trPr>
        <w:tc>
          <w:tcPr>
            <w:tcW w:w="1686" w:type="dxa"/>
            <w:tcBorders>
              <w:left w:val="nil"/>
              <w:right w:val="nil"/>
            </w:tcBorders>
            <w:shd w:val="clear" w:color="auto" w:fill="auto"/>
            <w:noWrap/>
            <w:vAlign w:val="bottom"/>
          </w:tcPr>
          <w:p w:rsidR="006110BA" w:rsidRPr="006110BA" w:rsidRDefault="006110BA" w:rsidP="006110BA">
            <w:pPr>
              <w:spacing w:line="276" w:lineRule="auto"/>
              <w:ind w:left="0" w:hanging="2"/>
              <w:rPr>
                <w:rFonts w:ascii="Cambria" w:eastAsia="Cambria" w:hAnsi="Cambria" w:cs="Cambria"/>
                <w:color w:val="000000"/>
                <w:sz w:val="20"/>
                <w:szCs w:val="20"/>
              </w:rPr>
            </w:pPr>
            <w:r w:rsidRPr="006110BA">
              <w:rPr>
                <w:rFonts w:ascii="Cambria" w:eastAsia="Cambria" w:hAnsi="Cambria" w:cs="Cambria"/>
                <w:color w:val="000000"/>
                <w:sz w:val="20"/>
                <w:szCs w:val="20"/>
              </w:rPr>
              <w:t>X. -&gt; Y.</w:t>
            </w:r>
          </w:p>
        </w:tc>
        <w:tc>
          <w:tcPr>
            <w:tcW w:w="989" w:type="dxa"/>
            <w:tcBorders>
              <w:left w:val="nil"/>
              <w:right w:val="nil"/>
            </w:tcBorders>
            <w:shd w:val="clear" w:color="auto" w:fill="auto"/>
            <w:noWrap/>
            <w:vAlign w:val="bottom"/>
          </w:tcPr>
          <w:p w:rsidR="006110BA" w:rsidRPr="006110BA" w:rsidRDefault="006110BA" w:rsidP="006110BA">
            <w:pPr>
              <w:spacing w:line="276" w:lineRule="auto"/>
              <w:ind w:left="0" w:hanging="2"/>
              <w:jc w:val="right"/>
              <w:rPr>
                <w:rFonts w:ascii="Cambria" w:eastAsia="Cambria" w:hAnsi="Cambria" w:cs="Cambria"/>
                <w:color w:val="000000"/>
                <w:sz w:val="20"/>
                <w:szCs w:val="20"/>
              </w:rPr>
            </w:pPr>
            <w:r w:rsidRPr="006110BA">
              <w:rPr>
                <w:rFonts w:ascii="Cambria" w:eastAsia="Cambria" w:hAnsi="Cambria" w:cs="Cambria"/>
                <w:color w:val="000000"/>
                <w:sz w:val="20"/>
                <w:szCs w:val="20"/>
              </w:rPr>
              <w:t>0.59</w:t>
            </w:r>
          </w:p>
        </w:tc>
        <w:tc>
          <w:tcPr>
            <w:tcW w:w="1107" w:type="dxa"/>
            <w:tcBorders>
              <w:left w:val="nil"/>
              <w:right w:val="nil"/>
            </w:tcBorders>
            <w:shd w:val="clear" w:color="auto" w:fill="auto"/>
            <w:noWrap/>
            <w:vAlign w:val="bottom"/>
          </w:tcPr>
          <w:p w:rsidR="006110BA" w:rsidRPr="006110BA" w:rsidRDefault="006110BA" w:rsidP="006110BA">
            <w:pPr>
              <w:spacing w:line="276" w:lineRule="auto"/>
              <w:ind w:left="0" w:hanging="2"/>
              <w:jc w:val="right"/>
              <w:rPr>
                <w:rFonts w:ascii="Cambria" w:eastAsia="Cambria" w:hAnsi="Cambria" w:cs="Cambria"/>
                <w:color w:val="000000"/>
                <w:sz w:val="20"/>
                <w:szCs w:val="20"/>
              </w:rPr>
            </w:pPr>
            <w:r w:rsidRPr="006110BA">
              <w:rPr>
                <w:rFonts w:ascii="Cambria" w:eastAsia="Cambria" w:hAnsi="Cambria" w:cs="Cambria"/>
                <w:color w:val="000000"/>
                <w:sz w:val="20"/>
                <w:szCs w:val="20"/>
              </w:rPr>
              <w:t>0.595</w:t>
            </w:r>
          </w:p>
        </w:tc>
        <w:tc>
          <w:tcPr>
            <w:tcW w:w="1306" w:type="dxa"/>
            <w:tcBorders>
              <w:left w:val="nil"/>
              <w:right w:val="nil"/>
            </w:tcBorders>
            <w:shd w:val="clear" w:color="auto" w:fill="auto"/>
            <w:noWrap/>
            <w:vAlign w:val="bottom"/>
          </w:tcPr>
          <w:p w:rsidR="006110BA" w:rsidRPr="006110BA" w:rsidRDefault="006110BA" w:rsidP="006110BA">
            <w:pPr>
              <w:spacing w:line="276" w:lineRule="auto"/>
              <w:ind w:left="0" w:hanging="2"/>
              <w:jc w:val="right"/>
              <w:rPr>
                <w:rFonts w:ascii="Cambria" w:eastAsia="Cambria" w:hAnsi="Cambria" w:cs="Cambria"/>
                <w:color w:val="000000"/>
                <w:sz w:val="20"/>
                <w:szCs w:val="20"/>
              </w:rPr>
            </w:pPr>
            <w:r w:rsidRPr="006110BA">
              <w:rPr>
                <w:rFonts w:ascii="Cambria" w:eastAsia="Cambria" w:hAnsi="Cambria" w:cs="Cambria"/>
                <w:color w:val="000000"/>
                <w:sz w:val="20"/>
                <w:szCs w:val="20"/>
              </w:rPr>
              <w:t>0.088</w:t>
            </w:r>
          </w:p>
        </w:tc>
        <w:tc>
          <w:tcPr>
            <w:tcW w:w="1571" w:type="dxa"/>
            <w:tcBorders>
              <w:left w:val="nil"/>
              <w:right w:val="nil"/>
            </w:tcBorders>
            <w:shd w:val="clear" w:color="auto" w:fill="auto"/>
            <w:noWrap/>
            <w:vAlign w:val="bottom"/>
          </w:tcPr>
          <w:p w:rsidR="006110BA" w:rsidRPr="006110BA" w:rsidRDefault="006110BA" w:rsidP="006110BA">
            <w:pPr>
              <w:spacing w:line="276" w:lineRule="auto"/>
              <w:ind w:left="0" w:hanging="2"/>
              <w:jc w:val="right"/>
              <w:rPr>
                <w:rFonts w:ascii="Cambria" w:eastAsia="Cambria" w:hAnsi="Cambria" w:cs="Cambria"/>
                <w:color w:val="000000"/>
                <w:sz w:val="20"/>
                <w:szCs w:val="20"/>
              </w:rPr>
            </w:pPr>
            <w:r w:rsidRPr="006110BA">
              <w:rPr>
                <w:rFonts w:ascii="Cambria" w:eastAsia="Cambria" w:hAnsi="Cambria" w:cs="Cambria"/>
                <w:color w:val="000000"/>
                <w:sz w:val="20"/>
                <w:szCs w:val="20"/>
              </w:rPr>
              <w:t>6.709</w:t>
            </w:r>
          </w:p>
        </w:tc>
        <w:tc>
          <w:tcPr>
            <w:tcW w:w="1341" w:type="dxa"/>
            <w:tcBorders>
              <w:left w:val="nil"/>
              <w:right w:val="nil"/>
            </w:tcBorders>
            <w:shd w:val="clear" w:color="auto" w:fill="auto"/>
            <w:noWrap/>
            <w:vAlign w:val="bottom"/>
          </w:tcPr>
          <w:p w:rsidR="006110BA" w:rsidRPr="006110BA" w:rsidRDefault="006110BA" w:rsidP="006110BA">
            <w:pPr>
              <w:spacing w:line="276" w:lineRule="auto"/>
              <w:ind w:left="0" w:hanging="2"/>
              <w:jc w:val="right"/>
              <w:rPr>
                <w:rFonts w:ascii="Cambria" w:eastAsia="Cambria" w:hAnsi="Cambria" w:cs="Cambria"/>
                <w:color w:val="000000"/>
                <w:sz w:val="20"/>
                <w:szCs w:val="20"/>
              </w:rPr>
            </w:pPr>
            <w:r w:rsidRPr="006110BA">
              <w:rPr>
                <w:rFonts w:ascii="Cambria" w:eastAsia="Cambria" w:hAnsi="Cambria" w:cs="Cambria"/>
                <w:color w:val="000000"/>
                <w:sz w:val="20"/>
                <w:szCs w:val="20"/>
              </w:rPr>
              <w:t>0</w:t>
            </w:r>
          </w:p>
        </w:tc>
      </w:tr>
    </w:tbl>
    <w:p w:rsidR="00A2008D" w:rsidRDefault="00856E33">
      <w:pPr>
        <w:spacing w:after="120" w:line="276" w:lineRule="auto"/>
        <w:ind w:left="0" w:hanging="2"/>
        <w:jc w:val="left"/>
        <w:rPr>
          <w:rFonts w:ascii="Cambria" w:eastAsia="Cambria" w:hAnsi="Cambria" w:cs="Cambria"/>
          <w:color w:val="000000"/>
          <w:szCs w:val="24"/>
        </w:rPr>
      </w:pPr>
      <w:r>
        <w:rPr>
          <w:rFonts w:ascii="Cambria" w:eastAsia="Cambria" w:hAnsi="Cambria" w:cs="Cambria"/>
          <w:b/>
          <w:color w:val="000000"/>
          <w:sz w:val="20"/>
          <w:szCs w:val="20"/>
        </w:rPr>
        <w:t>Source: Data processed with SmartPLS 4.0 (2023)</w:t>
      </w:r>
    </w:p>
    <w:p w:rsidR="00D15BD4" w:rsidRDefault="00D15BD4">
      <w:pPr>
        <w:spacing w:line="276" w:lineRule="auto"/>
        <w:ind w:leftChars="0" w:left="0" w:firstLineChars="0" w:firstLine="720"/>
        <w:rPr>
          <w:rFonts w:ascii="Cambria" w:eastAsia="Cambria" w:hAnsi="Cambria" w:cs="Cambria"/>
          <w:color w:val="000000"/>
          <w:szCs w:val="24"/>
          <w:lang w:val="en-ID"/>
        </w:rPr>
      </w:pPr>
      <w:r w:rsidRPr="00D15BD4">
        <w:rPr>
          <w:rFonts w:ascii="Cambria" w:eastAsia="Cambria" w:hAnsi="Cambria" w:cs="Cambria"/>
          <w:color w:val="000000"/>
          <w:szCs w:val="24"/>
        </w:rPr>
        <w:t xml:space="preserve">Based on the table above, it can be seen that the t-statistics of the relationship between X and Y is greater than the t table, namely 6,709, meaning </w:t>
      </w:r>
      <w:r w:rsidRPr="00D15BD4">
        <w:rPr>
          <w:rFonts w:ascii="Cambria" w:eastAsia="Cambria" w:hAnsi="Cambria" w:cs="Cambria"/>
          <w:color w:val="000000"/>
          <w:szCs w:val="24"/>
        </w:rPr>
        <w:lastRenderedPageBreak/>
        <w:t>it has a significant effect.</w:t>
      </w:r>
      <w:r>
        <w:rPr>
          <w:rFonts w:ascii="Cambria" w:eastAsia="Cambria" w:hAnsi="Cambria" w:cs="Cambria"/>
          <w:color w:val="000000"/>
          <w:szCs w:val="24"/>
          <w:lang w:val="en-ID"/>
        </w:rPr>
        <w:t xml:space="preserve"> </w:t>
      </w:r>
      <w:r w:rsidRPr="00D15BD4">
        <w:rPr>
          <w:rFonts w:ascii="Cambria" w:eastAsia="Cambria" w:hAnsi="Cambria" w:cs="Cambria"/>
          <w:color w:val="000000"/>
          <w:szCs w:val="24"/>
          <w:lang w:val="en-ID"/>
        </w:rPr>
        <w:t>Apart from that, it can also be seen from the probability number &gt; 0.05, then H0 is accepted, and if the probability number &lt; 0.05, then H0 is rejected. The results can be seen in the table above, that variable X has a probability number (P value) smaller than 0.05, all variables have a significant effect.</w:t>
      </w:r>
    </w:p>
    <w:p w:rsidR="00A2008D" w:rsidRPr="00461F4F" w:rsidRDefault="00461F4F" w:rsidP="00461F4F">
      <w:pPr>
        <w:spacing w:line="276" w:lineRule="auto"/>
        <w:ind w:leftChars="0" w:left="0" w:firstLineChars="0" w:firstLine="720"/>
        <w:rPr>
          <w:rFonts w:ascii="Cambria" w:eastAsia="Cambria" w:hAnsi="Cambria" w:cs="Cambria" w:hint="eastAsia"/>
          <w:color w:val="000000"/>
          <w:szCs w:val="24"/>
          <w:lang w:val="en-ID"/>
        </w:rPr>
      </w:pPr>
      <w:r w:rsidRPr="00461F4F">
        <w:rPr>
          <w:rFonts w:ascii="Cambria" w:eastAsia="Cambria" w:hAnsi="Cambria" w:cs="Cambria"/>
          <w:color w:val="000000"/>
          <w:szCs w:val="24"/>
          <w:lang w:val="en-ID"/>
        </w:rPr>
        <w:t>Furthermore, the predictive relevance value carried out via the blindfolding test has a value above zero (0), namely 0.32, meaning that the predictive relevance value carried out via the blindfolding test has a good observation value. Meanwhile, based on table 8 below, it shows that the NFI value in this model is 0.897. This means that this research model is 89.7% fit.</w:t>
      </w:r>
    </w:p>
    <w:p w:rsidR="00A2008D" w:rsidRDefault="00856E33">
      <w:pPr>
        <w:spacing w:line="276" w:lineRule="auto"/>
        <w:ind w:leftChars="0" w:left="0" w:firstLineChars="0" w:firstLine="0"/>
        <w:jc w:val="center"/>
        <w:rPr>
          <w:rFonts w:ascii="Cambria" w:eastAsia="Cambria" w:hAnsi="Cambria" w:cs="Cambria"/>
          <w:b/>
          <w:color w:val="000000"/>
          <w:sz w:val="20"/>
          <w:szCs w:val="20"/>
          <w:lang w:val="en-US"/>
        </w:rPr>
      </w:pPr>
      <w:r>
        <w:rPr>
          <w:rFonts w:ascii="Cambria" w:eastAsia="Cambria" w:hAnsi="Cambria" w:cs="Cambria"/>
          <w:b/>
          <w:color w:val="000000"/>
          <w:sz w:val="20"/>
          <w:szCs w:val="20"/>
          <w:lang w:val="zh-CN"/>
        </w:rPr>
        <w:t>Tabl</w:t>
      </w:r>
      <w:r>
        <w:rPr>
          <w:rFonts w:ascii="Cambria" w:eastAsia="Cambria" w:hAnsi="Cambria" w:cs="Cambria"/>
          <w:b/>
          <w:color w:val="000000"/>
          <w:sz w:val="20"/>
          <w:szCs w:val="20"/>
          <w:lang w:val="en-US"/>
        </w:rPr>
        <w:t>e</w:t>
      </w:r>
      <w:r>
        <w:rPr>
          <w:rFonts w:ascii="Cambria" w:eastAsia="Cambria" w:hAnsi="Cambria" w:cs="Cambria"/>
          <w:b/>
          <w:color w:val="000000"/>
          <w:sz w:val="20"/>
          <w:szCs w:val="20"/>
          <w:lang w:val="zh-CN"/>
        </w:rPr>
        <w:t xml:space="preserve"> </w:t>
      </w:r>
      <w:r w:rsidR="00461F4F">
        <w:rPr>
          <w:rFonts w:ascii="Cambria" w:eastAsia="Cambria" w:hAnsi="Cambria" w:cs="Cambria"/>
          <w:b/>
          <w:color w:val="000000"/>
          <w:sz w:val="20"/>
          <w:szCs w:val="20"/>
          <w:lang w:val="en-US"/>
        </w:rPr>
        <w:t>8</w:t>
      </w:r>
      <w:r>
        <w:rPr>
          <w:rFonts w:ascii="Cambria" w:eastAsia="Cambria" w:hAnsi="Cambria" w:cs="Cambria"/>
          <w:b/>
          <w:color w:val="000000"/>
          <w:sz w:val="20"/>
          <w:szCs w:val="20"/>
          <w:lang w:val="en-US"/>
        </w:rPr>
        <w:t xml:space="preserve">. </w:t>
      </w:r>
      <w:r>
        <w:rPr>
          <w:rFonts w:ascii="Cambria" w:eastAsia="Cambria" w:hAnsi="Cambria" w:cs="Cambria"/>
          <w:b/>
          <w:color w:val="000000"/>
          <w:sz w:val="20"/>
          <w:szCs w:val="20"/>
          <w:lang w:val="zh-CN"/>
        </w:rPr>
        <w:t>Fit</w:t>
      </w:r>
      <w:r>
        <w:rPr>
          <w:rFonts w:ascii="Cambria" w:eastAsia="Cambria" w:hAnsi="Cambria" w:cs="Cambria"/>
          <w:b/>
          <w:color w:val="000000"/>
          <w:sz w:val="20"/>
          <w:szCs w:val="20"/>
          <w:lang w:val="en-US"/>
        </w:rPr>
        <w:t xml:space="preserve"> Model</w:t>
      </w:r>
    </w:p>
    <w:tbl>
      <w:tblPr>
        <w:tblStyle w:val="MediumList1"/>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559"/>
        <w:gridCol w:w="2117"/>
        <w:gridCol w:w="2809"/>
      </w:tblGrid>
      <w:tr w:rsidR="00A2008D" w:rsidTr="00A2008D">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559" w:type="dxa"/>
            <w:tcBorders>
              <w:top w:val="single" w:sz="4" w:space="0" w:color="auto"/>
              <w:left w:val="nil"/>
              <w:bottom w:val="single" w:sz="4" w:space="0" w:color="auto"/>
            </w:tcBorders>
            <w:shd w:val="clear" w:color="auto" w:fill="auto"/>
          </w:tcPr>
          <w:p w:rsidR="00A2008D" w:rsidRDefault="00A2008D">
            <w:pPr>
              <w:spacing w:line="276" w:lineRule="auto"/>
              <w:ind w:left="0" w:hanging="2"/>
              <w:rPr>
                <w:rFonts w:ascii="Cambria" w:eastAsia="Cambria" w:hAnsi="Cambria" w:cs="Cambria"/>
                <w:b w:val="0"/>
                <w:bCs w:val="0"/>
                <w:sz w:val="20"/>
                <w:szCs w:val="20"/>
              </w:rPr>
            </w:pPr>
          </w:p>
        </w:tc>
        <w:tc>
          <w:tcPr>
            <w:tcW w:w="2117" w:type="dxa"/>
            <w:tcBorders>
              <w:top w:val="single" w:sz="4" w:space="0" w:color="auto"/>
            </w:tcBorders>
            <w:shd w:val="clear" w:color="auto" w:fill="auto"/>
          </w:tcPr>
          <w:p w:rsidR="00A2008D" w:rsidRDefault="00856E33">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sz w:val="20"/>
                <w:szCs w:val="20"/>
              </w:rPr>
            </w:pPr>
            <w:r>
              <w:rPr>
                <w:rFonts w:ascii="Cambria" w:eastAsia="Cambria" w:hAnsi="Cambria" w:cs="Cambria"/>
                <w:sz w:val="20"/>
                <w:szCs w:val="20"/>
                <w:lang w:val="zh-CN"/>
              </w:rPr>
              <w:t>Saturated Model</w:t>
            </w:r>
          </w:p>
        </w:tc>
        <w:tc>
          <w:tcPr>
            <w:tcW w:w="2809" w:type="dxa"/>
            <w:tcBorders>
              <w:top w:val="single" w:sz="4" w:space="0" w:color="auto"/>
            </w:tcBorders>
            <w:shd w:val="clear" w:color="auto" w:fill="auto"/>
          </w:tcPr>
          <w:p w:rsidR="00A2008D" w:rsidRDefault="00856E33">
            <w:pPr>
              <w:spacing w:line="276" w:lineRule="auto"/>
              <w:ind w:left="0" w:hanging="2"/>
              <w:cnfStyle w:val="100000000000" w:firstRow="1" w:lastRow="0" w:firstColumn="0" w:lastColumn="0" w:oddVBand="0" w:evenVBand="0" w:oddHBand="0" w:evenHBand="0" w:firstRowFirstColumn="0" w:firstRowLastColumn="0" w:lastRowFirstColumn="0" w:lastRowLastColumn="0"/>
              <w:rPr>
                <w:rFonts w:ascii="Cambria" w:eastAsia="Cambria" w:hAnsi="Cambria" w:cs="Cambria"/>
                <w:sz w:val="20"/>
                <w:szCs w:val="20"/>
              </w:rPr>
            </w:pPr>
            <w:r>
              <w:rPr>
                <w:rFonts w:ascii="Cambria" w:eastAsia="Cambria" w:hAnsi="Cambria" w:cs="Cambria"/>
                <w:sz w:val="20"/>
                <w:szCs w:val="20"/>
                <w:lang w:val="zh-CN"/>
              </w:rPr>
              <w:t>Estimated Model</w:t>
            </w:r>
          </w:p>
        </w:tc>
      </w:tr>
      <w:tr w:rsidR="00461F4F" w:rsidTr="00A2008D">
        <w:trPr>
          <w:jc w:val="center"/>
        </w:trPr>
        <w:tc>
          <w:tcPr>
            <w:cnfStyle w:val="001000000000" w:firstRow="0" w:lastRow="0" w:firstColumn="1" w:lastColumn="0" w:oddVBand="0" w:evenVBand="0" w:oddHBand="0" w:evenHBand="0" w:firstRowFirstColumn="0" w:firstRowLastColumn="0" w:lastRowFirstColumn="0" w:lastRowLastColumn="0"/>
            <w:tcW w:w="1559" w:type="dxa"/>
            <w:tcBorders>
              <w:top w:val="single" w:sz="4" w:space="0" w:color="auto"/>
            </w:tcBorders>
            <w:shd w:val="clear" w:color="auto" w:fill="auto"/>
          </w:tcPr>
          <w:p w:rsidR="00461F4F" w:rsidRDefault="00461F4F" w:rsidP="00461F4F">
            <w:pPr>
              <w:spacing w:line="276" w:lineRule="auto"/>
              <w:ind w:left="0" w:hanging="2"/>
              <w:rPr>
                <w:rFonts w:ascii="Cambria" w:eastAsia="Cambria" w:hAnsi="Cambria" w:cs="Cambria"/>
                <w:b w:val="0"/>
                <w:bCs w:val="0"/>
                <w:sz w:val="20"/>
                <w:szCs w:val="20"/>
                <w:lang w:val="zh-CN"/>
              </w:rPr>
            </w:pPr>
            <w:r>
              <w:rPr>
                <w:rFonts w:ascii="Cambria" w:eastAsia="Cambria" w:hAnsi="Cambria" w:cs="Cambria"/>
                <w:b w:val="0"/>
                <w:sz w:val="20"/>
                <w:szCs w:val="20"/>
                <w:lang w:val="zh-CN"/>
              </w:rPr>
              <w:t>SRMR</w:t>
            </w:r>
          </w:p>
        </w:tc>
        <w:tc>
          <w:tcPr>
            <w:tcW w:w="2117"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0.068</w:t>
            </w:r>
          </w:p>
        </w:tc>
        <w:tc>
          <w:tcPr>
            <w:tcW w:w="2809"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0.068</w:t>
            </w:r>
          </w:p>
        </w:tc>
      </w:tr>
      <w:tr w:rsidR="00461F4F" w:rsidTr="00A2008D">
        <w:trPr>
          <w:jc w:val="center"/>
        </w:trPr>
        <w:tc>
          <w:tcPr>
            <w:cnfStyle w:val="001000000000" w:firstRow="0" w:lastRow="0" w:firstColumn="1" w:lastColumn="0" w:oddVBand="0" w:evenVBand="0" w:oddHBand="0" w:evenHBand="0" w:firstRowFirstColumn="0" w:firstRowLastColumn="0" w:lastRowFirstColumn="0" w:lastRowLastColumn="0"/>
            <w:tcW w:w="1559" w:type="dxa"/>
            <w:shd w:val="clear" w:color="auto" w:fill="auto"/>
          </w:tcPr>
          <w:p w:rsidR="00461F4F" w:rsidRDefault="00461F4F" w:rsidP="00461F4F">
            <w:pPr>
              <w:spacing w:line="276" w:lineRule="auto"/>
              <w:ind w:left="0" w:hanging="2"/>
              <w:rPr>
                <w:rFonts w:ascii="Cambria" w:eastAsia="Cambria" w:hAnsi="Cambria" w:cs="Cambria"/>
                <w:b w:val="0"/>
                <w:bCs w:val="0"/>
                <w:sz w:val="20"/>
                <w:szCs w:val="20"/>
                <w:lang w:val="zh-CN"/>
              </w:rPr>
            </w:pPr>
            <w:r>
              <w:rPr>
                <w:rFonts w:ascii="Cambria" w:eastAsia="Cambria" w:hAnsi="Cambria" w:cs="Cambria"/>
                <w:b w:val="0"/>
                <w:sz w:val="20"/>
                <w:szCs w:val="20"/>
                <w:lang w:val="zh-CN"/>
              </w:rPr>
              <w:t>d_ULS</w:t>
            </w:r>
          </w:p>
        </w:tc>
        <w:tc>
          <w:tcPr>
            <w:tcW w:w="2117"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0.208</w:t>
            </w:r>
          </w:p>
        </w:tc>
        <w:tc>
          <w:tcPr>
            <w:tcW w:w="2809"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0.208</w:t>
            </w:r>
          </w:p>
        </w:tc>
      </w:tr>
      <w:tr w:rsidR="00461F4F" w:rsidTr="00A2008D">
        <w:trPr>
          <w:jc w:val="center"/>
        </w:trPr>
        <w:tc>
          <w:tcPr>
            <w:cnfStyle w:val="001000000000" w:firstRow="0" w:lastRow="0" w:firstColumn="1" w:lastColumn="0" w:oddVBand="0" w:evenVBand="0" w:oddHBand="0" w:evenHBand="0" w:firstRowFirstColumn="0" w:firstRowLastColumn="0" w:lastRowFirstColumn="0" w:lastRowLastColumn="0"/>
            <w:tcW w:w="1559" w:type="dxa"/>
            <w:shd w:val="clear" w:color="auto" w:fill="auto"/>
          </w:tcPr>
          <w:p w:rsidR="00461F4F" w:rsidRDefault="00461F4F" w:rsidP="00461F4F">
            <w:pPr>
              <w:spacing w:line="276" w:lineRule="auto"/>
              <w:ind w:left="0" w:hanging="2"/>
              <w:rPr>
                <w:rFonts w:ascii="Cambria" w:eastAsia="Cambria" w:hAnsi="Cambria" w:cs="Cambria"/>
                <w:b w:val="0"/>
                <w:bCs w:val="0"/>
                <w:sz w:val="20"/>
                <w:szCs w:val="20"/>
                <w:lang w:val="zh-CN"/>
              </w:rPr>
            </w:pPr>
            <w:r>
              <w:rPr>
                <w:rFonts w:ascii="Cambria" w:eastAsia="Cambria" w:hAnsi="Cambria" w:cs="Cambria"/>
                <w:b w:val="0"/>
                <w:sz w:val="20"/>
                <w:szCs w:val="20"/>
                <w:lang w:val="zh-CN"/>
              </w:rPr>
              <w:t>d_G</w:t>
            </w:r>
          </w:p>
        </w:tc>
        <w:tc>
          <w:tcPr>
            <w:tcW w:w="2117"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0.124</w:t>
            </w:r>
          </w:p>
        </w:tc>
        <w:tc>
          <w:tcPr>
            <w:tcW w:w="2809"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0.124</w:t>
            </w:r>
          </w:p>
        </w:tc>
      </w:tr>
      <w:tr w:rsidR="00461F4F" w:rsidTr="00A2008D">
        <w:trPr>
          <w:jc w:val="center"/>
        </w:trPr>
        <w:tc>
          <w:tcPr>
            <w:cnfStyle w:val="001000000000" w:firstRow="0" w:lastRow="0" w:firstColumn="1" w:lastColumn="0" w:oddVBand="0" w:evenVBand="0" w:oddHBand="0" w:evenHBand="0" w:firstRowFirstColumn="0" w:firstRowLastColumn="0" w:lastRowFirstColumn="0" w:lastRowLastColumn="0"/>
            <w:tcW w:w="1559" w:type="dxa"/>
            <w:shd w:val="clear" w:color="auto" w:fill="auto"/>
          </w:tcPr>
          <w:p w:rsidR="00461F4F" w:rsidRDefault="00461F4F" w:rsidP="00461F4F">
            <w:pPr>
              <w:spacing w:line="276" w:lineRule="auto"/>
              <w:ind w:left="0" w:hanging="2"/>
              <w:rPr>
                <w:rFonts w:ascii="Cambria" w:eastAsia="Cambria" w:hAnsi="Cambria" w:cs="Cambria"/>
                <w:b w:val="0"/>
                <w:bCs w:val="0"/>
                <w:sz w:val="20"/>
                <w:szCs w:val="20"/>
                <w:lang w:val="zh-CN"/>
              </w:rPr>
            </w:pPr>
            <w:r>
              <w:rPr>
                <w:rFonts w:ascii="Cambria" w:eastAsia="Cambria" w:hAnsi="Cambria" w:cs="Cambria"/>
                <w:b w:val="0"/>
                <w:sz w:val="20"/>
                <w:szCs w:val="20"/>
                <w:lang w:val="zh-CN"/>
              </w:rPr>
              <w:t>Chi-Square</w:t>
            </w:r>
          </w:p>
        </w:tc>
        <w:tc>
          <w:tcPr>
            <w:tcW w:w="2117"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68.27</w:t>
            </w:r>
          </w:p>
        </w:tc>
        <w:tc>
          <w:tcPr>
            <w:tcW w:w="2809"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68.27</w:t>
            </w:r>
          </w:p>
        </w:tc>
      </w:tr>
      <w:tr w:rsidR="00461F4F" w:rsidTr="00A2008D">
        <w:trPr>
          <w:trHeight w:val="70"/>
          <w:jc w:val="center"/>
        </w:trPr>
        <w:tc>
          <w:tcPr>
            <w:cnfStyle w:val="001000000000" w:firstRow="0" w:lastRow="0" w:firstColumn="1" w:lastColumn="0" w:oddVBand="0" w:evenVBand="0" w:oddHBand="0" w:evenHBand="0" w:firstRowFirstColumn="0" w:firstRowLastColumn="0" w:lastRowFirstColumn="0" w:lastRowLastColumn="0"/>
            <w:tcW w:w="1559" w:type="dxa"/>
            <w:shd w:val="clear" w:color="auto" w:fill="auto"/>
          </w:tcPr>
          <w:p w:rsidR="00461F4F" w:rsidRDefault="00461F4F" w:rsidP="00461F4F">
            <w:pPr>
              <w:spacing w:line="276" w:lineRule="auto"/>
              <w:ind w:left="0" w:hanging="2"/>
              <w:rPr>
                <w:rFonts w:ascii="Cambria" w:eastAsia="Cambria" w:hAnsi="Cambria" w:cs="Cambria"/>
                <w:b w:val="0"/>
                <w:bCs w:val="0"/>
                <w:sz w:val="20"/>
                <w:szCs w:val="20"/>
                <w:lang w:val="zh-CN"/>
              </w:rPr>
            </w:pPr>
            <w:r>
              <w:rPr>
                <w:rFonts w:ascii="Cambria" w:eastAsia="Cambria" w:hAnsi="Cambria" w:cs="Cambria"/>
                <w:b w:val="0"/>
                <w:sz w:val="20"/>
                <w:szCs w:val="20"/>
                <w:lang w:val="zh-CN"/>
              </w:rPr>
              <w:t>NFI</w:t>
            </w:r>
          </w:p>
        </w:tc>
        <w:tc>
          <w:tcPr>
            <w:tcW w:w="2117"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0.897</w:t>
            </w:r>
          </w:p>
        </w:tc>
        <w:tc>
          <w:tcPr>
            <w:tcW w:w="2809" w:type="dxa"/>
            <w:shd w:val="clear" w:color="auto" w:fill="auto"/>
            <w:vAlign w:val="bottom"/>
          </w:tcPr>
          <w:p w:rsidR="00461F4F" w:rsidRPr="00461F4F" w:rsidRDefault="00461F4F" w:rsidP="00461F4F">
            <w:pPr>
              <w:spacing w:line="276" w:lineRule="auto"/>
              <w:ind w:left="0" w:hanging="2"/>
              <w:cnfStyle w:val="000000000000" w:firstRow="0" w:lastRow="0" w:firstColumn="0" w:lastColumn="0" w:oddVBand="0" w:evenVBand="0" w:oddHBand="0" w:evenHBand="0" w:firstRowFirstColumn="0" w:firstRowLastColumn="0" w:lastRowFirstColumn="0" w:lastRowLastColumn="0"/>
              <w:rPr>
                <w:rFonts w:ascii="Cambria" w:eastAsia="Cambria" w:hAnsi="Cambria" w:cs="Cambria"/>
                <w:bCs/>
                <w:sz w:val="20"/>
                <w:szCs w:val="20"/>
                <w:lang w:val="zh-CN"/>
              </w:rPr>
            </w:pPr>
            <w:r w:rsidRPr="00461F4F">
              <w:rPr>
                <w:rFonts w:ascii="Cambria" w:eastAsia="Cambria" w:hAnsi="Cambria" w:cs="Cambria"/>
                <w:bCs/>
                <w:sz w:val="20"/>
                <w:szCs w:val="20"/>
                <w:lang w:val="zh-CN"/>
              </w:rPr>
              <w:t>0.897</w:t>
            </w:r>
          </w:p>
        </w:tc>
      </w:tr>
    </w:tbl>
    <w:p w:rsidR="00A2008D" w:rsidRDefault="00856E33">
      <w:pPr>
        <w:spacing w:after="120" w:line="276" w:lineRule="auto"/>
        <w:ind w:left="0" w:hanging="2"/>
        <w:jc w:val="left"/>
        <w:rPr>
          <w:rFonts w:ascii="Cambria" w:eastAsia="Cambria" w:hAnsi="Cambria" w:cs="Cambria"/>
          <w:color w:val="000000"/>
          <w:szCs w:val="24"/>
        </w:rPr>
      </w:pPr>
      <w:r>
        <w:rPr>
          <w:rFonts w:ascii="Cambria" w:eastAsia="Cambria" w:hAnsi="Cambria" w:cs="Cambria"/>
          <w:b/>
          <w:color w:val="000000"/>
          <w:sz w:val="20"/>
          <w:szCs w:val="20"/>
        </w:rPr>
        <w:t>Source: Data processed with SmartPLS 4.0 (2023)</w:t>
      </w:r>
    </w:p>
    <w:p w:rsidR="00A2008D" w:rsidRDefault="00A2008D">
      <w:pPr>
        <w:spacing w:line="276" w:lineRule="auto"/>
        <w:ind w:leftChars="0" w:left="0" w:firstLineChars="0" w:firstLine="720"/>
        <w:rPr>
          <w:rFonts w:ascii="Cambria" w:eastAsia="Cambria" w:hAnsi="Cambria" w:cs="Cambria"/>
          <w:color w:val="000000"/>
          <w:szCs w:val="24"/>
        </w:rPr>
      </w:pPr>
    </w:p>
    <w:p w:rsidR="00A2008D" w:rsidRDefault="00856E33">
      <w:pPr>
        <w:spacing w:line="276" w:lineRule="auto"/>
        <w:ind w:left="0" w:hanging="2"/>
        <w:rPr>
          <w:rFonts w:ascii="Cambria" w:eastAsia="Cambria" w:hAnsi="Cambria" w:cs="Cambria"/>
          <w:b/>
          <w:bCs/>
          <w:color w:val="000000"/>
          <w:szCs w:val="24"/>
          <w:lang w:val="en-US"/>
        </w:rPr>
      </w:pPr>
      <w:r>
        <w:rPr>
          <w:rFonts w:ascii="Cambria" w:eastAsia="Cambria" w:hAnsi="Cambria" w:cs="Cambria"/>
          <w:b/>
          <w:bCs/>
          <w:color w:val="000000"/>
          <w:szCs w:val="24"/>
          <w:lang w:val="en-US"/>
        </w:rPr>
        <w:t>Discussion</w:t>
      </w:r>
    </w:p>
    <w:p w:rsidR="00986A44" w:rsidRDefault="00986A44" w:rsidP="00A30815">
      <w:pPr>
        <w:spacing w:line="276" w:lineRule="auto"/>
        <w:ind w:leftChars="0" w:left="0" w:firstLineChars="0" w:firstLine="720"/>
        <w:rPr>
          <w:rFonts w:ascii="Cambria" w:eastAsia="Cambria" w:hAnsi="Cambria" w:cs="Cambria"/>
          <w:color w:val="000000"/>
          <w:szCs w:val="24"/>
          <w:lang w:val="en-US"/>
        </w:rPr>
      </w:pPr>
      <w:r w:rsidRPr="00986A44">
        <w:rPr>
          <w:rFonts w:ascii="Cambria" w:eastAsia="Cambria" w:hAnsi="Cambria" w:cs="Cambria"/>
          <w:color w:val="000000"/>
          <w:szCs w:val="24"/>
          <w:lang w:val="en-US"/>
        </w:rPr>
        <w:t xml:space="preserve">The findings in this research reveal that students' impressions of the professionalization of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in Indonesia are in the medium category, indicating that there is still a lot of criticism towards it. Four of the five professionalization categories received moderate scores, namely those related to whether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has become a full-time profession, education, training and competency development for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legitimacy of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associations, as well as legal protection and the role of the state for the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profession. Meanwhile, according to students' impressions, the existence of the zakat code of ethics has gone well. Regarding whether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has become a full-time profession, some criticize that there are still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who work in other professions, including as teachers or lecturers due to lack of finances. In fact, according to students, working full-time as an </w:t>
      </w:r>
      <w:r w:rsidR="00CB7C8E" w:rsidRPr="00CB7C8E">
        <w:rPr>
          <w:rFonts w:ascii="Cambria" w:eastAsia="Cambria" w:hAnsi="Cambria" w:cs="Cambria"/>
          <w:i/>
          <w:color w:val="000000"/>
          <w:szCs w:val="24"/>
          <w:lang w:val="en-US"/>
        </w:rPr>
        <w:t>amil</w:t>
      </w:r>
      <w:r w:rsidRPr="00986A44">
        <w:rPr>
          <w:rFonts w:ascii="Cambria" w:eastAsia="Cambria" w:hAnsi="Cambria" w:cs="Cambria"/>
          <w:color w:val="000000"/>
          <w:szCs w:val="24"/>
          <w:lang w:val="en-US"/>
        </w:rPr>
        <w:t xml:space="preserve"> has become a requirement for work professionalism to be more effective in managing zakat funds.</w:t>
      </w:r>
    </w:p>
    <w:p w:rsidR="00986A44" w:rsidRDefault="00A83314" w:rsidP="00A30815">
      <w:pPr>
        <w:spacing w:line="276" w:lineRule="auto"/>
        <w:ind w:leftChars="0" w:left="0" w:firstLineChars="0" w:firstLine="720"/>
        <w:rPr>
          <w:rFonts w:ascii="Cambria" w:eastAsia="Cambria" w:hAnsi="Cambria" w:cs="Cambria"/>
          <w:color w:val="000000"/>
          <w:szCs w:val="24"/>
          <w:lang w:val="en-US"/>
        </w:rPr>
      </w:pPr>
      <w:r w:rsidRPr="00A83314">
        <w:rPr>
          <w:rFonts w:ascii="Cambria" w:eastAsia="Cambria" w:hAnsi="Cambria" w:cs="Cambria"/>
          <w:color w:val="000000"/>
          <w:szCs w:val="24"/>
          <w:lang w:val="en-US"/>
        </w:rPr>
        <w:t xml:space="preserve">As for training and competency development for </w:t>
      </w:r>
      <w:r w:rsidR="00CB7C8E" w:rsidRPr="00CB7C8E">
        <w:rPr>
          <w:rFonts w:ascii="Cambria" w:eastAsia="Cambria" w:hAnsi="Cambria" w:cs="Cambria"/>
          <w:i/>
          <w:color w:val="000000"/>
          <w:szCs w:val="24"/>
          <w:lang w:val="en-US"/>
        </w:rPr>
        <w:t>amil</w:t>
      </w:r>
      <w:r w:rsidRPr="00A83314">
        <w:rPr>
          <w:rFonts w:ascii="Cambria" w:eastAsia="Cambria" w:hAnsi="Cambria" w:cs="Cambria"/>
          <w:color w:val="000000"/>
          <w:szCs w:val="24"/>
          <w:lang w:val="en-US"/>
        </w:rPr>
        <w:t xml:space="preserve">, students are worried that the majority of people do not know about the existence of university-level education for </w:t>
      </w:r>
      <w:r w:rsidR="00CB7C8E" w:rsidRPr="00CB7C8E">
        <w:rPr>
          <w:rFonts w:ascii="Cambria" w:eastAsia="Cambria" w:hAnsi="Cambria" w:cs="Cambria"/>
          <w:i/>
          <w:color w:val="000000"/>
          <w:szCs w:val="24"/>
          <w:lang w:val="en-US"/>
        </w:rPr>
        <w:t>amil</w:t>
      </w:r>
      <w:r w:rsidRPr="00A83314">
        <w:rPr>
          <w:rFonts w:ascii="Cambria" w:eastAsia="Cambria" w:hAnsi="Cambria" w:cs="Cambria"/>
          <w:color w:val="000000"/>
          <w:szCs w:val="24"/>
          <w:lang w:val="en-US"/>
        </w:rPr>
        <w:t xml:space="preserve">, as evidenced by the fact that there are still few universities in Indonesia who dare to develop zakat and waqf management study programs. In fact, this step is one of the keys to increasing the professionalization of </w:t>
      </w:r>
      <w:r w:rsidR="00CB7C8E" w:rsidRPr="00CB7C8E">
        <w:rPr>
          <w:rFonts w:ascii="Cambria" w:eastAsia="Cambria" w:hAnsi="Cambria" w:cs="Cambria"/>
          <w:i/>
          <w:color w:val="000000"/>
          <w:szCs w:val="24"/>
          <w:lang w:val="en-US"/>
        </w:rPr>
        <w:t>amil</w:t>
      </w:r>
      <w:r w:rsidRPr="00A83314">
        <w:rPr>
          <w:rFonts w:ascii="Cambria" w:eastAsia="Cambria" w:hAnsi="Cambria" w:cs="Cambria"/>
          <w:color w:val="000000"/>
          <w:szCs w:val="24"/>
          <w:lang w:val="en-US"/>
        </w:rPr>
        <w:t xml:space="preserve">, and is even very necessary to encourage certification of zakat experts. Zakat is related to the property of Muslims, it cannot be handled by just anyone. Allah Himself says in the Koran that wealth </w:t>
      </w:r>
      <w:r w:rsidRPr="00A83314">
        <w:rPr>
          <w:rFonts w:ascii="Cambria" w:eastAsia="Cambria" w:hAnsi="Cambria" w:cs="Cambria"/>
          <w:color w:val="000000"/>
          <w:szCs w:val="24"/>
          <w:lang w:val="en-US"/>
        </w:rPr>
        <w:lastRenderedPageBreak/>
        <w:t>should not be given to ignorant people. The hadith of the Prophet states that if a matter is handed over to someone who is not an expert, then only waiting for its destruction.</w:t>
      </w:r>
    </w:p>
    <w:p w:rsidR="00A83314" w:rsidRDefault="001B521E" w:rsidP="00EE335C">
      <w:pPr>
        <w:spacing w:line="276" w:lineRule="auto"/>
        <w:ind w:leftChars="0" w:left="0" w:firstLineChars="0" w:firstLine="720"/>
        <w:rPr>
          <w:rFonts w:ascii="Cambria" w:eastAsia="Cambria" w:hAnsi="Cambria" w:cs="Cambria"/>
          <w:color w:val="000000"/>
          <w:szCs w:val="24"/>
          <w:lang w:val="en-US"/>
        </w:rPr>
      </w:pPr>
      <w:r w:rsidRPr="001B521E">
        <w:rPr>
          <w:rFonts w:ascii="Cambria" w:eastAsia="Cambria" w:hAnsi="Cambria" w:cs="Cambria"/>
          <w:color w:val="000000"/>
          <w:szCs w:val="24"/>
          <w:lang w:val="en-US"/>
        </w:rPr>
        <w:t xml:space="preserve">Professionalization of </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 xml:space="preserve"> also requires public legitimacy of </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 xml:space="preserve"> associations. Students expressed that the formation of associations for </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 xml:space="preserve"> associations that have been well established and have legitimacy in society is a very positive step. This can help in coordinating the efforts of </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 xml:space="preserve">s, ensuring transparency in the management of zakat funds, as well as providing a platform for collaboration and exchange of experiences between them. The existence of such an association can also increase public confidence in the process of collecting and distributing zakat, because there is an independent institution that supervises </w:t>
      </w:r>
      <w:r w:rsidR="00CB7C8E" w:rsidRPr="00CB7C8E">
        <w:rPr>
          <w:rFonts w:ascii="Cambria" w:eastAsia="Cambria" w:hAnsi="Cambria" w:cs="Cambria"/>
          <w:i/>
          <w:color w:val="000000"/>
          <w:szCs w:val="24"/>
          <w:lang w:val="en-US"/>
        </w:rPr>
        <w:t>amil</w:t>
      </w:r>
      <w:r w:rsidRPr="001B521E">
        <w:rPr>
          <w:rFonts w:ascii="Cambria" w:eastAsia="Cambria" w:hAnsi="Cambria" w:cs="Cambria"/>
          <w:color w:val="000000"/>
          <w:szCs w:val="24"/>
          <w:lang w:val="en-US"/>
        </w:rPr>
        <w:t xml:space="preserve"> activities. However, according to student criticism, many people do not believe in zakat institutions, or whatever the term is, so they continue to distribute their zakat directly.</w:t>
      </w:r>
      <w:r w:rsidR="00EE335C">
        <w:rPr>
          <w:rFonts w:ascii="Cambria" w:eastAsia="Cambria" w:hAnsi="Cambria" w:cs="Cambria"/>
          <w:color w:val="000000"/>
          <w:szCs w:val="24"/>
          <w:lang w:val="en-US"/>
        </w:rPr>
        <w:t xml:space="preserve"> </w:t>
      </w:r>
      <w:r w:rsidR="00EE335C" w:rsidRPr="00EE335C">
        <w:rPr>
          <w:rFonts w:ascii="Cambria" w:eastAsia="Cambria" w:hAnsi="Cambria" w:cs="Cambria"/>
          <w:color w:val="000000"/>
          <w:szCs w:val="24"/>
          <w:lang w:val="en-US"/>
        </w:rPr>
        <w:t xml:space="preserve">Lastly, criticism of legal protection and the role of the state. Steps to provide protection for zakat </w:t>
      </w:r>
      <w:r w:rsidR="00CB7C8E" w:rsidRPr="00CB7C8E">
        <w:rPr>
          <w:rFonts w:ascii="Cambria" w:eastAsia="Cambria" w:hAnsi="Cambria" w:cs="Cambria"/>
          <w:i/>
          <w:color w:val="000000"/>
          <w:szCs w:val="24"/>
          <w:lang w:val="en-US"/>
        </w:rPr>
        <w:t>amil</w:t>
      </w:r>
      <w:r w:rsidR="00EE335C" w:rsidRPr="00EE335C">
        <w:rPr>
          <w:rFonts w:ascii="Cambria" w:eastAsia="Cambria" w:hAnsi="Cambria" w:cs="Cambria"/>
          <w:color w:val="000000"/>
          <w:szCs w:val="24"/>
          <w:lang w:val="en-US"/>
        </w:rPr>
        <w:t xml:space="preserve"> have been taken through the Zakat Management Law regulations. However, the presence of this law has not been fully able to accommodate the authority of zakat </w:t>
      </w:r>
      <w:r w:rsidR="00CB7C8E" w:rsidRPr="00CB7C8E">
        <w:rPr>
          <w:rFonts w:ascii="Cambria" w:eastAsia="Cambria" w:hAnsi="Cambria" w:cs="Cambria"/>
          <w:i/>
          <w:color w:val="000000"/>
          <w:szCs w:val="24"/>
          <w:lang w:val="en-US"/>
        </w:rPr>
        <w:t>amil</w:t>
      </w:r>
      <w:r w:rsidR="00EE335C" w:rsidRPr="00EE335C">
        <w:rPr>
          <w:rFonts w:ascii="Cambria" w:eastAsia="Cambria" w:hAnsi="Cambria" w:cs="Cambria"/>
          <w:color w:val="000000"/>
          <w:szCs w:val="24"/>
          <w:lang w:val="en-US"/>
        </w:rPr>
        <w:t xml:space="preserve">. The authority for </w:t>
      </w:r>
      <w:r w:rsidR="00CB7C8E" w:rsidRPr="00CB7C8E">
        <w:rPr>
          <w:rFonts w:ascii="Cambria" w:eastAsia="Cambria" w:hAnsi="Cambria" w:cs="Cambria"/>
          <w:i/>
          <w:color w:val="000000"/>
          <w:szCs w:val="24"/>
          <w:lang w:val="en-US"/>
        </w:rPr>
        <w:t>amil</w:t>
      </w:r>
      <w:r w:rsidR="00EE335C" w:rsidRPr="00EE335C">
        <w:rPr>
          <w:rFonts w:ascii="Cambria" w:eastAsia="Cambria" w:hAnsi="Cambria" w:cs="Cambria"/>
          <w:color w:val="000000"/>
          <w:szCs w:val="24"/>
          <w:lang w:val="en-US"/>
        </w:rPr>
        <w:t xml:space="preserve"> zakat is still partial, meaning that the state does not require people to pay zakat through </w:t>
      </w:r>
      <w:r w:rsidR="00CB7C8E" w:rsidRPr="00CB7C8E">
        <w:rPr>
          <w:rFonts w:ascii="Cambria" w:eastAsia="Cambria" w:hAnsi="Cambria" w:cs="Cambria"/>
          <w:i/>
          <w:color w:val="000000"/>
          <w:szCs w:val="24"/>
          <w:lang w:val="en-US"/>
        </w:rPr>
        <w:t>amil</w:t>
      </w:r>
      <w:r w:rsidR="00EE335C" w:rsidRPr="00EE335C">
        <w:rPr>
          <w:rFonts w:ascii="Cambria" w:eastAsia="Cambria" w:hAnsi="Cambria" w:cs="Cambria"/>
          <w:color w:val="000000"/>
          <w:szCs w:val="24"/>
          <w:lang w:val="en-US"/>
        </w:rPr>
        <w:t>, but can be given individually. This condition is like allowing zakat institutions to carry out their duties on their own, in this case there are still problems, so that zakat collection never reaches its potential.</w:t>
      </w:r>
    </w:p>
    <w:p w:rsidR="00EE335C" w:rsidRDefault="00163D8C" w:rsidP="00163D8C">
      <w:pPr>
        <w:spacing w:line="276" w:lineRule="auto"/>
        <w:ind w:leftChars="0" w:left="0" w:firstLineChars="0" w:firstLine="720"/>
        <w:rPr>
          <w:rFonts w:ascii="Cambria" w:eastAsia="Cambria" w:hAnsi="Cambria" w:cs="Cambria"/>
          <w:color w:val="000000"/>
          <w:szCs w:val="24"/>
          <w:lang w:val="en-US"/>
        </w:rPr>
      </w:pPr>
      <w:r w:rsidRPr="00163D8C">
        <w:rPr>
          <w:rFonts w:ascii="Cambria" w:eastAsia="Cambria" w:hAnsi="Cambria" w:cs="Cambria"/>
          <w:color w:val="000000"/>
          <w:szCs w:val="24"/>
          <w:lang w:val="en-US"/>
        </w:rPr>
        <w:t xml:space="preserve">Another finding in the research is that their intention to pursue a career as an </w:t>
      </w:r>
      <w:r w:rsidR="00CB7C8E" w:rsidRPr="00CB7C8E">
        <w:rPr>
          <w:rFonts w:ascii="Cambria" w:eastAsia="Cambria" w:hAnsi="Cambria" w:cs="Cambria"/>
          <w:i/>
          <w:color w:val="000000"/>
          <w:szCs w:val="24"/>
          <w:lang w:val="en-US"/>
        </w:rPr>
        <w:t>amil</w:t>
      </w:r>
      <w:r w:rsidRPr="00163D8C">
        <w:rPr>
          <w:rFonts w:ascii="Cambria" w:eastAsia="Cambria" w:hAnsi="Cambria" w:cs="Cambria"/>
          <w:color w:val="000000"/>
          <w:szCs w:val="24"/>
          <w:lang w:val="en-US"/>
        </w:rPr>
        <w:t xml:space="preserve"> remains high. These results dismiss concerns about low interest in working as a zakat earner (Anggoro, et al, 2021). These results are also different from the results of Nainggolan's (2022) research which shows the low interest of agricultural students in becoming farmers. The high intention of MAZAWA students to pursue a career as </w:t>
      </w:r>
      <w:r w:rsidR="00CB7C8E" w:rsidRPr="00CB7C8E">
        <w:rPr>
          <w:rFonts w:ascii="Cambria" w:eastAsia="Cambria" w:hAnsi="Cambria" w:cs="Cambria"/>
          <w:i/>
          <w:color w:val="000000"/>
          <w:szCs w:val="24"/>
          <w:lang w:val="en-US"/>
        </w:rPr>
        <w:t>amil</w:t>
      </w:r>
      <w:r w:rsidRPr="00163D8C">
        <w:rPr>
          <w:rFonts w:ascii="Cambria" w:eastAsia="Cambria" w:hAnsi="Cambria" w:cs="Cambria"/>
          <w:color w:val="000000"/>
          <w:szCs w:val="24"/>
          <w:lang w:val="en-US"/>
        </w:rPr>
        <w:t xml:space="preserve"> zakat shows their passion for developing the professionalization of </w:t>
      </w:r>
      <w:r w:rsidR="00CB7C8E" w:rsidRPr="00CB7C8E">
        <w:rPr>
          <w:rFonts w:ascii="Cambria" w:eastAsia="Cambria" w:hAnsi="Cambria" w:cs="Cambria"/>
          <w:i/>
          <w:color w:val="000000"/>
          <w:szCs w:val="24"/>
          <w:lang w:val="en-US"/>
        </w:rPr>
        <w:t>amil</w:t>
      </w:r>
      <w:r w:rsidRPr="00163D8C">
        <w:rPr>
          <w:rFonts w:ascii="Cambria" w:eastAsia="Cambria" w:hAnsi="Cambria" w:cs="Cambria"/>
          <w:color w:val="000000"/>
          <w:szCs w:val="24"/>
          <w:lang w:val="en-US"/>
        </w:rPr>
        <w:t xml:space="preserve"> zakat in the future. However, it is in line with the opinion of </w:t>
      </w:r>
      <w:r>
        <w:rPr>
          <w:rFonts w:ascii="Cambria" w:eastAsia="Cambria" w:hAnsi="Cambria" w:cs="Cambria"/>
          <w:color w:val="000000"/>
          <w:szCs w:val="24"/>
          <w:lang w:val="en-US"/>
        </w:rPr>
        <w:fldChar w:fldCharType="begin" w:fldLock="1"/>
      </w:r>
      <w:r w:rsidR="00CE328A">
        <w:rPr>
          <w:rFonts w:ascii="Cambria" w:eastAsia="Cambria" w:hAnsi="Cambria" w:cs="Cambria"/>
          <w:color w:val="000000"/>
          <w:szCs w:val="24"/>
          <w:lang w:val="en-US"/>
        </w:rPr>
        <w:instrText>ADDIN CSL_CITATION {"citationItems":[{"id":"ITEM-1","itemData":{"abstract":"Professional identity is essential for the career choice of social work. Exploring social work students' perceptions of professional identity and career intention is necessary to understand the phenomenon of major-to-occupation mismatch in China. The present study involved a national sample of 2,018 social work undergraduates and postgraduates to investigate whether students displayed matching levels of professional identity and career intention and the association with their personal and educational background. To …","author":[{"dropping-particle":"","family":"Liu","given":"T","non-dropping-particle":"","parse-names":false,"suffix":""},{"dropping-particle":"","family":"Yi","given":"S","non-dropping-particle":"","parse-names":false,"suffix":""},{"dropping-particle":"","family":"Zhu","given":"Y","non-dropping-particle":"","parse-names":false,"suffix":""}],"container-title":"The British Journal of Social Work","id":"ITEM-1","issued":{"date-parts":[["2023"]]},"publisher":"academic.oup.com","title":"Does Chinese Social Work Students' Career Intention Match Their Professional Identity? The Role of Background Factors","type":"article-journal"},"uris":["http://www.mendeley.com/documents/?uuid=565fbab6-622f-448d-8b65-c8ce3b17e567"]}],"mendeley":{"formattedCitation":"(Liu et al., 2023)","manualFormatting":"Liu et al., (2023)","plainTextFormattedCitation":"(Liu et al., 2023)","previouslyFormattedCitation":"(Liu et al., 2023)"},"properties":{"noteIndex":0},"schema":"https://github.com/citation-style-language/schema/raw/master/csl-citation.json"}</w:instrText>
      </w:r>
      <w:r>
        <w:rPr>
          <w:rFonts w:ascii="Cambria" w:eastAsia="Cambria" w:hAnsi="Cambria" w:cs="Cambria"/>
          <w:color w:val="000000"/>
          <w:szCs w:val="24"/>
          <w:lang w:val="en-US"/>
        </w:rPr>
        <w:fldChar w:fldCharType="separate"/>
      </w:r>
      <w:r w:rsidRPr="00163D8C">
        <w:rPr>
          <w:rFonts w:ascii="Cambria" w:eastAsia="Cambria" w:hAnsi="Cambria" w:cs="Cambria"/>
          <w:noProof/>
          <w:color w:val="000000"/>
          <w:szCs w:val="24"/>
          <w:lang w:val="en-US"/>
        </w:rPr>
        <w:t xml:space="preserve">Liu et al., </w:t>
      </w:r>
      <w:r>
        <w:rPr>
          <w:rFonts w:ascii="Cambria" w:eastAsia="Cambria" w:hAnsi="Cambria" w:cs="Cambria"/>
          <w:noProof/>
          <w:color w:val="000000"/>
          <w:szCs w:val="24"/>
          <w:lang w:val="en-US"/>
        </w:rPr>
        <w:t>(</w:t>
      </w:r>
      <w:r w:rsidRPr="00163D8C">
        <w:rPr>
          <w:rFonts w:ascii="Cambria" w:eastAsia="Cambria" w:hAnsi="Cambria" w:cs="Cambria"/>
          <w:noProof/>
          <w:color w:val="000000"/>
          <w:szCs w:val="24"/>
          <w:lang w:val="en-US"/>
        </w:rPr>
        <w:t>2023)</w:t>
      </w:r>
      <w:r>
        <w:rPr>
          <w:rFonts w:ascii="Cambria" w:eastAsia="Cambria" w:hAnsi="Cambria" w:cs="Cambria"/>
          <w:color w:val="000000"/>
          <w:szCs w:val="24"/>
          <w:lang w:val="en-US"/>
        </w:rPr>
        <w:fldChar w:fldCharType="end"/>
      </w:r>
      <w:r w:rsidRPr="00163D8C">
        <w:rPr>
          <w:rFonts w:ascii="Cambria" w:eastAsia="Cambria" w:hAnsi="Cambria" w:cs="Cambria"/>
          <w:color w:val="000000"/>
          <w:szCs w:val="24"/>
          <w:lang w:val="en-US"/>
        </w:rPr>
        <w:t xml:space="preserve"> that there is still a gap in the development of social work education and practice, which implies the need for promotion and cooperation between academic institutions and social organizations. The fact that the MAZAWA study program is currently not in great demand in Indonesia, and there is even a MAZAWA study program that has been closed at one of the universities due to lack of interest, shows that efforts are still needed to develop and advance the professionalization of </w:t>
      </w:r>
      <w:r w:rsidR="00CB7C8E" w:rsidRPr="00CB7C8E">
        <w:rPr>
          <w:rFonts w:ascii="Cambria" w:eastAsia="Cambria" w:hAnsi="Cambria" w:cs="Cambria"/>
          <w:i/>
          <w:color w:val="000000"/>
          <w:szCs w:val="24"/>
          <w:lang w:val="en-US"/>
        </w:rPr>
        <w:t>amil</w:t>
      </w:r>
      <w:r w:rsidRPr="00163D8C">
        <w:rPr>
          <w:rFonts w:ascii="Cambria" w:eastAsia="Cambria" w:hAnsi="Cambria" w:cs="Cambria"/>
          <w:color w:val="000000"/>
          <w:szCs w:val="24"/>
          <w:lang w:val="en-US"/>
        </w:rPr>
        <w:t xml:space="preserve"> zakat.</w:t>
      </w:r>
    </w:p>
    <w:p w:rsidR="00163D8C" w:rsidRDefault="00B464CD" w:rsidP="00163D8C">
      <w:pPr>
        <w:spacing w:line="276" w:lineRule="auto"/>
        <w:ind w:leftChars="0" w:left="0" w:firstLineChars="0" w:firstLine="720"/>
        <w:rPr>
          <w:rFonts w:ascii="Cambria" w:eastAsia="Cambria" w:hAnsi="Cambria" w:cs="Cambria"/>
          <w:color w:val="000000"/>
          <w:szCs w:val="24"/>
          <w:lang w:val="en-US"/>
        </w:rPr>
      </w:pPr>
      <w:r w:rsidRPr="00B464CD">
        <w:rPr>
          <w:rFonts w:ascii="Cambria" w:eastAsia="Cambria" w:hAnsi="Cambria" w:cs="Cambria"/>
          <w:color w:val="000000"/>
          <w:szCs w:val="24"/>
          <w:lang w:val="en-US"/>
        </w:rPr>
        <w:t xml:space="preserve">The results of this study also found that their impressions had a significant influence on their career intentions; the better their impression, the higher their intention. Previous research results show that at least four areas </w:t>
      </w:r>
      <w:r w:rsidRPr="00B464CD">
        <w:rPr>
          <w:rFonts w:ascii="Cambria" w:eastAsia="Cambria" w:hAnsi="Cambria" w:cs="Cambria"/>
          <w:color w:val="000000"/>
          <w:szCs w:val="24"/>
          <w:lang w:val="en-US"/>
        </w:rPr>
        <w:lastRenderedPageBreak/>
        <w:t xml:space="preserve">need to be improved in students' impressions because they have not met their expectations. In an effort to increase student intentions, this research prioritizes improvements in these four areas of professionalization. In this way, the impression of the professionalization of </w:t>
      </w:r>
      <w:r w:rsidR="00CB7C8E" w:rsidRPr="00CB7C8E">
        <w:rPr>
          <w:rFonts w:ascii="Cambria" w:eastAsia="Cambria" w:hAnsi="Cambria" w:cs="Cambria"/>
          <w:i/>
          <w:color w:val="000000"/>
          <w:szCs w:val="24"/>
          <w:lang w:val="en-US"/>
        </w:rPr>
        <w:t>amil</w:t>
      </w:r>
      <w:r w:rsidRPr="00B464CD">
        <w:rPr>
          <w:rFonts w:ascii="Cambria" w:eastAsia="Cambria" w:hAnsi="Cambria" w:cs="Cambria"/>
          <w:color w:val="000000"/>
          <w:szCs w:val="24"/>
          <w:lang w:val="en-US"/>
        </w:rPr>
        <w:t xml:space="preserve"> will be better and will increase people's intentions to pursue a career as </w:t>
      </w:r>
      <w:r w:rsidR="00CB7C8E" w:rsidRPr="00CB7C8E">
        <w:rPr>
          <w:rFonts w:ascii="Cambria" w:eastAsia="Cambria" w:hAnsi="Cambria" w:cs="Cambria"/>
          <w:i/>
          <w:color w:val="000000"/>
          <w:szCs w:val="24"/>
          <w:lang w:val="en-US"/>
        </w:rPr>
        <w:t>amil</w:t>
      </w:r>
      <w:r w:rsidRPr="00B464CD">
        <w:rPr>
          <w:rFonts w:ascii="Cambria" w:eastAsia="Cambria" w:hAnsi="Cambria" w:cs="Cambria"/>
          <w:color w:val="000000"/>
          <w:szCs w:val="24"/>
          <w:lang w:val="en-US"/>
        </w:rPr>
        <w:t xml:space="preserve"> professional.</w:t>
      </w:r>
    </w:p>
    <w:p w:rsidR="00A2008D" w:rsidRDefault="00A2008D" w:rsidP="00163D8C">
      <w:pPr>
        <w:spacing w:after="120" w:line="276" w:lineRule="auto"/>
        <w:ind w:leftChars="0" w:left="0" w:firstLineChars="0" w:firstLine="0"/>
        <w:jc w:val="left"/>
        <w:rPr>
          <w:rFonts w:ascii="Cambria" w:eastAsia="Cambria" w:hAnsi="Cambria" w:cs="Cambria"/>
          <w:b/>
          <w:color w:val="000000"/>
          <w:sz w:val="20"/>
          <w:szCs w:val="20"/>
        </w:rPr>
      </w:pPr>
    </w:p>
    <w:p w:rsidR="00A2008D" w:rsidRDefault="00856E33">
      <w:pPr>
        <w:spacing w:before="100" w:after="100"/>
        <w:ind w:left="0" w:hanging="2"/>
        <w:rPr>
          <w:rFonts w:ascii="Cambria" w:eastAsia="Cambria" w:hAnsi="Cambria" w:cs="Cambria"/>
          <w:color w:val="000000"/>
          <w:szCs w:val="24"/>
        </w:rPr>
      </w:pPr>
      <w:r>
        <w:rPr>
          <w:rFonts w:ascii="Cambria" w:eastAsia="Cambria" w:hAnsi="Cambria" w:cs="Cambria"/>
          <w:b/>
          <w:color w:val="000000"/>
          <w:szCs w:val="24"/>
        </w:rPr>
        <w:t>CONCLUSION</w:t>
      </w:r>
    </w:p>
    <w:p w:rsidR="00A2008D" w:rsidRDefault="00CB7C8E" w:rsidP="00CB7C8E">
      <w:pPr>
        <w:spacing w:line="276" w:lineRule="auto"/>
        <w:ind w:leftChars="0" w:left="0" w:firstLineChars="0" w:firstLine="720"/>
        <w:rPr>
          <w:rFonts w:ascii="Cambria" w:eastAsia="Cambria" w:hAnsi="Cambria"/>
          <w:color w:val="000000"/>
          <w:szCs w:val="24"/>
          <w:lang w:val="en-US"/>
        </w:rPr>
      </w:pPr>
      <w:r w:rsidRPr="00CB7C8E">
        <w:rPr>
          <w:rFonts w:ascii="Cambria" w:eastAsia="Cambria" w:hAnsi="Cambria" w:cs="Cambria"/>
          <w:color w:val="000000"/>
          <w:szCs w:val="24"/>
          <w:lang w:val="en-US"/>
        </w:rPr>
        <w:t xml:space="preserve">Students' impressions of the professionalization of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in Indonesia received a moderate score, indicating widespread criticism. In particular, aspects such as full-time professionalism, education and training, legitimacy of the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association, and legal protection received moderate feedback. However, the zakat code of ethics has received positive recognition. Although there are concerns, due to criticism here and there regarding the process of professionalization of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research reveals the high intention of students to pursue a career as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Additionally, research highlights the significant impact of students' impressions on their career intentions, with better impressions correlating with higher intentions. To increase student intentions, this research prioritizes improvements in four areas of professionalization. It is hoped that the overall impression of the professionalization of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will increase, which in turn will increase people's intentions to pursue a career as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 xml:space="preserve"> professional. This study emphasizes the ongoing efforts needed to develop and advance the professionalization of zakat </w:t>
      </w:r>
      <w:r w:rsidRPr="00CB7C8E">
        <w:rPr>
          <w:rFonts w:ascii="Cambria" w:eastAsia="Cambria" w:hAnsi="Cambria" w:cs="Cambria"/>
          <w:i/>
          <w:color w:val="000000"/>
          <w:szCs w:val="24"/>
          <w:lang w:val="en-US"/>
        </w:rPr>
        <w:t>amil</w:t>
      </w:r>
      <w:r w:rsidRPr="00CB7C8E">
        <w:rPr>
          <w:rFonts w:ascii="Cambria" w:eastAsia="Cambria" w:hAnsi="Cambria" w:cs="Cambria"/>
          <w:color w:val="000000"/>
          <w:szCs w:val="24"/>
          <w:lang w:val="en-US"/>
        </w:rPr>
        <w:t>.</w:t>
      </w:r>
      <w:r w:rsidR="00856E33">
        <w:rPr>
          <w:rFonts w:ascii="Cambria" w:eastAsia="Cambria" w:hAnsi="Cambria"/>
          <w:color w:val="000000"/>
          <w:szCs w:val="24"/>
          <w:lang w:val="en-US"/>
        </w:rPr>
        <w:t xml:space="preserve"> </w:t>
      </w:r>
    </w:p>
    <w:p w:rsidR="00A2008D" w:rsidRDefault="00A2008D">
      <w:pPr>
        <w:spacing w:line="276" w:lineRule="auto"/>
        <w:ind w:left="0" w:hanging="2"/>
        <w:rPr>
          <w:rFonts w:ascii="Cambria" w:eastAsia="Cambria" w:hAnsi="Cambria" w:cs="Cambria"/>
          <w:color w:val="000000"/>
          <w:szCs w:val="24"/>
        </w:rPr>
      </w:pPr>
    </w:p>
    <w:p w:rsidR="00A2008D" w:rsidRDefault="00856E33">
      <w:pPr>
        <w:spacing w:before="100" w:after="100" w:line="276" w:lineRule="auto"/>
        <w:ind w:left="0" w:hanging="2"/>
        <w:jc w:val="left"/>
        <w:rPr>
          <w:rFonts w:ascii="Cambria" w:eastAsia="Cambria" w:hAnsi="Cambria" w:cs="Cambria"/>
          <w:b/>
          <w:color w:val="000000"/>
          <w:szCs w:val="24"/>
          <w:lang w:val="en-US"/>
        </w:rPr>
      </w:pPr>
      <w:r>
        <w:rPr>
          <w:rFonts w:ascii="Cambria" w:eastAsia="Cambria" w:hAnsi="Cambria" w:cs="Cambria"/>
          <w:b/>
          <w:color w:val="000000"/>
          <w:szCs w:val="24"/>
          <w:lang w:val="en-US"/>
        </w:rPr>
        <w:t>REFERENCES</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Pr>
          <w:rFonts w:ascii="Cambria" w:eastAsia="Cambria" w:hAnsi="Cambria" w:cs="Cambria"/>
        </w:rPr>
        <w:fldChar w:fldCharType="begin" w:fldLock="1"/>
      </w:r>
      <w:r>
        <w:rPr>
          <w:rFonts w:ascii="Cambria" w:eastAsia="Cambria" w:hAnsi="Cambria" w:cs="Cambria"/>
        </w:rPr>
        <w:instrText xml:space="preserve">ADDIN Mendeley Bibliography CSL_BIBLIOGRAPHY </w:instrText>
      </w:r>
      <w:r>
        <w:rPr>
          <w:rFonts w:ascii="Cambria" w:eastAsia="Cambria" w:hAnsi="Cambria" w:cs="Cambria"/>
        </w:rPr>
        <w:fldChar w:fldCharType="separate"/>
      </w:r>
      <w:r w:rsidRPr="00CE328A">
        <w:rPr>
          <w:rFonts w:ascii="Cambria" w:hAnsi="Cambria" w:cs="Times New Roman"/>
          <w:noProof/>
          <w:szCs w:val="24"/>
        </w:rPr>
        <w:t xml:space="preserve">al-Qaradhawi, Y. (1973). Fiqh az-Zakah, cet. II, 1973. In </w:t>
      </w:r>
      <w:r w:rsidRPr="00CE328A">
        <w:rPr>
          <w:rFonts w:ascii="Cambria" w:hAnsi="Cambria" w:cs="Times New Roman"/>
          <w:i/>
          <w:iCs/>
          <w:noProof/>
          <w:szCs w:val="24"/>
        </w:rPr>
        <w:t>Beirut: Muassasah ar-Risalah</w:t>
      </w:r>
      <w:r w:rsidRPr="00CE328A">
        <w:rPr>
          <w:rFonts w:ascii="Cambria" w:hAnsi="Cambria" w:cs="Times New Roman"/>
          <w:noProof/>
          <w:szCs w:val="24"/>
        </w:rPr>
        <w:t>.</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Alam, N. (2010). Islamic venture philanthropy: A tool for sustainable community development. </w:t>
      </w:r>
      <w:r w:rsidRPr="00CE328A">
        <w:rPr>
          <w:rFonts w:ascii="Cambria" w:hAnsi="Cambria" w:cs="Times New Roman"/>
          <w:i/>
          <w:iCs/>
          <w:noProof/>
          <w:szCs w:val="24"/>
        </w:rPr>
        <w:t>Available at SSRN 1565859</w:t>
      </w:r>
      <w:r w:rsidRPr="00CE328A">
        <w:rPr>
          <w:rFonts w:ascii="Cambria" w:hAnsi="Cambria" w:cs="Times New Roman"/>
          <w:noProof/>
          <w:szCs w:val="24"/>
        </w:rPr>
        <w:t>. https://papers.ssrn.com/sol3/papers.cfm?abstract_id=1565859</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Anggoro, Y., Realita, T. N., &amp; ... (2021). Social entrepreneurship, career choice and religiosity: Ziswaf institution perspective. </w:t>
      </w:r>
      <w:r w:rsidRPr="00CE328A">
        <w:rPr>
          <w:rFonts w:ascii="Cambria" w:hAnsi="Cambria" w:cs="Times New Roman"/>
          <w:i/>
          <w:iCs/>
          <w:noProof/>
          <w:szCs w:val="24"/>
        </w:rPr>
        <w:t>Jurnal Ilmiah Ekonomi …</w:t>
      </w:r>
      <w:r w:rsidRPr="00CE328A">
        <w:rPr>
          <w:rFonts w:ascii="Cambria" w:hAnsi="Cambria" w:cs="Times New Roman"/>
          <w:noProof/>
          <w:szCs w:val="24"/>
        </w:rPr>
        <w:t>. https://jurnal.stie-aas.ac.id/index.php/jei/article/view/2060</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Azwar, S. (1993). Kelompok Subjek Ini Memiliki Harga Diri Yang Rendah"; Kok, Tahu...? </w:t>
      </w:r>
      <w:r w:rsidRPr="00CE328A">
        <w:rPr>
          <w:rFonts w:ascii="Cambria" w:hAnsi="Cambria" w:cs="Times New Roman"/>
          <w:i/>
          <w:iCs/>
          <w:noProof/>
          <w:szCs w:val="24"/>
        </w:rPr>
        <w:t>Buletin Psikologi</w:t>
      </w:r>
      <w:r w:rsidRPr="00CE328A">
        <w:rPr>
          <w:rFonts w:ascii="Cambria" w:hAnsi="Cambria" w:cs="Times New Roman"/>
          <w:noProof/>
          <w:szCs w:val="24"/>
        </w:rPr>
        <w:t>. https://journal.ugm.ac.id/buletinpsikologi/article/view/13160</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Evetts, J. (2013). Professionalism: Value and ideology. </w:t>
      </w:r>
      <w:r w:rsidRPr="00CE328A">
        <w:rPr>
          <w:rFonts w:ascii="Cambria" w:hAnsi="Cambria" w:cs="Times New Roman"/>
          <w:i/>
          <w:iCs/>
          <w:noProof/>
          <w:szCs w:val="24"/>
        </w:rPr>
        <w:t>Current Sociology</w:t>
      </w:r>
      <w:r w:rsidRPr="00CE328A">
        <w:rPr>
          <w:rFonts w:ascii="Cambria" w:hAnsi="Cambria" w:cs="Times New Roman"/>
          <w:noProof/>
          <w:szCs w:val="24"/>
        </w:rPr>
        <w:t>. https://doi.org/10.1177/0011392113479316</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Hamilton, W., Bosworth, G., &amp; Ruto, E. (2015). </w:t>
      </w:r>
      <w:r w:rsidRPr="00CE328A">
        <w:rPr>
          <w:rFonts w:ascii="Cambria" w:hAnsi="Cambria" w:cs="Times New Roman"/>
          <w:i/>
          <w:iCs/>
          <w:noProof/>
          <w:szCs w:val="24"/>
        </w:rPr>
        <w:t>Entrepreneurial younger farmers and the “Young Farmer Problem” in England. Agriculture and Forestry, 61 (4), 61-69</w:t>
      </w:r>
      <w:r w:rsidRPr="00CE328A">
        <w:rPr>
          <w:rFonts w:ascii="Cambria" w:hAnsi="Cambria" w:cs="Times New Roman"/>
          <w:noProof/>
          <w:szCs w:val="24"/>
        </w:rPr>
        <w:t>.</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Henseler, J., Ringle, C. M., &amp; Sarstedt, M. (2015). A new criterion for assessing </w:t>
      </w:r>
      <w:r w:rsidRPr="00CE328A">
        <w:rPr>
          <w:rFonts w:ascii="Cambria" w:hAnsi="Cambria" w:cs="Times New Roman"/>
          <w:noProof/>
          <w:szCs w:val="24"/>
        </w:rPr>
        <w:lastRenderedPageBreak/>
        <w:t xml:space="preserve">discriminant validity in variance-based structural equation modeling. In </w:t>
      </w:r>
      <w:r w:rsidRPr="00CE328A">
        <w:rPr>
          <w:rFonts w:ascii="Cambria" w:hAnsi="Cambria" w:cs="Times New Roman"/>
          <w:i/>
          <w:iCs/>
          <w:noProof/>
          <w:szCs w:val="24"/>
        </w:rPr>
        <w:t>Journal of the academy of marketing …</w:t>
      </w:r>
      <w:r w:rsidRPr="00CE328A">
        <w:rPr>
          <w:rFonts w:ascii="Cambria" w:hAnsi="Cambria" w:cs="Times New Roman"/>
          <w:noProof/>
          <w:szCs w:val="24"/>
        </w:rPr>
        <w:t>. Springer. https://doi.org/10.1007/s11747-014-0403-8</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Hoyle, E. (2001). </w:t>
      </w:r>
      <w:r w:rsidRPr="00CE328A">
        <w:rPr>
          <w:rFonts w:ascii="Cambria" w:hAnsi="Cambria" w:cs="Times New Roman"/>
          <w:i/>
          <w:iCs/>
          <w:noProof/>
          <w:szCs w:val="24"/>
        </w:rPr>
        <w:t>Teaching as a profession. International encyclopedia of the social and behavioural sciences</w:t>
      </w:r>
      <w:r w:rsidRPr="00CE328A">
        <w:rPr>
          <w:rFonts w:ascii="Cambria" w:hAnsi="Cambria" w:cs="Times New Roman"/>
          <w:noProof/>
          <w:szCs w:val="24"/>
        </w:rPr>
        <w:t>. Elsevier, Amsterdam.</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Huda, N. (2013). </w:t>
      </w:r>
      <w:r w:rsidRPr="00CE328A">
        <w:rPr>
          <w:rFonts w:ascii="Cambria" w:hAnsi="Cambria" w:cs="Times New Roman"/>
          <w:i/>
          <w:iCs/>
          <w:noProof/>
          <w:szCs w:val="24"/>
        </w:rPr>
        <w:t>Solusi persoalan zakat Indonesia pendekatan action research modifikasi</w:t>
      </w:r>
      <w:r w:rsidRPr="00CE328A">
        <w:rPr>
          <w:rFonts w:ascii="Cambria" w:hAnsi="Cambria" w:cs="Times New Roman"/>
          <w:noProof/>
          <w:szCs w:val="24"/>
        </w:rPr>
        <w:t>. repository.unair.ac.id. https://repository.unair.ac.id/32424/</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Iacobucci, D. (2010). Structural equations modeling: Fit indices, sample size, and advanced topics. </w:t>
      </w:r>
      <w:r w:rsidRPr="00CE328A">
        <w:rPr>
          <w:rFonts w:ascii="Cambria" w:hAnsi="Cambria" w:cs="Times New Roman"/>
          <w:i/>
          <w:iCs/>
          <w:noProof/>
          <w:szCs w:val="24"/>
        </w:rPr>
        <w:t>Journal of Consumer Psychology</w:t>
      </w:r>
      <w:r w:rsidRPr="00CE328A">
        <w:rPr>
          <w:rFonts w:ascii="Cambria" w:hAnsi="Cambria" w:cs="Times New Roman"/>
          <w:noProof/>
          <w:szCs w:val="24"/>
        </w:rPr>
        <w:t>. https://www.sciencedirect.com/science/article/pii/S1057740809001120</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Jogiyanto, H. M., &amp; Abdillah, W. (2009). Konsep dan Aplikasi PLS untuk penelitian empiris. In </w:t>
      </w:r>
      <w:r w:rsidRPr="00CE328A">
        <w:rPr>
          <w:rFonts w:ascii="Cambria" w:hAnsi="Cambria" w:cs="Times New Roman"/>
          <w:i/>
          <w:iCs/>
          <w:noProof/>
          <w:szCs w:val="24"/>
        </w:rPr>
        <w:t>Yogyakarta: BPFE-UGM</w:t>
      </w:r>
      <w:r w:rsidRPr="00CE328A">
        <w:rPr>
          <w:rFonts w:ascii="Cambria" w:hAnsi="Cambria" w:cs="Times New Roman"/>
          <w:noProof/>
          <w:szCs w:val="24"/>
        </w:rPr>
        <w:t>.</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Kharisudin, A., &amp; Irwandi, P. (2022). Perspektif Mahasiswa Bekerja di Bidang Pertanian Sebagai Upaya Peningkatan Pembangunan SDM Indonesia. </w:t>
      </w:r>
      <w:r w:rsidRPr="00CE328A">
        <w:rPr>
          <w:rFonts w:ascii="Cambria" w:hAnsi="Cambria" w:cs="Times New Roman"/>
          <w:i/>
          <w:iCs/>
          <w:noProof/>
          <w:szCs w:val="24"/>
        </w:rPr>
        <w:t>Sigmagri</w:t>
      </w:r>
      <w:r w:rsidRPr="00CE328A">
        <w:rPr>
          <w:rFonts w:ascii="Cambria" w:hAnsi="Cambria" w:cs="Times New Roman"/>
          <w:noProof/>
          <w:szCs w:val="24"/>
        </w:rPr>
        <w:t>. http://ojs.unwaha.ac.id/index.php/sigmagri/article/view/677</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Leonard, K. L., &amp; Masatu, M. C. (2010). Professionalism and the know‐do gap: Exploring intrinsic motivation among health workers in Tanzania. </w:t>
      </w:r>
      <w:r w:rsidRPr="00CE328A">
        <w:rPr>
          <w:rFonts w:ascii="Cambria" w:hAnsi="Cambria" w:cs="Times New Roman"/>
          <w:i/>
          <w:iCs/>
          <w:noProof/>
          <w:szCs w:val="24"/>
        </w:rPr>
        <w:t>Health Economics</w:t>
      </w:r>
      <w:r w:rsidRPr="00CE328A">
        <w:rPr>
          <w:rFonts w:ascii="Cambria" w:hAnsi="Cambria" w:cs="Times New Roman"/>
          <w:noProof/>
          <w:szCs w:val="24"/>
        </w:rPr>
        <w:t>. https://doi.org/10.1002/hec.1564</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Levine, F. J., &amp; Bell, N. E. (2015). </w:t>
      </w:r>
      <w:r w:rsidRPr="00CE328A">
        <w:rPr>
          <w:rFonts w:ascii="Cambria" w:hAnsi="Cambria" w:cs="Times New Roman"/>
          <w:i/>
          <w:iCs/>
          <w:noProof/>
          <w:szCs w:val="24"/>
        </w:rPr>
        <w:t>Social science professions and professionalization</w:t>
      </w:r>
      <w:r w:rsidRPr="00CE328A">
        <w:rPr>
          <w:rFonts w:ascii="Cambria" w:hAnsi="Cambria" w:cs="Times New Roman"/>
          <w:noProof/>
          <w:szCs w:val="24"/>
        </w:rPr>
        <w:t>. Elsevier.</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Liljegren, A. (2008). Professionellt gränsarbete: socionomexemplet [Professional Boundary Work: Social Workers in Sweden]. In </w:t>
      </w:r>
      <w:r w:rsidRPr="00CE328A">
        <w:rPr>
          <w:rFonts w:ascii="Cambria" w:hAnsi="Cambria" w:cs="Times New Roman"/>
          <w:i/>
          <w:iCs/>
          <w:noProof/>
          <w:szCs w:val="24"/>
        </w:rPr>
        <w:t>Göteborg: Universitetet i Göteborg</w:t>
      </w:r>
      <w:r w:rsidRPr="00CE328A">
        <w:rPr>
          <w:rFonts w:ascii="Cambria" w:hAnsi="Cambria" w:cs="Times New Roman"/>
          <w:noProof/>
          <w:szCs w:val="24"/>
        </w:rPr>
        <w:t>.</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Listanti, M., Nurdin, R., &amp; Hasnita, N. (2021). Analisis Strategi Fundraising Dalam Mengoptimalkan Penerimaan Zakat Di Baitul Mal Kabupaten Aceh Barat. </w:t>
      </w:r>
      <w:r w:rsidRPr="00CE328A">
        <w:rPr>
          <w:rFonts w:ascii="Cambria" w:hAnsi="Cambria" w:cs="Times New Roman"/>
          <w:i/>
          <w:iCs/>
          <w:noProof/>
          <w:szCs w:val="24"/>
        </w:rPr>
        <w:t>Journal of Sharia …</w:t>
      </w:r>
      <w:r w:rsidRPr="00CE328A">
        <w:rPr>
          <w:rFonts w:ascii="Cambria" w:hAnsi="Cambria" w:cs="Times New Roman"/>
          <w:noProof/>
          <w:szCs w:val="24"/>
        </w:rPr>
        <w:t>. https://journal.ar-raniry.ac.id/index.php/JoSE/article/view/1272</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Liu, T., Yi, S., &amp; Zhu, Y. (2023). Does Chinese Social Work Students’ Career Intention Match Their Professional Identity? The Role of Background Factors. </w:t>
      </w:r>
      <w:r w:rsidRPr="00CE328A">
        <w:rPr>
          <w:rFonts w:ascii="Cambria" w:hAnsi="Cambria" w:cs="Times New Roman"/>
          <w:i/>
          <w:iCs/>
          <w:noProof/>
          <w:szCs w:val="24"/>
        </w:rPr>
        <w:t>The British Journal of Social Work</w:t>
      </w:r>
      <w:r w:rsidRPr="00CE328A">
        <w:rPr>
          <w:rFonts w:ascii="Cambria" w:hAnsi="Cambria" w:cs="Times New Roman"/>
          <w:noProof/>
          <w:szCs w:val="24"/>
        </w:rPr>
        <w:t>. https://academic.oup.com/bjsw/article-abstract/53/4/2392/6794244</w:t>
      </w:r>
    </w:p>
    <w:p w:rsid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Messmann, G., Mulder, R. H., &amp; ... (2010). Relations between vocational teachers’ characteristics of professionalism and their innovative work behaviour. </w:t>
      </w:r>
      <w:r w:rsidRPr="00CE328A">
        <w:rPr>
          <w:rFonts w:ascii="Cambria" w:hAnsi="Cambria" w:cs="Times New Roman"/>
          <w:i/>
          <w:iCs/>
          <w:noProof/>
          <w:szCs w:val="24"/>
        </w:rPr>
        <w:t>Empirical …</w:t>
      </w:r>
      <w:r w:rsidRPr="00CE328A">
        <w:rPr>
          <w:rFonts w:ascii="Cambria" w:hAnsi="Cambria" w:cs="Times New Roman"/>
          <w:noProof/>
          <w:szCs w:val="24"/>
        </w:rPr>
        <w:t>. https://doi.org/10.1007/BF03546487</w:t>
      </w:r>
    </w:p>
    <w:p w:rsidR="00E61C56" w:rsidRDefault="00E61C56" w:rsidP="00E61C56">
      <w:pPr>
        <w:widowControl w:val="0"/>
        <w:autoSpaceDE w:val="0"/>
        <w:autoSpaceDN w:val="0"/>
        <w:adjustRightInd w:val="0"/>
        <w:spacing w:line="240" w:lineRule="auto"/>
        <w:ind w:left="598" w:hangingChars="250" w:hanging="600"/>
        <w:rPr>
          <w:rFonts w:ascii="Cambria" w:hAnsi="Cambria"/>
          <w:position w:val="0"/>
          <w:szCs w:val="24"/>
          <w:lang w:val="en-US"/>
        </w:rPr>
      </w:pPr>
      <w:r w:rsidRPr="00E61C56">
        <w:rPr>
          <w:rFonts w:ascii="Cambria" w:hAnsi="Cambria" w:cs="Times New Roman"/>
          <w:noProof/>
          <w:szCs w:val="24"/>
        </w:rPr>
        <w:t>Nainggolan</w:t>
      </w:r>
      <w:r>
        <w:rPr>
          <w:rFonts w:ascii="Cambria" w:hAnsi="Cambria"/>
        </w:rPr>
        <w:t xml:space="preserve">, L. B. (2022). Riset: Mahasiswa pertanian tak ingin jadi petani, apa sebabnya? </w:t>
      </w:r>
      <w:r>
        <w:rPr>
          <w:rFonts w:ascii="Cambria" w:hAnsi="Cambria"/>
          <w:i/>
          <w:iCs/>
        </w:rPr>
        <w:t>The Conversation.</w:t>
      </w:r>
      <w:r>
        <w:rPr>
          <w:rFonts w:ascii="Cambria" w:hAnsi="Cambria"/>
        </w:rPr>
        <w:t xml:space="preserve"> </w:t>
      </w:r>
      <w:hyperlink r:id="rId11" w:history="1">
        <w:r>
          <w:rPr>
            <w:rStyle w:val="15"/>
            <w:rFonts w:ascii="Cambria" w:hAnsi="Cambria"/>
          </w:rPr>
          <w:t>https://theconversation.com/riset-mahasiswa-pertanian-tak-ingin-jadi-petani-apa-sebabnya-190370</w:t>
        </w:r>
      </w:hyperlink>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bookmarkStart w:id="2" w:name="_GoBack"/>
      <w:bookmarkEnd w:id="2"/>
      <w:r w:rsidRPr="00CE328A">
        <w:rPr>
          <w:rFonts w:ascii="Cambria" w:hAnsi="Cambria" w:cs="Times New Roman"/>
          <w:noProof/>
          <w:szCs w:val="24"/>
        </w:rPr>
        <w:t xml:space="preserve">Nasri, R., Aeni, N., &amp; Haque-Fawzi, M. G. (2019). Determination of professionalism and transparency and its implications for the financial performance of zakat institutions. </w:t>
      </w:r>
      <w:r w:rsidRPr="00CE328A">
        <w:rPr>
          <w:rFonts w:ascii="Cambria" w:hAnsi="Cambria" w:cs="Times New Roman"/>
          <w:i/>
          <w:iCs/>
          <w:noProof/>
          <w:szCs w:val="24"/>
        </w:rPr>
        <w:t>Journal of Islamic Monetary …</w:t>
      </w:r>
      <w:r w:rsidRPr="00CE328A">
        <w:rPr>
          <w:rFonts w:ascii="Cambria" w:hAnsi="Cambria" w:cs="Times New Roman"/>
          <w:noProof/>
          <w:szCs w:val="24"/>
        </w:rPr>
        <w:t>. http://jimf-bi.org/index.php/JIMF/article/view/1158</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Nasution, J. (2023). Determinants of the Successful Digital Campaigns on Zakat: an Analysis Based on Islamic Marketing Perspective. </w:t>
      </w:r>
      <w:r w:rsidRPr="00CE328A">
        <w:rPr>
          <w:rFonts w:ascii="Cambria" w:hAnsi="Cambria" w:cs="Times New Roman"/>
          <w:i/>
          <w:iCs/>
          <w:noProof/>
          <w:szCs w:val="24"/>
        </w:rPr>
        <w:t xml:space="preserve">Ekuilibrium: </w:t>
      </w:r>
      <w:r w:rsidRPr="00CE328A">
        <w:rPr>
          <w:rFonts w:ascii="Cambria" w:hAnsi="Cambria" w:cs="Times New Roman"/>
          <w:i/>
          <w:iCs/>
          <w:noProof/>
          <w:szCs w:val="24"/>
        </w:rPr>
        <w:lastRenderedPageBreak/>
        <w:t>Jurnal Ilmiah Bidang Ilmu Ekonomi</w:t>
      </w:r>
      <w:r w:rsidRPr="00CE328A">
        <w:rPr>
          <w:rFonts w:ascii="Cambria" w:hAnsi="Cambria" w:cs="Times New Roman"/>
          <w:noProof/>
          <w:szCs w:val="24"/>
        </w:rPr>
        <w:t>. https://journal.umpo.ac.id/index.php/ekuilibrium/article/view/6439</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Nye, C. D., Su, R., Rounds, J., &amp; ... (2012). Vocational interests and performance: A quantitative summary of over 60 years of research. </w:t>
      </w:r>
      <w:r w:rsidRPr="00CE328A">
        <w:rPr>
          <w:rFonts w:ascii="Cambria" w:hAnsi="Cambria" w:cs="Times New Roman"/>
          <w:i/>
          <w:iCs/>
          <w:noProof/>
          <w:szCs w:val="24"/>
        </w:rPr>
        <w:t>… on Psychological Science</w:t>
      </w:r>
      <w:r w:rsidRPr="00CE328A">
        <w:rPr>
          <w:rFonts w:ascii="Cambria" w:hAnsi="Cambria" w:cs="Times New Roman"/>
          <w:noProof/>
          <w:szCs w:val="24"/>
        </w:rPr>
        <w:t>. https://doi.org/10.1177/1745691612449021</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Park, E. H., &amp; Kim, N. Y. (2018). The influence of nursing professionalism, attitudes toward advance directive, and death anxiety on terminal care performance of nurses in longterm care …. In </w:t>
      </w:r>
      <w:r w:rsidRPr="00CE328A">
        <w:rPr>
          <w:rFonts w:ascii="Cambria" w:hAnsi="Cambria" w:cs="Times New Roman"/>
          <w:i/>
          <w:iCs/>
          <w:noProof/>
          <w:szCs w:val="24"/>
        </w:rPr>
        <w:t>Korean Journal of Adult Nursing</w:t>
      </w:r>
      <w:r w:rsidRPr="00CE328A">
        <w:rPr>
          <w:rFonts w:ascii="Cambria" w:hAnsi="Cambria" w:cs="Times New Roman"/>
          <w:noProof/>
          <w:szCs w:val="24"/>
        </w:rPr>
        <w:t>. synapse.koreamed.org. https://synapse.koreamed.org/articles/1095605</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Pollard, G. (1995). Job satisfaction among newsworkers: The influence of professionalism, perceptions of organizational structure, and social attributes. </w:t>
      </w:r>
      <w:r w:rsidRPr="00CE328A">
        <w:rPr>
          <w:rFonts w:ascii="Cambria" w:hAnsi="Cambria" w:cs="Times New Roman"/>
          <w:i/>
          <w:iCs/>
          <w:noProof/>
          <w:szCs w:val="24"/>
        </w:rPr>
        <w:t>Journalism &amp;Mass Communication Quarterly</w:t>
      </w:r>
      <w:r w:rsidRPr="00CE328A">
        <w:rPr>
          <w:rFonts w:ascii="Cambria" w:hAnsi="Cambria" w:cs="Times New Roman"/>
          <w:noProof/>
          <w:szCs w:val="24"/>
        </w:rPr>
        <w:t>. https://doi.org/10.1177/107769909507200317</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West, P. B. (1993). </w:t>
      </w:r>
      <w:r w:rsidRPr="00CE328A">
        <w:rPr>
          <w:rFonts w:ascii="Cambria" w:hAnsi="Cambria" w:cs="Times New Roman"/>
          <w:i/>
          <w:iCs/>
          <w:noProof/>
          <w:szCs w:val="24"/>
        </w:rPr>
        <w:t>Accounting and Society</w:t>
      </w:r>
      <w:r w:rsidRPr="00CE328A">
        <w:rPr>
          <w:rFonts w:ascii="Cambria" w:hAnsi="Cambria" w:cs="Times New Roman"/>
          <w:noProof/>
          <w:szCs w:val="24"/>
        </w:rPr>
        <w:t>. rso.business.siu.edu. https://rso.business.siu.edu/acctsoc/files/2012/11/12.10.pdf</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cs="Times New Roman"/>
          <w:noProof/>
          <w:szCs w:val="24"/>
        </w:rPr>
      </w:pPr>
      <w:r w:rsidRPr="00CE328A">
        <w:rPr>
          <w:rFonts w:ascii="Cambria" w:hAnsi="Cambria" w:cs="Times New Roman"/>
          <w:noProof/>
          <w:szCs w:val="24"/>
        </w:rPr>
        <w:t xml:space="preserve">Wilensky, H. L. (1964). The professionalization of everyone? </w:t>
      </w:r>
      <w:r w:rsidRPr="00CE328A">
        <w:rPr>
          <w:rFonts w:ascii="Cambria" w:hAnsi="Cambria" w:cs="Times New Roman"/>
          <w:i/>
          <w:iCs/>
          <w:noProof/>
          <w:szCs w:val="24"/>
        </w:rPr>
        <w:t>American Journal of Sociology</w:t>
      </w:r>
      <w:r w:rsidRPr="00CE328A">
        <w:rPr>
          <w:rFonts w:ascii="Cambria" w:hAnsi="Cambria" w:cs="Times New Roman"/>
          <w:noProof/>
          <w:szCs w:val="24"/>
        </w:rPr>
        <w:t>. https://doi.org/10.1086/223790</w:t>
      </w:r>
    </w:p>
    <w:p w:rsidR="00CE328A" w:rsidRPr="00CE328A" w:rsidRDefault="00CE328A" w:rsidP="00CE328A">
      <w:pPr>
        <w:widowControl w:val="0"/>
        <w:autoSpaceDE w:val="0"/>
        <w:autoSpaceDN w:val="0"/>
        <w:adjustRightInd w:val="0"/>
        <w:spacing w:line="240" w:lineRule="auto"/>
        <w:ind w:left="598" w:hangingChars="250" w:hanging="600"/>
        <w:rPr>
          <w:rFonts w:ascii="Cambria" w:hAnsi="Cambria"/>
          <w:noProof/>
        </w:rPr>
      </w:pPr>
      <w:r w:rsidRPr="00CE328A">
        <w:rPr>
          <w:rFonts w:ascii="Cambria" w:hAnsi="Cambria" w:cs="Times New Roman"/>
          <w:noProof/>
          <w:szCs w:val="24"/>
        </w:rPr>
        <w:t xml:space="preserve">Yudha, A., RIDLWAN, A. A., &amp; ... (2018). Measuring professionalism in zakat management institution in East Java. </w:t>
      </w:r>
      <w:r w:rsidRPr="00CE328A">
        <w:rPr>
          <w:rFonts w:ascii="Cambria" w:hAnsi="Cambria" w:cs="Times New Roman"/>
          <w:i/>
          <w:iCs/>
          <w:noProof/>
          <w:szCs w:val="24"/>
        </w:rPr>
        <w:t>KnE Social Sciences …</w:t>
      </w:r>
      <w:r w:rsidRPr="00CE328A">
        <w:rPr>
          <w:rFonts w:ascii="Cambria" w:hAnsi="Cambria" w:cs="Times New Roman"/>
          <w:noProof/>
          <w:szCs w:val="24"/>
        </w:rPr>
        <w:t>. https://repository.unair.ac.id/113353/</w:t>
      </w:r>
    </w:p>
    <w:p w:rsidR="00A2008D" w:rsidRDefault="00CE328A" w:rsidP="00CE328A">
      <w:pPr>
        <w:widowControl w:val="0"/>
        <w:spacing w:line="240" w:lineRule="auto"/>
        <w:ind w:left="598" w:hangingChars="250" w:hanging="600"/>
        <w:rPr>
          <w:rFonts w:ascii="Cambria" w:eastAsia="Cambria" w:hAnsi="Cambria" w:cs="Cambria"/>
        </w:rPr>
      </w:pPr>
      <w:r>
        <w:rPr>
          <w:rFonts w:ascii="Cambria" w:eastAsia="Cambria" w:hAnsi="Cambria" w:cs="Cambria"/>
        </w:rPr>
        <w:fldChar w:fldCharType="end"/>
      </w:r>
    </w:p>
    <w:sectPr w:rsidR="00A2008D">
      <w:headerReference w:type="default" r:id="rId12"/>
      <w:footerReference w:type="default" r:id="rId13"/>
      <w:headerReference w:type="first" r:id="rId14"/>
      <w:footerReference w:type="first" r:id="rId15"/>
      <w:pgSz w:w="11907" w:h="16839"/>
      <w:pgMar w:top="1701" w:right="1701" w:bottom="1701" w:left="2268" w:header="964" w:footer="794" w:gutter="0"/>
      <w:pgNumType w:start="83"/>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667" w:rsidRDefault="009E5667">
      <w:pPr>
        <w:spacing w:line="240" w:lineRule="auto"/>
        <w:ind w:left="0" w:hanging="2"/>
      </w:pPr>
      <w:r>
        <w:separator/>
      </w:r>
    </w:p>
  </w:endnote>
  <w:endnote w:type="continuationSeparator" w:id="0">
    <w:p w:rsidR="009E5667" w:rsidRDefault="009E566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udy Old Style">
    <w:panose1 w:val="02020502050305020303"/>
    <w:charset w:val="00"/>
    <w:family w:val="roman"/>
    <w:pitch w:val="variable"/>
    <w:sig w:usb0="00000003" w:usb1="00000000" w:usb2="00000000" w:usb3="00000000" w:csb0="00000001" w:csb1="00000000"/>
  </w:font>
  <w:font w:name="Sorts Mill Goudy">
    <w:altName w:val="SimSun"/>
    <w:charset w:val="86"/>
    <w:family w:val="auto"/>
    <w:pitch w:val="default"/>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Hosam">
    <w:altName w:val="QCF2BSML"/>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3" w:rsidRDefault="00856E33">
    <w:pP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X, No. X, Tahun 20XX</w:t>
    </w:r>
    <w:r>
      <w:rPr>
        <w:rFonts w:ascii="Cambria" w:eastAsia="Cambria" w:hAnsi="Cambria" w:cs="Cambria"/>
        <w:color w:val="000000"/>
        <w:sz w:val="22"/>
        <w:szCs w:val="22"/>
      </w:rPr>
      <w:t xml:space="preserve">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E61C56">
      <w:rPr>
        <w:rFonts w:ascii="Cambria" w:eastAsia="Cambria" w:hAnsi="Cambria" w:cs="Cambria"/>
        <w:noProof/>
        <w:color w:val="000000"/>
        <w:sz w:val="22"/>
        <w:szCs w:val="22"/>
      </w:rPr>
      <w:t>96</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Pr>
        <w:noProof/>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25400</wp:posOffset>
              </wp:positionV>
              <wp:extent cx="5041900" cy="19050"/>
              <wp:effectExtent l="0" t="0" r="0" b="0"/>
              <wp:wrapNone/>
              <wp:docPr id="1030" name="Straight Arrow Connector 1030"/>
              <wp:cNvGraphicFramePr/>
              <a:graphic xmlns:a="http://schemas.openxmlformats.org/drawingml/2006/main">
                <a:graphicData uri="http://schemas.microsoft.com/office/word/2010/wordprocessingShape">
                  <wps:wsp>
                    <wps:cNvCnPr/>
                    <wps:spPr>
                      <a:xfrm>
                        <a:off x="2825050" y="3779683"/>
                        <a:ext cx="5041900" cy="635"/>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2pt;height:1.5pt;width:397pt;z-index:251661312;mso-width-relative:page;mso-height-relative:page;" filled="f" stroked="t" coordsize="21600,21600" o:gfxdata="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DxJudEAAAAEAQAADwAAAAAAAAABACAAAAAiAAAAZHJzL2Rvd25y&#10;ZXYueG1sUEsBAhQAFAAAAAgAh07iQOX4TWcFAgAAJgQAAA4AAAAAAAAAAQAgAAAAIAEAAGRycy9l&#10;Mm9Eb2MueG1sUEsFBgAAAAAGAAYAWQEAAJcFAAAAAA==&#10;">
              <v:fill on="f" focussize="0,0"/>
              <v:stroke weight="1.5pt" color="#000000" miterlimit="8" joinstyle="miter"/>
              <v:imagedata o:title=""/>
              <o:lock v:ext="edit" aspectratio="f"/>
            </v:shape>
          </w:pict>
        </mc:Fallback>
      </mc:AlternateContent>
    </w:r>
  </w:p>
  <w:p w:rsidR="00856E33" w:rsidRDefault="00856E33">
    <w:pPr>
      <w:tabs>
        <w:tab w:val="center" w:pos="4513"/>
        <w:tab w:val="right" w:pos="9026"/>
      </w:tabs>
      <w:ind w:left="0" w:hanging="2"/>
      <w:jc w:val="right"/>
      <w:rPr>
        <w:rFonts w:ascii="Cambria" w:eastAsia="Cambria" w:hAnsi="Cambria" w:cs="Cambria"/>
        <w:color w:val="000000"/>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3" w:rsidRDefault="00856E33">
    <w:pPr>
      <w:tabs>
        <w:tab w:val="center" w:pos="4513"/>
        <w:tab w:val="right" w:pos="9026"/>
      </w:tabs>
      <w:spacing w:before="120"/>
      <w:ind w:left="0" w:hanging="2"/>
      <w:jc w:val="right"/>
      <w:rPr>
        <w:rFonts w:ascii="Cambria" w:eastAsia="Cambria" w:hAnsi="Cambria" w:cs="Cambria"/>
        <w:color w:val="000000"/>
        <w:sz w:val="22"/>
        <w:szCs w:val="22"/>
      </w:rPr>
    </w:pPr>
    <w:r>
      <w:rPr>
        <w:rFonts w:ascii="Cambria" w:eastAsia="Cambria" w:hAnsi="Cambria" w:cs="Cambria"/>
        <w:i/>
        <w:color w:val="000000"/>
        <w:sz w:val="20"/>
        <w:szCs w:val="20"/>
      </w:rPr>
      <w:t>EL DINAR Volume 6, No. 1, Tahun 2018</w:t>
    </w:r>
    <w:r>
      <w:rPr>
        <w:rFonts w:ascii="Cambria" w:eastAsia="Cambria" w:hAnsi="Cambria" w:cs="Cambria"/>
        <w:color w:val="000000"/>
        <w:sz w:val="20"/>
        <w:szCs w:val="20"/>
      </w:rPr>
      <w:t xml:space="preserve"> </w:t>
    </w:r>
    <w:r>
      <w:rPr>
        <w:rFonts w:ascii="Cambria" w:eastAsia="Cambria" w:hAnsi="Cambria" w:cs="Cambria"/>
        <w:color w:val="000000"/>
        <w:sz w:val="22"/>
        <w:szCs w:val="22"/>
      </w:rPr>
      <w:t xml:space="preserve">|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E61C56">
      <w:rPr>
        <w:rFonts w:ascii="Cambria" w:eastAsia="Cambria" w:hAnsi="Cambria" w:cs="Cambria"/>
        <w:noProof/>
        <w:color w:val="000000"/>
        <w:sz w:val="22"/>
        <w:szCs w:val="22"/>
      </w:rPr>
      <w:t>83</w:t>
    </w:r>
    <w:r>
      <w:rPr>
        <w:rFonts w:ascii="Cambria" w:eastAsia="Cambria" w:hAnsi="Cambria" w:cs="Cambria"/>
        <w:color w:val="000000"/>
        <w:sz w:val="22"/>
        <w:szCs w:val="22"/>
      </w:rPr>
      <w:fldChar w:fldCharType="end"/>
    </w:r>
    <w:r>
      <w:rPr>
        <w:rFonts w:ascii="Cambria" w:eastAsia="Cambria" w:hAnsi="Cambria" w:cs="Cambria"/>
        <w:color w:val="000000"/>
        <w:sz w:val="22"/>
        <w:szCs w:val="22"/>
      </w:rPr>
      <w:t xml:space="preserve"> </w:t>
    </w:r>
    <w:r>
      <w:rPr>
        <w:noProof/>
        <w:lang w:val="en-US"/>
      </w:rPr>
      <mc:AlternateContent>
        <mc:Choice Requires="wps">
          <w:drawing>
            <wp:anchor distT="0" distB="0" distL="114300" distR="114300" simplePos="0" relativeHeight="251664384" behindDoc="0" locked="0" layoutInCell="1" allowOverlap="1">
              <wp:simplePos x="0" y="0"/>
              <wp:positionH relativeFrom="column">
                <wp:posOffset>-12065</wp:posOffset>
              </wp:positionH>
              <wp:positionV relativeFrom="paragraph">
                <wp:posOffset>38100</wp:posOffset>
              </wp:positionV>
              <wp:extent cx="5053965" cy="19050"/>
              <wp:effectExtent l="0" t="0" r="0" b="0"/>
              <wp:wrapNone/>
              <wp:docPr id="1027" name="Straight Arrow Connector 1027"/>
              <wp:cNvGraphicFramePr/>
              <a:graphic xmlns:a="http://schemas.openxmlformats.org/drawingml/2006/main">
                <a:graphicData uri="http://schemas.microsoft.com/office/word/2010/wordprocessingShape">
                  <wps:wsp>
                    <wps:cNvCnPr/>
                    <wps:spPr>
                      <a:xfrm>
                        <a:off x="2819018" y="3780000"/>
                        <a:ext cx="5053965"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95pt;margin-top:3pt;height:1.5pt;width:397.95pt;z-index:251664384;mso-width-relative:page;mso-height-relative:page;" filled="f" stroked="t" coordsize="21600,21600" o:gfxdata="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I3A9NQAAAAGAQAADwAAAAAAAAABACAAAAAiAAAAZHJzL2Rv&#10;d25yZXYueG1sUEsBAhQAFAAAAAgAh07iQFpQyaYFAgAAJAQAAA4AAAAAAAAAAQAgAAAAIwEAAGRy&#10;cy9lMm9Eb2MueG1sUEsFBgAAAAAGAAYAWQEAAJoFAAAAAA==&#10;">
              <v:fill on="f" focussize="0,0"/>
              <v:stroke weight="1.5pt" color="#000000" miterlimit="8" joinstyle="miter"/>
              <v:imagedata o:title=""/>
              <o:lock v:ext="edit" aspectratio="f"/>
            </v:shape>
          </w:pict>
        </mc:Fallback>
      </mc:AlternateContent>
    </w:r>
  </w:p>
  <w:p w:rsidR="00856E33" w:rsidRDefault="00856E33">
    <w:pPr>
      <w:tabs>
        <w:tab w:val="center" w:pos="4513"/>
        <w:tab w:val="right" w:pos="9026"/>
      </w:tabs>
      <w:ind w:left="0" w:hanging="2"/>
      <w:rPr>
        <w:rFonts w:ascii="Sorts Mill Goudy" w:hAnsi="Sorts Mill Goudy" w:cs="Sorts Mill Goudy"/>
        <w:color w:val="000000"/>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667" w:rsidRDefault="009E5667">
      <w:pPr>
        <w:ind w:left="0" w:hanging="2"/>
      </w:pPr>
      <w:r>
        <w:separator/>
      </w:r>
    </w:p>
  </w:footnote>
  <w:footnote w:type="continuationSeparator" w:id="0">
    <w:p w:rsidR="009E5667" w:rsidRDefault="009E5667">
      <w:pPr>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3" w:rsidRDefault="00856E33">
    <w:pPr>
      <w:tabs>
        <w:tab w:val="center" w:pos="4513"/>
        <w:tab w:val="right" w:pos="9026"/>
      </w:tabs>
      <w:ind w:left="0" w:hanging="2"/>
      <w:jc w:val="left"/>
      <w:rPr>
        <w:rFonts w:ascii="Cambria" w:eastAsia="Cambria" w:hAnsi="Cambria" w:cs="Cambria"/>
        <w:color w:val="000000"/>
        <w:sz w:val="20"/>
        <w:szCs w:val="20"/>
      </w:rPr>
    </w:pPr>
    <w:r>
      <w:rPr>
        <w:noProof/>
        <w:lang w:val="en-US"/>
      </w:rPr>
      <w:drawing>
        <wp:anchor distT="0" distB="0" distL="114300" distR="114300" simplePos="0" relativeHeight="251659264" behindDoc="0" locked="0" layoutInCell="1" allowOverlap="1">
          <wp:simplePos x="0" y="0"/>
          <wp:positionH relativeFrom="column">
            <wp:posOffset>4853305</wp:posOffset>
          </wp:positionH>
          <wp:positionV relativeFrom="paragraph">
            <wp:posOffset>201930</wp:posOffset>
          </wp:positionV>
          <wp:extent cx="181610" cy="179705"/>
          <wp:effectExtent l="0" t="0" r="0" b="0"/>
          <wp:wrapNone/>
          <wp:docPr id="1034" name="image8.png"/>
          <wp:cNvGraphicFramePr/>
          <a:graphic xmlns:a="http://schemas.openxmlformats.org/drawingml/2006/main">
            <a:graphicData uri="http://schemas.openxmlformats.org/drawingml/2006/picture">
              <pic:pic xmlns:pic="http://schemas.openxmlformats.org/drawingml/2006/picture">
                <pic:nvPicPr>
                  <pic:cNvPr id="1034" name="image8.png"/>
                  <pic:cNvPicPr preferRelativeResize="0"/>
                </pic:nvPicPr>
                <pic:blipFill>
                  <a:blip r:embed="rId1"/>
                  <a:srcRect/>
                  <a:stretch>
                    <a:fillRect/>
                  </a:stretch>
                </pic:blipFill>
                <pic:spPr>
                  <a:xfrm>
                    <a:off x="0" y="0"/>
                    <a:ext cx="181610" cy="179705"/>
                  </a:xfrm>
                  <a:prstGeom prst="rect">
                    <a:avLst/>
                  </a:prstGeom>
                </pic:spPr>
              </pic:pic>
            </a:graphicData>
          </a:graphic>
        </wp:anchor>
      </w:drawing>
    </w:r>
  </w:p>
  <w:p w:rsidR="00856E33" w:rsidRDefault="00856E33">
    <w:pPr>
      <w:tabs>
        <w:tab w:val="center" w:pos="4513"/>
        <w:tab w:val="right" w:pos="9026"/>
      </w:tabs>
      <w:ind w:left="0" w:hanging="2"/>
      <w:jc w:val="left"/>
      <w:rPr>
        <w:rFonts w:ascii="Cambria" w:eastAsia="Cambria" w:hAnsi="Cambria" w:cs="Cambria"/>
        <w:color w:val="000000"/>
        <w:sz w:val="20"/>
        <w:szCs w:val="20"/>
      </w:rPr>
    </w:pPr>
    <w:r>
      <w:rPr>
        <w:rFonts w:ascii="Cambria" w:eastAsia="Cambria" w:hAnsi="Cambria" w:cs="Cambria"/>
        <w:b/>
        <w:color w:val="000000"/>
        <w:sz w:val="20"/>
        <w:szCs w:val="20"/>
      </w:rPr>
      <w:t xml:space="preserve">Nama Author: </w:t>
    </w:r>
    <w:r>
      <w:rPr>
        <w:rFonts w:ascii="Cambria" w:eastAsia="Cambria" w:hAnsi="Cambria" w:cs="Cambria"/>
        <w:color w:val="000000"/>
        <w:sz w:val="20"/>
        <w:szCs w:val="20"/>
      </w:rPr>
      <w:t>Judul Artikel</w:t>
    </w:r>
    <w:r>
      <w:rPr>
        <w:noProof/>
        <w:lang w:val="en-US"/>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177800</wp:posOffset>
              </wp:positionV>
              <wp:extent cx="5044440" cy="19050"/>
              <wp:effectExtent l="0" t="0" r="0" b="0"/>
              <wp:wrapNone/>
              <wp:docPr id="1029" name="Straight Arrow Connector 1029"/>
              <wp:cNvGraphicFramePr/>
              <a:graphic xmlns:a="http://schemas.openxmlformats.org/drawingml/2006/main">
                <a:graphicData uri="http://schemas.microsoft.com/office/word/2010/wordprocessingShape">
                  <wps:wsp>
                    <wps:cNvCnPr/>
                    <wps:spPr>
                      <a:xfrm>
                        <a:off x="2823780" y="3780000"/>
                        <a:ext cx="5044440"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14pt;height:1.5pt;width:397.2pt;z-index:251660288;mso-width-relative:page;mso-height-relative:page;" filled="f" stroked="t" coordsize="21600,21600" o:gfxdata="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VkWjO1QAAAAYBAAAPAAAAAAAAAAEAIAAAACIAAABkcnMvZG93bnJl&#10;di54bWxQSwECFAAUAAAACACHTuJAJ4C3GQACAAAkBAAADgAAAAAAAAABACAAAAAkAQAAZHJzL2Uy&#10;b0RvYy54bWxQSwUGAAAAAAYABgBZAQAAlgUAAAAA&#10;">
              <v:fill on="f" focussize="0,0"/>
              <v:stroke weight="1.5pt" color="#000000" miterlimit="8" joinstyle="miter"/>
              <v:imagedata o:title=""/>
              <o:lock v:ext="edit" aspectratio="f"/>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E33" w:rsidRDefault="00856E33">
    <w:pPr>
      <w:tabs>
        <w:tab w:val="center" w:pos="4513"/>
        <w:tab w:val="right" w:pos="9026"/>
      </w:tabs>
      <w:ind w:left="0" w:hanging="2"/>
      <w:rPr>
        <w:rFonts w:ascii="Sorts Mill Goudy" w:hAnsi="Sorts Mill Goudy" w:cs="Sorts Mill Goudy"/>
        <w:color w:val="000000"/>
        <w:szCs w:val="24"/>
      </w:rPr>
    </w:pPr>
    <w:r>
      <w:rPr>
        <w:noProof/>
        <w:lang w:val="en-US"/>
      </w:rPr>
      <mc:AlternateContent>
        <mc:Choice Requires="wps">
          <w:drawing>
            <wp:anchor distT="0" distB="0" distL="114300" distR="114300" simplePos="0" relativeHeight="251662336" behindDoc="0" locked="0" layoutInCell="1" allowOverlap="1">
              <wp:simplePos x="0" y="0"/>
              <wp:positionH relativeFrom="column">
                <wp:posOffset>-12065</wp:posOffset>
              </wp:positionH>
              <wp:positionV relativeFrom="paragraph">
                <wp:posOffset>444500</wp:posOffset>
              </wp:positionV>
              <wp:extent cx="5053965" cy="19050"/>
              <wp:effectExtent l="0" t="0" r="0" b="0"/>
              <wp:wrapNone/>
              <wp:docPr id="1028" name="Straight Arrow Connector 1028"/>
              <wp:cNvGraphicFramePr/>
              <a:graphic xmlns:a="http://schemas.openxmlformats.org/drawingml/2006/main">
                <a:graphicData uri="http://schemas.microsoft.com/office/word/2010/wordprocessingShape">
                  <wps:wsp>
                    <wps:cNvCnPr/>
                    <wps:spPr>
                      <a:xfrm>
                        <a:off x="2819018" y="3780000"/>
                        <a:ext cx="5053965" cy="0"/>
                      </a:xfrm>
                      <a:prstGeom prst="straightConnector1">
                        <a:avLst/>
                      </a:prstGeom>
                      <a:noFill/>
                      <a:ln w="19050" cap="flat" cmpd="sng">
                        <a:solidFill>
                          <a:srgbClr val="000000"/>
                        </a:solidFill>
                        <a:prstDash val="solid"/>
                        <a:miter lim="800000"/>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95pt;margin-top:35pt;height:1.5pt;width:397.95pt;z-index:251662336;mso-width-relative:page;mso-height-relative:page;" filled="f" stroked="t" coordsize="21600,21600" o:gfxdata="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htb/ONUAAAAIAQAADwAAAAAAAAABACAAAAAiAAAAZHJzL2Rv&#10;d25yZXYueG1sUEsBAhQAFAAAAAgAh07iQL693kQEAgAAJAQAAA4AAAAAAAAAAQAgAAAAJAEAAGRy&#10;cy9lMm9Eb2MueG1sUEsFBgAAAAAGAAYAWQEAAJoFAAAAAA==&#10;">
              <v:fill on="f" focussize="0,0"/>
              <v:stroke weight="1.5pt" color="#000000" miterlimit="8" joinstyle="miter"/>
              <v:imagedata o:title=""/>
              <o:lock v:ext="edit" aspectratio="f"/>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-113665</wp:posOffset>
              </wp:positionH>
              <wp:positionV relativeFrom="paragraph">
                <wp:posOffset>-100965</wp:posOffset>
              </wp:positionV>
              <wp:extent cx="4516120" cy="577215"/>
              <wp:effectExtent l="0" t="0" r="0" b="0"/>
              <wp:wrapNone/>
              <wp:docPr id="1031" name="Rectangles 1031"/>
              <wp:cNvGraphicFramePr/>
              <a:graphic xmlns:a="http://schemas.openxmlformats.org/drawingml/2006/main">
                <a:graphicData uri="http://schemas.microsoft.com/office/word/2010/wordprocessingShape">
                  <wps:wsp>
                    <wps:cNvSpPr/>
                    <wps:spPr>
                      <a:xfrm>
                        <a:off x="3092703" y="3496155"/>
                        <a:ext cx="4506595" cy="567690"/>
                      </a:xfrm>
                      <a:prstGeom prst="rect">
                        <a:avLst/>
                      </a:prstGeom>
                      <a:noFill/>
                      <a:ln>
                        <a:noFill/>
                      </a:ln>
                    </wps:spPr>
                    <wps:txbx>
                      <w:txbxContent>
                        <w:p w:rsidR="00856E33" w:rsidRDefault="00856E33">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rsidR="00856E33" w:rsidRDefault="00856E33">
                          <w:pPr>
                            <w:spacing w:line="240" w:lineRule="auto"/>
                            <w:ind w:left="0" w:hanging="2"/>
                            <w:jc w:val="left"/>
                          </w:pPr>
                          <w:r>
                            <w:rPr>
                              <w:rFonts w:ascii="Cambria" w:eastAsia="Cambria" w:hAnsi="Cambria" w:cs="Cambria"/>
                              <w:color w:val="000000"/>
                              <w:sz w:val="20"/>
                            </w:rPr>
                            <w:t>Volume X , No. X, Tahun XXXX</w:t>
                          </w:r>
                        </w:p>
                        <w:p w:rsidR="00856E33" w:rsidRDefault="00856E33">
                          <w:pPr>
                            <w:spacing w:line="240" w:lineRule="auto"/>
                            <w:ind w:left="0" w:hanging="2"/>
                            <w:jc w:val="left"/>
                          </w:pPr>
                          <w:r>
                            <w:rPr>
                              <w:rFonts w:ascii="Cambria" w:eastAsia="Cambria" w:hAnsi="Cambria" w:cs="Cambria"/>
                              <w:color w:val="000000"/>
                              <w:sz w:val="20"/>
                            </w:rPr>
                            <w:t>E ISSN: 2622-0083</w:t>
                          </w:r>
                        </w:p>
                        <w:p w:rsidR="00856E33" w:rsidRDefault="00856E33">
                          <w:pPr>
                            <w:ind w:left="0" w:hanging="2"/>
                          </w:pPr>
                        </w:p>
                      </w:txbxContent>
                    </wps:txbx>
                    <wps:bodyPr spcFirstLastPara="1" wrap="square" lIns="91425" tIns="45700" rIns="91425" bIns="45700" anchor="t" anchorCtr="0">
                      <a:noAutofit/>
                    </wps:bodyPr>
                  </wps:wsp>
                </a:graphicData>
              </a:graphic>
            </wp:anchor>
          </w:drawing>
        </mc:Choice>
        <mc:Fallback>
          <w:pict>
            <v:rect id="Rectangles 1031" o:spid="_x0000_s1026" style="position:absolute;left:0;text-align:left;margin-left:-8.95pt;margin-top:-7.95pt;width:355.6pt;height:45.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" filled="f" stroked="f">
              <v:textbox inset="2.53958mm,1.2694mm,2.53958mm,1.2694mm">
                <w:txbxContent>
                  <w:p w:rsidR="00856E33" w:rsidRDefault="00856E33">
                    <w:pPr>
                      <w:spacing w:line="240" w:lineRule="auto"/>
                      <w:ind w:left="0" w:hanging="2"/>
                      <w:jc w:val="left"/>
                    </w:pPr>
                    <w:r>
                      <w:rPr>
                        <w:rFonts w:ascii="Cambria" w:eastAsia="Cambria" w:hAnsi="Cambria" w:cs="Cambria"/>
                        <w:b/>
                        <w:color w:val="000000"/>
                        <w:sz w:val="20"/>
                      </w:rPr>
                      <w:t>EL DINAR:</w:t>
                    </w:r>
                    <w:r>
                      <w:rPr>
                        <w:rFonts w:ascii="Cambria" w:eastAsia="Cambria" w:hAnsi="Cambria" w:cs="Cambria"/>
                        <w:color w:val="000000"/>
                        <w:sz w:val="20"/>
                      </w:rPr>
                      <w:t xml:space="preserve"> Jurnal Keuangan dan Perbankan Syariah</w:t>
                    </w:r>
                  </w:p>
                  <w:p w:rsidR="00856E33" w:rsidRDefault="00856E33">
                    <w:pPr>
                      <w:spacing w:line="240" w:lineRule="auto"/>
                      <w:ind w:left="0" w:hanging="2"/>
                      <w:jc w:val="left"/>
                    </w:pPr>
                    <w:r>
                      <w:rPr>
                        <w:rFonts w:ascii="Cambria" w:eastAsia="Cambria" w:hAnsi="Cambria" w:cs="Cambria"/>
                        <w:color w:val="000000"/>
                        <w:sz w:val="20"/>
                      </w:rPr>
                      <w:t>Volume X , No. X, Tahun XXXX</w:t>
                    </w:r>
                  </w:p>
                  <w:p w:rsidR="00856E33" w:rsidRDefault="00856E33">
                    <w:pPr>
                      <w:spacing w:line="240" w:lineRule="auto"/>
                      <w:ind w:left="0" w:hanging="2"/>
                      <w:jc w:val="left"/>
                    </w:pPr>
                    <w:r>
                      <w:rPr>
                        <w:rFonts w:ascii="Cambria" w:eastAsia="Cambria" w:hAnsi="Cambria" w:cs="Cambria"/>
                        <w:color w:val="000000"/>
                        <w:sz w:val="20"/>
                      </w:rPr>
                      <w:t>E ISSN: 2622-0083</w:t>
                    </w:r>
                  </w:p>
                  <w:p w:rsidR="00856E33" w:rsidRDefault="00856E33">
                    <w:pPr>
                      <w:ind w:left="0" w:hanging="2"/>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BE"/>
    <w:rsid w:val="00011896"/>
    <w:rsid w:val="00016281"/>
    <w:rsid w:val="00031726"/>
    <w:rsid w:val="00035FB6"/>
    <w:rsid w:val="00043D67"/>
    <w:rsid w:val="0005636F"/>
    <w:rsid w:val="00092421"/>
    <w:rsid w:val="000924EC"/>
    <w:rsid w:val="000A286E"/>
    <w:rsid w:val="000D1C67"/>
    <w:rsid w:val="000E1EC0"/>
    <w:rsid w:val="000F3EED"/>
    <w:rsid w:val="00115211"/>
    <w:rsid w:val="00137AB4"/>
    <w:rsid w:val="00152229"/>
    <w:rsid w:val="00163D8C"/>
    <w:rsid w:val="001750C3"/>
    <w:rsid w:val="00190705"/>
    <w:rsid w:val="001A15E6"/>
    <w:rsid w:val="001B521E"/>
    <w:rsid w:val="00200BED"/>
    <w:rsid w:val="00212200"/>
    <w:rsid w:val="00246B1E"/>
    <w:rsid w:val="00266100"/>
    <w:rsid w:val="00270FAA"/>
    <w:rsid w:val="0028426C"/>
    <w:rsid w:val="00285E3A"/>
    <w:rsid w:val="002C6DA6"/>
    <w:rsid w:val="002F26B8"/>
    <w:rsid w:val="00310318"/>
    <w:rsid w:val="00322B6C"/>
    <w:rsid w:val="00352D66"/>
    <w:rsid w:val="0037694F"/>
    <w:rsid w:val="003E4E7A"/>
    <w:rsid w:val="003F2219"/>
    <w:rsid w:val="00461F4F"/>
    <w:rsid w:val="00473402"/>
    <w:rsid w:val="004C50F3"/>
    <w:rsid w:val="004C6C46"/>
    <w:rsid w:val="004C7489"/>
    <w:rsid w:val="004D03BE"/>
    <w:rsid w:val="004E5F73"/>
    <w:rsid w:val="005428DF"/>
    <w:rsid w:val="00595670"/>
    <w:rsid w:val="005A7051"/>
    <w:rsid w:val="005F3D47"/>
    <w:rsid w:val="006110BA"/>
    <w:rsid w:val="006126CA"/>
    <w:rsid w:val="00646AF2"/>
    <w:rsid w:val="00680F06"/>
    <w:rsid w:val="0068550E"/>
    <w:rsid w:val="00694988"/>
    <w:rsid w:val="006A2E59"/>
    <w:rsid w:val="006A4FF1"/>
    <w:rsid w:val="006B6CC2"/>
    <w:rsid w:val="006F7BF3"/>
    <w:rsid w:val="00741E00"/>
    <w:rsid w:val="00741FBD"/>
    <w:rsid w:val="00742E97"/>
    <w:rsid w:val="0079200A"/>
    <w:rsid w:val="007B1558"/>
    <w:rsid w:val="007C0860"/>
    <w:rsid w:val="007F1C05"/>
    <w:rsid w:val="007F4543"/>
    <w:rsid w:val="00832CEC"/>
    <w:rsid w:val="008331EB"/>
    <w:rsid w:val="00836357"/>
    <w:rsid w:val="00843646"/>
    <w:rsid w:val="00856E33"/>
    <w:rsid w:val="00865E16"/>
    <w:rsid w:val="00891292"/>
    <w:rsid w:val="008B3E86"/>
    <w:rsid w:val="008D601A"/>
    <w:rsid w:val="008E3DFB"/>
    <w:rsid w:val="008F0D30"/>
    <w:rsid w:val="00907BFF"/>
    <w:rsid w:val="009333F3"/>
    <w:rsid w:val="00986A44"/>
    <w:rsid w:val="00992581"/>
    <w:rsid w:val="009D10F9"/>
    <w:rsid w:val="009E5667"/>
    <w:rsid w:val="009F07E7"/>
    <w:rsid w:val="009F14C3"/>
    <w:rsid w:val="009F4B9F"/>
    <w:rsid w:val="00A02310"/>
    <w:rsid w:val="00A2008D"/>
    <w:rsid w:val="00A30815"/>
    <w:rsid w:val="00A44048"/>
    <w:rsid w:val="00A83314"/>
    <w:rsid w:val="00AB3E38"/>
    <w:rsid w:val="00AB582F"/>
    <w:rsid w:val="00B0783C"/>
    <w:rsid w:val="00B102BD"/>
    <w:rsid w:val="00B338B6"/>
    <w:rsid w:val="00B464CD"/>
    <w:rsid w:val="00B523EF"/>
    <w:rsid w:val="00BE09ED"/>
    <w:rsid w:val="00BF47BB"/>
    <w:rsid w:val="00C66596"/>
    <w:rsid w:val="00CB0E8A"/>
    <w:rsid w:val="00CB7C8E"/>
    <w:rsid w:val="00CD2F44"/>
    <w:rsid w:val="00CE328A"/>
    <w:rsid w:val="00CE4788"/>
    <w:rsid w:val="00D12062"/>
    <w:rsid w:val="00D15BD4"/>
    <w:rsid w:val="00D15E0A"/>
    <w:rsid w:val="00D16501"/>
    <w:rsid w:val="00D45B7D"/>
    <w:rsid w:val="00D51BE9"/>
    <w:rsid w:val="00D62158"/>
    <w:rsid w:val="00D66D21"/>
    <w:rsid w:val="00DC735E"/>
    <w:rsid w:val="00DC7A7A"/>
    <w:rsid w:val="00E61C56"/>
    <w:rsid w:val="00E84DA0"/>
    <w:rsid w:val="00E85615"/>
    <w:rsid w:val="00ED3413"/>
    <w:rsid w:val="00ED3FE1"/>
    <w:rsid w:val="00EE335C"/>
    <w:rsid w:val="00EE337C"/>
    <w:rsid w:val="00F10FDD"/>
    <w:rsid w:val="00F3647E"/>
    <w:rsid w:val="00F41827"/>
    <w:rsid w:val="00F63659"/>
    <w:rsid w:val="00F81516"/>
    <w:rsid w:val="00F817D3"/>
    <w:rsid w:val="00F82A52"/>
    <w:rsid w:val="00F935D0"/>
    <w:rsid w:val="00F973A7"/>
    <w:rsid w:val="00FA6727"/>
    <w:rsid w:val="00FA684D"/>
    <w:rsid w:val="00FB4AF9"/>
    <w:rsid w:val="00FF3E16"/>
    <w:rsid w:val="014468A7"/>
    <w:rsid w:val="027F0426"/>
    <w:rsid w:val="03595B8B"/>
    <w:rsid w:val="0488407F"/>
    <w:rsid w:val="055F62E0"/>
    <w:rsid w:val="05EF6AC9"/>
    <w:rsid w:val="07AE1028"/>
    <w:rsid w:val="07C27AF6"/>
    <w:rsid w:val="0CA35D73"/>
    <w:rsid w:val="0CC64583"/>
    <w:rsid w:val="0D655386"/>
    <w:rsid w:val="0D706F9B"/>
    <w:rsid w:val="0F794DF1"/>
    <w:rsid w:val="10337AA3"/>
    <w:rsid w:val="105E2AE5"/>
    <w:rsid w:val="138E06DF"/>
    <w:rsid w:val="141F3511"/>
    <w:rsid w:val="19827DE5"/>
    <w:rsid w:val="1A6B7C16"/>
    <w:rsid w:val="1B78249E"/>
    <w:rsid w:val="201828B7"/>
    <w:rsid w:val="20C65ED3"/>
    <w:rsid w:val="21723DED"/>
    <w:rsid w:val="226D7508"/>
    <w:rsid w:val="239F377F"/>
    <w:rsid w:val="248D0808"/>
    <w:rsid w:val="25B6156F"/>
    <w:rsid w:val="26DD18F4"/>
    <w:rsid w:val="28E95BAE"/>
    <w:rsid w:val="292C0E92"/>
    <w:rsid w:val="2A193D21"/>
    <w:rsid w:val="2C661368"/>
    <w:rsid w:val="2D376058"/>
    <w:rsid w:val="2DFB13FE"/>
    <w:rsid w:val="300A3308"/>
    <w:rsid w:val="32142838"/>
    <w:rsid w:val="32B81444"/>
    <w:rsid w:val="32F47928"/>
    <w:rsid w:val="34B82A8C"/>
    <w:rsid w:val="35571310"/>
    <w:rsid w:val="36327D7A"/>
    <w:rsid w:val="387E793E"/>
    <w:rsid w:val="39AD25AF"/>
    <w:rsid w:val="3A204AEC"/>
    <w:rsid w:val="3A3A1E13"/>
    <w:rsid w:val="3DAB75BC"/>
    <w:rsid w:val="3E6831F2"/>
    <w:rsid w:val="408112E3"/>
    <w:rsid w:val="48AD604A"/>
    <w:rsid w:val="48C84676"/>
    <w:rsid w:val="48DB3696"/>
    <w:rsid w:val="4A9F427C"/>
    <w:rsid w:val="4CD40000"/>
    <w:rsid w:val="4E776E4B"/>
    <w:rsid w:val="4F522031"/>
    <w:rsid w:val="54C93027"/>
    <w:rsid w:val="55A41A91"/>
    <w:rsid w:val="567468E6"/>
    <w:rsid w:val="572D0293"/>
    <w:rsid w:val="57987942"/>
    <w:rsid w:val="59401C6C"/>
    <w:rsid w:val="5BB31D00"/>
    <w:rsid w:val="5BF13D64"/>
    <w:rsid w:val="5EB757F1"/>
    <w:rsid w:val="5F763387"/>
    <w:rsid w:val="60235D47"/>
    <w:rsid w:val="6457322E"/>
    <w:rsid w:val="64F02128"/>
    <w:rsid w:val="679113F7"/>
    <w:rsid w:val="67B2192C"/>
    <w:rsid w:val="6C6476E1"/>
    <w:rsid w:val="6CB63C68"/>
    <w:rsid w:val="6D06056F"/>
    <w:rsid w:val="6D2B3C26"/>
    <w:rsid w:val="6EE90704"/>
    <w:rsid w:val="70F10AD9"/>
    <w:rsid w:val="739C06B8"/>
    <w:rsid w:val="74D16536"/>
    <w:rsid w:val="790B5926"/>
    <w:rsid w:val="79EE5F19"/>
    <w:rsid w:val="7B6A2E87"/>
    <w:rsid w:val="7BD24E35"/>
    <w:rsid w:val="7C62341F"/>
    <w:rsid w:val="7D264462"/>
    <w:rsid w:val="7D933791"/>
    <w:rsid w:val="7E8A1B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45425"/>
  <w15:docId w15:val="{D3DAFBAF-3676-4700-9249-22E9EA1D3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qFormat="1"/>
    <w:lsdException w:name="Subtitle" w:qFormat="1"/>
    <w:lsdException w:name="Body Text 2" w:qFormat="1"/>
    <w:lsdException w:name="Block Text"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360" w:lineRule="auto"/>
      <w:ind w:leftChars="-1" w:left="-1" w:hangingChars="1" w:hanging="1"/>
      <w:jc w:val="both"/>
      <w:textAlignment w:val="top"/>
      <w:outlineLvl w:val="0"/>
    </w:pPr>
    <w:rPr>
      <w:rFonts w:ascii="Goudy Old Style" w:eastAsia="Sorts Mill Goudy" w:hAnsi="Goudy Old Style" w:cs="Traditional Arabic"/>
      <w:position w:val="-1"/>
      <w:sz w:val="24"/>
      <w:szCs w:val="36"/>
      <w:lang w:val="id-ID"/>
    </w:rPr>
  </w:style>
  <w:style w:type="paragraph" w:styleId="Heading1">
    <w:name w:val="heading 1"/>
    <w:next w:val="Normal"/>
    <w:qFormat/>
    <w:pPr>
      <w:keepNext/>
      <w:keepLines/>
      <w:suppressAutoHyphens/>
      <w:spacing w:before="240" w:line="259" w:lineRule="auto"/>
      <w:ind w:leftChars="-1" w:left="-1" w:hangingChars="1" w:hanging="1"/>
      <w:textAlignment w:val="top"/>
      <w:outlineLvl w:val="0"/>
    </w:pPr>
    <w:rPr>
      <w:rFonts w:ascii="Calibri Light" w:eastAsia="Sorts Mill Goudy" w:hAnsi="Calibri Light"/>
      <w:color w:val="2F5496"/>
      <w:position w:val="-1"/>
      <w:sz w:val="32"/>
      <w:szCs w:val="32"/>
    </w:rPr>
  </w:style>
  <w:style w:type="paragraph" w:styleId="Heading2">
    <w:name w:val="heading 2"/>
    <w:basedOn w:val="Normal"/>
    <w:next w:val="Normal"/>
    <w:pPr>
      <w:keepNext/>
      <w:keepLines/>
      <w:spacing w:before="360" w:after="80"/>
      <w:outlineLvl w:val="1"/>
    </w:pPr>
    <w:rPr>
      <w:b/>
      <w:sz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pPr>
      <w:spacing w:line="240" w:lineRule="auto"/>
    </w:pPr>
    <w:rPr>
      <w:rFonts w:ascii="Segoe UI" w:hAnsi="Segoe UI" w:cs="Times New Roman"/>
      <w:sz w:val="18"/>
      <w:szCs w:val="18"/>
      <w:lang w:val="zh-CN" w:eastAsia="zh-CN"/>
    </w:rPr>
  </w:style>
  <w:style w:type="paragraph" w:styleId="Caption">
    <w:name w:val="caption"/>
    <w:basedOn w:val="Normal"/>
    <w:next w:val="Normal"/>
    <w:semiHidden/>
    <w:unhideWhenUsed/>
    <w:qFormat/>
    <w:rPr>
      <w:rFonts w:ascii="Arial" w:eastAsia="SimHei" w:hAnsi="Arial" w:cs="Arial"/>
      <w:sz w:val="20"/>
    </w:rPr>
  </w:style>
  <w:style w:type="paragraph" w:styleId="Footer">
    <w:name w:val="footer"/>
    <w:basedOn w:val="Normal"/>
    <w:qFormat/>
    <w:pPr>
      <w:tabs>
        <w:tab w:val="center" w:pos="4513"/>
        <w:tab w:val="right" w:pos="9026"/>
      </w:tabs>
    </w:pPr>
    <w:rPr>
      <w:rFonts w:cs="Times New Roman"/>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pPr>
      <w:spacing w:line="240" w:lineRule="auto"/>
    </w:pPr>
    <w:rPr>
      <w:sz w:val="20"/>
      <w:szCs w:val="20"/>
    </w:rPr>
  </w:style>
  <w:style w:type="paragraph" w:styleId="Header">
    <w:name w:val="header"/>
    <w:basedOn w:val="Normal"/>
    <w:qFormat/>
    <w:pPr>
      <w:tabs>
        <w:tab w:val="center" w:pos="4513"/>
        <w:tab w:val="right" w:pos="9026"/>
      </w:tabs>
    </w:pPr>
    <w:rPr>
      <w:rFonts w:cs="Times New Roman"/>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Times New Roman"/>
      <w:sz w:val="20"/>
      <w:szCs w:val="20"/>
      <w:lang w:val="zh-CN" w:eastAsia="zh-CN"/>
    </w:rPr>
  </w:style>
  <w:style w:type="character" w:styleId="Hyperlink">
    <w:name w:val="Hyperlink"/>
    <w:basedOn w:val="DefaultParagraphFont"/>
    <w:qFormat/>
    <w:rPr>
      <w:color w:val="0000FF"/>
      <w:w w:val="100"/>
      <w:position w:val="-1"/>
      <w:u w:val="single"/>
      <w:vertAlign w:val="baseline"/>
      <w:cs w:val="0"/>
    </w:rPr>
  </w:style>
  <w:style w:type="paragraph" w:styleId="NormalWeb">
    <w:name w:val="Normal (Web)"/>
    <w:basedOn w:val="Normal"/>
    <w:qFormat/>
    <w:pPr>
      <w:spacing w:before="100" w:beforeAutospacing="1" w:after="100" w:afterAutospacing="1" w:line="240" w:lineRule="auto"/>
      <w:jc w:val="left"/>
    </w:pPr>
    <w:rPr>
      <w:rFonts w:ascii="Times New Roman" w:hAnsi="Times New Roman" w:cs="Times New Roman"/>
      <w:szCs w:val="24"/>
      <w:lang w:eastAsia="id-ID"/>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1"/>
    <w:qFormat/>
    <w:pPr>
      <w:suppressAutoHyphens/>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tblPr>
      <w:tblCellMar>
        <w:top w:w="0" w:type="dxa"/>
        <w:left w:w="0" w:type="dxa"/>
        <w:bottom w:w="0" w:type="dxa"/>
        <w:right w:w="0" w:type="dxa"/>
      </w:tblCellMar>
    </w:tblPr>
  </w:style>
  <w:style w:type="paragraph" w:styleId="Title">
    <w:name w:val="Title"/>
    <w:basedOn w:val="Normal"/>
    <w:next w:val="Normal"/>
    <w:qFormat/>
    <w:pPr>
      <w:keepNext/>
      <w:keepLines/>
      <w:spacing w:before="480" w:after="120"/>
    </w:pPr>
    <w:rPr>
      <w:b/>
      <w:sz w:val="72"/>
      <w:szCs w:val="72"/>
    </w:r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Normal2">
    <w:name w:val="Table Normal2"/>
    <w:qFormat/>
    <w:pPr>
      <w:suppressAutoHyphens/>
      <w:spacing w:line="1" w:lineRule="atLeast"/>
      <w:ind w:leftChars="-1" w:left="-1" w:hangingChars="1" w:hanging="1"/>
      <w:textAlignment w:val="top"/>
      <w:outlineLvl w:val="0"/>
    </w:pPr>
    <w:rPr>
      <w:position w:val="-1"/>
    </w:rPr>
    <w:tblPr>
      <w:tblCellMar>
        <w:top w:w="0" w:type="dxa"/>
        <w:left w:w="108" w:type="dxa"/>
        <w:bottom w:w="0" w:type="dxa"/>
        <w:right w:w="108" w:type="dxa"/>
      </w:tblCellMar>
    </w:tblPr>
  </w:style>
  <w:style w:type="paragraph" w:customStyle="1" w:styleId="JUDUL">
    <w:name w:val="JUDUL"/>
    <w:basedOn w:val="Normal"/>
    <w:next w:val="NamaPenulis"/>
    <w:qFormat/>
    <w:pPr>
      <w:keepNext/>
      <w:spacing w:after="360" w:line="240" w:lineRule="auto"/>
      <w:jc w:val="center"/>
    </w:pPr>
    <w:rPr>
      <w:rFonts w:ascii="Cambria" w:hAnsi="Cambria" w:cs="AL-Hosam"/>
      <w:b/>
      <w:caps/>
      <w:sz w:val="26"/>
    </w:rPr>
  </w:style>
  <w:style w:type="paragraph" w:customStyle="1" w:styleId="NamaPenulis">
    <w:name w:val="Nama Penulis"/>
    <w:basedOn w:val="Normal"/>
    <w:next w:val="NamaLembaga"/>
    <w:qFormat/>
    <w:pPr>
      <w:spacing w:line="240" w:lineRule="auto"/>
      <w:jc w:val="center"/>
    </w:pPr>
    <w:rPr>
      <w:rFonts w:ascii="Cambria" w:hAnsi="Cambria"/>
    </w:rPr>
  </w:style>
  <w:style w:type="paragraph" w:customStyle="1" w:styleId="NamaLembaga">
    <w:name w:val="Nama Lembaga"/>
    <w:basedOn w:val="NamaPenulis"/>
    <w:next w:val="NomorTelepon"/>
    <w:rPr>
      <w:i/>
      <w:sz w:val="22"/>
    </w:rPr>
  </w:style>
  <w:style w:type="paragraph" w:customStyle="1" w:styleId="NomorTelepon">
    <w:name w:val="Nomor Telepon"/>
    <w:basedOn w:val="NamaLembaga"/>
    <w:next w:val="e-mail"/>
  </w:style>
  <w:style w:type="paragraph" w:customStyle="1" w:styleId="e-mail">
    <w:name w:val="e-mail"/>
    <w:basedOn w:val="NomorTelepon"/>
    <w:next w:val="Abstract"/>
  </w:style>
  <w:style w:type="paragraph" w:customStyle="1" w:styleId="Abstract">
    <w:name w:val="Abstract"/>
    <w:basedOn w:val="NomorTelepon"/>
    <w:next w:val="IsiAbstractBahasaInggris"/>
    <w:pPr>
      <w:spacing w:before="360"/>
      <w:jc w:val="left"/>
    </w:pPr>
    <w:rPr>
      <w:b/>
    </w:rPr>
  </w:style>
  <w:style w:type="paragraph" w:customStyle="1" w:styleId="IsiAbstractBahasaInggris">
    <w:name w:val="Isi Abstract Bahasa Inggris"/>
    <w:basedOn w:val="Abstract"/>
    <w:next w:val="IsiAbstrakBahasaIndonesia"/>
    <w:pPr>
      <w:spacing w:before="0" w:after="360"/>
      <w:ind w:left="567"/>
      <w:jc w:val="both"/>
    </w:pPr>
    <w:rPr>
      <w:b w:val="0"/>
      <w:i w:val="0"/>
      <w:szCs w:val="24"/>
      <w:lang w:val="en-US"/>
    </w:rPr>
  </w:style>
  <w:style w:type="paragraph" w:customStyle="1" w:styleId="IsiAbstrakBahasaIndonesia">
    <w:name w:val="Isi Abstrak Bahasa Indonesia"/>
    <w:basedOn w:val="IsiAbstractBahasaInggris"/>
    <w:next w:val="KeyWords"/>
    <w:qFormat/>
    <w:rPr>
      <w:lang w:val="id-ID"/>
    </w:rPr>
  </w:style>
  <w:style w:type="paragraph" w:customStyle="1" w:styleId="KeyWords">
    <w:name w:val="Key Words"/>
    <w:basedOn w:val="IsiAbstractBahasaInggris"/>
    <w:next w:val="SubJudul"/>
    <w:pPr>
      <w:spacing w:after="120"/>
    </w:pPr>
  </w:style>
  <w:style w:type="paragraph" w:customStyle="1" w:styleId="SubJudul">
    <w:name w:val="Sub Judul"/>
    <w:basedOn w:val="Abstract"/>
    <w:next w:val="MateriArtikel"/>
    <w:qFormat/>
    <w:rPr>
      <w:bCs/>
      <w:sz w:val="24"/>
    </w:rPr>
  </w:style>
  <w:style w:type="paragraph" w:customStyle="1" w:styleId="MateriArtikel">
    <w:name w:val="Materi Artikel"/>
    <w:basedOn w:val="Normal"/>
    <w:rPr>
      <w:rFonts w:ascii="Cambria" w:hAnsi="Cambria"/>
    </w:rPr>
  </w:style>
  <w:style w:type="character" w:customStyle="1" w:styleId="CommentReference1">
    <w:name w:val="Comment Reference1"/>
    <w:qFormat/>
    <w:rPr>
      <w:w w:val="100"/>
      <w:position w:val="-1"/>
      <w:sz w:val="16"/>
      <w:szCs w:val="16"/>
      <w:vertAlign w:val="baseline"/>
      <w:cs w:val="0"/>
      <w:lang w:bidi="ar-SA"/>
    </w:rPr>
  </w:style>
  <w:style w:type="paragraph" w:customStyle="1" w:styleId="CommentText1">
    <w:name w:val="Comment Text1"/>
    <w:basedOn w:val="Normal"/>
    <w:qFormat/>
    <w:pPr>
      <w:spacing w:line="240" w:lineRule="auto"/>
    </w:pPr>
    <w:rPr>
      <w:rFonts w:ascii="Calibri" w:hAnsi="Calibri" w:cs="Times New Roman"/>
      <w:sz w:val="20"/>
      <w:szCs w:val="20"/>
      <w:lang w:val="zh-CN" w:eastAsia="zh-CN"/>
    </w:rPr>
  </w:style>
  <w:style w:type="character" w:customStyle="1" w:styleId="CommentTextChar">
    <w:name w:val="Comment Text Char"/>
    <w:qFormat/>
    <w:rPr>
      <w:w w:val="100"/>
      <w:position w:val="-1"/>
      <w:sz w:val="20"/>
      <w:szCs w:val="20"/>
      <w:vertAlign w:val="baseline"/>
      <w:cs w:val="0"/>
      <w:lang w:bidi="ar-SA"/>
    </w:rPr>
  </w:style>
  <w:style w:type="paragraph" w:customStyle="1" w:styleId="CommentSubject1">
    <w:name w:val="Comment Subject1"/>
    <w:basedOn w:val="CommentText1"/>
    <w:next w:val="CommentText1"/>
    <w:qFormat/>
    <w:rPr>
      <w:b/>
      <w:bCs/>
    </w:rPr>
  </w:style>
  <w:style w:type="character" w:customStyle="1" w:styleId="CommentSubjectChar">
    <w:name w:val="Comment Subject Char"/>
    <w:rPr>
      <w:b/>
      <w:bCs/>
      <w:w w:val="100"/>
      <w:position w:val="-1"/>
      <w:sz w:val="20"/>
      <w:szCs w:val="20"/>
      <w:vertAlign w:val="baseline"/>
      <w:cs w:val="0"/>
      <w:lang w:bidi="ar-SA"/>
    </w:rPr>
  </w:style>
  <w:style w:type="character" w:customStyle="1" w:styleId="BalloonTextChar">
    <w:name w:val="Balloon Text Char"/>
    <w:rPr>
      <w:rFonts w:ascii="Segoe UI" w:hAnsi="Segoe UI" w:cs="Segoe UI"/>
      <w:w w:val="100"/>
      <w:position w:val="-1"/>
      <w:sz w:val="18"/>
      <w:szCs w:val="18"/>
      <w:vertAlign w:val="baseline"/>
      <w:cs w:val="0"/>
    </w:rPr>
  </w:style>
  <w:style w:type="paragraph" w:customStyle="1" w:styleId="4ABSTRAK">
    <w:name w:val="4 ABSTRAK"/>
    <w:basedOn w:val="Normal"/>
    <w:pPr>
      <w:suppressAutoHyphens w:val="0"/>
      <w:autoSpaceDE w:val="0"/>
      <w:autoSpaceDN w:val="0"/>
      <w:adjustRightInd w:val="0"/>
      <w:spacing w:line="288" w:lineRule="auto"/>
      <w:jc w:val="left"/>
      <w:textAlignment w:val="center"/>
    </w:pPr>
    <w:rPr>
      <w:rFonts w:cs="Goudy Old Style"/>
      <w:b/>
      <w:bCs/>
      <w:color w:val="000000"/>
      <w:szCs w:val="24"/>
      <w:lang w:val="en-US"/>
    </w:rPr>
  </w:style>
  <w:style w:type="paragraph" w:customStyle="1" w:styleId="Gambar">
    <w:name w:val="Gambar"/>
    <w:basedOn w:val="MateriArtikel"/>
    <w:pPr>
      <w:spacing w:line="240" w:lineRule="auto"/>
      <w:jc w:val="center"/>
    </w:pPr>
    <w:rPr>
      <w:lang w:val="en-US"/>
    </w:rPr>
  </w:style>
  <w:style w:type="paragraph" w:customStyle="1" w:styleId="JudulGambar">
    <w:name w:val="Judul Gambar"/>
    <w:next w:val="MateriArtikel"/>
    <w:pPr>
      <w:suppressAutoHyphens/>
      <w:spacing w:before="120" w:line="1" w:lineRule="atLeast"/>
      <w:ind w:leftChars="-1" w:left="-1" w:hangingChars="1" w:hanging="1"/>
      <w:jc w:val="center"/>
      <w:textAlignment w:val="top"/>
      <w:outlineLvl w:val="0"/>
    </w:pPr>
    <w:rPr>
      <w:rFonts w:ascii="Cambria" w:eastAsia="Sorts Mill Goudy" w:hAnsi="Cambria" w:cs="Traditional Arabic"/>
      <w:b/>
      <w:position w:val="-1"/>
      <w:sz w:val="24"/>
      <w:szCs w:val="36"/>
      <w:lang w:val="id-ID"/>
    </w:rPr>
  </w:style>
  <w:style w:type="paragraph" w:customStyle="1" w:styleId="SumberGambar">
    <w:name w:val="Sumber Gambar"/>
    <w:basedOn w:val="JudulGambar"/>
    <w:next w:val="MateriArtikel"/>
    <w:pPr>
      <w:spacing w:before="0" w:after="120"/>
    </w:pPr>
    <w:rPr>
      <w:lang w:val="en-US"/>
    </w:rPr>
  </w:style>
  <w:style w:type="paragraph" w:customStyle="1" w:styleId="JudulTabel">
    <w:name w:val="Judul Tabel"/>
    <w:basedOn w:val="MateriArtikel"/>
    <w:qFormat/>
    <w:pPr>
      <w:spacing w:after="120" w:line="240" w:lineRule="auto"/>
      <w:jc w:val="left"/>
    </w:pPr>
    <w:rPr>
      <w:b/>
      <w:sz w:val="20"/>
    </w:rPr>
  </w:style>
  <w:style w:type="character" w:customStyle="1" w:styleId="HeaderChar">
    <w:name w:val="Header Char"/>
    <w:rPr>
      <w:rFonts w:ascii="Goudy Old Style" w:hAnsi="Goudy Old Style" w:cs="Traditional Arabic"/>
      <w:w w:val="100"/>
      <w:position w:val="-1"/>
      <w:sz w:val="24"/>
      <w:szCs w:val="36"/>
      <w:vertAlign w:val="baseline"/>
      <w:cs w:val="0"/>
      <w:lang w:val="id-ID" w:eastAsia="en-US"/>
    </w:rPr>
  </w:style>
  <w:style w:type="character" w:customStyle="1" w:styleId="FooterChar">
    <w:name w:val="Footer Char"/>
    <w:rPr>
      <w:rFonts w:ascii="Goudy Old Style" w:hAnsi="Goudy Old Style" w:cs="Traditional Arabic"/>
      <w:w w:val="100"/>
      <w:position w:val="-1"/>
      <w:sz w:val="24"/>
      <w:szCs w:val="36"/>
      <w:vertAlign w:val="baseline"/>
      <w:cs w:val="0"/>
      <w:lang w:val="id-ID" w:eastAsia="en-US"/>
    </w:rPr>
  </w:style>
  <w:style w:type="character" w:customStyle="1" w:styleId="notranslate">
    <w:name w:val="notranslate"/>
    <w:basedOn w:val="DefaultParagraphFont"/>
    <w:qFormat/>
    <w:rPr>
      <w:w w:val="100"/>
      <w:position w:val="-1"/>
      <w:vertAlign w:val="baseline"/>
      <w:cs w:val="0"/>
    </w:rPr>
  </w:style>
  <w:style w:type="paragraph" w:styleId="NoSpacing">
    <w:name w:val="No Spacing"/>
    <w:pPr>
      <w:suppressAutoHyphens/>
      <w:spacing w:line="1" w:lineRule="atLeast"/>
      <w:ind w:leftChars="-1" w:left="-1" w:hangingChars="1" w:hanging="1"/>
      <w:jc w:val="both"/>
      <w:textAlignment w:val="top"/>
      <w:outlineLvl w:val="0"/>
    </w:pPr>
    <w:rPr>
      <w:rFonts w:ascii="Sorts Mill Goudy" w:eastAsia="Sorts Mill Goudy" w:hAnsi="Sorts Mill Goudy" w:cs="Sorts Mill Goudy"/>
      <w:position w:val="-1"/>
      <w:sz w:val="22"/>
      <w:szCs w:val="22"/>
      <w:lang w:val="id-ID"/>
    </w:rPr>
  </w:style>
  <w:style w:type="character" w:customStyle="1" w:styleId="HTMLPreformattedChar">
    <w:name w:val="HTML Preformatted Char"/>
    <w:qFormat/>
    <w:rPr>
      <w:rFonts w:ascii="Courier New" w:hAnsi="Courier New" w:cs="Courier New"/>
      <w:w w:val="100"/>
      <w:position w:val="-1"/>
      <w:vertAlign w:val="baseline"/>
      <w:cs w:val="0"/>
    </w:rPr>
  </w:style>
  <w:style w:type="character" w:customStyle="1" w:styleId="Heading1Char">
    <w:name w:val="Heading 1 Char"/>
    <w:rPr>
      <w:rFonts w:ascii="Calibri Light" w:hAnsi="Calibri Light" w:cs="Times New Roman"/>
      <w:color w:val="2F5496"/>
      <w:w w:val="100"/>
      <w:position w:val="-1"/>
      <w:sz w:val="32"/>
      <w:szCs w:val="32"/>
      <w:vertAlign w:val="baseline"/>
      <w:cs w:val="0"/>
      <w:lang w:val="en-US" w:eastAsia="en-US"/>
    </w:rPr>
  </w:style>
  <w:style w:type="character" w:customStyle="1" w:styleId="UnresolvedMention">
    <w:name w:val="Unresolved Mention"/>
    <w:qFormat/>
    <w:rPr>
      <w:color w:val="605E5C"/>
      <w:w w:val="100"/>
      <w:position w:val="-1"/>
      <w:shd w:val="clear" w:color="auto" w:fill="E1DFDD"/>
      <w:vertAlign w:val="baseline"/>
      <w:cs w:val="0"/>
    </w:rPr>
  </w:style>
  <w:style w:type="table" w:customStyle="1" w:styleId="Style50">
    <w:name w:val="_Style 50"/>
    <w:basedOn w:val="TableNormal1"/>
    <w:tblPr>
      <w:tblCellMar>
        <w:left w:w="108" w:type="dxa"/>
        <w:right w:w="108" w:type="dxa"/>
      </w:tblCellMar>
    </w:tbl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rPr>
      <w:rFonts w:ascii="Goudy Old Style" w:eastAsia="Sorts Mill Goudy" w:hAnsi="Goudy Old Style" w:cs="Traditional Arabic"/>
      <w:position w:val="-1"/>
      <w:lang w:val="id-ID"/>
    </w:rPr>
  </w:style>
  <w:style w:type="character" w:customStyle="1" w:styleId="15">
    <w:name w:val="15"/>
    <w:basedOn w:val="DefaultParagraphFont"/>
    <w:rsid w:val="00E61C56"/>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261268">
      <w:bodyDiv w:val="1"/>
      <w:marLeft w:val="0"/>
      <w:marRight w:val="0"/>
      <w:marTop w:val="0"/>
      <w:marBottom w:val="0"/>
      <w:divBdr>
        <w:top w:val="none" w:sz="0" w:space="0" w:color="auto"/>
        <w:left w:val="none" w:sz="0" w:space="0" w:color="auto"/>
        <w:bottom w:val="none" w:sz="0" w:space="0" w:color="auto"/>
        <w:right w:val="none" w:sz="0" w:space="0" w:color="auto"/>
      </w:divBdr>
    </w:div>
    <w:div w:id="1321613635">
      <w:bodyDiv w:val="1"/>
      <w:marLeft w:val="0"/>
      <w:marRight w:val="0"/>
      <w:marTop w:val="0"/>
      <w:marBottom w:val="0"/>
      <w:divBdr>
        <w:top w:val="none" w:sz="0" w:space="0" w:color="auto"/>
        <w:left w:val="none" w:sz="0" w:space="0" w:color="auto"/>
        <w:bottom w:val="none" w:sz="0" w:space="0" w:color="auto"/>
        <w:right w:val="none" w:sz="0" w:space="0" w:color="auto"/>
      </w:divBdr>
    </w:div>
    <w:div w:id="1660228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econversation.com/riset-mahasiswa-pertanian-tak-ingin-jadi-petani-apa-sebabnya-19037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6XGdX2MKlcrUnErpXval2AOqtQ==">AMUW2mVld/nu2CzJ6cf2IoKo3c68t8MaozL4BGXI37p/Kp6RHYZPq8dFvf42nJj01CM0HQ6BhpVhrnwi+3+T1IGUNuUJeMkby9OZwHyJEskyNxOTBgw38nk=</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7D18AE9-88B5-40E9-97C8-42FDB61D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14</Pages>
  <Words>10757</Words>
  <Characters>61317</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 KBJ</cp:lastModifiedBy>
  <cp:revision>93</cp:revision>
  <dcterms:created xsi:type="dcterms:W3CDTF">2019-07-19T04:29:00Z</dcterms:created>
  <dcterms:modified xsi:type="dcterms:W3CDTF">2023-12-08T09:01:00Z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66031DD409144A13AA3E56943D82C6F1_12</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http://www.zotero.org/styles/chicago-fullnote-bibliography</vt:lpwstr>
  </property>
  <property fmtid="{D5CDD505-2E9C-101B-9397-08002B2CF9AE}" pid="13" name="Mendeley Recent Style Name 4_1">
    <vt:lpwstr>Chicago Manual of Style 17th edition (full note)</vt:lpwstr>
  </property>
  <property fmtid="{D5CDD505-2E9C-101B-9397-08002B2CF9AE}" pid="14" name="Mendeley Recent Style Id 5_1">
    <vt:lpwstr>http://www.zotero.org/styles/chicago-note-bibliography</vt:lpwstr>
  </property>
  <property fmtid="{D5CDD505-2E9C-101B-9397-08002B2CF9AE}" pid="15" name="Mendeley Recent Style Name 5_1">
    <vt:lpwstr>Chicago Manual of Style 17th edition (note)</vt:lpwstr>
  </property>
  <property fmtid="{D5CDD505-2E9C-101B-9397-08002B2CF9AE}" pid="16" name="Mendeley Recent Style Id 6_1">
    <vt:lpwstr>http://www.zotero.org/styles/harvard-cite-them-right</vt:lpwstr>
  </property>
  <property fmtid="{D5CDD505-2E9C-101B-9397-08002B2CF9AE}" pid="17" name="Mendeley Recent Style Name 6_1">
    <vt:lpwstr>Cite Them Right 10th edition - Harvard</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4ddad454-9450-3ab3-91ba-69e7e70a9aa6</vt:lpwstr>
  </property>
  <property fmtid="{D5CDD505-2E9C-101B-9397-08002B2CF9AE}" pid="26" name="Mendeley Citation Style_1">
    <vt:lpwstr>http://www.zotero.org/styles/apa</vt:lpwstr>
  </property>
</Properties>
</file>