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6D86B" w14:textId="77777777" w:rsidR="00171496" w:rsidRDefault="00171496">
      <w:pPr>
        <w:keepNext/>
        <w:pBdr>
          <w:top w:val="nil"/>
          <w:left w:val="nil"/>
          <w:bottom w:val="nil"/>
          <w:right w:val="nil"/>
          <w:between w:val="nil"/>
        </w:pBdr>
        <w:spacing w:line="240" w:lineRule="auto"/>
        <w:ind w:left="1" w:hanging="3"/>
        <w:jc w:val="center"/>
        <w:rPr>
          <w:rFonts w:ascii="Cambria" w:eastAsia="Cambria" w:hAnsi="Cambria" w:cs="Cambria"/>
          <w:b/>
          <w:smallCaps/>
          <w:color w:val="000000"/>
          <w:sz w:val="26"/>
          <w:szCs w:val="26"/>
        </w:rPr>
      </w:pPr>
    </w:p>
    <w:p w14:paraId="54E95624" w14:textId="2213345D" w:rsidR="00171496" w:rsidRPr="002C06E6" w:rsidRDefault="00DD43E2" w:rsidP="002C06E6">
      <w:pPr>
        <w:keepNext/>
        <w:pBdr>
          <w:top w:val="nil"/>
          <w:left w:val="nil"/>
          <w:bottom w:val="nil"/>
          <w:right w:val="nil"/>
          <w:between w:val="nil"/>
        </w:pBdr>
        <w:spacing w:line="276" w:lineRule="auto"/>
        <w:ind w:left="1" w:hanging="3"/>
        <w:jc w:val="center"/>
        <w:rPr>
          <w:rFonts w:ascii="Cambria" w:eastAsia="Cambria" w:hAnsi="Cambria" w:cs="Cambria"/>
          <w:b/>
          <w:smallCaps/>
          <w:color w:val="000000"/>
          <w:sz w:val="28"/>
          <w:szCs w:val="28"/>
        </w:rPr>
      </w:pPr>
      <w:r w:rsidRPr="00634CED">
        <w:rPr>
          <w:rFonts w:ascii="Cambria" w:eastAsia="Cambria" w:hAnsi="Cambria" w:cs="Cambria"/>
          <w:b/>
          <w:smallCaps/>
          <w:color w:val="000000"/>
          <w:sz w:val="28"/>
          <w:szCs w:val="28"/>
        </w:rPr>
        <w:t xml:space="preserve">CSF AND ICG AS MEDIATORS FOR THE DISCLOSURE OF THE COSO ERM FRAMEWORK ON ISLAMIC BANK'S FINANCIAL PERFORMANCE </w:t>
      </w:r>
    </w:p>
    <w:p w14:paraId="169A7D25" w14:textId="77777777" w:rsidR="00171496" w:rsidRDefault="00171496">
      <w:pPr>
        <w:pBdr>
          <w:top w:val="nil"/>
          <w:left w:val="nil"/>
          <w:bottom w:val="nil"/>
          <w:right w:val="nil"/>
          <w:between w:val="nil"/>
        </w:pBdr>
        <w:spacing w:line="276" w:lineRule="auto"/>
        <w:ind w:left="0" w:hanging="2"/>
        <w:jc w:val="center"/>
        <w:rPr>
          <w:rFonts w:ascii="Cambria" w:eastAsia="Cambria" w:hAnsi="Cambria" w:cs="Cambria"/>
          <w:color w:val="000000"/>
          <w:szCs w:val="24"/>
        </w:rPr>
      </w:pPr>
    </w:p>
    <w:p w14:paraId="7C5F34CC" w14:textId="60C7DC38" w:rsidR="00171496" w:rsidRDefault="008866F3" w:rsidP="002C06E6">
      <w:pPr>
        <w:pBdr>
          <w:top w:val="nil"/>
          <w:left w:val="nil"/>
          <w:bottom w:val="nil"/>
          <w:right w:val="nil"/>
          <w:between w:val="nil"/>
        </w:pBdr>
        <w:spacing w:line="276" w:lineRule="auto"/>
        <w:ind w:left="0" w:hanging="2"/>
        <w:jc w:val="center"/>
        <w:rPr>
          <w:rFonts w:ascii="Cambria" w:eastAsia="Cambria" w:hAnsi="Cambria" w:cs="Cambria"/>
          <w:color w:val="000000"/>
          <w:szCs w:val="24"/>
          <w:lang w:val="en-US"/>
        </w:rPr>
      </w:pPr>
      <w:r>
        <w:rPr>
          <w:rFonts w:ascii="Cambria" w:eastAsia="Cambria" w:hAnsi="Cambria" w:cs="Cambria"/>
          <w:b/>
          <w:color w:val="000000"/>
          <w:szCs w:val="24"/>
          <w:lang w:val="en-US"/>
        </w:rPr>
        <w:t>Zuraidah</w:t>
      </w:r>
      <w:r w:rsidR="00A51BCA">
        <w:rPr>
          <w:rFonts w:ascii="Cambria" w:eastAsia="Cambria" w:hAnsi="Cambria" w:cs="Cambria"/>
          <w:b/>
          <w:vertAlign w:val="superscript"/>
        </w:rPr>
        <w:t>1</w:t>
      </w:r>
      <w:r w:rsidR="00A51BCA">
        <w:rPr>
          <w:rFonts w:ascii="Cambria" w:eastAsia="Cambria" w:hAnsi="Cambria" w:cs="Cambria"/>
          <w:b/>
        </w:rPr>
        <w:t>,</w:t>
      </w:r>
      <w:r>
        <w:rPr>
          <w:rFonts w:ascii="Cambria" w:eastAsia="Cambria" w:hAnsi="Cambria" w:cs="Cambria"/>
          <w:b/>
          <w:lang w:val="en-US"/>
        </w:rPr>
        <w:t xml:space="preserve"> </w:t>
      </w:r>
      <w:r>
        <w:rPr>
          <w:rFonts w:ascii="Cambria" w:eastAsia="Cambria" w:hAnsi="Cambria" w:cs="Cambria"/>
          <w:b/>
          <w:color w:val="000000"/>
          <w:szCs w:val="24"/>
          <w:lang w:val="en-US"/>
        </w:rPr>
        <w:t>Wahidmurni</w:t>
      </w:r>
      <w:r w:rsidR="00A51BCA">
        <w:rPr>
          <w:rFonts w:ascii="Cambria" w:eastAsia="Cambria" w:hAnsi="Cambria" w:cs="Cambria"/>
          <w:b/>
          <w:color w:val="000000"/>
          <w:szCs w:val="24"/>
          <w:vertAlign w:val="superscript"/>
        </w:rPr>
        <w:t>2</w:t>
      </w:r>
      <w:r w:rsidR="00A51BCA">
        <w:rPr>
          <w:rFonts w:ascii="Cambria" w:eastAsia="Cambria" w:hAnsi="Cambria" w:cs="Cambria"/>
          <w:b/>
          <w:color w:val="000000"/>
          <w:szCs w:val="24"/>
        </w:rPr>
        <w:t xml:space="preserve">, </w:t>
      </w:r>
      <w:r>
        <w:rPr>
          <w:rFonts w:ascii="Cambria" w:eastAsia="Cambria" w:hAnsi="Cambria" w:cs="Cambria"/>
          <w:b/>
          <w:color w:val="000000"/>
          <w:szCs w:val="24"/>
          <w:lang w:val="en-US"/>
        </w:rPr>
        <w:t>Ilfi Nur Diana</w:t>
      </w:r>
      <w:r w:rsidR="00A51BCA">
        <w:rPr>
          <w:rFonts w:ascii="Cambria" w:eastAsia="Cambria" w:hAnsi="Cambria" w:cs="Cambria"/>
          <w:b/>
          <w:color w:val="000000"/>
          <w:szCs w:val="24"/>
          <w:vertAlign w:val="superscript"/>
        </w:rPr>
        <w:t>3</w:t>
      </w:r>
    </w:p>
    <w:p w14:paraId="6E582D7A" w14:textId="77777777" w:rsidR="002C06E6" w:rsidRPr="002C06E6" w:rsidRDefault="002C06E6" w:rsidP="002C06E6">
      <w:pPr>
        <w:pBdr>
          <w:top w:val="nil"/>
          <w:left w:val="nil"/>
          <w:bottom w:val="nil"/>
          <w:right w:val="nil"/>
          <w:between w:val="nil"/>
        </w:pBdr>
        <w:spacing w:line="276" w:lineRule="auto"/>
        <w:ind w:left="0" w:hanging="2"/>
        <w:jc w:val="center"/>
        <w:rPr>
          <w:rFonts w:ascii="Cambria" w:eastAsia="Cambria" w:hAnsi="Cambria" w:cs="Cambria"/>
          <w:color w:val="000000"/>
          <w:szCs w:val="24"/>
          <w:lang w:val="en-US"/>
        </w:rPr>
      </w:pPr>
    </w:p>
    <w:p w14:paraId="4F3356CB" w14:textId="685D921D" w:rsidR="00171496" w:rsidRDefault="00A51BCA" w:rsidP="002C06E6">
      <w:pPr>
        <w:spacing w:line="276" w:lineRule="auto"/>
        <w:ind w:left="0" w:hanging="2"/>
        <w:jc w:val="center"/>
        <w:rPr>
          <w:rFonts w:ascii="Cambria" w:eastAsia="Cambria" w:hAnsi="Cambria" w:cs="Cambria"/>
          <w:i/>
          <w:color w:val="000000"/>
          <w:sz w:val="22"/>
          <w:szCs w:val="22"/>
        </w:rPr>
      </w:pPr>
      <w:r>
        <w:rPr>
          <w:rFonts w:ascii="Cambria" w:eastAsia="Cambria" w:hAnsi="Cambria" w:cs="Cambria"/>
          <w:i/>
          <w:color w:val="000000"/>
          <w:sz w:val="22"/>
          <w:szCs w:val="22"/>
          <w:vertAlign w:val="superscript"/>
        </w:rPr>
        <w:t>1,2</w:t>
      </w:r>
      <w:r w:rsidR="008866F3">
        <w:rPr>
          <w:rFonts w:ascii="Cambria" w:eastAsia="Cambria" w:hAnsi="Cambria" w:cs="Cambria"/>
          <w:i/>
          <w:color w:val="000000"/>
          <w:sz w:val="22"/>
          <w:szCs w:val="22"/>
          <w:vertAlign w:val="superscript"/>
          <w:lang w:val="en-US"/>
        </w:rPr>
        <w:t>,3</w:t>
      </w:r>
      <w:r>
        <w:rPr>
          <w:rFonts w:ascii="Cambria" w:eastAsia="Cambria" w:hAnsi="Cambria" w:cs="Cambria"/>
          <w:i/>
          <w:color w:val="000000"/>
          <w:sz w:val="22"/>
          <w:szCs w:val="22"/>
          <w:vertAlign w:val="superscript"/>
        </w:rPr>
        <w:t xml:space="preserve"> </w:t>
      </w:r>
      <w:r w:rsidR="008866F3" w:rsidRPr="008866F3">
        <w:rPr>
          <w:rFonts w:ascii="Cambria" w:eastAsia="Cambria" w:hAnsi="Cambria" w:cs="Cambria"/>
          <w:i/>
          <w:color w:val="000000"/>
          <w:sz w:val="22"/>
          <w:szCs w:val="22"/>
        </w:rPr>
        <w:t xml:space="preserve">Sharia Economics, Postgraduate State Islamic University of Maulana Malik Ibrahim Malang, Jl. Ir. Soekarno No. 34 Dadaprejo Kota Batu 65233, Indonesia </w:t>
      </w:r>
    </w:p>
    <w:p w14:paraId="68BB4F2E" w14:textId="77777777" w:rsidR="002C06E6" w:rsidRPr="002C06E6" w:rsidRDefault="002C06E6" w:rsidP="002C06E6">
      <w:pPr>
        <w:spacing w:line="276" w:lineRule="auto"/>
        <w:ind w:left="0" w:hanging="2"/>
        <w:jc w:val="center"/>
        <w:rPr>
          <w:rFonts w:ascii="Cambria" w:eastAsia="Cambria" w:hAnsi="Cambria" w:cs="Cambria"/>
          <w:i/>
          <w:color w:val="000000"/>
          <w:sz w:val="22"/>
          <w:szCs w:val="22"/>
          <w:lang w:val="en-US"/>
        </w:rPr>
      </w:pPr>
    </w:p>
    <w:p w14:paraId="7F9578B8" w14:textId="77777777" w:rsidR="00171496" w:rsidRDefault="00A51BCA">
      <w:pPr>
        <w:spacing w:line="240" w:lineRule="auto"/>
        <w:ind w:left="0" w:hanging="2"/>
        <w:rPr>
          <w:rFonts w:ascii="Cambria" w:eastAsia="Cambria" w:hAnsi="Cambria" w:cs="Cambria"/>
          <w:color w:val="FF0000"/>
          <w:sz w:val="20"/>
          <w:szCs w:val="20"/>
        </w:rPr>
      </w:pPr>
      <w:r>
        <w:rPr>
          <w:rFonts w:ascii="Cambria" w:eastAsia="Cambria" w:hAnsi="Cambria" w:cs="Cambria"/>
          <w:noProof/>
          <w:sz w:val="20"/>
          <w:szCs w:val="20"/>
        </w:rPr>
        <w:drawing>
          <wp:inline distT="0" distB="0" distL="114300" distR="114300" wp14:anchorId="44F2DD54" wp14:editId="3421B203">
            <wp:extent cx="144145" cy="143510"/>
            <wp:effectExtent l="0" t="0" r="0" b="0"/>
            <wp:docPr id="1032" name="image1.png" descr="Image result for symbol email"/>
            <wp:cNvGraphicFramePr/>
            <a:graphic xmlns:a="http://schemas.openxmlformats.org/drawingml/2006/main">
              <a:graphicData uri="http://schemas.openxmlformats.org/drawingml/2006/picture">
                <pic:pic xmlns:pic="http://schemas.openxmlformats.org/drawingml/2006/picture">
                  <pic:nvPicPr>
                    <pic:cNvPr id="0" name="image1.png" descr="Image result for symbol email"/>
                    <pic:cNvPicPr preferRelativeResize="0"/>
                  </pic:nvPicPr>
                  <pic:blipFill>
                    <a:blip r:embed="rId9"/>
                    <a:srcRect/>
                    <a:stretch>
                      <a:fillRect/>
                    </a:stretch>
                  </pic:blipFill>
                  <pic:spPr>
                    <a:xfrm>
                      <a:off x="0" y="0"/>
                      <a:ext cx="144145" cy="143510"/>
                    </a:xfrm>
                    <a:prstGeom prst="rect">
                      <a:avLst/>
                    </a:prstGeom>
                    <a:ln/>
                  </pic:spPr>
                </pic:pic>
              </a:graphicData>
            </a:graphic>
          </wp:inline>
        </w:drawing>
      </w:r>
      <w:r>
        <w:rPr>
          <w:rFonts w:ascii="Cambria" w:eastAsia="Cambria" w:hAnsi="Cambria" w:cs="Cambria"/>
          <w:sz w:val="20"/>
          <w:szCs w:val="20"/>
        </w:rPr>
        <w:t xml:space="preserve"> Corresponding Author:</w:t>
      </w:r>
    </w:p>
    <w:p w14:paraId="244515EB" w14:textId="142FABA4" w:rsidR="00171496" w:rsidRPr="008866F3" w:rsidRDefault="00A51BCA">
      <w:pPr>
        <w:spacing w:line="240" w:lineRule="auto"/>
        <w:ind w:left="0" w:hanging="2"/>
        <w:rPr>
          <w:rFonts w:ascii="Cambria" w:eastAsia="Cambria" w:hAnsi="Cambria" w:cs="Cambria"/>
          <w:sz w:val="20"/>
          <w:szCs w:val="20"/>
          <w:lang w:val="en-US"/>
        </w:rPr>
      </w:pPr>
      <w:r>
        <w:rPr>
          <w:rFonts w:ascii="Cambria" w:eastAsia="Cambria" w:hAnsi="Cambria" w:cs="Cambria"/>
          <w:b/>
          <w:sz w:val="20"/>
          <w:szCs w:val="20"/>
        </w:rPr>
        <w:t>Nama Penulis</w:t>
      </w:r>
      <w:r>
        <w:rPr>
          <w:rFonts w:ascii="Cambria" w:eastAsia="Cambria" w:hAnsi="Cambria" w:cs="Cambria"/>
          <w:sz w:val="20"/>
          <w:szCs w:val="20"/>
        </w:rPr>
        <w:t xml:space="preserve">: </w:t>
      </w:r>
      <w:r w:rsidR="008866F3">
        <w:rPr>
          <w:rFonts w:ascii="Cambria" w:eastAsia="Cambria" w:hAnsi="Cambria" w:cs="Cambria"/>
          <w:sz w:val="20"/>
          <w:szCs w:val="20"/>
          <w:lang w:val="en-US"/>
        </w:rPr>
        <w:t>Zuraidah</w:t>
      </w:r>
    </w:p>
    <w:p w14:paraId="0966A194" w14:textId="12DC18E8" w:rsidR="00171496" w:rsidRDefault="00A51BCA">
      <w:pPr>
        <w:spacing w:line="240" w:lineRule="auto"/>
        <w:ind w:left="0" w:hanging="2"/>
        <w:rPr>
          <w:rFonts w:ascii="Cambria" w:eastAsia="Cambria" w:hAnsi="Cambria" w:cs="Cambria"/>
          <w:color w:val="000000"/>
          <w:sz w:val="20"/>
          <w:szCs w:val="20"/>
        </w:rPr>
      </w:pPr>
      <w:r>
        <w:rPr>
          <w:rFonts w:ascii="Cambria" w:eastAsia="Cambria" w:hAnsi="Cambria" w:cs="Cambria"/>
          <w:sz w:val="20"/>
          <w:szCs w:val="20"/>
        </w:rPr>
        <w:t xml:space="preserve">E-mail: </w:t>
      </w:r>
      <w:r w:rsidR="008866F3" w:rsidRPr="008866F3">
        <w:rPr>
          <w:rFonts w:ascii="Cambria" w:eastAsia="Cambria" w:hAnsi="Cambria" w:cs="Cambria"/>
          <w:sz w:val="20"/>
          <w:szCs w:val="20"/>
        </w:rPr>
        <w:t>zuraidah@akuntansi.uin-malang.ac.id</w:t>
      </w:r>
    </w:p>
    <w:p w14:paraId="61FC7288" w14:textId="1D1D621F" w:rsidR="008866F3" w:rsidRPr="008866F3" w:rsidRDefault="00A51BCA" w:rsidP="008866F3">
      <w:pPr>
        <w:pBdr>
          <w:top w:val="nil"/>
          <w:left w:val="nil"/>
          <w:bottom w:val="nil"/>
          <w:right w:val="nil"/>
          <w:between w:val="nil"/>
        </w:pBdr>
        <w:spacing w:before="360" w:line="240" w:lineRule="auto"/>
        <w:ind w:left="0" w:hanging="2"/>
        <w:jc w:val="left"/>
        <w:rPr>
          <w:rFonts w:ascii="Cambria" w:eastAsia="Cambria" w:hAnsi="Cambria" w:cs="Cambria"/>
          <w:b/>
          <w:i/>
          <w:color w:val="000000"/>
          <w:sz w:val="22"/>
          <w:szCs w:val="22"/>
        </w:rPr>
      </w:pPr>
      <w:r>
        <w:rPr>
          <w:rFonts w:ascii="Cambria" w:eastAsia="Cambria" w:hAnsi="Cambria" w:cs="Cambria"/>
          <w:b/>
          <w:i/>
          <w:color w:val="000000"/>
          <w:sz w:val="22"/>
          <w:szCs w:val="22"/>
        </w:rPr>
        <w:t>Abstract</w:t>
      </w:r>
    </w:p>
    <w:p w14:paraId="7F9C887B" w14:textId="77777777" w:rsidR="00414EE6" w:rsidRPr="005B57E2" w:rsidRDefault="008866F3" w:rsidP="005B57E2">
      <w:pPr>
        <w:spacing w:line="240" w:lineRule="auto"/>
        <w:ind w:leftChars="0" w:left="0" w:firstLineChars="0" w:firstLine="0"/>
        <w:rPr>
          <w:rFonts w:ascii="Cambria" w:hAnsi="Cambria"/>
          <w:sz w:val="22"/>
          <w:szCs w:val="22"/>
        </w:rPr>
      </w:pPr>
      <w:r w:rsidRPr="005B57E2">
        <w:rPr>
          <w:rFonts w:ascii="Cambria" w:hAnsi="Cambria"/>
          <w:sz w:val="22"/>
          <w:szCs w:val="22"/>
        </w:rPr>
        <w:t>This study aims to determine the Critical Success Factors (CSF), and Islamic Corporate Governance (ICG) as a mediating variable on the influence of the COSO Enterprise Risk Management (ERM) Framework on the financial performance of Islamic Banks. The type of research is a quantitative approach, and secondary data in the form of financial statements published on the Bank's website during the research period 2014 to 2023. All variables include panel data manifest variables. Data analysis using Path Analysis. Where the beta estimator value is obtained by FGLS (Feasible Generalized Least Squares) to measure how much percentage of the dependent variable can be explained by the regression model. The results showed that in part, Critical Success Factors (CSF), and Islamic Corporate Governance (ICG) had a significant positive effect on the effect of COSO ERM on the financial performance of Islamic Banks. The results of this study support Signaling Theory, because it shows that the application of COSO ERM, CSF, and ICG can be an important signal in building stakeholder confidence in the performance of Islamic Banks.</w:t>
      </w:r>
    </w:p>
    <w:p w14:paraId="15CB3135" w14:textId="6731E149" w:rsidR="008866F3" w:rsidRPr="005B57E2" w:rsidRDefault="008866F3" w:rsidP="005B57E2">
      <w:pPr>
        <w:spacing w:line="240" w:lineRule="auto"/>
        <w:ind w:leftChars="0" w:left="0" w:firstLineChars="0" w:firstLine="0"/>
        <w:rPr>
          <w:rFonts w:ascii="Cambria" w:hAnsi="Cambria"/>
          <w:sz w:val="22"/>
          <w:szCs w:val="22"/>
        </w:rPr>
      </w:pPr>
      <w:r w:rsidRPr="005B57E2">
        <w:rPr>
          <w:rFonts w:ascii="Cambria" w:hAnsi="Cambria"/>
          <w:sz w:val="22"/>
          <w:szCs w:val="22"/>
        </w:rPr>
        <w:t>In addition, the findings are also in line with Risk Management Theory, which suggests that investments in risk management will reduce operational risk and improve long-term stability, although the initial impact on profitability could be negative. The findings provide important implications for risk management, governance of Islamic Banks and the key to success in improving the financial performance of banks through the implementation of a holistic framework in accordance with Shariah principles.</w:t>
      </w:r>
    </w:p>
    <w:p w14:paraId="4EBD59A4" w14:textId="77777777" w:rsidR="00171496" w:rsidRDefault="00171496" w:rsidP="00414EE6">
      <w:pPr>
        <w:pBdr>
          <w:top w:val="nil"/>
          <w:left w:val="nil"/>
          <w:bottom w:val="nil"/>
          <w:right w:val="nil"/>
          <w:between w:val="nil"/>
        </w:pBdr>
        <w:spacing w:line="240" w:lineRule="auto"/>
        <w:ind w:leftChars="0" w:left="0" w:firstLineChars="0" w:firstLine="0"/>
        <w:rPr>
          <w:rFonts w:ascii="Cambria" w:eastAsia="Cambria" w:hAnsi="Cambria" w:cs="Cambria"/>
          <w:color w:val="000000"/>
          <w:sz w:val="22"/>
          <w:szCs w:val="22"/>
        </w:rPr>
      </w:pPr>
    </w:p>
    <w:p w14:paraId="343B3D51" w14:textId="63CAE9BC" w:rsidR="008C43E9" w:rsidRPr="005B57E2" w:rsidRDefault="00A51BCA" w:rsidP="005B57E2">
      <w:pPr>
        <w:spacing w:line="240" w:lineRule="auto"/>
        <w:ind w:left="0" w:hanging="2"/>
        <w:rPr>
          <w:rFonts w:ascii="Cambria" w:hAnsi="Cambria"/>
          <w:sz w:val="22"/>
          <w:szCs w:val="22"/>
        </w:rPr>
      </w:pPr>
      <w:r w:rsidRPr="005B57E2">
        <w:rPr>
          <w:rFonts w:ascii="Cambria" w:hAnsi="Cambria"/>
          <w:b/>
          <w:bCs/>
          <w:sz w:val="22"/>
          <w:szCs w:val="22"/>
        </w:rPr>
        <w:t>Keywords:</w:t>
      </w:r>
      <w:r w:rsidRPr="005B57E2">
        <w:rPr>
          <w:rFonts w:ascii="Cambria" w:hAnsi="Cambria"/>
          <w:sz w:val="22"/>
          <w:szCs w:val="22"/>
        </w:rPr>
        <w:t xml:space="preserve"> </w:t>
      </w:r>
      <w:r w:rsidR="00B176D3" w:rsidRPr="005B57E2">
        <w:rPr>
          <w:rFonts w:ascii="Cambria" w:hAnsi="Cambria"/>
          <w:sz w:val="22"/>
          <w:szCs w:val="22"/>
        </w:rPr>
        <w:t>Framework COSO ERM; Critical Success Factors (CSF); Islamic Corporate Governance (ICG); Financial Performance; Islamic Bank</w:t>
      </w:r>
    </w:p>
    <w:p w14:paraId="0A5A5383" w14:textId="77777777" w:rsidR="00171496" w:rsidRDefault="00171496">
      <w:pPr>
        <w:pBdr>
          <w:top w:val="nil"/>
          <w:left w:val="nil"/>
          <w:bottom w:val="nil"/>
          <w:right w:val="nil"/>
          <w:between w:val="nil"/>
        </w:pBdr>
        <w:spacing w:line="240" w:lineRule="auto"/>
        <w:ind w:left="0" w:hanging="2"/>
        <w:rPr>
          <w:rFonts w:ascii="Cambria" w:eastAsia="Cambria" w:hAnsi="Cambria" w:cs="Cambria"/>
          <w:color w:val="000000"/>
          <w:sz w:val="22"/>
          <w:szCs w:val="22"/>
        </w:rPr>
      </w:pPr>
    </w:p>
    <w:p w14:paraId="49E16DB0" w14:textId="6839DF10" w:rsidR="00B176D3" w:rsidRDefault="00A51BCA" w:rsidP="00B176D3">
      <w:pPr>
        <w:pBdr>
          <w:top w:val="nil"/>
          <w:left w:val="nil"/>
          <w:bottom w:val="nil"/>
          <w:right w:val="nil"/>
          <w:between w:val="nil"/>
        </w:pBdr>
        <w:spacing w:line="240" w:lineRule="auto"/>
        <w:ind w:left="0" w:hanging="2"/>
        <w:jc w:val="left"/>
        <w:rPr>
          <w:rFonts w:ascii="Cambria" w:eastAsia="Cambria" w:hAnsi="Cambria" w:cs="Cambria"/>
          <w:b/>
          <w:color w:val="000000"/>
          <w:sz w:val="22"/>
          <w:szCs w:val="22"/>
        </w:rPr>
      </w:pPr>
      <w:r>
        <w:rPr>
          <w:rFonts w:ascii="Cambria" w:eastAsia="Cambria" w:hAnsi="Cambria" w:cs="Cambria"/>
          <w:b/>
          <w:color w:val="000000"/>
          <w:sz w:val="22"/>
          <w:szCs w:val="22"/>
        </w:rPr>
        <w:t>Abstrak</w:t>
      </w:r>
    </w:p>
    <w:p w14:paraId="5A8DEB85" w14:textId="77777777" w:rsidR="00414EE6" w:rsidRDefault="00B176D3" w:rsidP="005B57E2">
      <w:pPr>
        <w:pBdr>
          <w:top w:val="nil"/>
          <w:left w:val="nil"/>
          <w:bottom w:val="nil"/>
          <w:right w:val="nil"/>
          <w:between w:val="nil"/>
        </w:pBdr>
        <w:spacing w:line="240" w:lineRule="auto"/>
        <w:ind w:leftChars="0" w:left="0" w:firstLineChars="0" w:firstLine="0"/>
        <w:rPr>
          <w:rFonts w:ascii="Cambria" w:eastAsia="Cambria" w:hAnsi="Cambria" w:cs="Cambria"/>
          <w:color w:val="000000"/>
          <w:sz w:val="22"/>
          <w:szCs w:val="22"/>
        </w:rPr>
      </w:pPr>
      <w:r w:rsidRPr="00B176D3">
        <w:rPr>
          <w:rFonts w:ascii="Cambria" w:eastAsia="Cambria" w:hAnsi="Cambria" w:cs="Cambria"/>
          <w:color w:val="000000"/>
          <w:sz w:val="22"/>
          <w:szCs w:val="22"/>
        </w:rPr>
        <w:t xml:space="preserve">Penelitian ini bertujuan untuk mengetahui Critical Success Factors (CSF), dan Islamic Corporate Governance (ICG) sebagai variabel mediasi pada pengaruh COSO Enterprise Risk Management (ERM) Framework terhadap kinerja keuangan Islamic Bank. Jenis penelitian adalah pendekatan kuantitatif, dan data sekunder berupa laporan keuangan yang diterbitkan di situs web Bank selama periode penelitian 2014 hingga 2023. Semua variabel menyertakan variabel manifes panel data. Analisis data menggunakan Analisis Jalur. Dimana nilai estimator beta diperoleh oleh FGLS </w:t>
      </w:r>
      <w:r w:rsidRPr="00B176D3">
        <w:rPr>
          <w:rFonts w:ascii="Cambria" w:eastAsia="Cambria" w:hAnsi="Cambria" w:cs="Cambria"/>
          <w:color w:val="000000"/>
          <w:sz w:val="22"/>
          <w:szCs w:val="22"/>
        </w:rPr>
        <w:lastRenderedPageBreak/>
        <w:t>(Feasible Generalized Least Squares) untuk mengukur seberapa besar persentase variabel dependen dapat dijelaskan dengan model regresi. Hasil penelitian menunjukkan bahwa sebagian, Critical Success Factors (CSF), dan Islamic Corporate Governance (ICG) berpengaruh posistif signifikan terhadap pengaruh COSO ERM pada kinerja keuangan Islamic Bank. Hasil penelitian ini mendukung Teori Signaling, karena menunjukkan bahwa penerapan COSO ERM, CSF, dan ICG dapat menjadi sinyal penting dalam membangun kepercayaan pemangku kepentingan terhadap kinerja Islamic Bank.</w:t>
      </w:r>
    </w:p>
    <w:p w14:paraId="4561B3D5" w14:textId="77777777" w:rsidR="00414EE6" w:rsidRDefault="00B176D3" w:rsidP="005B57E2">
      <w:pPr>
        <w:pBdr>
          <w:top w:val="nil"/>
          <w:left w:val="nil"/>
          <w:bottom w:val="nil"/>
          <w:right w:val="nil"/>
          <w:between w:val="nil"/>
        </w:pBdr>
        <w:spacing w:line="240" w:lineRule="auto"/>
        <w:ind w:leftChars="0" w:left="0" w:firstLineChars="0" w:firstLine="0"/>
        <w:rPr>
          <w:rFonts w:ascii="Cambria" w:eastAsia="Cambria" w:hAnsi="Cambria" w:cs="Cambria"/>
          <w:color w:val="000000"/>
          <w:sz w:val="22"/>
          <w:szCs w:val="22"/>
        </w:rPr>
      </w:pPr>
      <w:r w:rsidRPr="00B176D3">
        <w:rPr>
          <w:rFonts w:ascii="Cambria" w:eastAsia="Cambria" w:hAnsi="Cambria" w:cs="Cambria"/>
          <w:color w:val="000000"/>
          <w:sz w:val="22"/>
          <w:szCs w:val="22"/>
        </w:rPr>
        <w:t>Selain itu, temuan ini juga sejalan dengan Teori Manajemen Risiko, yang menunjukkan bahwa investasi dalam manajemen risiko akan mengurangi risiko operasional dan meningkatkan stabilitas jangka panjang, meskipun dampak awalnya terhadap profitabilitas bisa negatif. Temuan ini memberikan implikasi penting bagi manajemen risiko, tata kelola Islamic Bank dan kunci sukses dalam meningkatkan kinerja keuangan bank melalui penerapan kerangka kerja yang holistik sesuai dengan prinsip syariah.</w:t>
      </w:r>
    </w:p>
    <w:p w14:paraId="1C75D993" w14:textId="77777777" w:rsidR="00842C59" w:rsidRDefault="00842C59" w:rsidP="00414EE6">
      <w:pPr>
        <w:pBdr>
          <w:top w:val="nil"/>
          <w:left w:val="nil"/>
          <w:bottom w:val="nil"/>
          <w:right w:val="nil"/>
          <w:between w:val="nil"/>
        </w:pBdr>
        <w:spacing w:line="240" w:lineRule="auto"/>
        <w:ind w:leftChars="0" w:left="993" w:firstLineChars="0" w:firstLine="0"/>
        <w:rPr>
          <w:rFonts w:ascii="Cambria" w:eastAsia="Cambria" w:hAnsi="Cambria" w:cs="Cambria"/>
          <w:b/>
          <w:color w:val="000000"/>
          <w:sz w:val="22"/>
          <w:szCs w:val="22"/>
        </w:rPr>
      </w:pPr>
    </w:p>
    <w:p w14:paraId="6976D001" w14:textId="167EE076" w:rsidR="00171496" w:rsidRPr="005B57E2" w:rsidRDefault="00A51BCA" w:rsidP="005B57E2">
      <w:pPr>
        <w:spacing w:line="240" w:lineRule="auto"/>
        <w:ind w:leftChars="0" w:left="0" w:firstLineChars="0" w:firstLine="0"/>
        <w:rPr>
          <w:rFonts w:ascii="Cambria" w:hAnsi="Cambria"/>
          <w:sz w:val="22"/>
          <w:szCs w:val="22"/>
        </w:rPr>
      </w:pPr>
      <w:r w:rsidRPr="005B57E2">
        <w:rPr>
          <w:rFonts w:ascii="Cambria" w:hAnsi="Cambria"/>
          <w:b/>
          <w:bCs/>
          <w:sz w:val="22"/>
          <w:szCs w:val="22"/>
        </w:rPr>
        <w:t>Kata kunci:</w:t>
      </w:r>
      <w:r w:rsidRPr="005B57E2">
        <w:rPr>
          <w:rFonts w:ascii="Cambria" w:hAnsi="Cambria"/>
          <w:sz w:val="22"/>
          <w:szCs w:val="22"/>
        </w:rPr>
        <w:t xml:space="preserve"> </w:t>
      </w:r>
      <w:r w:rsidR="00B176D3" w:rsidRPr="005B57E2">
        <w:rPr>
          <w:rFonts w:ascii="Cambria" w:hAnsi="Cambria"/>
          <w:sz w:val="22"/>
          <w:szCs w:val="22"/>
        </w:rPr>
        <w:t>Framework COSO ERM; Critical Success Factors (CSF); Islamic Corporate Governance (ICG); Kinerja Keuangan; Bank Syariah</w:t>
      </w:r>
    </w:p>
    <w:p w14:paraId="79891954" w14:textId="77777777" w:rsidR="00754B4B" w:rsidRPr="005B57E2" w:rsidRDefault="00754B4B" w:rsidP="005B57E2">
      <w:pPr>
        <w:spacing w:line="240" w:lineRule="auto"/>
        <w:ind w:leftChars="0" w:left="0" w:firstLineChars="0" w:firstLine="0"/>
        <w:rPr>
          <w:rFonts w:ascii="Cambria" w:hAnsi="Cambria"/>
          <w:sz w:val="22"/>
          <w:szCs w:val="22"/>
        </w:rPr>
      </w:pPr>
    </w:p>
    <w:p w14:paraId="149E0452" w14:textId="7EB9BFC5" w:rsidR="00171496" w:rsidRDefault="00B53F0D">
      <w:pPr>
        <w:pBdr>
          <w:top w:val="nil"/>
          <w:left w:val="nil"/>
          <w:bottom w:val="nil"/>
          <w:right w:val="nil"/>
          <w:between w:val="nil"/>
        </w:pBdr>
        <w:spacing w:before="100" w:after="100" w:line="276" w:lineRule="auto"/>
        <w:ind w:left="0" w:hanging="2"/>
        <w:rPr>
          <w:rFonts w:ascii="Cambria" w:eastAsia="Cambria" w:hAnsi="Cambria" w:cs="Cambria"/>
          <w:b/>
          <w:color w:val="000000"/>
          <w:szCs w:val="24"/>
        </w:rPr>
      </w:pPr>
      <w:r>
        <w:rPr>
          <w:rFonts w:ascii="Cambria" w:eastAsia="Cambria" w:hAnsi="Cambria" w:cs="Cambria"/>
          <w:b/>
          <w:color w:val="000000"/>
          <w:szCs w:val="24"/>
          <w:lang w:val="en-US"/>
        </w:rPr>
        <w:t>INTRODUCTION</w:t>
      </w:r>
      <w:r w:rsidR="00A51BCA">
        <w:rPr>
          <w:rFonts w:ascii="Cambria" w:eastAsia="Cambria" w:hAnsi="Cambria" w:cs="Cambria"/>
          <w:b/>
          <w:color w:val="000000"/>
          <w:szCs w:val="24"/>
        </w:rPr>
        <w:t xml:space="preserve"> </w:t>
      </w:r>
    </w:p>
    <w:p w14:paraId="6486E3D3" w14:textId="246857B3" w:rsidR="00754B4B" w:rsidRPr="00754B4B" w:rsidRDefault="00754B4B" w:rsidP="00842C59">
      <w:pPr>
        <w:pBdr>
          <w:top w:val="nil"/>
          <w:left w:val="nil"/>
          <w:bottom w:val="nil"/>
          <w:right w:val="nil"/>
          <w:between w:val="nil"/>
        </w:pBdr>
        <w:spacing w:line="276" w:lineRule="auto"/>
        <w:ind w:leftChars="0" w:left="0" w:firstLineChars="0" w:firstLine="567"/>
        <w:rPr>
          <w:rFonts w:ascii="Cambria" w:eastAsia="Cambria" w:hAnsi="Cambria" w:cs="Cambria"/>
          <w:color w:val="000000"/>
          <w:szCs w:val="24"/>
        </w:rPr>
      </w:pPr>
      <w:r w:rsidRPr="00754B4B">
        <w:rPr>
          <w:rFonts w:ascii="Cambria" w:eastAsia="Cambria" w:hAnsi="Cambria" w:cs="Cambria"/>
          <w:color w:val="000000"/>
          <w:szCs w:val="24"/>
        </w:rPr>
        <w:t xml:space="preserve">Along with the globalization development, the implementation of Islamic finance goes globalized and gets a good reception from various continents and regions in Asia, Afrika, Australia, Europe, America, Canada, Middle East and many other regions around the world. In an increasingly complex era of globalization, the Islamic banking industries have significant challenges in managing the risks and developing the financial performance </w:t>
      </w:r>
      <w:r w:rsidR="00024394">
        <w:rPr>
          <w:rFonts w:ascii="Cambria" w:eastAsia="Cambria" w:hAnsi="Cambria" w:cs="Cambria"/>
          <w:color w:val="000000"/>
          <w:szCs w:val="24"/>
        </w:rPr>
        <w:fldChar w:fldCharType="begin" w:fldLock="1"/>
      </w:r>
      <w:r w:rsidR="00024394">
        <w:rPr>
          <w:rFonts w:ascii="Cambria" w:eastAsia="Cambria" w:hAnsi="Cambria" w:cs="Cambria"/>
          <w:color w:val="000000"/>
          <w:szCs w:val="24"/>
        </w:rPr>
        <w:instrText>ADDIN CSL_CITATION {"citationItems":[{"id":"ITEM-1","itemData":{"ISBN":"1120617163123","ISSN":"02729490","PMID":"21675331","abstract":"I. INTRODUCTION The first Islamic financial institution was a mutual savings bank formed in the Egyptian town of Mit Ghamar in 1963. Since then, Islamic finance has evolved into an adaptive system of international practices and regulations capable of harmonizing classical religious precepts, social responsibility, and traditionalism with the modern exigencies of globalized banking. Today, according to the International Monetary Fund, there are over 300 Islamic financial institutions in more than 75 countries with total assets worldwide exceeding $250 billion and growth rates exceeding 15 percent a year.1 As of June 2006, Moody's estimated that there are over 250 Islamic mutual funds, with a total of $300 billion in assets.2 Despite this scope and imprint on the global economy, Islamic finance remains poorly understood at both the theoretical and practical level. Moreover, despite a number of recent optimistic trends, Islamic finance faces several ideological and structural challenges to full integration in the globalized economy. This Article aims to illuminate these challenges and provide a general overview of contemporary Islamic financial theories and practices. The first section concentrates on the size of the world's Muslim population, the size of Muslim economies, and concepts of Islamic finance itself. The second section examines Muslim beliefs related to contemporary corporate finance. The third section looks at the challenges of Islamic finance. Security issues in Islamic finance, with a particular focus on the financial theories of the radical Salafi movement, are an important development and need to be understood clearly in terms of the challenges facing Muslim financial instruments and law. Specifically, we examine the fundamental paradox of the Salafi's particular interpretation of Islamic finance. While Salafi-jihadist writings impose a sort of economic apartheid between Muslims and non-Muslims, their calls for economic jihad against the West (divestiture and boycott) try to exploit the very same interdependence and forces of globalization they decry. II. SCOPE OF MUSLIM POPULATION AND SIZE OF ECONOMIES Muslim people comprise over 20 percent of the world's population. Countries with Muslim-majority populations are distinguished by significant economic and political statistics. As a group they generate over 10 percent of global GDP and constitute 10 of the 11 members of OPEC. One member of this group, Turkey, also belongs to NATO. These cou…","author":[{"dropping-particle":"","family":"Karasik","given":"Theodore","non-dropping-particle":"","parse-names":false,"suffix":""},{"dropping-particle":"","family":"Wehrey","given":"Frederic","non-dropping-particle":"","parse-names":false,"suffix":""},{"dropping-particle":"","family":"Strom","given":"Steven","non-dropping-particle":"","parse-names":false,"suffix":""}],"container-title":"Chicago Journal of International Law","id":"ITEM-1","issue":"2","issued":{"date-parts":[["2007"]]},"page":"379-396","title":"Islamic Finance in A Global Context : Opportunities and Challanges","type":"article-journal","volume":"1"},"uris":["http://www.mendeley.com/documents/?uuid=d40aaadf-0c7c-4b0b-b759-d2e28e88e248"]}],"mendeley":{"formattedCitation":"(Karasik et al., 2007)","plainTextFormattedCitation":"(Karasik et al., 2007)","previouslyFormattedCitation":"(Karasik et al., 2007)"},"properties":{"noteIndex":0},"schema":"https://github.com/citation-style-language/schema/raw/master/csl-citation.json"}</w:instrText>
      </w:r>
      <w:r w:rsidR="00024394">
        <w:rPr>
          <w:rFonts w:ascii="Cambria" w:eastAsia="Cambria" w:hAnsi="Cambria" w:cs="Cambria"/>
          <w:color w:val="000000"/>
          <w:szCs w:val="24"/>
        </w:rPr>
        <w:fldChar w:fldCharType="separate"/>
      </w:r>
      <w:r w:rsidR="00024394" w:rsidRPr="00024394">
        <w:rPr>
          <w:rFonts w:ascii="Cambria" w:eastAsia="Cambria" w:hAnsi="Cambria" w:cs="Cambria"/>
          <w:noProof/>
          <w:color w:val="000000"/>
          <w:szCs w:val="24"/>
        </w:rPr>
        <w:t>(Karasik et al., 2007)</w:t>
      </w:r>
      <w:r w:rsidR="00024394">
        <w:rPr>
          <w:rFonts w:ascii="Cambria" w:eastAsia="Cambria" w:hAnsi="Cambria" w:cs="Cambria"/>
          <w:color w:val="000000"/>
          <w:szCs w:val="24"/>
        </w:rPr>
        <w:fldChar w:fldCharType="end"/>
      </w:r>
      <w:r w:rsidRPr="00754B4B">
        <w:rPr>
          <w:rFonts w:ascii="Cambria" w:eastAsia="Cambria" w:hAnsi="Cambria" w:cs="Cambria"/>
          <w:color w:val="000000"/>
          <w:szCs w:val="24"/>
        </w:rPr>
        <w:t>. The COSO (ERM) Framework is helpful for an organization to identify, evaluate, and manage risks effectively</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8C43E9">
        <w:rPr>
          <w:rFonts w:ascii="Cambria" w:eastAsia="Cambria" w:hAnsi="Cambria" w:cs="Cambria"/>
          <w:color w:val="000000"/>
          <w:szCs w:val="24"/>
          <w:lang w:val="en-US"/>
        </w:rPr>
        <w:instrText>ADDIN CSL_CITATION {"citationItems":[{"id":"ITEM-1","itemData":{"DOI":"10.4236/ajibm.2013.34043","ISSN":"2164-5167","abstract":"Supply chain risk management (SCRM) can provide companies with a long-term competitive advantage, particularly if it is integrated with enterprise risk management (ERM). Current SCRM research frameworks do not explicitly examine this integration, potentially hindering a deeper understanding of SCRM. This research uses survey data and follow-up interviews to suggest that ISO 31000:2009 provides a foundation for advancing future SCRM research, and to more successfully execute SCRM. It is also determined that ISO 31000:2009 encompasses existing SCRM frameworks, but is more exhaustive. It includes two critical steps generally omitted from SCRM frameworks: 1) developing a strategic context for SCRM, and 2) performance monitoring. Finally, it was found that firms recognize the importance of SCRM, but SCRM integration and skills are lacking.","author":[{"dropping-particle":"","family":"Scannell","given":"Thomas Vincent","non-dropping-particle":"","parse-names":false,"suffix":""},{"dropping-particle":"","family":"Curkovic","given":"Sime","non-dropping-particle":"","parse-names":false,"suffix":""},{"dropping-particle":"","family":"Wagner","given":"Bret J.","non-dropping-particle":"","parse-names":false,"suffix":""}],"container-title":"American Journal of Industrial and Business Management","id":"ITEM-1","issue":"04","issued":{"date-parts":[["2013"]]},"page":"367-377","title":"Integration of ISO 31000:2009 and Supply Chain Risk Management","type":"article-journal","volume":"03"},"uris":["http://www.mendeley.com/documents/?uuid=926f228a-7efc-42b2-9696-a303e0fe3ea9"]}],"mendeley":{"formattedCitation":"(Scannell et al., 2013)","plainTextFormattedCitation":"(Scannell et al., 2013)","previouslyFormattedCitation":"(Scannell et al., 2013)"},"properties":{"noteIndex":0},"schema":"https://github.com/citation-style-language/schema/raw/master/csl-citation.json"}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8C43E9" w:rsidRPr="008C43E9">
        <w:rPr>
          <w:rFonts w:ascii="Cambria" w:eastAsia="Cambria" w:hAnsi="Cambria" w:cs="Cambria"/>
          <w:noProof/>
          <w:color w:val="000000"/>
          <w:szCs w:val="24"/>
          <w:lang w:val="en-US"/>
        </w:rPr>
        <w:t>(Scannell et al., 2013)</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 The implementation can give a sistematic structure in risk management that improves the operational efficiency and financial performance. In the other hand, the Critical Success Factors (CSF) has a function as the main indicator to determine the success of an organization in achieving its strategic goal</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8C43E9">
        <w:rPr>
          <w:rFonts w:ascii="Cambria" w:eastAsia="Cambria" w:hAnsi="Cambria" w:cs="Cambria"/>
          <w:color w:val="000000"/>
          <w:szCs w:val="24"/>
          <w:lang w:val="en-US"/>
        </w:rPr>
        <w:instrText>ADDIN CSL_CITATION {"citationItems":[{"id":"ITEM-1","itemData":{"DOI":"10.5937/FME2104795N","ISSN":"2406128X","abstract":"According to several literature sources and bodies of practices, effective cooperation between organizations in the deliver of projects is a criticalsuccess factor for project successful outcome. Nevertheless, it seems thatorganizations are still reluctant to engage in cooperative networks morethan it would be expected. The major reason for this - according to severalliterature sources – is due to a lack of efficient models to supportorganizational cooperative networks. This work introduces a model thatcontributes to the management of organizational cooperative networks, byadressing behavioral risks that usually emerge as organizations engage incooperative networks to deliver projects. The proposed model wasdeveloped based on four key pillars ((1) project management, (2) riskmanagement, (3) cooperative networks, and (4) social network analysiscentrality metrics), and will analyze how four critical organizationalcooperative informal networks ((1) trust, (2) problem-solving, (3) advice,and (4) communication), emerge and evolve throughout the differentphases of a generic project lifecycle. The development and implementationof the proposed model is supported by a case study.","author":[{"dropping-particle":"","family":"Nunes","given":"Marco","non-dropping-particle":"","parse-names":false,"suffix":""},{"dropping-particle":"","family":"Abreu","given":"António","non-dropping-particle":"","parse-names":false,"suffix":""}],"container-title":"FME Transactions","id":"ITEM-1","issue":"4","issued":{"date-parts":[["2021"]]},"page":"795-805","title":"Applying Social Network Analysis to Support the Management of Cooperative Project´s Behavioral Risks","type":"article-journal","volume":"49"},"uris":["http://www.mendeley.com/documents/?uuid=f685fafe-fa82-4909-8c45-a9813af3b188"]},{"id":"ITEM-2","itemData":{"DOI":"10.1007/s10457-019-00458-5","abstract":"In silvopastoral systems (SPS) canopy height and the existence of shaded and non-shaded environments can provide changes in plant development. The objective in this study was to evaluate the effect of shading and canopy height on morphogenic, structural and biomass production characteristics of Andropogon gayanus in an SPS. It was adopted a completely randomized design in a 2 × 3 factorial scheme, with four replications, being two luminosity intensities (shaded and non-shaded within a SPS) and three canopy heights (45, 55 and 65 cm). The studied area was used for 21 years in SPS and grazed by goats. The luminosity in the A. gayanus canopy in shaded areas was reduced by 40% in comparison to the non-shaded area in the SPS. There was effect of the interaction between heights and environments on the dry forage biomass, with higher values in non-shaded areas and in higher canopy heights. The leaf/stem ratio, as well as the leaf percentage did not differ between the environment luminosities and canopy heights, whereas the number of tillers was lower in the shaded areas, also where final leaf length was higher. The shade from Tabebuia sp. in SPS does not compromise the growth of A. gayanus. In SPS A. gayanus should be managed at a canopy height of 65 cm in order to present higher yield and maintain its sustainability.","author":[{"dropping-particle":"","family":"Oliveira","given":"Glauco Lima","non-dropping-particle":"de","parse-names":false,"suffix":""},{"dropping-particle":"","family":"Oliveira","given":"Maria Elizabete","non-dropping-particle":"de","parse-names":false,"suffix":""},{"dropping-particle":"","family":"Macêdo","given":"Ernando de Oliveira","non-dropping-particle":"","parse-names":false,"suffix":""},{"dropping-particle":"","family":"Andrade","given":"Alex Carvalho","non-dropping-particle":"","parse-names":false,"suffix":""},{"dropping-particle":"","family":"Edvan","given":"Ricardo Loiola","non-dropping-particle":"","parse-names":false,"suffix":""}],"container-title":"Agroforestry Syst","id":"ITEM-2","issued":{"date-parts":[["2019"]]},"page":"953-962","title":"Effect of Shading and Canopy Height on Pasture of Andropogon Gayanus in Silvopastoral System","type":"article-journal","volume":"94"},"uris":["http://www.mendeley.com/documents/?uuid=b58feaa4-84ef-4b75-81bd-e2bf5d68791a"]}],"mendeley":{"formattedCitation":"(de Oliveira et al., 2019; Nunes &amp; Abreu, 2021)","plainTextFormattedCitation":"(de Oliveira et al., 2019; Nunes &amp; Abreu, 2021)","previouslyFormattedCitation":"(de Oliveira et al., 2019; Nunes &amp; Abreu, 2021)"},"properties":{"noteIndex":0},"schema":"https://github.com/citation-style-language/schema/raw/master/csl-citation.json"}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8C43E9" w:rsidRPr="008C43E9">
        <w:rPr>
          <w:rFonts w:ascii="Cambria" w:eastAsia="Cambria" w:hAnsi="Cambria" w:cs="Cambria"/>
          <w:noProof/>
          <w:color w:val="000000"/>
          <w:szCs w:val="24"/>
          <w:lang w:val="en-US"/>
        </w:rPr>
        <w:t>(de Oliveira et al., 2019; Nunes &amp; Abreu, 2021)</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 In the context of Islamic banking, CSF includes factors of customer satisfaction, product innovation, and submission to sharia principles</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8C43E9">
        <w:rPr>
          <w:rFonts w:ascii="Cambria" w:eastAsia="Cambria" w:hAnsi="Cambria" w:cs="Cambria"/>
          <w:color w:val="000000"/>
          <w:szCs w:val="24"/>
          <w:lang w:val="en-US"/>
        </w:rPr>
        <w:instrText>ADDIN CSL_CITATION {"citationItems":[{"id":"ITEM-1","itemData":{"DOI":"10.1108/JIMA-11-2020-0346","ISSN":"17590841","abstract":"Purpose: The purpose of this paper is to investigate the impact of Islamic Shariah compliance on customer satisfaction through the mediating effect of service quality in Islamic banking services. Design/methodology/approach: A total of 334 completed and usable questionnaires were collected from customers of Islamic banks in Bangladesh to test the hypotheses. The data were analyzed using SmartPLS 3. Findings: The findings of this study indicate that Islamic Shariah compliance has a positive and significant influence on service quality and customer satisfaction of Islamic banking services. The research findings also indicate that service quality partially mediate the relationship between Islamic Shariah compliance and customer satisfaction of Islamic banking services. Research limitations/implications: This study only emphasized on the Islamic banking services of Bangladesh and thus findings of the present study may not be applicable to other service areas. Practical implications: The implications of the research are twofold. First, a strong standardized effect of Islamic Shariah compliance on service quality implies that customers are very sensitive to Shariah compliance related to Islamic banking services. Next, maintaining service quality is another crucial aspect to satisfy customers of Islamic banks. Quality of services will only be materialized when all the promises made by the bank function accordingly. Therefore, strategy makers of Islamic banks should assess the customer service quality and satisfaction regularly to improve the overall service experience of customers. Originality/value: Limited studies have been conducted to investigate the mediating effect of service quality on the relationship between Shariah compliance and customer satisfaction in Islamic banking services. This study provides valuable insights to Islamic bank to integrate the service quality along with Shariah compliance to enhance customer satisfaction.","author":[{"dropping-particle":"","family":"Ahmed","given":"Selim","non-dropping-particle":"","parse-names":false,"suffix":""},{"dropping-particle":"","family":"Mohiuddin","given":"Muhammad","non-dropping-particle":"","parse-names":false,"suffix":""},{"dropping-particle":"","family":"Rahman","given":"Mahfuzur","non-dropping-particle":"","parse-names":false,"suffix":""},{"dropping-particle":"","family":"Tarique","given":"Kazi Md","non-dropping-particle":"","parse-names":false,"suffix":""},{"dropping-particle":"","family":"Azim","given":"Md.","non-dropping-particle":"","parse-names":false,"suffix":""}],"container-title":"Journal of Islamic Marketing","id":"ITEM-1","issue":"9","issued":{"date-parts":[["2021"]]},"page":"1829-1842","title":"The Impact of Islamic Shariah Compliance on Customer Satisfaction in Islamic Banking Services: Mediating Role of Service Quality","type":"article-journal","volume":"13"},"uris":["http://www.mendeley.com/documents/?uuid=4cf1ffa3-640d-4117-bb58-b4ea19cdd41b"]},{"id":"ITEM-2","itemData":{"DOI":"10.20885/plr.vol3.iss2.art4","ISSN":"26862379","abstract":"The establishment of sharia-compliant financial institutions is an effort by Muslims to live all aspects of their economic life based on the Qur'an and Hadith, and the community's need for interest-free banking. However, the development of Islamic banks around the world and in Indonesia still encounters many obstacles as they emerged amidst of the deep-rooted developments and practices of conventional banking. The success of Islamic banking is the success of implementing Islamic rules in muamalat. Nonetheless, there are still problems in their implementation. Public still doubts Islamic banks are truly Sharia-compliant. Some of the customers of Islamic banks close their accounts because they doubt the consistency of the application of Islamic principles. This is normative legal research in which the results show that Islamic banks without Islamic ethics will be trapped in an unethical Islamic business. The customers are concerned if its operational activities are mere replacement of banking terms. Additionally if it is difficult for the Islamic banks to impose sanctions to their customers as they are interest-free. There is also lack of human resources which comprehensively understand the operational systems of both conventional and Islamic banking. The implementation of a profit-sharing system requires complex calculations, particularly in the small profits shared with the customers and the not-fixed amount of savings. Although Islamic banks are oriented towards lower-income communities, there is a tendency that those who successfully get bona fide projects and credit facilities from Islamic banks are the upper class.","author":[{"dropping-particle":"","family":"Nugroho","given":"Eko Rial","non-dropping-particle":"","parse-names":false,"suffix":""}],"container-title":"Prophetic Law Review","id":"ITEM-2","issue":"2","issued":{"date-parts":[["2021"]]},"page":"173-197","title":"Implementation of Sharia-Compliance in Islamic Bank Product Innovations","type":"article-journal","volume":"3"},"uris":["http://www.mendeley.com/documents/?uuid=1fffb996-745e-4d6a-803a-667cace79200"]}],"mendeley":{"formattedCitation":"(Ahmed et al., 2021; Nugroho, 2021)","plainTextFormattedCitation":"(Ahmed et al., 2021; Nugroho, 2021)","previouslyFormattedCitation":"(Ahmed et al., 2021; Nugroho, 2021)"},"properties":{"noteIndex":0},"schema":"https://github.com/citation-style-language/schema/raw/master/csl-citation.json"}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8C43E9" w:rsidRPr="008C43E9">
        <w:rPr>
          <w:rFonts w:ascii="Cambria" w:eastAsia="Cambria" w:hAnsi="Cambria" w:cs="Cambria"/>
          <w:noProof/>
          <w:color w:val="000000"/>
          <w:szCs w:val="24"/>
          <w:lang w:val="en-US"/>
        </w:rPr>
        <w:t>(Ahmed et al., 2021; Nugroho, 2021)</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 The Islamic Corporate Governance (ICG) plays crucial roles to assure that business performance operates in accordance with sharia principles. ICG does not only guarantee transparency and accountability, but also grows the customer trust to the Islamic financial institutions</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8C43E9">
        <w:rPr>
          <w:rFonts w:ascii="Cambria" w:eastAsia="Cambria" w:hAnsi="Cambria" w:cs="Cambria"/>
          <w:color w:val="000000"/>
          <w:szCs w:val="24"/>
          <w:lang w:val="en-US"/>
        </w:rPr>
        <w:instrText>ADDIN CSL_CITATION {"citationItems":[{"id":"ITEM-1","itemData":{"DOI":"10.20885/ajim.vol2.iss1.art2","abstract":"Purpose: This study aims to analyze the effect of Islamic corporate governance and shariah compliance on customer trust in Islamic bank. Methodology: The research method used is a quantitative method with random sampling technique. The data analysis technique used is descriptive statistics and multiple linear regression techniques to test the hypothesis. Findings: The results of the study show that (1) out of the five principles of GCG (transparency, accountability, responsibility, independency and fairness) only transparency has a positive effect on customer trust as indicated by a significance value of 0.047. (2) shariah compliance has a positive effect on customer trust, besides that shariah compliance is a very large indicator contributing to increase customer trust, indicated by a significance value of 0,000. Originality: As far as we are concerned, only a few publications examined the effect of Islamic corporate governance and shariah compliance on customer trust in Islamic bank. Cite this: Sulistiyo, Agung Budi, et al. (2020). Effect of Islamic corporate governance: mpirical study on Islamic bank.","author":[{"dropping-particle":"","family":"Sulistiyo","given":"Agung Budi","non-dropping-particle":"","parse-names":false,"suffix":""},{"dropping-particle":"","family":"Wardayati","given":"Siti Maria","non-dropping-particle":"","parse-names":false,"suffix":""},{"dropping-particle":"","family":"Hidayatullah","given":"Arif","non-dropping-particle":"","parse-names":false,"suffix":""},{"dropping-particle":"","family":"Riesky","given":"Shita Silvia Nahdia","non-dropping-particle":"","parse-names":false,"suffix":""}],"container-title":"Asian Journal of Islamic Management (AJIM)","id":"ITEM-1","issue":"1","issued":{"date-parts":[["2020"]]},"page":"12-24","title":"Effect of Islamic Corporate Governance on Customer Trust: Empirical Study on Islamic Bank","type":"article-journal","volume":"2"},"uris":["http://www.mendeley.com/documents/?uuid=4553c25d-5b70-4839-a1f4-387e9101356d"]}],"mendeley":{"formattedCitation":"(Sulistiyo et al., 2020)","plainTextFormattedCitation":"(Sulistiyo et al., 2020)","previouslyFormattedCitation":"(Sulistiyo et al., 2020)"},"properties":{"noteIndex":0},"schema":"https://github.com/citation-style-language/schema/raw/master/csl-citation.json"}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8C43E9" w:rsidRPr="008C43E9">
        <w:rPr>
          <w:rFonts w:ascii="Cambria" w:eastAsia="Cambria" w:hAnsi="Cambria" w:cs="Cambria"/>
          <w:noProof/>
          <w:color w:val="000000"/>
          <w:szCs w:val="24"/>
          <w:lang w:val="en-US"/>
        </w:rPr>
        <w:t>(Sulistiyo et al., 2020)</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w:t>
      </w:r>
    </w:p>
    <w:p w14:paraId="25DF1016" w14:textId="5445A8E8" w:rsidR="00754B4B" w:rsidRPr="00754B4B" w:rsidRDefault="00754B4B" w:rsidP="00842C59">
      <w:pPr>
        <w:pBdr>
          <w:top w:val="nil"/>
          <w:left w:val="nil"/>
          <w:bottom w:val="nil"/>
          <w:right w:val="nil"/>
          <w:between w:val="nil"/>
        </w:pBdr>
        <w:spacing w:line="276" w:lineRule="auto"/>
        <w:ind w:leftChars="0" w:left="0" w:firstLineChars="0" w:firstLine="567"/>
        <w:rPr>
          <w:rFonts w:ascii="Cambria" w:eastAsia="Cambria" w:hAnsi="Cambria" w:cs="Cambria"/>
          <w:color w:val="000000"/>
          <w:szCs w:val="24"/>
        </w:rPr>
      </w:pPr>
      <w:r w:rsidRPr="00754B4B">
        <w:rPr>
          <w:rFonts w:ascii="Cambria" w:eastAsia="Cambria" w:hAnsi="Cambria" w:cs="Cambria"/>
          <w:color w:val="000000"/>
          <w:szCs w:val="24"/>
        </w:rPr>
        <w:t xml:space="preserve">Corporates use the Corporate Risk Management of Banking Sector model and the integrated model to measure the Corporate Risk Management Index for the 10 commercial banks. The corporates use the index as the most important independent variables and adopt Return On Average Equity </w:t>
      </w:r>
      <w:r w:rsidRPr="00754B4B">
        <w:rPr>
          <w:rFonts w:ascii="Cambria" w:eastAsia="Cambria" w:hAnsi="Cambria" w:cs="Cambria"/>
          <w:color w:val="000000"/>
          <w:szCs w:val="24"/>
        </w:rPr>
        <w:lastRenderedPageBreak/>
        <w:t>(ROAE), Price Earnings Ratio (SPR), and Enterprise Value (FV) as three independent dependent variables</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8C43E9">
        <w:rPr>
          <w:rFonts w:ascii="Cambria" w:eastAsia="Cambria" w:hAnsi="Cambria" w:cs="Cambria"/>
          <w:color w:val="000000"/>
          <w:szCs w:val="24"/>
          <w:lang w:val="en-US"/>
        </w:rPr>
        <w:instrText>ADDIN CSL_CITATION {"citationItems":[{"id":"ITEM-1","itemData":{"DOI":"10.33094/ijaefa.v18i2.1399","ISSN":"2577767X","abstract":"The objective of this study is to empirically elucidate the influence of the corporate risk management model on the quality financial reports within the context of Jordanian commercial banks, with a specific focus on two critical dimensions: relevance and faithful representation. According to signal theory, each company tries to reduce information asymmetry by providing high-quality of financial reports that have the ability to demonstrate their qualities, depending on that concept. The predominant trend in contemporary practice is the utilization of risk management as a tool to elevate the quality of financial reports. This, in turn, assists in curtailing the manipulation of financial reports, culminating in the issuance of reports characterized by credibility and transparency. This, in turn, reflected on all different users of financial reports in the decision-making process. To accomplish the study's objectives, a descriptive-deductive (analytical) research approach was adopted. The research population encompassed a total of thirteen commercial banks operating at Jordan. Data were collected through a structured questionnaire administered to a randomly selected sample of 234 employees from the financial and supervisory departments of these banks. The study's results strongly suggest that the risk management model has a big effect on the quality of financial reports in Jordanian banks. This model includes things like setting goals, event identification, risk assessment, risk response, supervisory activities, and the evaluation of the financial reporting system.","author":[{"dropping-particle":"","family":"Kanakriyah","given":"Raed","non-dropping-particle":"","parse-names":false,"suffix":""},{"dropping-particle":"","family":"Al-Hindawi","given":"Riyad","non-dropping-particle":"","parse-names":false,"suffix":""},{"dropping-particle":"","family":"Samen","given":"Noor Abu","non-dropping-particle":"Al","parse-names":false,"suffix":""},{"dropping-particle":"","family":"Bataineh","given":"Hanady","non-dropping-particle":"","parse-names":false,"suffix":""},{"dropping-particle":"","family":"Salameh","given":"Rafat","non-dropping-particle":"","parse-names":false,"suffix":""}],"container-title":"International Journal of Applied Economics, Finance and Accounting","id":"ITEM-1","issue":"2","issued":{"date-parts":[["2024"]]},"page":"339-350","title":"The Impact of The Corporate Risk Management Model on The Quality of Financial Reports in Jordanian Commercial Banks","type":"article-journal","volume":"18"},"uris":["http://www.mendeley.com/documents/?uuid=f01d0fce-b25c-4f4b-a17e-c9873cf23f4c"]},{"id":"ITEM-2","itemData":{"DOI":"10.33094/ijaefa.v16i2.949","abstract":"The study investigated the relationship between enterprise risk management and the firm value of quoted banks in Sub-Saharan Africa using an ex-post facto research design. A sample of twenty-seven (27) commercial banks was obtained from three (3) regions of Sub-Saharan Africa (Nigeria, South Africa, and Kenya). The dependent variable is the firm value (Tobin’s Q), while the independent variable is enterprise risk management (measured using enterprise risk management size, independence, and disclosures). Secondary data were obtained from the annual reports and accounts of the sampled banks in Sub-Saharan Africa from 2012-2021. Data obtained were analyzed using descriptive statistics (mean, median, standard deviation, kurtosis, skewness, and Pearson correlation), diagnostic statistics (variance inflation factor, heteroscedasticity, Ramsey regression specification-error test, Cameron and Trivedi’s decomposition of IM-test,) and inferential statistics (principal component analysis, fixed and random effects panel data regression). The fixed and random effects panel data regression results indicated that while enterprise risk management independence (t= 4.63; prob. = 0.000) and enterprise risk management disclosure (t= 2.68; prob. = 0.008) positively and significantly affect firm value, enterprise risk management size (t=-0.04; prob. = 0.967) insignificantly and negatively affects firm value in Sub-Saharan Africa. Among other recommendations, it was suggested that banks need to promote ERM practices as well as ensure risk compliance among banks in Sub-Saharan Africa. Additionally, banks should increase their level of independence of the risk committee while at the same time increasing their level of enterprise risk management practices in the region.","author":[{"dropping-particle":"","family":"Oniovosa","given":"Ososuakpor Jonathan","non-dropping-particle":"","parse-names":false,"suffix":""},{"dropping-particle":"","family":"Godsday","given":"Okoro Edesiri","non-dropping-particle":"","parse-names":false,"suffix":""}],"container-title":"International Journal of Applied Economics, Finance and Accounting","id":"ITEM-2","issue":"2","issued":{"date-parts":[["2023"]]},"page":"199-207","title":"Enterprise Risk Management and Firm Value: Evidence From Selected Commercial Banks in Sub-Saharan Africa","type":"article-journal","volume":"16"},"uris":["http://www.mendeley.com/documents/?uuid=ba9f83e5-3e15-4678-8b4e-0e5d97bf95f2"]}],"mendeley":{"formattedCitation":"(Kanakriyah et al., 2024; Oniovosa &amp; Godsday, 2023)","plainTextFormattedCitation":"(Kanakriyah et al., 2024; Oniovosa &amp; Godsday, 2023)","previouslyFormattedCitation":"(Kanakriyah et al., 2024; Oniovosa &amp; Godsday, 2023)"},"properties":{"noteIndex":0},"schema":"https://github.com/citation-style-language/schema/raw/master/csl-citation.json"}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8C43E9" w:rsidRPr="008C43E9">
        <w:rPr>
          <w:rFonts w:ascii="Cambria" w:eastAsia="Cambria" w:hAnsi="Cambria" w:cs="Cambria"/>
          <w:noProof/>
          <w:color w:val="000000"/>
          <w:szCs w:val="24"/>
          <w:lang w:val="en-US"/>
        </w:rPr>
        <w:t>(Kanakriyah et al., 2024; Oniovosa &amp; Godsday, 2023)</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w:t>
      </w:r>
    </w:p>
    <w:p w14:paraId="7978EE2F" w14:textId="2BDBBD7F" w:rsidR="00754B4B" w:rsidRPr="00754B4B" w:rsidRDefault="00754B4B" w:rsidP="00842C59">
      <w:pPr>
        <w:pBdr>
          <w:top w:val="nil"/>
          <w:left w:val="nil"/>
          <w:bottom w:val="nil"/>
          <w:right w:val="nil"/>
          <w:between w:val="nil"/>
        </w:pBdr>
        <w:spacing w:line="276" w:lineRule="auto"/>
        <w:ind w:left="-2" w:firstLineChars="236" w:firstLine="566"/>
        <w:rPr>
          <w:rFonts w:ascii="Cambria" w:eastAsia="Cambria" w:hAnsi="Cambria" w:cs="Cambria"/>
          <w:color w:val="000000"/>
          <w:szCs w:val="24"/>
        </w:rPr>
      </w:pPr>
      <w:r w:rsidRPr="00754B4B">
        <w:rPr>
          <w:rFonts w:ascii="Cambria" w:eastAsia="Cambria" w:hAnsi="Cambria" w:cs="Cambria"/>
          <w:color w:val="000000"/>
          <w:szCs w:val="24"/>
        </w:rPr>
        <w:t>COSO (ERM) is the framework to organize risks in the organizations. The factor includes using and implementing the framework of COSO (ERM) in Islamic banks situation</w:t>
      </w:r>
      <w:r w:rsidR="00024394">
        <w:rPr>
          <w:rFonts w:ascii="Cambria" w:eastAsia="Cambria" w:hAnsi="Cambria" w:cs="Cambria"/>
          <w:color w:val="000000"/>
          <w:szCs w:val="24"/>
          <w:lang w:val="en-US"/>
        </w:rPr>
        <w:t xml:space="preserve"> </w:t>
      </w:r>
      <w:r w:rsidR="00024394">
        <w:rPr>
          <w:rFonts w:ascii="Cambria" w:eastAsia="Cambria" w:hAnsi="Cambria" w:cs="Cambria"/>
          <w:color w:val="000000"/>
          <w:szCs w:val="24"/>
          <w:lang w:val="en-US"/>
        </w:rPr>
        <w:fldChar w:fldCharType="begin" w:fldLock="1"/>
      </w:r>
      <w:r w:rsidR="00024394">
        <w:rPr>
          <w:rFonts w:ascii="Cambria" w:eastAsia="Cambria" w:hAnsi="Cambria" w:cs="Cambria"/>
          <w:color w:val="000000"/>
          <w:szCs w:val="24"/>
          <w:lang w:val="en-US"/>
        </w:rPr>
        <w:instrText>ADDIN CSL_CITATION {"citationItems":[{"id":"ITEM-1","itemData":{"abstract":"Risk management frameworks play an essential role in identifying, assessing, and mitigating risks to ensure the effective governance and operation of organizations. It is also one of the key elements of assurance and consultancy services of internal auditing in risk-based audit plans and programs. This study aims to provide an in-depth comparison of four widely used risk management frameworks: the Committee of Sponsoring Organizations of the Treadway Commission Enterprise Risk Management (COSO-ERM), the National Institute of Standards and Technology Risk Management Framework (NIST RMF), the International Organization for Standardization 31000 (ISO 31.000), and Control Objectives for Information and Related Technologies (COBIT). The analysis is conducted based on their underlying principles, structure, risk assessment methodologies, and applicability in various industries. We evaluate the strengths and weaknesses of each framework, including their adaptability and relevance in addressing emerging risks, such as cybersecurity and data privacy. It is found that implementing ISO 31000 and COBIT frameworks requires addressing challenges and limitations, including commitment from top management, knowledge and training, customization, and monitoring. To succeed, organizations should demonstrate commitment, provide training, customize the frameworks, and establish robust monitoring systems. The findings from this study serve as a guide for organizations seeking to adopt or transition between risk management frameworks, ultimately enabling them to select the most suitable approach tailored to their specific needs and risk landscape.","author":[{"dropping-particle":"","family":"Efe","given":"Ahmet","non-dropping-particle":"","parse-names":false,"suffix":""}],"container-title":"Journal of Auditing and Assurance Services","id":"ITEM-1","issue":"2","issued":{"date-parts":[["2023"]]},"page":"185-205","title":"A Comparison of Key Risk Management Frameworks: COSO-ERM, NIST RMF, ISO 31.000, COBIT","type":"article-journal","volume":"3"},"uris":["http://www.mendeley.com/documents/?uuid=506bc46a-4c62-44e7-beb1-f576554c0f65"]}],"mendeley":{"formattedCitation":"(Efe, 2023)","plainTextFormattedCitation":"(Efe, 2023)","previouslyFormattedCitation":"(Efe, 2023)"},"properties":{"noteIndex":0},"schema":"https://github.com/citation-style-language/schema/raw/master/csl-citation.json"}</w:instrText>
      </w:r>
      <w:r w:rsidR="00024394">
        <w:rPr>
          <w:rFonts w:ascii="Cambria" w:eastAsia="Cambria" w:hAnsi="Cambria" w:cs="Cambria"/>
          <w:color w:val="000000"/>
          <w:szCs w:val="24"/>
          <w:lang w:val="en-US"/>
        </w:rPr>
        <w:fldChar w:fldCharType="separate"/>
      </w:r>
      <w:r w:rsidR="00024394" w:rsidRPr="00024394">
        <w:rPr>
          <w:rFonts w:ascii="Cambria" w:eastAsia="Cambria" w:hAnsi="Cambria" w:cs="Cambria"/>
          <w:noProof/>
          <w:color w:val="000000"/>
          <w:szCs w:val="24"/>
          <w:lang w:val="en-US"/>
        </w:rPr>
        <w:t>(Efe, 2023)</w:t>
      </w:r>
      <w:r w:rsidR="00024394">
        <w:rPr>
          <w:rFonts w:ascii="Cambria" w:eastAsia="Cambria" w:hAnsi="Cambria" w:cs="Cambria"/>
          <w:color w:val="000000"/>
          <w:szCs w:val="24"/>
          <w:lang w:val="en-US"/>
        </w:rPr>
        <w:fldChar w:fldCharType="end"/>
      </w:r>
      <w:r w:rsidRPr="00754B4B">
        <w:rPr>
          <w:rFonts w:ascii="Cambria" w:eastAsia="Cambria" w:hAnsi="Cambria" w:cs="Cambria"/>
          <w:color w:val="000000"/>
          <w:szCs w:val="24"/>
        </w:rPr>
        <w:t>. The factor of Critical Success Factors (CSF) is a crucial factor to make a successful project or initiative</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8C43E9">
        <w:rPr>
          <w:rFonts w:ascii="Cambria" w:eastAsia="Cambria" w:hAnsi="Cambria" w:cs="Cambria"/>
          <w:color w:val="000000"/>
          <w:szCs w:val="24"/>
          <w:lang w:val="en-US"/>
        </w:rPr>
        <w:instrText>ADDIN CSL_CITATION {"citationItems":[{"id":"ITEM-1","itemData":{"DOI":"10.1108/17538371211269040","abstract":"PurposeFew scholars have been cited as frequently as Pinto, Slevin, and Prescott for their contributions to project success and related critical success factors (CSF) in the 1980s. Studies since then built on their articles to broaden and refine our understanding of the topic. The purpose of this paper is to discuss the reasons for the impact of these seminal contributions and how the topic of project success continues to evolve. Design/methodology/approachThe paper analyses the popularity of Pinto and his colleagues' contributions to project success and reviews the development of this field of research since then. FindingsProject success remains a vibrant school of thought as do the earlier definitions, measurement scales and dimensions, and assessment techniques that Pinto and his colleagues developed. The authors view success more broadly and think of it strategically because they consider longer-term business objectives. Some research is now based on managerial or organizational theories and reflects the multi-dimensional and networked nature of project success. Practical implicationsPractically, the classic contributions in project success continue to be valid. The authors see diversity in how success is defined and measured. The CSFs vary by project types, life cycle phases, industries, nationalities, individuals, and organizations. Originality/valueThe paper relates earlier understandings of project success to subsequent research in the field and underscores the significant findings by Pinto, Slevin, and Prescott.","author":[{"dropping-particle":"","family":"Müller","given":"Ralf","non-dropping-particle":"","parse-names":false,"suffix":""},{"dropping-particle":"","family":"Jugdev","given":"Kam","non-dropping-particle":"","parse-names":false,"suffix":""}],"container-title":"International Journal of Managing Projects in Business","id":"ITEM-1","issue":"4","issued":{"date-parts":[["2012"]]},"page":"757-775","title":"Critical Success Factors in Projects: Pinto, Slevin, and Prescott - The Elucidation of Project Success","type":"article-journal","volume":"5"},"uris":["http://www.mendeley.com/documents/?uuid=c0ac36c9-df22-4858-bf4c-fa452f07dce9"]}],"mendeley":{"formattedCitation":"(Müller &amp; Jugdev, 2012)","plainTextFormattedCitation":"(Müller &amp; Jugdev, 2012)","previouslyFormattedCitation":"(Müller &amp; Jugdev, 2012)"},"properties":{"noteIndex":0},"schema":"https://github.com/citation-style-language/schema/raw/master/csl-citation.json"}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8C43E9" w:rsidRPr="008C43E9">
        <w:rPr>
          <w:rFonts w:ascii="Cambria" w:eastAsia="Cambria" w:hAnsi="Cambria" w:cs="Cambria"/>
          <w:noProof/>
          <w:color w:val="000000"/>
          <w:szCs w:val="24"/>
          <w:lang w:val="en-US"/>
        </w:rPr>
        <w:t>(Müller &amp; Jugdev, 2012)</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  In the context of this research, the major factors that affect the financial performance of the Islamic banks need to be considered, such as the sustainable business model, effective risk management, sharia submission, liquidity management, income growth, and so on</w:t>
      </w:r>
      <w:r w:rsidR="00024394">
        <w:rPr>
          <w:rFonts w:ascii="Cambria" w:eastAsia="Cambria" w:hAnsi="Cambria" w:cs="Cambria"/>
          <w:color w:val="000000"/>
          <w:szCs w:val="24"/>
          <w:lang w:val="en-US"/>
        </w:rPr>
        <w:t xml:space="preserve"> </w:t>
      </w:r>
      <w:r w:rsidR="00024394">
        <w:rPr>
          <w:rFonts w:ascii="Cambria" w:eastAsia="Cambria" w:hAnsi="Cambria" w:cs="Cambria"/>
          <w:color w:val="000000"/>
          <w:szCs w:val="24"/>
          <w:lang w:val="en-US"/>
        </w:rPr>
        <w:fldChar w:fldCharType="begin" w:fldLock="1"/>
      </w:r>
      <w:r w:rsidR="00024394">
        <w:rPr>
          <w:rFonts w:ascii="Cambria" w:eastAsia="Cambria" w:hAnsi="Cambria" w:cs="Cambria"/>
          <w:color w:val="000000"/>
          <w:szCs w:val="24"/>
          <w:lang w:val="en-US"/>
        </w:rPr>
        <w:instrText>ADDIN CSL_CITATION {"citationItems":[{"id":"ITEM-1","itemData":{"DOI":"10.22495/cocv14i4art9","ISSN":"17279232","abstract":"The main objective of this study is to find the determinants of financial performance and stability for Islamic banks in GCC countries during the period 2005-2014. In this study the profitability is represented as three main indicators: the return on assets (ROA), return on equities (ROE) and net interest margin (NIM). On the other side, the stability measures are z-score and capital ratio. The statistical methods in this paper are generalised least squares (GLS) and generalised method of moments (GMM). According to determinants of profitability, the size of and stability of Islamic banks supported the return significantly and positively. For the external variables, inflation decreased profitability significantly while market capitalisation has significant and positive effects on profits. Arab Spring only decreased the NIM significantly but other profitability ratios (ROA and ROE) have net been influenced by Arab Spring. For stability, the financial stability indicators (z-score and capital ratio) found to be strongly important to each other. Lending service supported the stability significantly but affected the capital ratio significantly and negatively. Moreover, the listed Islamic banks were more stable than the unlisted Islamic banks whereas, the listed banks had lower capitals. The strongest advantage in this study showed that Islamic banks in GCC countries were well capitalised by the period of Arab Spring. Generally, the global financial crisis has no effect upon financial performance and financial stability.","author":[{"dropping-particle":"","family":"Alharthi","given":"Majed","non-dropping-particle":"","parse-names":false,"suffix":""}],"container-title":"Corporate Ownership and Control","id":"ITEM-1","issue":"4","issued":{"date-parts":[["2017"]]},"page":"103-113","title":"Financial performance and stability in Islamic banks: Evidence from GCC countries","type":"article-journal","volume":"14"},"uris":["http://www.mendeley.com/documents/?uuid=a8f205f4-a1ce-475d-ab48-137cf0603393"]}],"mendeley":{"formattedCitation":"(Alharthi, 2017)","plainTextFormattedCitation":"(Alharthi, 2017)","previouslyFormattedCitation":"(Alharthi, 2017)"},"properties":{"noteIndex":0},"schema":"https://github.com/citation-style-language/schema/raw/master/csl-citation.json"}</w:instrText>
      </w:r>
      <w:r w:rsidR="00024394">
        <w:rPr>
          <w:rFonts w:ascii="Cambria" w:eastAsia="Cambria" w:hAnsi="Cambria" w:cs="Cambria"/>
          <w:color w:val="000000"/>
          <w:szCs w:val="24"/>
          <w:lang w:val="en-US"/>
        </w:rPr>
        <w:fldChar w:fldCharType="separate"/>
      </w:r>
      <w:r w:rsidR="00024394" w:rsidRPr="00024394">
        <w:rPr>
          <w:rFonts w:ascii="Cambria" w:eastAsia="Cambria" w:hAnsi="Cambria" w:cs="Cambria"/>
          <w:noProof/>
          <w:color w:val="000000"/>
          <w:szCs w:val="24"/>
          <w:lang w:val="en-US"/>
        </w:rPr>
        <w:t>(Alharthi, 2017)</w:t>
      </w:r>
      <w:r w:rsidR="00024394">
        <w:rPr>
          <w:rFonts w:ascii="Cambria" w:eastAsia="Cambria" w:hAnsi="Cambria" w:cs="Cambria"/>
          <w:color w:val="000000"/>
          <w:szCs w:val="24"/>
          <w:lang w:val="en-US"/>
        </w:rPr>
        <w:fldChar w:fldCharType="end"/>
      </w:r>
      <w:r w:rsidRPr="00754B4B">
        <w:rPr>
          <w:rFonts w:ascii="Cambria" w:eastAsia="Cambria" w:hAnsi="Cambria" w:cs="Cambria"/>
          <w:color w:val="000000"/>
          <w:szCs w:val="24"/>
        </w:rPr>
        <w:t>.</w:t>
      </w:r>
    </w:p>
    <w:p w14:paraId="2F568B3E" w14:textId="3AE1AB3F" w:rsidR="00754B4B" w:rsidRPr="00643B60" w:rsidRDefault="00754B4B" w:rsidP="00842C59">
      <w:pPr>
        <w:pBdr>
          <w:top w:val="nil"/>
          <w:left w:val="nil"/>
          <w:bottom w:val="nil"/>
          <w:right w:val="nil"/>
          <w:between w:val="nil"/>
        </w:pBdr>
        <w:spacing w:line="276" w:lineRule="auto"/>
        <w:ind w:left="-2" w:firstLineChars="236" w:firstLine="566"/>
        <w:rPr>
          <w:rFonts w:ascii="Cambria" w:eastAsia="Cambria" w:hAnsi="Cambria" w:cs="Cambria"/>
          <w:color w:val="000000"/>
          <w:szCs w:val="24"/>
          <w:lang w:val="en-US"/>
        </w:rPr>
      </w:pPr>
      <w:r w:rsidRPr="00754B4B">
        <w:rPr>
          <w:rFonts w:ascii="Cambria" w:eastAsia="Cambria" w:hAnsi="Cambria" w:cs="Cambria"/>
          <w:color w:val="000000"/>
          <w:szCs w:val="24"/>
        </w:rPr>
        <w:t>One of the causes of crisis is the failure of implementing risk management. By applying it, the organization can reduce unexpected and expensive surprises, and the resource allocation can be more effective</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8C43E9">
        <w:rPr>
          <w:rFonts w:ascii="Cambria" w:eastAsia="Cambria" w:hAnsi="Cambria" w:cs="Cambria"/>
          <w:color w:val="000000"/>
          <w:szCs w:val="24"/>
          <w:lang w:val="en-US"/>
        </w:rPr>
        <w:instrText>ADDIN CSL_CITATION {"citationItems":[{"id":"ITEM-1","itemData":{"DOI":"10.3390/jrfm14090419","abstract":"The paper aims to understand if and which lessons have been learned since the financial crisis of 2007–2008, highlighting the main deficiencies which still affect the corporate governance and risk management systems more than a decade after. A survey was performed by collecting the answers to 15 questions about corporate governance and risk management practices, given by a representative sample of 200 finance professionals (100 from the USA, 50 from Italy, 50 from the UK). The survey allows saying that corporate governance codes and risk management approach, even though improved and implemented over the past decade, still present problems in terms of principles or application. The results provide insights into how corporate governance issues are addressed and how financial institutions and regulators learn and adapt from a crisis. The paper also gives new perspectives on corporate governance, indicating where regulators need to focus on to rethink the governance mechanisms.","author":[{"dropping-particle":"","family":"Gennaro","given":"Alessandro","non-dropping-particle":"","parse-names":false,"suffix":""},{"dropping-particle":"","family":"Nietlispach","given":"Michelle","non-dropping-particle":"","parse-names":false,"suffix":""}],"container-title":"Journal of Risk and Financial Management","id":"ITEM-1","issue":"9","issued":{"date-parts":[["2021"]]},"page":"1-19","title":"Corporate Governance and Risk Management: Lessons (Not) Learnt from the Financial Crisis","type":"article-journal","volume":"14"},"uris":["http://www.mendeley.com/documents/?uuid=5513bede-c4db-47e2-bef9-a90df3df5cfc"]}],"mendeley":{"formattedCitation":"(Gennaro &amp; Nietlispach, 2021)","plainTextFormattedCitation":"(Gennaro &amp; Nietlispach, 2021)","previouslyFormattedCitation":"(Gennaro &amp; Nietlispach, 2021)"},"properties":{"noteIndex":0},"schema":"https://github.com/citation-style-language/schema/raw/master/csl-citation.json"}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8C43E9" w:rsidRPr="008C43E9">
        <w:rPr>
          <w:rFonts w:ascii="Cambria" w:eastAsia="Cambria" w:hAnsi="Cambria" w:cs="Cambria"/>
          <w:noProof/>
          <w:color w:val="000000"/>
          <w:szCs w:val="24"/>
          <w:lang w:val="en-US"/>
        </w:rPr>
        <w:t>(Gennaro &amp; Nietlispach, 2021)</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 It will improve the communication and report the threat to the senior management that the organization can reconcile, so it can ultimately help them in making better decision</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8C43E9">
        <w:rPr>
          <w:rFonts w:ascii="Cambria" w:eastAsia="Cambria" w:hAnsi="Cambria" w:cs="Cambria"/>
          <w:color w:val="000000"/>
          <w:szCs w:val="24"/>
          <w:lang w:val="en-US"/>
        </w:rPr>
        <w:instrText>ADDIN CSL_CITATION {"citationItems":[{"id":"ITEM-1","itemData":{"abstract":"Often as project managers we focus on managing changes that occur to our projects; however, that is not sufficient. We forget one very important component of managing change and that is managing stakeholder's expectations around change – this is a big component of nearly any project regardless of its size or complexity. When we don't effectively manage people's expectations around change on our projects we risk project failure! The effort we must put forth increases when we begin to work on projects that involve stakeholders from a variety of cultural backgrounds or with virtual or remote teams. Step one in more effectively managing expectations around change is understanding the impact of change on the individuals within the organization. Step two is following a simple process to ensure continued engagement by stakeholders throughout the project – mainly done through regular and frequent, but controlled, communications early on and throughout the project. This paper will provide best practices for managing the people-side of change on projects. When we learn to do this effectively, we increase the success rate of our projects in the eyes of our stakeholders and overall better engage our stakeholders in our projects.","author":[{"dropping-particle":"","family":"Abudi","given":"Gina","non-dropping-particle":"","parse-names":false,"suffix":""}],"container-title":"2013 PMI Global Congress Proceedings","id":"ITEM-1","issued":{"date-parts":[["2013"]]},"publisher":"Project Management Institute","publisher-place":"New Orleans","title":"Change Management Would be Easy if People weren't Involved: Best Practices for Managing the People-Side of Change Management","type":"paper-conference"},"uris":["http://www.mendeley.com/documents/?uuid=9e4503d2-010a-4124-8b19-7dd87ed26c61"]}],"mendeley":{"formattedCitation":"(Abudi, 2013)","plainTextFormattedCitation":"(Abudi, 2013)","previouslyFormattedCitation":"(Abudi, 2013)"},"properties":{"noteIndex":0},"schema":"https://github.com/citation-style-language/schema/raw/master/csl-citation.json"}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8C43E9" w:rsidRPr="008C43E9">
        <w:rPr>
          <w:rFonts w:ascii="Cambria" w:eastAsia="Cambria" w:hAnsi="Cambria" w:cs="Cambria"/>
          <w:noProof/>
          <w:color w:val="000000"/>
          <w:szCs w:val="24"/>
          <w:lang w:val="en-US"/>
        </w:rPr>
        <w:t>(Abudi, 2013)</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 The risk management and the performance measurement must be compatible with each other to enable the company determining and directing its overall risk profile and strategic direction as well</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8C43E9">
        <w:rPr>
          <w:rFonts w:ascii="Cambria" w:eastAsia="Cambria" w:hAnsi="Cambria" w:cs="Cambria"/>
          <w:color w:val="000000"/>
          <w:szCs w:val="24"/>
          <w:lang w:val="en-US"/>
        </w:rPr>
        <w:instrText>ADDIN CSL_CITATION {"citationItems":[{"id":"ITEM-1","itemData":{"DOI":"10.24018/ejbmr.2020.5.5.488","abstract":"The purpose of this paper is to investigate whether the integration of ERM at the strategic planning stage improves a firm's financial performance measured in terms of return on assets. Many researches in the literature have focused on the determinants of ERM implementation and its effects on firm performance. In most of these studies, the ERM concept has been measured dichotomously. A comprehensive measure of ERM is used in this study from primary data gathered based on an established ERM framework. The results show that ERM implementation is not significantly related to firm performance. However, empirical evidence is provided that if ERM is integrated with strategic planning, firm performance shall significantly improve. The comprehensive ERM measure provided contributes to the literature as it enables risk practitioners to assess the level of risk management in their organizations. ERM researchers can use this measure to do away with the dichotomous ERM measure. Furthermore, the study provides evidence of strategic planning, serving as a mediator in the ERM and firm performance relationship in a less investigated context of Africa.","author":[{"dropping-particle":"","family":"Kanu","given":"Mohamed Santigie","non-dropping-particle":"","parse-names":false,"suffix":""}],"container-title":"EJBMR: European Journal of Business and Management Research","id":"ITEM-1","issue":"5","issued":{"date-parts":[["2020"]]},"page":"1-11","title":"Integrating Enterprise Risk Management with Strategic Planning for Improved Firm Performance","type":"article-journal","volume":"5"},"uris":["http://www.mendeley.com/documents/?uuid=df5e9fe8-dd49-4ff5-a03f-7b1795c5b818"]}],"mendeley":{"formattedCitation":"(Kanu, 2020)","plainTextFormattedCitation":"(Kanu, 2020)","previouslyFormattedCitation":"(Kanu, 2020)"},"properties":{"noteIndex":0},"schema":"https://github.com/citation-style-language/schema/raw/master/csl-citation.json"}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8C43E9" w:rsidRPr="008C43E9">
        <w:rPr>
          <w:rFonts w:ascii="Cambria" w:eastAsia="Cambria" w:hAnsi="Cambria" w:cs="Cambria"/>
          <w:noProof/>
          <w:color w:val="000000"/>
          <w:szCs w:val="24"/>
          <w:lang w:val="en-US"/>
        </w:rPr>
        <w:t>(Kanu, 2020)</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 In performing ICG, the separation between ownership and management make a conflict known as agency conflict</w:t>
      </w:r>
      <w:r w:rsidR="008C43E9">
        <w:rPr>
          <w:rFonts w:ascii="Cambria" w:eastAsia="Cambria" w:hAnsi="Cambria" w:cs="Cambria"/>
          <w:color w:val="000000"/>
          <w:szCs w:val="24"/>
          <w:lang w:val="en-US"/>
        </w:rPr>
        <w:t xml:space="preserve"> </w:t>
      </w:r>
      <w:r w:rsidR="008C43E9">
        <w:rPr>
          <w:rFonts w:ascii="Cambria" w:eastAsia="Cambria" w:hAnsi="Cambria" w:cs="Cambria"/>
          <w:color w:val="000000"/>
          <w:szCs w:val="24"/>
          <w:lang w:val="en-US"/>
        </w:rPr>
        <w:fldChar w:fldCharType="begin" w:fldLock="1"/>
      </w:r>
      <w:r w:rsidR="00024394">
        <w:rPr>
          <w:rFonts w:ascii="Cambria" w:eastAsia="Cambria" w:hAnsi="Cambria" w:cs="Cambria"/>
          <w:color w:val="000000"/>
          <w:szCs w:val="24"/>
          <w:lang w:val="en-US"/>
        </w:rPr>
        <w:instrText>ADDIN CSL_CITATION {"citationItems":[{"id":"ITEM-1","itemData":{"abstract":"Rahmatan lil 'alamin in an Islamic perspective is a concept in religious life that focuses on peace, tranquility, security and protection for all creatures of Allah. The creatures of Allah, namely humans, animals, plants and nature, the company as an economic entity must adopt the concept of rahmatan lilálamin as the basis for corporate governance. This governance requires companies to be accountable to Allah, fellow human beings and nature. The principles of governance are redesigned by implementing the concept of rahmatan lil’alamin. Governance with the concept of rahmatan lilálamin is called Islamic Corporate Governance (ICG). Each of the principles of governance based on the rahmatan lil’alamin concept is disclosed in the company's annual report. There is an ICG disclosure item called Islamic Corporate Governance Disclosure (ICGD).","author":[{"dropping-particle":"","family":"Mukhtaruddin","given":"","non-dropping-particle":"","parse-names":false,"suffix":""},{"dropping-particle":"","family":"Adam","given":"Mohamad","non-dropping-particle":"","parse-names":false,"suffix":""},{"dropping-particle":"","family":"Isnurhadi","given":"","non-dropping-particle":"","parse-names":false,"suffix":""},{"dropping-particle":"","family":"Fuadah","given":"Luk Luk","non-dropping-particle":"","parse-names":false,"suffix":""},{"dropping-particle":"","family":"Saftiana","given":"Yulia","non-dropping-particle":"","parse-names":false,"suffix":""},{"dropping-particle":"","family":"Yuliani","given":"","non-dropping-particle":"","parse-names":false,"suffix":""}],"container-title":"Academy of Accounting and Financial Studies Journal","id":"ITEM-1","issue":"2","issued":{"date-parts":[["2022"]]},"page":"1-10","title":"Islamic Corporate Governance: A Rahmatin Lil'Alamin","type":"article-journal","volume":"26"},"uris":["http://www.mendeley.com/documents/?uuid=a99cee99-4c5e-4fa7-ad3a-217588f9ee3f"]},{"id":"ITEM-2","itemData":{"DOI":"10.1177/21582440241247386","ISSN":"21582440","abstract":"Shariah governance is the mechanism to monitor and implicate shariah compliance in Islamic banks. The study’s goal of exploring the Islamic bank’s governance attributes and credit scores or rating relationship in the presence of shariah board attributes as moderators. The study collected time-variant data from 22 Asian banks (286 observations) from 2006 to 2018. Applied descriptive statistics, correlations, Likelihood Ratio (LR) test and the Ordered Logistic Regression model, a suitable technique for the ordinal dependent variable. The study findings provide evidence of shariah governance’s moderating role in the relationship between corporate governance attributes and credit rating. Moreover, shariah board characteristics strengthen the association between the corporate board and credit worthiness nexus. This research recommends that credit score evaluating agencies consider the shariah governance characteristics in evaluating Ib’s credit rating. The shariah governance attributes as part of credit rating can be an appropriate method for investors to measure the shariah compliance level of Ibs. Accordingly, Ibs can gain the confidence of investors or sukuk investors by improving shariah compliance and can access competitive fund sources. The study’s uniqueness is in determining the impact of shariah governance attributes as moderators on the board-rating nexus. This study suggested that credit rating agencies revise or amend their assessment procedures for Ibs. Abundant literature is available from the owner’s point of view. Nonetheless, this research explores governance and shariah governance attributes concerning Sukuk holders.","author":[{"dropping-particle":"","family":"Baig","given":"Muhammad Mansoor","non-dropping-particle":"","parse-names":false,"suffix":""},{"dropping-particle":"","family":"Malik","given":"Qaisar Ali","non-dropping-particle":"","parse-names":false,"suffix":""},{"dropping-particle":"","family":"Ellahi","given":"Nazima","non-dropping-particle":"","parse-names":false,"suffix":""}],"container-title":"SAGE Open","id":"ITEM-2","issue":"2","issued":{"date-parts":[["2024"]]},"page":"1-17","title":"Corporate Governance and Credit Rating of Islamic Banks: Moderating Role of Shariah Governance Attributes","type":"article-journal","volume":"14"},"uris":["http://www.mendeley.com/documents/?uuid=db515edf-41b0-4ccb-9cb7-b8b66e6e139d"]}],"mendeley":{"formattedCitation":"(Baig et al., 2024; Mukhtaruddin et al., 2022)","plainTextFormattedCitation":"(Baig et al., 2024; Mukhtaruddin et al., 2022)","previouslyFormattedCitation":"(Baig et al., 2024; Mukhtaruddin et al., 2022)"},"properties":{"noteIndex":0},"schema":"https://github.com/citation-style-language/schema/raw/master/csl-citation.json"}</w:instrText>
      </w:r>
      <w:r w:rsidR="008C43E9">
        <w:rPr>
          <w:rFonts w:ascii="Cambria" w:eastAsia="Cambria" w:hAnsi="Cambria" w:cs="Cambria"/>
          <w:color w:val="000000"/>
          <w:szCs w:val="24"/>
          <w:lang w:val="en-US"/>
        </w:rPr>
        <w:fldChar w:fldCharType="separate"/>
      </w:r>
      <w:r w:rsidR="00024394" w:rsidRPr="00024394">
        <w:rPr>
          <w:rFonts w:ascii="Cambria" w:eastAsia="Cambria" w:hAnsi="Cambria" w:cs="Cambria"/>
          <w:noProof/>
          <w:color w:val="000000"/>
          <w:szCs w:val="24"/>
          <w:lang w:val="en-US"/>
        </w:rPr>
        <w:t>(Baig et al., 2024; Mukhtaruddin et al., 2022)</w:t>
      </w:r>
      <w:r w:rsidR="008C43E9">
        <w:rPr>
          <w:rFonts w:ascii="Cambria" w:eastAsia="Cambria" w:hAnsi="Cambria" w:cs="Cambria"/>
          <w:color w:val="000000"/>
          <w:szCs w:val="24"/>
          <w:lang w:val="en-US"/>
        </w:rPr>
        <w:fldChar w:fldCharType="end"/>
      </w:r>
      <w:r w:rsidRPr="00754B4B">
        <w:rPr>
          <w:rFonts w:ascii="Cambria" w:eastAsia="Cambria" w:hAnsi="Cambria" w:cs="Cambria"/>
          <w:color w:val="000000"/>
          <w:szCs w:val="24"/>
        </w:rPr>
        <w:t>. The managers sometimes have purposes and other interests which are contrary to the company’s objectives and sometimes ignore the interests of stakeholders</w:t>
      </w:r>
      <w:r w:rsidR="00024394">
        <w:rPr>
          <w:rFonts w:ascii="Cambria" w:eastAsia="Cambria" w:hAnsi="Cambria" w:cs="Cambria"/>
          <w:color w:val="000000"/>
          <w:szCs w:val="24"/>
          <w:lang w:val="en-US"/>
        </w:rPr>
        <w:t xml:space="preserve"> </w:t>
      </w:r>
      <w:r w:rsidR="00024394">
        <w:rPr>
          <w:rFonts w:ascii="Cambria" w:eastAsia="Cambria" w:hAnsi="Cambria" w:cs="Cambria"/>
          <w:color w:val="000000"/>
          <w:szCs w:val="24"/>
          <w:lang w:val="en-US"/>
        </w:rPr>
        <w:fldChar w:fldCharType="begin" w:fldLock="1"/>
      </w:r>
      <w:r w:rsidR="00024394">
        <w:rPr>
          <w:rFonts w:ascii="Cambria" w:eastAsia="Cambria" w:hAnsi="Cambria" w:cs="Cambria"/>
          <w:color w:val="000000"/>
          <w:szCs w:val="24"/>
          <w:lang w:val="en-US"/>
        </w:rPr>
        <w:instrText>ADDIN CSL_CITATION {"citationItems":[{"id":"ITEM-1","itemData":{"DOI":"10.1017/beq.2020.12","ISSN":"1052150X","abstract":"The question of how to engage with stakeholders in situations of value conflict to create value that includes a plurality of conflicting stakeholder value perspectives represents one of the crucial current challenges of stakeholder engagement as well as of value creation stakeholder theory. To address this challenge, we conceptualize a discursive sharing process between affected stakeholders that is oriented toward discursive justification involving multiple procedural steps. This sharing process provides procedural guidance for firms and stakeholders to create pluralistic stakeholder value through the discursive accommodation of diverging stakeholder value perspectives. The outcomes of such a discursive value-sharing process range from stakeholder value dissensus to low (agreement to disagree) and increasing levels of stakeholder value congruence (value compromise) to stakeholder value consensus (shared values). Hence, this article contributes to the emerging literature on integrative stakeholder engagement by conceptualizing a procedural framework that is neither overly oriented towards dissensus nor consensus.","author":[{"dropping-particle":"","family":"Schormair","given":"Maximilian J.L.","non-dropping-particle":"","parse-names":false,"suffix":""},{"dropping-particle":"","family":"Gilbert","given":"Dirk Ulrich","non-dropping-particle":"","parse-names":false,"suffix":""}],"container-title":"Business Ethics Quarterly","id":"ITEM-1","issue":"1","issued":{"date-parts":[["2020"]]},"page":"1-36","title":"Creating Value by Sharing Values: Managing Stakeholder Value Conflict in the Face of Pluralism through Discursive Justification","type":"article-journal","volume":"31"},"uris":["http://www.mendeley.com/documents/?uuid=83ea9f2f-996a-4ed7-a737-5b048b99b92d"]}],"mendeley":{"formattedCitation":"(Schormair &amp; Gilbert, 2020)","plainTextFormattedCitation":"(Schormair &amp; Gilbert, 2020)","previouslyFormattedCitation":"(Schormair &amp; Gilbert, 2020)"},"properties":{"noteIndex":0},"schema":"https://github.com/citation-style-language/schema/raw/master/csl-citation.json"}</w:instrText>
      </w:r>
      <w:r w:rsidR="00024394">
        <w:rPr>
          <w:rFonts w:ascii="Cambria" w:eastAsia="Cambria" w:hAnsi="Cambria" w:cs="Cambria"/>
          <w:color w:val="000000"/>
          <w:szCs w:val="24"/>
          <w:lang w:val="en-US"/>
        </w:rPr>
        <w:fldChar w:fldCharType="separate"/>
      </w:r>
      <w:r w:rsidR="00024394" w:rsidRPr="00024394">
        <w:rPr>
          <w:rFonts w:ascii="Cambria" w:eastAsia="Cambria" w:hAnsi="Cambria" w:cs="Cambria"/>
          <w:noProof/>
          <w:color w:val="000000"/>
          <w:szCs w:val="24"/>
          <w:lang w:val="en-US"/>
        </w:rPr>
        <w:t>(Schormair &amp; Gilbert, 2020)</w:t>
      </w:r>
      <w:r w:rsidR="00024394">
        <w:rPr>
          <w:rFonts w:ascii="Cambria" w:eastAsia="Cambria" w:hAnsi="Cambria" w:cs="Cambria"/>
          <w:color w:val="000000"/>
          <w:szCs w:val="24"/>
          <w:lang w:val="en-US"/>
        </w:rPr>
        <w:fldChar w:fldCharType="end"/>
      </w:r>
      <w:r w:rsidR="00024394">
        <w:rPr>
          <w:rFonts w:ascii="Cambria" w:eastAsia="Cambria" w:hAnsi="Cambria" w:cs="Cambria"/>
          <w:color w:val="000000"/>
          <w:szCs w:val="24"/>
          <w:lang w:val="en-US"/>
        </w:rPr>
        <w:t xml:space="preserve">. </w:t>
      </w:r>
      <w:r w:rsidRPr="00754B4B">
        <w:rPr>
          <w:rFonts w:ascii="Cambria" w:eastAsia="Cambria" w:hAnsi="Cambria" w:cs="Cambria"/>
          <w:color w:val="000000"/>
          <w:szCs w:val="24"/>
        </w:rPr>
        <w:t>The purpose of this research is to analyze COSO (ERM) Framework, Critical Success Factors (CSF), and Islamic Corporate Governance (ICG) to financial performance of Islamic banks and how are the reactions when Critical Success Factors (CSF) and Islamic Corporate Governance (ICG) mediate COSO (ERM) Framework to strengthen the financial performance of Islamic banks</w:t>
      </w:r>
      <w:r w:rsidR="00643B60">
        <w:rPr>
          <w:rFonts w:ascii="Cambria" w:eastAsia="Cambria" w:hAnsi="Cambria" w:cs="Cambria"/>
          <w:color w:val="000000"/>
          <w:szCs w:val="24"/>
          <w:lang w:val="en-US"/>
        </w:rPr>
        <w:t xml:space="preserve"> </w:t>
      </w:r>
      <w:r w:rsidR="00643B60">
        <w:rPr>
          <w:rFonts w:ascii="Cambria" w:eastAsia="Cambria" w:hAnsi="Cambria" w:cs="Cambria"/>
          <w:color w:val="000000"/>
          <w:szCs w:val="24"/>
          <w:lang w:val="en-US"/>
        </w:rPr>
        <w:fldChar w:fldCharType="begin" w:fldLock="1"/>
      </w:r>
      <w:r w:rsidR="00502515">
        <w:rPr>
          <w:rFonts w:ascii="Cambria" w:eastAsia="Cambria" w:hAnsi="Cambria" w:cs="Cambria"/>
          <w:color w:val="000000"/>
          <w:szCs w:val="24"/>
          <w:lang w:val="en-US"/>
        </w:rPr>
        <w:instrText>ADDIN CSL_CITATION {"citationItems":[{"id":"ITEM-1","itemData":{"abstract":"Purpose – In reaction to a need for guidance to design and implement effective enterprise risk management, COSO published the Enterprise Risk Management (ERM) – Integrated Framework in 2004. This ERM framework includes ERM components, principles and concepts, indicates a common ERM language, and provides clear direction and guidance for enterprise risk management. The purpose of this study is to Investigate the implementation of COSO ERM framework in the Jordanian commercial banks.. This study starts at examining the degree of implementation of COSO ERM framework including its eight components. Then it tests the obstacles of implementation. Finally, it focuses on the impact of implementation on the financial performance of banks. Design/methodology/approach – This study is designed to provide evidence on the significance of implementing COSO ERM framework by testing its impact on the financial performance of Jordanian commercial banks measured by a set of financial ratios. In addition, the study highlights some obstacles to the implementation process that might consequently affect the financial performance and the added value of implementation. Raw data are derived from three main sources: Jordanian commercial banks' annual reports, the official website of Securities Depository Center, and the responses on a questionnaire that was designed mainly based on the components of ERM framework and distributed to the concerned employees of the banks. Findings– It is found that COSO ERM framework is highly implemented by Jordanian commercial banks. Nevertheless, there are some obstacles that face the Jordanian banks during the implementation process and need to be addressed and considered to achieve more effective and efficient results. In addition, Higher levels of implementation leads to higher ROE, ROA, EPS, and quick ratio and lower NPL ratio. On the other hand, it is found that the implementation does not affect the bank's debt to equity and capital adequacy ratios. Originality/value – There is limited research conducted in the field of ERM in Jordan, not only in the banking sector, but also in other economic sectors. This can be attributed to the fact that the implementation of ERM framework is not mandatory by any Jordanian regulatory agency, the need and significance of such framework is not communicated as it should be, and the focus is on Basel requirements as a more specific and required risk management principles In addition, few of the previous stud…","author":[{"dropping-particle":"","family":"Al-Khadash","given":"Husam Aldeen","non-dropping-particle":"","parse-names":false,"suffix":""},{"dropping-particle":"","family":"Jireis","given":"Jwais R.","non-dropping-particle":"","parse-names":false,"suffix":""}],"container-title":"Researchgate.Net","id":"ITEM-1","issue":"3","issued":{"date-parts":[["2017"]]},"page":"1-22","title":"COSO Enterprise Risk Management Implementation in Jordanian Commercial Banks and its Impact on Financial Performance","type":"article-journal","volume":"6"},"uris":["http://www.mendeley.com/documents/?uuid=07e792ff-8cd4-4bc9-9ff5-eeed4d86e253"]}],"mendeley":{"formattedCitation":"(Al-Khadash &amp; Jireis, 2017)","plainTextFormattedCitation":"(Al-Khadash &amp; Jireis, 2017)","previouslyFormattedCitation":"(Al-Khadash &amp; Jireis, 2017)"},"properties":{"noteIndex":0},"schema":"https://github.com/citation-style-language/schema/raw/master/csl-citation.json"}</w:instrText>
      </w:r>
      <w:r w:rsidR="00643B60">
        <w:rPr>
          <w:rFonts w:ascii="Cambria" w:eastAsia="Cambria" w:hAnsi="Cambria" w:cs="Cambria"/>
          <w:color w:val="000000"/>
          <w:szCs w:val="24"/>
          <w:lang w:val="en-US"/>
        </w:rPr>
        <w:fldChar w:fldCharType="separate"/>
      </w:r>
      <w:r w:rsidR="00643B60" w:rsidRPr="00643B60">
        <w:rPr>
          <w:rFonts w:ascii="Cambria" w:eastAsia="Cambria" w:hAnsi="Cambria" w:cs="Cambria"/>
          <w:noProof/>
          <w:color w:val="000000"/>
          <w:szCs w:val="24"/>
          <w:lang w:val="en-US"/>
        </w:rPr>
        <w:t>(Al-Khadash &amp; Jireis, 2017)</w:t>
      </w:r>
      <w:r w:rsidR="00643B60">
        <w:rPr>
          <w:rFonts w:ascii="Cambria" w:eastAsia="Cambria" w:hAnsi="Cambria" w:cs="Cambria"/>
          <w:color w:val="000000"/>
          <w:szCs w:val="24"/>
          <w:lang w:val="en-US"/>
        </w:rPr>
        <w:fldChar w:fldCharType="end"/>
      </w:r>
      <w:r w:rsidRPr="00754B4B">
        <w:rPr>
          <w:rFonts w:ascii="Cambria" w:eastAsia="Cambria" w:hAnsi="Cambria" w:cs="Cambria"/>
          <w:color w:val="000000"/>
          <w:szCs w:val="24"/>
        </w:rPr>
        <w:t xml:space="preserve">. </w:t>
      </w:r>
      <w:r w:rsidR="00643B60">
        <w:rPr>
          <w:rFonts w:ascii="Cambria" w:eastAsia="Cambria" w:hAnsi="Cambria" w:cs="Cambria"/>
          <w:color w:val="000000"/>
          <w:szCs w:val="24"/>
          <w:lang w:val="en-US"/>
        </w:rPr>
        <w:t xml:space="preserve"> </w:t>
      </w:r>
    </w:p>
    <w:p w14:paraId="6059D943" w14:textId="38003598" w:rsidR="00754B4B" w:rsidRDefault="00754B4B" w:rsidP="00842C59">
      <w:pPr>
        <w:pBdr>
          <w:top w:val="nil"/>
          <w:left w:val="nil"/>
          <w:bottom w:val="nil"/>
          <w:right w:val="nil"/>
          <w:between w:val="nil"/>
        </w:pBdr>
        <w:spacing w:line="276" w:lineRule="auto"/>
        <w:ind w:left="-2" w:firstLineChars="236" w:firstLine="566"/>
        <w:rPr>
          <w:rFonts w:ascii="Cambria" w:eastAsia="Cambria" w:hAnsi="Cambria" w:cs="Cambria"/>
          <w:color w:val="000000"/>
          <w:szCs w:val="24"/>
        </w:rPr>
      </w:pPr>
      <w:r w:rsidRPr="00754B4B">
        <w:rPr>
          <w:rFonts w:ascii="Cambria" w:eastAsia="Cambria" w:hAnsi="Cambria" w:cs="Cambria"/>
          <w:color w:val="000000"/>
          <w:szCs w:val="24"/>
        </w:rPr>
        <w:t>To improve the quality of education, risk management is essential for reduce risks that have occurred and will occur in educational institutions</w:t>
      </w:r>
      <w:r w:rsidR="00024394">
        <w:rPr>
          <w:rFonts w:ascii="Cambria" w:eastAsia="Cambria" w:hAnsi="Cambria" w:cs="Cambria"/>
          <w:color w:val="000000"/>
          <w:szCs w:val="24"/>
          <w:lang w:val="en-US"/>
        </w:rPr>
        <w:t xml:space="preserve"> </w:t>
      </w:r>
      <w:r w:rsidR="00024394">
        <w:rPr>
          <w:rFonts w:ascii="Cambria" w:eastAsia="Cambria" w:hAnsi="Cambria" w:cs="Cambria"/>
          <w:color w:val="000000"/>
          <w:szCs w:val="24"/>
          <w:lang w:val="en-US"/>
        </w:rPr>
        <w:fldChar w:fldCharType="begin" w:fldLock="1"/>
      </w:r>
      <w:r w:rsidR="00024394">
        <w:rPr>
          <w:rFonts w:ascii="Cambria" w:eastAsia="Cambria" w:hAnsi="Cambria" w:cs="Cambria"/>
          <w:color w:val="000000"/>
          <w:szCs w:val="24"/>
          <w:lang w:val="en-US"/>
        </w:rPr>
        <w:instrText>ADDIN CSL_CITATION {"citationItems":[{"id":"ITEM-1","itemData":{"author":[{"dropping-particle":"","family":"Rahmawati","given":"Irma","non-dropping-particle":"","parse-names":false,"suffix":""},{"dropping-particle":"","family":"Hidayat","given":"Wahyu","non-dropping-particle":"","parse-names":false,"suffix":""}],"id":"ITEM-1","issue":"1","issued":{"date-parts":[["2024"]]},"page":"25-40","title":"Meningkatkan Mutu Pendidikan (Penelitian di Smk Al-Hadi Bandung)","type":"article-journal","volume":"6"},"uris":["http://www.mendeley.com/documents/?uuid=6272e8c2-5122-425c-b3e4-79c9a2db0961"]}],"mendeley":{"formattedCitation":"(Rahmawati &amp; Hidayat, 2024)","plainTextFormattedCitation":"(Rahmawati &amp; Hidayat, 2024)","previouslyFormattedCitation":"(Rahmawati &amp; Hidayat, 2024)"},"properties":{"noteIndex":0},"schema":"https://github.com/citation-style-language/schema/raw/master/csl-citation.json"}</w:instrText>
      </w:r>
      <w:r w:rsidR="00024394">
        <w:rPr>
          <w:rFonts w:ascii="Cambria" w:eastAsia="Cambria" w:hAnsi="Cambria" w:cs="Cambria"/>
          <w:color w:val="000000"/>
          <w:szCs w:val="24"/>
          <w:lang w:val="en-US"/>
        </w:rPr>
        <w:fldChar w:fldCharType="separate"/>
      </w:r>
      <w:r w:rsidR="00024394" w:rsidRPr="00024394">
        <w:rPr>
          <w:rFonts w:ascii="Cambria" w:eastAsia="Cambria" w:hAnsi="Cambria" w:cs="Cambria"/>
          <w:noProof/>
          <w:color w:val="000000"/>
          <w:szCs w:val="24"/>
          <w:lang w:val="en-US"/>
        </w:rPr>
        <w:t>(Rahmawati &amp; Hidayat, 2024)</w:t>
      </w:r>
      <w:r w:rsidR="00024394">
        <w:rPr>
          <w:rFonts w:ascii="Cambria" w:eastAsia="Cambria" w:hAnsi="Cambria" w:cs="Cambria"/>
          <w:color w:val="000000"/>
          <w:szCs w:val="24"/>
          <w:lang w:val="en-US"/>
        </w:rPr>
        <w:fldChar w:fldCharType="end"/>
      </w:r>
      <w:r w:rsidRPr="00754B4B">
        <w:rPr>
          <w:rFonts w:ascii="Cambria" w:eastAsia="Cambria" w:hAnsi="Cambria" w:cs="Cambria"/>
          <w:color w:val="000000"/>
          <w:szCs w:val="24"/>
        </w:rPr>
        <w:t>. The implementation of this strategy can avoid and reduce the impact of risks for Educational Academy for Educational Governance. improve the quality risk management proc</w:t>
      </w:r>
      <w:r w:rsidR="00314382">
        <w:rPr>
          <w:rFonts w:ascii="Cambria" w:eastAsia="Cambria" w:hAnsi="Cambria" w:cs="Cambria"/>
          <w:color w:val="000000"/>
          <w:szCs w:val="24"/>
          <w:lang w:val="en-US"/>
        </w:rPr>
        <w:t>c</w:t>
      </w:r>
      <w:r w:rsidRPr="00754B4B">
        <w:rPr>
          <w:rFonts w:ascii="Cambria" w:eastAsia="Cambria" w:hAnsi="Cambria" w:cs="Cambria"/>
          <w:color w:val="000000"/>
          <w:szCs w:val="24"/>
        </w:rPr>
        <w:t>ess in educational organizations, taking into account the impact of hazardous and favorable factors, and to develop an appropriate step-by-step algorithm of actions and a risk assessment form quality management systems of educational organizations on the substantiation of precautionary</w:t>
      </w:r>
      <w:r w:rsidR="00024394">
        <w:rPr>
          <w:rFonts w:ascii="Cambria" w:eastAsia="Cambria" w:hAnsi="Cambria" w:cs="Cambria"/>
          <w:color w:val="000000"/>
          <w:szCs w:val="24"/>
          <w:lang w:val="en-US"/>
        </w:rPr>
        <w:t xml:space="preserve"> </w:t>
      </w:r>
      <w:r w:rsidR="00024394">
        <w:rPr>
          <w:rFonts w:ascii="Cambria" w:eastAsia="Cambria" w:hAnsi="Cambria" w:cs="Cambria"/>
          <w:color w:val="000000"/>
          <w:szCs w:val="24"/>
          <w:lang w:val="en-US"/>
        </w:rPr>
        <w:fldChar w:fldCharType="begin" w:fldLock="1"/>
      </w:r>
      <w:r w:rsidR="009A0AF4">
        <w:rPr>
          <w:rFonts w:ascii="Cambria" w:eastAsia="Cambria" w:hAnsi="Cambria" w:cs="Cambria"/>
          <w:color w:val="000000"/>
          <w:szCs w:val="24"/>
          <w:lang w:val="en-US"/>
        </w:rPr>
        <w:instrText>ADDIN CSL_CITATION {"citationItems":[{"id":"ITEM-1","itemData":{"DOI":"10.1038/s41598-024-53455-9","ISBN":"0123456789","ISSN":"20452322","PMID":"38368482","abstract":"The purpose of this paper is to improve the risk management process in the quality management system of higher education, taking into account the hazardous factors that increase the probability of occurrence and severity of consequences of undesirable events, as well as favorable factors that reduce the probability of occurrence and severity of consequences of hazardous events. The basis of risk management in the quality management systems of higher education institutions is the “Bowtie” method, which involves six main steps of identifying inconsistency, determining the impact of hazardous and favorable factors according to the impact group, ranking hazardous and favorable factors, calculating risk, substantiating precautionary measures and checking calculations. To rank hazardous and favorable factors, the authors used the “Decision Making Trial and Evaluation” method (hereinafter—DE-MATEL), which is based on paired comparison and decision-making tools based on graph theory. An improved process is proposed for risk assessment, which differs from the known ones by the presence of the identification of the cause-and-effect relationship “hazard (inconsistency)-hazardous event-consequences”, identification of hazardous and favorable factors of the internal and external environment that affect the probability and/or the degree of severity of a hazardous event—the appearance of an inconsistency, which is carried out after the inconsistency has been determined; determination of causal hazardous and favorable factors by an acceptable method. Registers of inconsistencies (hazards), hazardous and favorable factors have been developed and proposed based on the requirements for accreditation of educational programs and the international standard ISO 9001:2015, which will allow, based on a risk-oriented approach, to provide a basis for setting the goals of a higher education institution under martial law in order to guarantee effective implementation of the mission and strategy. They are proposed for decision-making in the quality management systems of educational organizations on the substantiation of precautionary or corrective measures based on ranking the risks from identified inconsistencies, which are determined taking into account the impact of the entire set of identified significant hazardous and favorable factors. The value of this paper is to improve the quality risk management process in educational organizations, taking into account the impact of hazar…","author":[{"dropping-particle":"","family":"Bazaluk","given":"Oleg","non-dropping-particle":"","parse-names":false,"suffix":""},{"dropping-particle":"","family":"Pavlychenko","given":"Artem","non-dropping-particle":"","parse-names":false,"suffix":""},{"dropping-particle":"","family":"Yavorska","given":"Olena","non-dropping-particle":"","parse-names":false,"suffix":""},{"dropping-particle":"","family":"Nesterova","given":"Olha","non-dropping-particle":"","parse-names":false,"suffix":""},{"dropping-particle":"","family":"Tsopa","given":"Vitaliy","non-dropping-particle":"","parse-names":false,"suffix":""},{"dropping-particle":"","family":"Cheberiachko","given":"Serhii","non-dropping-particle":"","parse-names":false,"suffix":""},{"dropping-particle":"","family":"Deryugin","given":"Oleg","non-dropping-particle":"","parse-names":false,"suffix":""},{"dropping-particle":"","family":"Lozynskyi","given":"Vasyl","non-dropping-particle":"","parse-names":false,"suffix":""}],"container-title":"Scientific Reports","id":"ITEM-1","issue":"3977","issued":{"date-parts":[["2024"]]},"page":"1-19","publisher":"Nature Publishing Group UK","title":"Improving The Risk Management Process in Quality Management Systems of Higher Education","type":"article-journal","volume":"14"},"uris":["http://www.mendeley.com/documents/?uuid=ac09b519-b308-426f-b842-f85515e3bc7a"]}],"mendeley":{"formattedCitation":"(Bazaluk et al., 2024)","plainTextFormattedCitation":"(Bazaluk et al., 2024)","previouslyFormattedCitation":"(Bazaluk et al., 2024)"},"properties":{"noteIndex":0},"schema":"https://github.com/citation-style-language/schema/raw/master/csl-citation.json"}</w:instrText>
      </w:r>
      <w:r w:rsidR="00024394">
        <w:rPr>
          <w:rFonts w:ascii="Cambria" w:eastAsia="Cambria" w:hAnsi="Cambria" w:cs="Cambria"/>
          <w:color w:val="000000"/>
          <w:szCs w:val="24"/>
          <w:lang w:val="en-US"/>
        </w:rPr>
        <w:fldChar w:fldCharType="separate"/>
      </w:r>
      <w:r w:rsidR="00024394" w:rsidRPr="00024394">
        <w:rPr>
          <w:rFonts w:ascii="Cambria" w:eastAsia="Cambria" w:hAnsi="Cambria" w:cs="Cambria"/>
          <w:noProof/>
          <w:color w:val="000000"/>
          <w:szCs w:val="24"/>
          <w:lang w:val="en-US"/>
        </w:rPr>
        <w:t>(Bazaluk et al., 2024)</w:t>
      </w:r>
      <w:r w:rsidR="00024394">
        <w:rPr>
          <w:rFonts w:ascii="Cambria" w:eastAsia="Cambria" w:hAnsi="Cambria" w:cs="Cambria"/>
          <w:color w:val="000000"/>
          <w:szCs w:val="24"/>
          <w:lang w:val="en-US"/>
        </w:rPr>
        <w:fldChar w:fldCharType="end"/>
      </w:r>
      <w:r w:rsidRPr="00754B4B">
        <w:rPr>
          <w:rFonts w:ascii="Cambria" w:eastAsia="Cambria" w:hAnsi="Cambria" w:cs="Cambria"/>
          <w:color w:val="000000"/>
          <w:szCs w:val="24"/>
        </w:rPr>
        <w:t>.</w:t>
      </w:r>
    </w:p>
    <w:p w14:paraId="7E1CEB1B" w14:textId="7A75AFA1" w:rsidR="00171496" w:rsidRDefault="00A51BCA" w:rsidP="00634CED">
      <w:pPr>
        <w:pBdr>
          <w:top w:val="nil"/>
          <w:left w:val="nil"/>
          <w:bottom w:val="nil"/>
          <w:right w:val="nil"/>
          <w:between w:val="nil"/>
        </w:pBdr>
        <w:spacing w:line="276" w:lineRule="auto"/>
        <w:ind w:leftChars="0" w:left="0" w:firstLineChars="0" w:firstLine="0"/>
        <w:rPr>
          <w:rFonts w:ascii="Cambria" w:eastAsia="Cambria" w:hAnsi="Cambria" w:cs="Cambria"/>
          <w:color w:val="000000"/>
          <w:szCs w:val="24"/>
        </w:rPr>
      </w:pPr>
      <w:r>
        <w:rPr>
          <w:rFonts w:ascii="Cambria" w:eastAsia="Cambria" w:hAnsi="Cambria" w:cs="Cambria"/>
          <w:color w:val="000000"/>
          <w:szCs w:val="24"/>
        </w:rPr>
        <w:t xml:space="preserve"> </w:t>
      </w:r>
    </w:p>
    <w:p w14:paraId="367455A8" w14:textId="62A86156" w:rsidR="00171496" w:rsidRPr="00842C59" w:rsidRDefault="00842C59" w:rsidP="002C06E6">
      <w:pPr>
        <w:pBdr>
          <w:top w:val="nil"/>
          <w:left w:val="nil"/>
          <w:bottom w:val="nil"/>
          <w:right w:val="nil"/>
          <w:between w:val="nil"/>
        </w:pBdr>
        <w:spacing w:before="100" w:line="276" w:lineRule="auto"/>
        <w:ind w:left="0" w:hanging="2"/>
        <w:rPr>
          <w:rFonts w:ascii="Cambria" w:eastAsia="Cambria" w:hAnsi="Cambria" w:cs="Cambria"/>
          <w:b/>
          <w:color w:val="000000"/>
          <w:szCs w:val="24"/>
          <w:lang w:val="en-US"/>
        </w:rPr>
      </w:pPr>
      <w:r>
        <w:rPr>
          <w:rFonts w:ascii="Cambria" w:eastAsia="Cambria" w:hAnsi="Cambria" w:cs="Cambria"/>
          <w:b/>
          <w:color w:val="000000"/>
          <w:szCs w:val="24"/>
          <w:lang w:val="en-US"/>
        </w:rPr>
        <w:lastRenderedPageBreak/>
        <w:t>LITERATURE REVIEW</w:t>
      </w:r>
    </w:p>
    <w:p w14:paraId="0A8C36A6" w14:textId="22ABDF29" w:rsidR="003F532D" w:rsidRPr="003F532D" w:rsidRDefault="003F532D" w:rsidP="003F532D">
      <w:pPr>
        <w:pStyle w:val="Heading2"/>
        <w:spacing w:before="0" w:after="0" w:line="276" w:lineRule="auto"/>
        <w:ind w:left="0" w:hanging="2"/>
        <w:rPr>
          <w:rFonts w:asciiTheme="minorHAnsi" w:hAnsiTheme="minorHAnsi"/>
          <w:bCs/>
          <w:iCs/>
          <w:sz w:val="24"/>
          <w:szCs w:val="24"/>
          <w:lang w:val="en-US"/>
        </w:rPr>
      </w:pPr>
      <w:bookmarkStart w:id="0" w:name="_Toc177964379"/>
      <w:bookmarkStart w:id="1" w:name="_Toc177966139"/>
      <w:bookmarkStart w:id="2" w:name="_Toc180583246"/>
      <w:r>
        <w:rPr>
          <w:rFonts w:asciiTheme="minorHAnsi" w:hAnsiTheme="minorHAnsi"/>
          <w:bCs/>
          <w:iCs/>
          <w:sz w:val="24"/>
          <w:szCs w:val="24"/>
          <w:lang w:val="en-US"/>
        </w:rPr>
        <w:t>Hypothesis Development</w:t>
      </w:r>
    </w:p>
    <w:p w14:paraId="13C2F3CC" w14:textId="78D7D17A" w:rsidR="00414EE6" w:rsidRPr="00414EE6" w:rsidRDefault="00414EE6" w:rsidP="003F532D">
      <w:pPr>
        <w:pStyle w:val="Heading2"/>
        <w:spacing w:before="0" w:after="0" w:line="276" w:lineRule="auto"/>
        <w:ind w:left="0" w:hanging="2"/>
        <w:rPr>
          <w:rFonts w:asciiTheme="minorHAnsi" w:hAnsiTheme="minorHAnsi"/>
          <w:b w:val="0"/>
          <w:bCs/>
          <w:iCs/>
          <w:sz w:val="24"/>
          <w:szCs w:val="24"/>
        </w:rPr>
      </w:pPr>
      <w:r w:rsidRPr="00414EE6">
        <w:rPr>
          <w:rFonts w:asciiTheme="minorHAnsi" w:hAnsiTheme="minorHAnsi"/>
          <w:bCs/>
          <w:iCs/>
          <w:sz w:val="24"/>
          <w:szCs w:val="24"/>
        </w:rPr>
        <w:t xml:space="preserve">The Previous Studies and Research Originality </w:t>
      </w:r>
      <w:bookmarkEnd w:id="0"/>
      <w:bookmarkEnd w:id="1"/>
      <w:bookmarkEnd w:id="2"/>
    </w:p>
    <w:p w14:paraId="390F8624" w14:textId="4B364B43" w:rsidR="00414EE6" w:rsidRPr="00414EE6" w:rsidRDefault="00414EE6" w:rsidP="00842C59">
      <w:pPr>
        <w:spacing w:line="240" w:lineRule="auto"/>
        <w:ind w:left="-2" w:firstLineChars="236" w:firstLine="566"/>
        <w:rPr>
          <w:rFonts w:asciiTheme="minorHAnsi" w:hAnsiTheme="minorHAnsi"/>
          <w:iCs/>
          <w:szCs w:val="24"/>
        </w:rPr>
      </w:pPr>
      <w:r w:rsidRPr="00414EE6">
        <w:rPr>
          <w:rFonts w:asciiTheme="minorHAnsi" w:hAnsiTheme="minorHAnsi"/>
          <w:iCs/>
          <w:szCs w:val="24"/>
        </w:rPr>
        <w:t>According to</w:t>
      </w:r>
      <w:r w:rsidR="00842C59">
        <w:rPr>
          <w:rFonts w:asciiTheme="minorHAnsi" w:hAnsiTheme="minorHAnsi"/>
          <w:iCs/>
          <w:szCs w:val="24"/>
          <w:lang w:val="en-US"/>
        </w:rPr>
        <w:t xml:space="preserve"> </w:t>
      </w:r>
      <w:r w:rsidR="00842C59">
        <w:rPr>
          <w:rFonts w:asciiTheme="minorHAnsi" w:hAnsiTheme="minorHAnsi"/>
          <w:iCs/>
          <w:szCs w:val="24"/>
          <w:lang w:val="en-US"/>
        </w:rPr>
        <w:fldChar w:fldCharType="begin" w:fldLock="1"/>
      </w:r>
      <w:r w:rsidR="00E11DBE">
        <w:rPr>
          <w:rFonts w:asciiTheme="minorHAnsi" w:hAnsiTheme="minorHAnsi"/>
          <w:iCs/>
          <w:szCs w:val="24"/>
          <w:lang w:val="en-US"/>
        </w:rPr>
        <w:instrText>ADDIN CSL_CITATION {"citationItems":[{"id":"ITEM-1","itemData":{"author":[{"dropping-particle":"","family":"Sutrisno","given":"","non-dropping-particle":"","parse-names":false,"suffix":""}],"edition":"1","id":"ITEM-1","issued":{"date-parts":[["2009"]]},"number-of-pages":"53","publisher":"Ekonosia","publisher-place":"Yogyakarta","title":"Manajemen Keuangan Teori, Konsep Dan Aplikasi","type":"book"},"uris":["http://www.mendeley.com/documents/?uuid=82d8ced9-b6fa-427a-b92e-eb67fa2213ab"]}],"mendeley":{"formattedCitation":"(Sutrisno, 2009)","manualFormatting":"(Sutrisno, 2009:53)","plainTextFormattedCitation":"(Sutrisno, 2009)","previouslyFormattedCitation":"(Sutrisno, 2009)"},"properties":{"noteIndex":0},"schema":"https://github.com/citation-style-language/schema/raw/master/csl-citation.json"}</w:instrText>
      </w:r>
      <w:r w:rsidR="00842C59">
        <w:rPr>
          <w:rFonts w:asciiTheme="minorHAnsi" w:hAnsiTheme="minorHAnsi"/>
          <w:iCs/>
          <w:szCs w:val="24"/>
          <w:lang w:val="en-US"/>
        </w:rPr>
        <w:fldChar w:fldCharType="separate"/>
      </w:r>
      <w:r w:rsidR="00842C59" w:rsidRPr="00842C59">
        <w:rPr>
          <w:rFonts w:asciiTheme="minorHAnsi" w:hAnsiTheme="minorHAnsi"/>
          <w:iCs/>
          <w:noProof/>
          <w:szCs w:val="24"/>
          <w:lang w:val="en-US"/>
        </w:rPr>
        <w:t>(Sutrisno, 2009</w:t>
      </w:r>
      <w:r w:rsidR="00842C59">
        <w:rPr>
          <w:rFonts w:asciiTheme="minorHAnsi" w:hAnsiTheme="minorHAnsi"/>
          <w:iCs/>
          <w:noProof/>
          <w:szCs w:val="24"/>
          <w:lang w:val="en-US"/>
        </w:rPr>
        <w:t>:53</w:t>
      </w:r>
      <w:r w:rsidR="00842C59" w:rsidRPr="00842C59">
        <w:rPr>
          <w:rFonts w:asciiTheme="minorHAnsi" w:hAnsiTheme="minorHAnsi"/>
          <w:iCs/>
          <w:noProof/>
          <w:szCs w:val="24"/>
          <w:lang w:val="en-US"/>
        </w:rPr>
        <w:t>)</w:t>
      </w:r>
      <w:r w:rsidR="00842C59">
        <w:rPr>
          <w:rFonts w:asciiTheme="minorHAnsi" w:hAnsiTheme="minorHAnsi"/>
          <w:iCs/>
          <w:szCs w:val="24"/>
          <w:lang w:val="en-US"/>
        </w:rPr>
        <w:fldChar w:fldCharType="end"/>
      </w:r>
      <w:r w:rsidRPr="00414EE6">
        <w:rPr>
          <w:rFonts w:asciiTheme="minorHAnsi" w:hAnsiTheme="minorHAnsi"/>
          <w:iCs/>
          <w:szCs w:val="24"/>
        </w:rPr>
        <w:t>, financial performance is an achievement which is reached by a company in a certain period that reflects the health level of the company.</w:t>
      </w:r>
      <w:r w:rsidR="00E11DBE">
        <w:rPr>
          <w:rFonts w:asciiTheme="minorHAnsi" w:hAnsiTheme="minorHAnsi"/>
          <w:iCs/>
          <w:szCs w:val="24"/>
          <w:lang w:val="en-US"/>
        </w:rPr>
        <w:t xml:space="preserve"> </w:t>
      </w:r>
      <w:r w:rsidR="00CD72E8">
        <w:rPr>
          <w:rFonts w:asciiTheme="minorHAnsi" w:hAnsiTheme="minorHAnsi"/>
          <w:iCs/>
          <w:szCs w:val="24"/>
          <w:lang w:val="en-US"/>
        </w:rPr>
        <w:fldChar w:fldCharType="begin" w:fldLock="1"/>
      </w:r>
      <w:r w:rsidR="00E75E7F">
        <w:rPr>
          <w:rFonts w:asciiTheme="minorHAnsi" w:hAnsiTheme="minorHAnsi"/>
          <w:iCs/>
          <w:szCs w:val="24"/>
          <w:lang w:val="en-US"/>
        </w:rPr>
        <w:instrText>ADDIN CSL_CITATION {"citationItems":[{"id":"ITEM-1","itemData":{"author":[{"dropping-particle":"","family":"Hanafi","given":"Mahmud M","non-dropping-particle":"","parse-names":false,"suffix":""},{"dropping-particle":"","family":"Halim","given":"Abdul","non-dropping-particle":"","parse-names":false,"suffix":""}],"id":"ITEM-1","issued":{"date-parts":[["2007"]]},"publisher":"STIM YKPN","publisher-place":"Lamongan","title":"Analisa Laporan Keuangan Konsep dan Aplikasi","type":"book"},"uris":["http://www.mendeley.com/documents/?uuid=c95bc8ce-cb14-40b7-a3c2-7c9f37ec4ea5"]}],"mendeley":{"formattedCitation":"(Hanafi &amp; Halim, 2007)","manualFormatting":"(Hanafi &amp; Halim, 2007:69)","plainTextFormattedCitation":"(Hanafi &amp; Halim, 2007)","previouslyFormattedCitation":"(Hanafi &amp; Halim, 2007)"},"properties":{"noteIndex":0},"schema":"https://github.com/citation-style-language/schema/raw/master/csl-citation.json"}</w:instrText>
      </w:r>
      <w:r w:rsidR="00CD72E8">
        <w:rPr>
          <w:rFonts w:asciiTheme="minorHAnsi" w:hAnsiTheme="minorHAnsi"/>
          <w:iCs/>
          <w:szCs w:val="24"/>
          <w:lang w:val="en-US"/>
        </w:rPr>
        <w:fldChar w:fldCharType="separate"/>
      </w:r>
      <w:r w:rsidR="00CD72E8" w:rsidRPr="00CD72E8">
        <w:rPr>
          <w:rFonts w:asciiTheme="minorHAnsi" w:hAnsiTheme="minorHAnsi"/>
          <w:iCs/>
          <w:noProof/>
          <w:szCs w:val="24"/>
          <w:lang w:val="en-US"/>
        </w:rPr>
        <w:t>(Hanafi &amp; Halim, 2007</w:t>
      </w:r>
      <w:r w:rsidR="00CD72E8">
        <w:rPr>
          <w:rFonts w:asciiTheme="minorHAnsi" w:hAnsiTheme="minorHAnsi"/>
          <w:iCs/>
          <w:noProof/>
          <w:szCs w:val="24"/>
          <w:lang w:val="en-US"/>
        </w:rPr>
        <w:t>:69</w:t>
      </w:r>
      <w:r w:rsidR="00CD72E8" w:rsidRPr="00CD72E8">
        <w:rPr>
          <w:rFonts w:asciiTheme="minorHAnsi" w:hAnsiTheme="minorHAnsi"/>
          <w:iCs/>
          <w:noProof/>
          <w:szCs w:val="24"/>
          <w:lang w:val="en-US"/>
        </w:rPr>
        <w:t>)</w:t>
      </w:r>
      <w:r w:rsidR="00CD72E8">
        <w:rPr>
          <w:rFonts w:asciiTheme="minorHAnsi" w:hAnsiTheme="minorHAnsi"/>
          <w:iCs/>
          <w:szCs w:val="24"/>
          <w:lang w:val="en-US"/>
        </w:rPr>
        <w:fldChar w:fldCharType="end"/>
      </w:r>
      <w:r w:rsidRPr="00414EE6">
        <w:rPr>
          <w:rFonts w:asciiTheme="minorHAnsi" w:hAnsiTheme="minorHAnsi"/>
          <w:iCs/>
          <w:szCs w:val="24"/>
        </w:rPr>
        <w:t xml:space="preserve"> said that financial performance is a formal effort to evaluate the efficient and effective activities in a company in a certain time period. In agreement with</w:t>
      </w:r>
      <w:r w:rsidR="00E11DBE">
        <w:rPr>
          <w:rFonts w:asciiTheme="minorHAnsi" w:hAnsiTheme="minorHAnsi"/>
          <w:iCs/>
          <w:szCs w:val="24"/>
          <w:lang w:val="en-US"/>
        </w:rPr>
        <w:t xml:space="preserve"> </w:t>
      </w:r>
      <w:r w:rsidR="00E11DBE">
        <w:rPr>
          <w:rFonts w:asciiTheme="minorHAnsi" w:hAnsiTheme="minorHAnsi"/>
          <w:iCs/>
          <w:szCs w:val="24"/>
          <w:lang w:val="en-US"/>
        </w:rPr>
        <w:fldChar w:fldCharType="begin" w:fldLock="1"/>
      </w:r>
      <w:r w:rsidR="00E11DBE">
        <w:rPr>
          <w:rFonts w:asciiTheme="minorHAnsi" w:hAnsiTheme="minorHAnsi"/>
          <w:iCs/>
          <w:szCs w:val="24"/>
          <w:lang w:val="en-US"/>
        </w:rPr>
        <w:instrText>ADDIN CSL_CITATION {"citationItems":[{"id":"ITEM-1","itemData":{"ISBN":"9786022415305","author":[{"dropping-particle":"","family":"Rudianto","given":"","non-dropping-particle":"","parse-names":false,"suffix":""}],"edition":"1","editor":[{"dropping-particle":"","family":"Saat","given":"Suryadi","non-dropping-particle":"","parse-names":false,"suffix":""}],"id":"ITEM-1","issued":{"date-parts":[["2013"]]},"number-of-pages":"278","publisher":"Erlangga","publisher-place":"Jakarta","title":"Akuntansi Manajemen: Informasi Untuk Pengambilan Keputusan Strategis","type":"book"},"uris":["http://www.mendeley.com/documents/?uuid=cfd758f0-e7ed-4213-a5e1-ef81eb611e2a"]}],"mendeley":{"formattedCitation":"(Rudianto, 2013)","manualFormatting":"(Rudianto, 2013:189)","plainTextFormattedCitation":"(Rudianto, 2013)","previouslyFormattedCitation":"(Rudianto, 2013)"},"properties":{"noteIndex":0},"schema":"https://github.com/citation-style-language/schema/raw/master/csl-citation.json"}</w:instrText>
      </w:r>
      <w:r w:rsidR="00E11DBE">
        <w:rPr>
          <w:rFonts w:asciiTheme="minorHAnsi" w:hAnsiTheme="minorHAnsi"/>
          <w:iCs/>
          <w:szCs w:val="24"/>
          <w:lang w:val="en-US"/>
        </w:rPr>
        <w:fldChar w:fldCharType="separate"/>
      </w:r>
      <w:r w:rsidR="00E11DBE" w:rsidRPr="00E11DBE">
        <w:rPr>
          <w:rFonts w:asciiTheme="minorHAnsi" w:hAnsiTheme="minorHAnsi"/>
          <w:iCs/>
          <w:noProof/>
          <w:szCs w:val="24"/>
          <w:lang w:val="en-US"/>
        </w:rPr>
        <w:t>(Rudianto, 2013</w:t>
      </w:r>
      <w:r w:rsidR="00E11DBE">
        <w:rPr>
          <w:rFonts w:asciiTheme="minorHAnsi" w:hAnsiTheme="minorHAnsi"/>
          <w:iCs/>
          <w:noProof/>
          <w:szCs w:val="24"/>
          <w:lang w:val="en-US"/>
        </w:rPr>
        <w:t>:189</w:t>
      </w:r>
      <w:r w:rsidR="00E11DBE" w:rsidRPr="00E11DBE">
        <w:rPr>
          <w:rFonts w:asciiTheme="minorHAnsi" w:hAnsiTheme="minorHAnsi"/>
          <w:iCs/>
          <w:noProof/>
          <w:szCs w:val="24"/>
          <w:lang w:val="en-US"/>
        </w:rPr>
        <w:t>)</w:t>
      </w:r>
      <w:r w:rsidR="00E11DBE">
        <w:rPr>
          <w:rFonts w:asciiTheme="minorHAnsi" w:hAnsiTheme="minorHAnsi"/>
          <w:iCs/>
          <w:szCs w:val="24"/>
          <w:lang w:val="en-US"/>
        </w:rPr>
        <w:fldChar w:fldCharType="end"/>
      </w:r>
      <w:r w:rsidRPr="00414EE6">
        <w:rPr>
          <w:rFonts w:asciiTheme="minorHAnsi" w:hAnsiTheme="minorHAnsi"/>
          <w:iCs/>
          <w:szCs w:val="24"/>
        </w:rPr>
        <w:t>, financial performance is the result of the company operational activities that are presented in financial numbers. The company must compare the results of recent activities with the previous financial performance, balance sheet budget, income statement, and the average financial performance of similar companies. Based on those expert opinions, the writer concludes that financial performance is one of the analyses to see the extent to which a company implements financial implementation rules properly and correctly, such as to make a financial report that meet the standards and provisions in SAK (Standard of Financial Accounting) or GAAP (General Accepted Accounting Principle), and so on.</w:t>
      </w:r>
    </w:p>
    <w:p w14:paraId="1A5F6932" w14:textId="36A441C7" w:rsidR="00634CED" w:rsidRDefault="00414EE6" w:rsidP="003F532D">
      <w:pPr>
        <w:pBdr>
          <w:top w:val="nil"/>
          <w:left w:val="nil"/>
          <w:bottom w:val="nil"/>
          <w:right w:val="nil"/>
          <w:between w:val="nil"/>
        </w:pBdr>
        <w:spacing w:line="276" w:lineRule="auto"/>
        <w:ind w:leftChars="0" w:left="0" w:firstLineChars="0" w:firstLine="564"/>
        <w:rPr>
          <w:rFonts w:asciiTheme="minorHAnsi" w:hAnsiTheme="minorHAnsi"/>
          <w:iCs/>
          <w:szCs w:val="24"/>
        </w:rPr>
      </w:pPr>
      <w:r w:rsidRPr="00414EE6">
        <w:rPr>
          <w:rFonts w:asciiTheme="minorHAnsi" w:hAnsiTheme="minorHAnsi"/>
          <w:iCs/>
          <w:szCs w:val="24"/>
        </w:rPr>
        <w:t>Performance in accounting term is a quantitative effectivity in running a business for a certain period of time</w:t>
      </w:r>
      <w:r w:rsidR="00E11DBE">
        <w:rPr>
          <w:rFonts w:asciiTheme="minorHAnsi" w:hAnsiTheme="minorHAnsi"/>
          <w:iCs/>
          <w:szCs w:val="24"/>
          <w:lang w:val="en-US"/>
        </w:rPr>
        <w:t xml:space="preserve"> </w:t>
      </w:r>
      <w:r w:rsidR="00E11DBE">
        <w:rPr>
          <w:rFonts w:asciiTheme="minorHAnsi" w:hAnsiTheme="minorHAnsi"/>
          <w:iCs/>
          <w:szCs w:val="24"/>
          <w:lang w:val="en-US"/>
        </w:rPr>
        <w:fldChar w:fldCharType="begin" w:fldLock="1"/>
      </w:r>
      <w:r w:rsidR="00E11DBE">
        <w:rPr>
          <w:rFonts w:asciiTheme="minorHAnsi" w:hAnsiTheme="minorHAnsi"/>
          <w:iCs/>
          <w:szCs w:val="24"/>
          <w:lang w:val="en-US"/>
        </w:rPr>
        <w:instrText>ADDIN CSL_CITATION {"citationItems":[{"id":"ITEM-1","itemData":{"ISBN":"9796371154","author":[{"dropping-particle":"","family":"Siegel","given":"Joel G","non-dropping-particle":"","parse-names":false,"suffix":""},{"dropping-particle":"","family":"Shim","given":"Jae K","non-dropping-particle":"","parse-names":false,"suffix":""}],"edition":"3","id":"ITEM-1","issued":{"date-parts":[["1994"]]},"number-of-pages":"516","publisher":"PT. Elex Media Komputindo","publisher-place":"Jakarta","title":"Kamus Istilah Akuntansi","type":"book"},"uris":["http://www.mendeley.com/documents/?uuid=5f6d90cf-cfe9-4938-a7df-a07ea0fa513d"]}],"mendeley":{"formattedCitation":"(Siegel &amp; Shim, 1994)","plainTextFormattedCitation":"(Siegel &amp; Shim, 1994)","previouslyFormattedCitation":"(Siegel &amp; Shim, 1994)"},"properties":{"noteIndex":0},"schema":"https://github.com/citation-style-language/schema/raw/master/csl-citation.json"}</w:instrText>
      </w:r>
      <w:r w:rsidR="00E11DBE">
        <w:rPr>
          <w:rFonts w:asciiTheme="minorHAnsi" w:hAnsiTheme="minorHAnsi"/>
          <w:iCs/>
          <w:szCs w:val="24"/>
          <w:lang w:val="en-US"/>
        </w:rPr>
        <w:fldChar w:fldCharType="separate"/>
      </w:r>
      <w:r w:rsidR="00E11DBE" w:rsidRPr="00E11DBE">
        <w:rPr>
          <w:rFonts w:asciiTheme="minorHAnsi" w:hAnsiTheme="minorHAnsi"/>
          <w:iCs/>
          <w:noProof/>
          <w:szCs w:val="24"/>
          <w:lang w:val="en-US"/>
        </w:rPr>
        <w:t>(Siegel &amp; Shim, 1994)</w:t>
      </w:r>
      <w:r w:rsidR="00E11DBE">
        <w:rPr>
          <w:rFonts w:asciiTheme="minorHAnsi" w:hAnsiTheme="minorHAnsi"/>
          <w:iCs/>
          <w:szCs w:val="24"/>
          <w:lang w:val="en-US"/>
        </w:rPr>
        <w:fldChar w:fldCharType="end"/>
      </w:r>
      <w:r w:rsidRPr="00414EE6">
        <w:rPr>
          <w:rFonts w:asciiTheme="minorHAnsi" w:hAnsiTheme="minorHAnsi"/>
          <w:iCs/>
          <w:szCs w:val="24"/>
        </w:rPr>
        <w:t>. Financial performance is an explanation of the economic consequence obtained by a company or bank over a determined period of time through its efforts to generate profits efficiently and effectively, and the evolution in the financial report</w:t>
      </w:r>
      <w:r w:rsidR="00E11DBE">
        <w:rPr>
          <w:rFonts w:asciiTheme="minorHAnsi" w:hAnsiTheme="minorHAnsi"/>
          <w:iCs/>
          <w:szCs w:val="24"/>
          <w:lang w:val="en-US"/>
        </w:rPr>
        <w:t xml:space="preserve"> </w:t>
      </w:r>
      <w:r w:rsidR="00E11DBE">
        <w:rPr>
          <w:rFonts w:asciiTheme="minorHAnsi" w:hAnsiTheme="minorHAnsi"/>
          <w:iCs/>
          <w:szCs w:val="24"/>
          <w:lang w:val="en-US"/>
        </w:rPr>
        <w:fldChar w:fldCharType="begin" w:fldLock="1"/>
      </w:r>
      <w:r w:rsidR="00E11DBE">
        <w:rPr>
          <w:rFonts w:asciiTheme="minorHAnsi" w:hAnsiTheme="minorHAnsi"/>
          <w:iCs/>
          <w:szCs w:val="24"/>
          <w:lang w:val="en-US"/>
        </w:rPr>
        <w:instrText>ADDIN CSL_CITATION {"citationItems":[{"id":"ITEM-1","itemData":{"DOI":"10.23917/reaksi.v1i2.2734","abstract":"This study aimed to compare the financial performance betweenConventional Bank and Islamic Bank measured by the ratio of CAR, NPL, ROA, ROE, and LDR at Conventional Bank and Islamic Banking is still under the name of one company that went public in the year 2011 to 2013.This research is a quantitative descriptive. The data usedfrom the form of annual financial statements of banks sampled in the study period of 3 years. While the sample is determined by purposive sampling method to obtain 14 banks, consisting of 7 Conventional Bank and 7 Islamic Bank. Types of data used are secondary data obtained from www.bi.go.id. The analytical method used is different test parametric paired sample T-test, based on two different types of tests used in this study stated that the results obtained CAR ratio between Conventional Bankand Islamic Bank there is a difference, but not significant, while the NPL ratio, ROA, ROE, and LDR has a significant difference.","author":[{"dropping-particle":"","family":"Putri","given":"Eskasari","non-dropping-particle":"","parse-names":false,"suffix":""},{"dropping-particle":"","family":"Dharma","given":"Arief Budhi","non-dropping-particle":"","parse-names":false,"suffix":""}],"container-title":"Riset Akuntansi dan Keuangan Indonesia","id":"ITEM-1","issue":"2","issued":{"date-parts":[["2016"]]},"page":"98-107","title":"Analisis Perbedaan Kinerja Keuangan Antara Bank Konvensional Dengan Bank Syariah","type":"article-journal","volume":"1"},"uris":["http://www.mendeley.com/documents/?uuid=a7306ca0-5ef0-4660-aecd-b7e5fd171191"]}],"mendeley":{"formattedCitation":"(Putri &amp; Dharma, 2016)","plainTextFormattedCitation":"(Putri &amp; Dharma, 2016)","previouslyFormattedCitation":"(Putri &amp; Dharma, 2016)"},"properties":{"noteIndex":0},"schema":"https://github.com/citation-style-language/schema/raw/master/csl-citation.json"}</w:instrText>
      </w:r>
      <w:r w:rsidR="00E11DBE">
        <w:rPr>
          <w:rFonts w:asciiTheme="minorHAnsi" w:hAnsiTheme="minorHAnsi"/>
          <w:iCs/>
          <w:szCs w:val="24"/>
          <w:lang w:val="en-US"/>
        </w:rPr>
        <w:fldChar w:fldCharType="separate"/>
      </w:r>
      <w:r w:rsidR="00E11DBE" w:rsidRPr="00E11DBE">
        <w:rPr>
          <w:rFonts w:asciiTheme="minorHAnsi" w:hAnsiTheme="minorHAnsi"/>
          <w:iCs/>
          <w:noProof/>
          <w:szCs w:val="24"/>
          <w:lang w:val="en-US"/>
        </w:rPr>
        <w:t>(Putri &amp; Dharma, 2016)</w:t>
      </w:r>
      <w:r w:rsidR="00E11DBE">
        <w:rPr>
          <w:rFonts w:asciiTheme="minorHAnsi" w:hAnsiTheme="minorHAnsi"/>
          <w:iCs/>
          <w:szCs w:val="24"/>
          <w:lang w:val="en-US"/>
        </w:rPr>
        <w:fldChar w:fldCharType="end"/>
      </w:r>
      <w:r w:rsidRPr="00414EE6">
        <w:rPr>
          <w:rFonts w:asciiTheme="minorHAnsi" w:hAnsiTheme="minorHAnsi"/>
          <w:iCs/>
          <w:szCs w:val="24"/>
        </w:rPr>
        <w:t>. Generally, bank performance is a description of its operational performance, and the bank financial performance is the report of bank financial position over a determined time period, both in terms of income and funding</w:t>
      </w:r>
      <w:r w:rsidR="00E11DBE">
        <w:rPr>
          <w:rFonts w:asciiTheme="minorHAnsi" w:hAnsiTheme="minorHAnsi"/>
          <w:iCs/>
          <w:szCs w:val="24"/>
          <w:lang w:val="en-US"/>
        </w:rPr>
        <w:t xml:space="preserve"> </w:t>
      </w:r>
      <w:r w:rsidR="00E11DBE">
        <w:rPr>
          <w:rFonts w:asciiTheme="minorHAnsi" w:hAnsiTheme="minorHAnsi"/>
          <w:iCs/>
          <w:szCs w:val="24"/>
          <w:lang w:val="en-US"/>
        </w:rPr>
        <w:fldChar w:fldCharType="begin" w:fldLock="1"/>
      </w:r>
      <w:r w:rsidR="00744FF1">
        <w:rPr>
          <w:rFonts w:asciiTheme="minorHAnsi" w:hAnsiTheme="minorHAnsi"/>
          <w:iCs/>
          <w:szCs w:val="24"/>
          <w:lang w:val="en-US"/>
        </w:rPr>
        <w:instrText>ADDIN CSL_CITATION {"citationItems":[{"id":"ITEM-1","itemData":{"abstract":"Bank Syariah adalah sistem perbankan dalam Ekonomi Islam didasarkan pada konsep pembagian baik keuntungan maupun kerugian. Bank-bank syariah dikembangkan berdasarkan prinsip yang tidak membolehkan pemisahan antara hal yang temporal (keduniaan) dan keagamaan. Prinsip ini mengharuskan kepatuhan kepada syariah sebagai dasar dari semua aspek kehidupan. Kepatuhan ini tidak hanya dalam hal ibadah ritual, tetapi transaksi bisnis pun harus sesuai dengan ajaran syariah. Kinerja keuangan perusahaan dapat diketahui berdasarkan hasil laporan keuangan. Hasil laporan keuangan menunjukkan kinerja perusahaan tersebut dipakai sebagai dasar penentu kebijakan bagi pemilik, manajer dan investasi. Return on assets adalah indikator yang akan menunjukkan bahwa apabila rasio ini meningkat maka aktiva bank telah digunakan dengan optimal untuk memperoleh pendapatan sehingga diperkirakan ROA dan kredit memiliki hubungan positif. Semakin besar tingkat keuntungan (ROA) yang didapat oleh bank syariah akan berpengaruh terhadap kas atau aset bank tersebut, yaitu bertambahnya total aset bank syariah, sehingga dapat menyebabkan semakin besar pula upaya manajemen menginvestasikan keuntungan tersebut dengan berbagai kegiatan yang menguntungkan manajemen, terutama dengan penyaluran pembiayaan.","author":[{"dropping-particle":"","family":"Munir","given":"Akhmad Sirojudin","non-dropping-particle":"","parse-names":false,"suffix":""}],"container-title":"Jurnal Ummul Qura","id":"ITEM-1","issue":"1","issued":{"date-parts":[["2017"]]},"page":"56-68","title":"Analisis Faktor-Faktor yang Mempengaruhi Kinerja Keuangan Perbankan di Indonesia","type":"article-journal","volume":"9"},"uris":["http://www.mendeley.com/documents/?uuid=12911d3c-8c91-45fc-b4b3-ea874060d59d"]}],"mendeley":{"formattedCitation":"(Munir, 2017)","plainTextFormattedCitation":"(Munir, 2017)","previouslyFormattedCitation":"(Munir, 2017)"},"properties":{"noteIndex":0},"schema":"https://github.com/citation-style-language/schema/raw/master/csl-citation.json"}</w:instrText>
      </w:r>
      <w:r w:rsidR="00E11DBE">
        <w:rPr>
          <w:rFonts w:asciiTheme="minorHAnsi" w:hAnsiTheme="minorHAnsi"/>
          <w:iCs/>
          <w:szCs w:val="24"/>
          <w:lang w:val="en-US"/>
        </w:rPr>
        <w:fldChar w:fldCharType="separate"/>
      </w:r>
      <w:r w:rsidR="00E11DBE" w:rsidRPr="00E11DBE">
        <w:rPr>
          <w:rFonts w:asciiTheme="minorHAnsi" w:hAnsiTheme="minorHAnsi"/>
          <w:iCs/>
          <w:noProof/>
          <w:szCs w:val="24"/>
          <w:lang w:val="en-US"/>
        </w:rPr>
        <w:t>(Munir, 2017)</w:t>
      </w:r>
      <w:r w:rsidR="00E11DBE">
        <w:rPr>
          <w:rFonts w:asciiTheme="minorHAnsi" w:hAnsiTheme="minorHAnsi"/>
          <w:iCs/>
          <w:szCs w:val="24"/>
          <w:lang w:val="en-US"/>
        </w:rPr>
        <w:fldChar w:fldCharType="end"/>
      </w:r>
      <w:r w:rsidRPr="00414EE6">
        <w:rPr>
          <w:rFonts w:asciiTheme="minorHAnsi" w:hAnsiTheme="minorHAnsi"/>
          <w:iCs/>
          <w:szCs w:val="24"/>
        </w:rPr>
        <w:t>.</w:t>
      </w:r>
    </w:p>
    <w:p w14:paraId="567C47B5" w14:textId="77777777" w:rsidR="003F532D" w:rsidRPr="003F532D" w:rsidRDefault="003F532D" w:rsidP="003F532D">
      <w:pPr>
        <w:pBdr>
          <w:top w:val="nil"/>
          <w:left w:val="nil"/>
          <w:bottom w:val="nil"/>
          <w:right w:val="nil"/>
          <w:between w:val="nil"/>
        </w:pBdr>
        <w:spacing w:line="276" w:lineRule="auto"/>
        <w:ind w:leftChars="0" w:left="0" w:firstLineChars="0" w:firstLine="564"/>
        <w:rPr>
          <w:rFonts w:asciiTheme="minorHAnsi" w:hAnsiTheme="minorHAnsi"/>
          <w:iCs/>
          <w:szCs w:val="24"/>
          <w:lang w:val="en-US"/>
        </w:rPr>
      </w:pPr>
    </w:p>
    <w:p w14:paraId="786BB29D" w14:textId="77777777" w:rsidR="00414EE6" w:rsidRPr="00414EE6" w:rsidRDefault="00414EE6" w:rsidP="00414EE6">
      <w:pPr>
        <w:pBdr>
          <w:top w:val="nil"/>
          <w:left w:val="nil"/>
          <w:bottom w:val="nil"/>
          <w:right w:val="nil"/>
          <w:between w:val="nil"/>
        </w:pBdr>
        <w:spacing w:line="276" w:lineRule="auto"/>
        <w:ind w:left="0" w:hanging="2"/>
        <w:rPr>
          <w:rFonts w:ascii="Cambria" w:eastAsia="Cambria" w:hAnsi="Cambria" w:cs="Cambria"/>
          <w:b/>
          <w:bCs/>
          <w:color w:val="000000"/>
          <w:szCs w:val="24"/>
        </w:rPr>
      </w:pPr>
      <w:r w:rsidRPr="00414EE6">
        <w:rPr>
          <w:rFonts w:ascii="Cambria" w:eastAsia="Cambria" w:hAnsi="Cambria" w:cs="Cambria"/>
          <w:b/>
          <w:bCs/>
          <w:color w:val="000000"/>
          <w:szCs w:val="24"/>
        </w:rPr>
        <w:t>Signaling Theory</w:t>
      </w:r>
    </w:p>
    <w:p w14:paraId="1C78C030" w14:textId="0AF51561" w:rsidR="00414EE6" w:rsidRDefault="00414EE6" w:rsidP="00842C59">
      <w:pPr>
        <w:pBdr>
          <w:top w:val="nil"/>
          <w:left w:val="nil"/>
          <w:bottom w:val="nil"/>
          <w:right w:val="nil"/>
          <w:between w:val="nil"/>
        </w:pBdr>
        <w:spacing w:line="276" w:lineRule="auto"/>
        <w:ind w:leftChars="0" w:left="0" w:firstLineChars="0" w:firstLine="567"/>
        <w:rPr>
          <w:rFonts w:ascii="Cambria" w:eastAsia="Cambria" w:hAnsi="Cambria" w:cs="Cambria"/>
          <w:color w:val="000000"/>
          <w:szCs w:val="24"/>
        </w:rPr>
      </w:pPr>
      <w:r w:rsidRPr="00414EE6">
        <w:rPr>
          <w:rFonts w:ascii="Cambria" w:eastAsia="Cambria" w:hAnsi="Cambria" w:cs="Cambria"/>
          <w:color w:val="000000"/>
          <w:szCs w:val="24"/>
        </w:rPr>
        <w:t>Signaling theory is a sign or signal of information needed by investors and potential investors to determine and consider whether or not investors will invest in the company. So signaling theory is a useful framework for understanding how companies use voluntary disclosures to signal their performance to investors and other stakeholders. Signaling theory is based on the assumption that the information received by each party is not the same. This theory is related to information asymmetry which indicates the existence of information asymmetry between company management and parties with information interests</w:t>
      </w:r>
      <w:r w:rsidR="00CD72E8">
        <w:rPr>
          <w:rFonts w:ascii="Cambria" w:eastAsia="Cambria" w:hAnsi="Cambria" w:cs="Cambria"/>
          <w:color w:val="000000"/>
          <w:szCs w:val="24"/>
          <w:lang w:val="en-US"/>
        </w:rPr>
        <w:t xml:space="preserve"> </w:t>
      </w:r>
      <w:r w:rsidR="00CD72E8">
        <w:rPr>
          <w:rFonts w:ascii="Cambria" w:eastAsia="Cambria" w:hAnsi="Cambria" w:cs="Cambria"/>
          <w:color w:val="000000"/>
          <w:szCs w:val="24"/>
          <w:lang w:val="en-US"/>
        </w:rPr>
        <w:fldChar w:fldCharType="begin" w:fldLock="1"/>
      </w:r>
      <w:r w:rsidR="00CD72E8">
        <w:rPr>
          <w:rFonts w:ascii="Cambria" w:eastAsia="Cambria" w:hAnsi="Cambria" w:cs="Cambria"/>
          <w:color w:val="000000"/>
          <w:szCs w:val="24"/>
          <w:lang w:val="en-US"/>
        </w:rPr>
        <w:instrText>ADDIN CSL_CITATION {"citationItems":[{"id":"ITEM-1","itemData":{"DOI":"10.3389/fpsyg.2020.591753","ISSN":"16641078","abstract":"The increasing interest in online shopping in recent years has increased the importance of understanding customer engagement valence (CEV) in a virtual service network. There is yet a comprehensive explanation of the CEV concept, particularly its impact on multi-actor networks such as web stores. Therefore, this study aims to fill this research gap. In this study, past literature in the marketing and consumer psychology field was critically reviewed to understand the concept of CEV in online shopping, and the propositional-based style was employed to conceptualize the CEV within the online shopping (web stores) context. The outcomes demonstrate that the valence of customer engagement is dependent on the cognitive interpretation of signals that are prompted by multiple actors on a web store service network. If the signals are positively interpreted, positive outcomes such as service co-creation are expected, but if they are negatively interpreted, negative outcomes such as service co-destruction are predicted. These notions create avenues for future empirical research and practical implications.","author":[{"dropping-particle":"","family":"Siddique","given":"Junaid","non-dropping-particle":"","parse-names":false,"suffix":""},{"dropping-particle":"","family":"Shamim","given":"Amjad","non-dropping-particle":"","parse-names":false,"suffix":""},{"dropping-particle":"","family":"Nawaz","given":"Muhammad","non-dropping-particle":"","parse-names":false,"suffix":""},{"dropping-particle":"","family":"Faye","given":"Ibrahima","non-dropping-particle":"","parse-names":false,"suffix":""},{"dropping-particle":"","family":"Rehman","given":"Mobashar","non-dropping-particle":"","parse-names":false,"suffix":""}],"container-title":"Frontiers in Psychology","id":"ITEM-1","issue":"591753","issued":{"date-parts":[["2021"]]},"page":"1-7","title":"Co-creation or Co-destruction: A Perspective of Online Customer Engagement Valence","type":"article-journal","volume":"11"},"uris":["http://www.mendeley.com/documents/?uuid=127aa991-5557-4042-93fc-01e2e026bffd"]}],"mendeley":{"formattedCitation":"(Siddique et al., 2021)","plainTextFormattedCitation":"(Siddique et al., 2021)","previouslyFormattedCitation":"(Siddique et al., 2021)"},"properties":{"noteIndex":0},"schema":"https://github.com/citation-style-language/schema/raw/master/csl-citation.json"}</w:instrText>
      </w:r>
      <w:r w:rsidR="00CD72E8">
        <w:rPr>
          <w:rFonts w:ascii="Cambria" w:eastAsia="Cambria" w:hAnsi="Cambria" w:cs="Cambria"/>
          <w:color w:val="000000"/>
          <w:szCs w:val="24"/>
          <w:lang w:val="en-US"/>
        </w:rPr>
        <w:fldChar w:fldCharType="separate"/>
      </w:r>
      <w:r w:rsidR="00CD72E8" w:rsidRPr="00CD72E8">
        <w:rPr>
          <w:rFonts w:ascii="Cambria" w:eastAsia="Cambria" w:hAnsi="Cambria" w:cs="Cambria"/>
          <w:noProof/>
          <w:color w:val="000000"/>
          <w:szCs w:val="24"/>
          <w:lang w:val="en-US"/>
        </w:rPr>
        <w:t>(Siddique et al., 2021)</w:t>
      </w:r>
      <w:r w:rsidR="00CD72E8">
        <w:rPr>
          <w:rFonts w:ascii="Cambria" w:eastAsia="Cambria" w:hAnsi="Cambria" w:cs="Cambria"/>
          <w:color w:val="000000"/>
          <w:szCs w:val="24"/>
          <w:lang w:val="en-US"/>
        </w:rPr>
        <w:fldChar w:fldCharType="end"/>
      </w:r>
      <w:r w:rsidRPr="00414EE6">
        <w:rPr>
          <w:rFonts w:ascii="Cambria" w:eastAsia="Cambria" w:hAnsi="Cambria" w:cs="Cambria"/>
          <w:color w:val="000000"/>
          <w:szCs w:val="24"/>
        </w:rPr>
        <w:t>.</w:t>
      </w:r>
    </w:p>
    <w:p w14:paraId="6D98C9EA" w14:textId="7487D804" w:rsidR="00414EE6" w:rsidRDefault="00414EE6">
      <w:pPr>
        <w:pBdr>
          <w:top w:val="nil"/>
          <w:left w:val="nil"/>
          <w:bottom w:val="nil"/>
          <w:right w:val="nil"/>
          <w:between w:val="nil"/>
        </w:pBdr>
        <w:spacing w:line="276" w:lineRule="auto"/>
        <w:ind w:left="0" w:hanging="2"/>
        <w:rPr>
          <w:rFonts w:ascii="Cambria" w:eastAsia="Cambria" w:hAnsi="Cambria" w:cs="Cambria"/>
          <w:color w:val="000000"/>
          <w:szCs w:val="24"/>
        </w:rPr>
      </w:pPr>
    </w:p>
    <w:p w14:paraId="1FD55E3C" w14:textId="77777777" w:rsidR="00414EE6" w:rsidRPr="00414EE6" w:rsidRDefault="00414EE6" w:rsidP="00414EE6">
      <w:pPr>
        <w:pBdr>
          <w:top w:val="nil"/>
          <w:left w:val="nil"/>
          <w:bottom w:val="nil"/>
          <w:right w:val="nil"/>
          <w:between w:val="nil"/>
        </w:pBdr>
        <w:spacing w:line="276" w:lineRule="auto"/>
        <w:ind w:left="0" w:hanging="2"/>
        <w:rPr>
          <w:rFonts w:ascii="Cambria" w:eastAsia="Cambria" w:hAnsi="Cambria" w:cs="Cambria"/>
          <w:b/>
          <w:bCs/>
          <w:color w:val="000000"/>
          <w:szCs w:val="24"/>
        </w:rPr>
      </w:pPr>
      <w:r w:rsidRPr="00414EE6">
        <w:rPr>
          <w:rFonts w:ascii="Cambria" w:eastAsia="Cambria" w:hAnsi="Cambria" w:cs="Cambria"/>
          <w:b/>
          <w:bCs/>
          <w:color w:val="000000"/>
          <w:szCs w:val="24"/>
        </w:rPr>
        <w:t>Risk Management Theory</w:t>
      </w:r>
    </w:p>
    <w:p w14:paraId="2C703944" w14:textId="298DA8EC" w:rsidR="00842C59" w:rsidRDefault="00414EE6" w:rsidP="00842C59">
      <w:pPr>
        <w:pBdr>
          <w:top w:val="nil"/>
          <w:left w:val="nil"/>
          <w:bottom w:val="nil"/>
          <w:right w:val="nil"/>
          <w:between w:val="nil"/>
        </w:pBdr>
        <w:spacing w:line="276" w:lineRule="auto"/>
        <w:ind w:leftChars="0" w:left="0" w:firstLineChars="0" w:firstLine="567"/>
        <w:rPr>
          <w:rFonts w:ascii="Cambria" w:eastAsia="Cambria" w:hAnsi="Cambria" w:cs="Cambria"/>
          <w:color w:val="000000"/>
          <w:szCs w:val="24"/>
        </w:rPr>
      </w:pPr>
      <w:r w:rsidRPr="00414EE6">
        <w:rPr>
          <w:rFonts w:ascii="Cambria" w:eastAsia="Cambria" w:hAnsi="Cambria" w:cs="Cambria"/>
          <w:color w:val="000000"/>
          <w:szCs w:val="24"/>
        </w:rPr>
        <w:t xml:space="preserve">Risk Management Theory is a complex and diverse approach to identify, analyze, evaluate, and manage risks in many contexts, such as business, </w:t>
      </w:r>
      <w:r w:rsidRPr="00414EE6">
        <w:rPr>
          <w:rFonts w:ascii="Cambria" w:eastAsia="Cambria" w:hAnsi="Cambria" w:cs="Cambria"/>
          <w:color w:val="000000"/>
          <w:szCs w:val="24"/>
        </w:rPr>
        <w:lastRenderedPageBreak/>
        <w:t>finance, project, health, technology, environment, and many more. It is an attempt to recognize, analyze and control risks in the company activities with a purpose to obtain higher effectivity and efficiency</w:t>
      </w:r>
      <w:r w:rsidR="00744FF1">
        <w:rPr>
          <w:rFonts w:ascii="Cambria" w:eastAsia="Cambria" w:hAnsi="Cambria" w:cs="Cambria"/>
          <w:color w:val="000000"/>
          <w:szCs w:val="24"/>
          <w:lang w:val="en-US"/>
        </w:rPr>
        <w:t xml:space="preserve"> </w:t>
      </w:r>
      <w:r w:rsidR="00744FF1">
        <w:rPr>
          <w:rFonts w:ascii="Cambria" w:eastAsia="Cambria" w:hAnsi="Cambria" w:cs="Cambria"/>
          <w:color w:val="000000"/>
          <w:szCs w:val="24"/>
          <w:lang w:val="en-US"/>
        </w:rPr>
        <w:fldChar w:fldCharType="begin" w:fldLock="1"/>
      </w:r>
      <w:r w:rsidR="00744FF1">
        <w:rPr>
          <w:rFonts w:ascii="Cambria" w:eastAsia="Cambria" w:hAnsi="Cambria" w:cs="Cambria"/>
          <w:color w:val="000000"/>
          <w:szCs w:val="24"/>
          <w:lang w:val="en-US"/>
        </w:rPr>
        <w:instrText>ADDIN CSL_CITATION {"citationItems":[{"id":"ITEM-1","itemData":{"ISBN":"9786022173984","author":[{"dropping-particle":"","family":"Darmawi","given":"Herman","non-dropping-particle":"","parse-names":false,"suffix":""}],"edition":"2","id":"ITEM-1","issued":{"date-parts":[["1990"]]},"number-of-pages":"225","publisher":"PT Bumi Aksara","publisher-place":"Jakarta","title":"Manajemen Risiko","type":"book"},"uris":["http://www.mendeley.com/documents/?uuid=5c8a3cca-4ca8-4799-9764-7465745497e8"]}],"mendeley":{"formattedCitation":"(Darmawi, 1990)","plainTextFormattedCitation":"(Darmawi, 1990)","previouslyFormattedCitation":"(Darmawi, 1990)"},"properties":{"noteIndex":0},"schema":"https://github.com/citation-style-language/schema/raw/master/csl-citation.json"}</w:instrText>
      </w:r>
      <w:r w:rsidR="00744FF1">
        <w:rPr>
          <w:rFonts w:ascii="Cambria" w:eastAsia="Cambria" w:hAnsi="Cambria" w:cs="Cambria"/>
          <w:color w:val="000000"/>
          <w:szCs w:val="24"/>
          <w:lang w:val="en-US"/>
        </w:rPr>
        <w:fldChar w:fldCharType="separate"/>
      </w:r>
      <w:r w:rsidR="00744FF1" w:rsidRPr="00744FF1">
        <w:rPr>
          <w:rFonts w:ascii="Cambria" w:eastAsia="Cambria" w:hAnsi="Cambria" w:cs="Cambria"/>
          <w:noProof/>
          <w:color w:val="000000"/>
          <w:szCs w:val="24"/>
          <w:lang w:val="en-US"/>
        </w:rPr>
        <w:t>(Darmawi, 1990)</w:t>
      </w:r>
      <w:r w:rsidR="00744FF1">
        <w:rPr>
          <w:rFonts w:ascii="Cambria" w:eastAsia="Cambria" w:hAnsi="Cambria" w:cs="Cambria"/>
          <w:color w:val="000000"/>
          <w:szCs w:val="24"/>
          <w:lang w:val="en-US"/>
        </w:rPr>
        <w:fldChar w:fldCharType="end"/>
      </w:r>
      <w:r w:rsidRPr="00414EE6">
        <w:rPr>
          <w:rFonts w:ascii="Cambria" w:eastAsia="Cambria" w:hAnsi="Cambria" w:cs="Cambria"/>
          <w:color w:val="000000"/>
          <w:szCs w:val="24"/>
        </w:rPr>
        <w:t>. The Risk Management Theory shows how COSO ERM can be integrated to support strategic and financial</w:t>
      </w:r>
      <w:r w:rsidR="00744FF1">
        <w:rPr>
          <w:rFonts w:ascii="Cambria" w:eastAsia="Cambria" w:hAnsi="Cambria" w:cs="Cambria"/>
          <w:color w:val="000000"/>
          <w:szCs w:val="24"/>
          <w:lang w:val="en-US"/>
        </w:rPr>
        <w:t xml:space="preserve"> </w:t>
      </w:r>
      <w:r w:rsidR="00744FF1">
        <w:rPr>
          <w:rFonts w:ascii="Cambria" w:eastAsia="Cambria" w:hAnsi="Cambria" w:cs="Cambria"/>
          <w:color w:val="000000"/>
          <w:szCs w:val="24"/>
          <w:lang w:val="en-US"/>
        </w:rPr>
        <w:fldChar w:fldCharType="begin" w:fldLock="1"/>
      </w:r>
      <w:r w:rsidR="00744FF1">
        <w:rPr>
          <w:rFonts w:ascii="Cambria" w:eastAsia="Cambria" w:hAnsi="Cambria" w:cs="Cambria"/>
          <w:color w:val="000000"/>
          <w:szCs w:val="24"/>
          <w:lang w:val="en-US"/>
        </w:rPr>
        <w:instrText>ADDIN CSL_CITATION {"citationItems":[{"id":"ITEM-1","itemData":{"DOI":"10.1016/j.ribaf.2017.07.036","abstract":"The purpose of this paper is to present the differences and similarities between corporate governance principles in Islamic banks and conventional banks by paradigmatic diversification. Corporate governance in Islamic banks is a social phenomenon in Islamic societies, the paper uses social theory paradigms (functionalist, interpretive, radical humanist and radical structuralist) to compare between corporate governance in Islamic banks and conventional banks. This paper shows that the existence of Islamic governance demonstrates that mainstream corporate governance is not a law of nature but a social construct.","author":[{"dropping-particle":"","family":"Shibani","given":"Osama","non-dropping-particle":"","parse-names":false,"suffix":""},{"dropping-particle":"","family":"Fuentes","given":"Cristina","non-dropping-particle":"De","parse-names":false,"suffix":""}],"container-title":"Research in International Business and Finance","id":"ITEM-1","issued":{"date-parts":[["2017"]]},"page":"1005-1010","title":"The Differences And The Similarities Between Corporate Governance Principles in Islamic Banks And Conventional Banks","type":"article-journal","volume":"42"},"uris":["http://www.mendeley.com/documents/?uuid=58b7dae5-0086-435c-9729-241dd7da05f6"]}],"mendeley":{"formattedCitation":"(Shibani &amp; De Fuentes, 2017)","plainTextFormattedCitation":"(Shibani &amp; De Fuentes, 2017)","previouslyFormattedCitation":"(Shibani &amp; De Fuentes, 2017)"},"properties":{"noteIndex":0},"schema":"https://github.com/citation-style-language/schema/raw/master/csl-citation.json"}</w:instrText>
      </w:r>
      <w:r w:rsidR="00744FF1">
        <w:rPr>
          <w:rFonts w:ascii="Cambria" w:eastAsia="Cambria" w:hAnsi="Cambria" w:cs="Cambria"/>
          <w:color w:val="000000"/>
          <w:szCs w:val="24"/>
          <w:lang w:val="en-US"/>
        </w:rPr>
        <w:fldChar w:fldCharType="separate"/>
      </w:r>
      <w:r w:rsidR="00744FF1" w:rsidRPr="00744FF1">
        <w:rPr>
          <w:rFonts w:ascii="Cambria" w:eastAsia="Cambria" w:hAnsi="Cambria" w:cs="Cambria"/>
          <w:noProof/>
          <w:color w:val="000000"/>
          <w:szCs w:val="24"/>
          <w:lang w:val="en-US"/>
        </w:rPr>
        <w:t>(Shibani &amp; De Fuentes, 2017)</w:t>
      </w:r>
      <w:r w:rsidR="00744FF1">
        <w:rPr>
          <w:rFonts w:ascii="Cambria" w:eastAsia="Cambria" w:hAnsi="Cambria" w:cs="Cambria"/>
          <w:color w:val="000000"/>
          <w:szCs w:val="24"/>
          <w:lang w:val="en-US"/>
        </w:rPr>
        <w:fldChar w:fldCharType="end"/>
      </w:r>
      <w:r w:rsidRPr="00414EE6">
        <w:rPr>
          <w:rFonts w:ascii="Cambria" w:eastAsia="Cambria" w:hAnsi="Cambria" w:cs="Cambria"/>
          <w:color w:val="000000"/>
          <w:szCs w:val="24"/>
        </w:rPr>
        <w:t>. It is found that the implementation of ERM has an affirmative relation with the company performance, particularly with the companies that have high uncertainty level</w:t>
      </w:r>
      <w:r w:rsidR="00744FF1">
        <w:rPr>
          <w:rFonts w:ascii="Cambria" w:eastAsia="Cambria" w:hAnsi="Cambria" w:cs="Cambria"/>
          <w:color w:val="000000"/>
          <w:szCs w:val="24"/>
          <w:lang w:val="en-US"/>
        </w:rPr>
        <w:t xml:space="preserve"> </w:t>
      </w:r>
      <w:r w:rsidR="00744FF1">
        <w:rPr>
          <w:rFonts w:ascii="Cambria" w:eastAsia="Cambria" w:hAnsi="Cambria" w:cs="Cambria"/>
          <w:color w:val="000000"/>
          <w:szCs w:val="24"/>
          <w:lang w:val="en-US"/>
        </w:rPr>
        <w:fldChar w:fldCharType="begin" w:fldLock="1"/>
      </w:r>
      <w:r w:rsidR="00744FF1">
        <w:rPr>
          <w:rFonts w:ascii="Cambria" w:eastAsia="Cambria" w:hAnsi="Cambria" w:cs="Cambria"/>
          <w:color w:val="000000"/>
          <w:szCs w:val="24"/>
          <w:lang w:val="en-US"/>
        </w:rPr>
        <w:instrText>ADDIN CSL_CITATION {"citationItems":[{"id":"ITEM-1","itemData":{"DOI":"10.1016/j.jaccpubpol.2009.06.006","ISSN":"02784254","abstract":"In recent years, a paradigm shift has occurred regarding the way organizations view risk management. Instead of looking at risk management from a silo-based perspective, the trend is to take a holistic view of risk management. This holistic approach toward managing an organization's risk is commonly referred to as enterprise risk management (ERM). Indeed, there is growing support for the general argument that organizations will improve their performance by employing the ERM concept. The basic argument presented in this paper is that the relation between ERM and firm performance is contingent upon the appropriate match between ERM and the following five factors affecting a firm: environmental uncertainty, industry competition, firm size, firm complexity, and board of directors' monitoring. Based on a sample of 112 US firms that disclose the implementation of their ERM activities within their 10Ks and 10Qs filed with the US Securities and Exchange Commission, empirical evidence confirms the above basic argument. The implication of these findings is that firms should consider the implementation of an ERM system in conjunction with contextual variables surrounding the firm. © 2009 Elsevier Inc. All rights reserved.","author":[{"dropping-particle":"","family":"Gordon","given":"Lawrence A.","non-dropping-particle":"","parse-names":false,"suffix":""},{"dropping-particle":"","family":"Loeb","given":"Martin P.","non-dropping-particle":"","parse-names":false,"suffix":""},{"dropping-particle":"","family":"Tseng","given":"Chih Yang","non-dropping-particle":"","parse-names":false,"suffix":""}],"container-title":"Journal of Accounting and Public Policy","id":"ITEM-1","issue":"4","issued":{"date-parts":[["2009"]]},"page":"301-327","publisher":"Elsevier Inc.","title":"Enterprise Risk Management And Firm Performance: A Contingency Perspective","type":"article-journal","volume":"28"},"uris":["http://www.mendeley.com/documents/?uuid=6bcadcef-32b8-4ebc-bf65-2faa55078d5f"]}],"mendeley":{"formattedCitation":"(Gordon et al., 2009)","plainTextFormattedCitation":"(Gordon et al., 2009)","previouslyFormattedCitation":"(Gordon et al., 2009)"},"properties":{"noteIndex":0},"schema":"https://github.com/citation-style-language/schema/raw/master/csl-citation.json"}</w:instrText>
      </w:r>
      <w:r w:rsidR="00744FF1">
        <w:rPr>
          <w:rFonts w:ascii="Cambria" w:eastAsia="Cambria" w:hAnsi="Cambria" w:cs="Cambria"/>
          <w:color w:val="000000"/>
          <w:szCs w:val="24"/>
          <w:lang w:val="en-US"/>
        </w:rPr>
        <w:fldChar w:fldCharType="separate"/>
      </w:r>
      <w:r w:rsidR="00744FF1" w:rsidRPr="00744FF1">
        <w:rPr>
          <w:rFonts w:ascii="Cambria" w:eastAsia="Cambria" w:hAnsi="Cambria" w:cs="Cambria"/>
          <w:noProof/>
          <w:color w:val="000000"/>
          <w:szCs w:val="24"/>
          <w:lang w:val="en-US"/>
        </w:rPr>
        <w:t>(Gordon et al., 2009)</w:t>
      </w:r>
      <w:r w:rsidR="00744FF1">
        <w:rPr>
          <w:rFonts w:ascii="Cambria" w:eastAsia="Cambria" w:hAnsi="Cambria" w:cs="Cambria"/>
          <w:color w:val="000000"/>
          <w:szCs w:val="24"/>
          <w:lang w:val="en-US"/>
        </w:rPr>
        <w:fldChar w:fldCharType="end"/>
      </w:r>
      <w:r w:rsidRPr="00414EE6">
        <w:rPr>
          <w:rFonts w:ascii="Cambria" w:eastAsia="Cambria" w:hAnsi="Cambria" w:cs="Cambria"/>
          <w:color w:val="000000"/>
          <w:szCs w:val="24"/>
        </w:rPr>
        <w:t>. In this theory, corporates which adopted ERM tend to have lower market risks, as it affects the stability and financial report of the corporates</w:t>
      </w:r>
      <w:r w:rsidR="00744FF1">
        <w:rPr>
          <w:rFonts w:ascii="Cambria" w:eastAsia="Cambria" w:hAnsi="Cambria" w:cs="Cambria"/>
          <w:color w:val="000000"/>
          <w:szCs w:val="24"/>
          <w:lang w:val="en-US"/>
        </w:rPr>
        <w:t xml:space="preserve"> </w:t>
      </w:r>
      <w:r w:rsidR="00744FF1">
        <w:rPr>
          <w:rFonts w:ascii="Cambria" w:eastAsia="Cambria" w:hAnsi="Cambria" w:cs="Cambria"/>
          <w:color w:val="000000"/>
          <w:szCs w:val="24"/>
          <w:lang w:val="en-US"/>
        </w:rPr>
        <w:fldChar w:fldCharType="begin" w:fldLock="1"/>
      </w:r>
      <w:r w:rsidR="00E75E7F">
        <w:rPr>
          <w:rFonts w:ascii="Cambria" w:eastAsia="Cambria" w:hAnsi="Cambria" w:cs="Cambria"/>
          <w:color w:val="000000"/>
          <w:szCs w:val="24"/>
          <w:lang w:val="en-US"/>
        </w:rPr>
        <w:instrText>ADDIN CSL_CITATION {"citationItems":[{"id":"ITEM-1","itemData":{"DOI":"10.1177/0148558x0802300303","author":[{"dropping-particle":"","family":"Beasley","given":"Mark","non-dropping-particle":"","parse-names":false,"suffix":""},{"dropping-particle":"","family":"Pagach","given":"Don","non-dropping-particle":"","parse-names":false,"suffix":""},{"dropping-particle":"","family":"Warr","given":"Richard","non-dropping-particle":"","parse-names":false,"suffix":""}],"container-title":"Journal of Accounting, Auditing &amp; Finance","id":"ITEM-1","issue":"3","issued":{"date-parts":[["2008"]]},"page":"311-332","title":"Information Conveyed in Hiring Announcements of Senior Executives Overseeing Enterprise-Wide Risk Management Processes","type":"article-journal","volume":"23"},"uris":["http://www.mendeley.com/documents/?uuid=d41b8bf0-075a-47e5-a50a-50b9e2b61c79"]}],"mendeley":{"formattedCitation":"(M. Beasley et al., 2008)","plainTextFormattedCitation":"(M. Beasley et al., 2008)","previouslyFormattedCitation":"(M. Beasley et al., 2008)"},"properties":{"noteIndex":0},"schema":"https://github.com/citation-style-language/schema/raw/master/csl-citation.json"}</w:instrText>
      </w:r>
      <w:r w:rsidR="00744FF1">
        <w:rPr>
          <w:rFonts w:ascii="Cambria" w:eastAsia="Cambria" w:hAnsi="Cambria" w:cs="Cambria"/>
          <w:color w:val="000000"/>
          <w:szCs w:val="24"/>
          <w:lang w:val="en-US"/>
        </w:rPr>
        <w:fldChar w:fldCharType="separate"/>
      </w:r>
      <w:r w:rsidR="00E75E7F" w:rsidRPr="00E75E7F">
        <w:rPr>
          <w:rFonts w:ascii="Cambria" w:eastAsia="Cambria" w:hAnsi="Cambria" w:cs="Cambria"/>
          <w:noProof/>
          <w:color w:val="000000"/>
          <w:szCs w:val="24"/>
          <w:lang w:val="en-US"/>
        </w:rPr>
        <w:t>(M. Beasley et al., 2008)</w:t>
      </w:r>
      <w:r w:rsidR="00744FF1">
        <w:rPr>
          <w:rFonts w:ascii="Cambria" w:eastAsia="Cambria" w:hAnsi="Cambria" w:cs="Cambria"/>
          <w:color w:val="000000"/>
          <w:szCs w:val="24"/>
          <w:lang w:val="en-US"/>
        </w:rPr>
        <w:fldChar w:fldCharType="end"/>
      </w:r>
      <w:r w:rsidRPr="00414EE6">
        <w:rPr>
          <w:rFonts w:ascii="Cambria" w:eastAsia="Cambria" w:hAnsi="Cambria" w:cs="Cambria"/>
          <w:color w:val="000000"/>
          <w:szCs w:val="24"/>
        </w:rPr>
        <w:t>.  By combining the Risk Management Theory, COSO (ERM), CSF and ICG, the organizations are able to build an effective and sustainable risk management system to encounter obstacles and uncertainty in the global market. Their relations are very important because COSO (ERM) Framework facilitate a structured approach to practice an effective risk management in an organization</w:t>
      </w:r>
      <w:r w:rsidR="00CD72E8">
        <w:rPr>
          <w:rFonts w:ascii="Cambria" w:eastAsia="Cambria" w:hAnsi="Cambria" w:cs="Cambria"/>
          <w:color w:val="000000"/>
          <w:szCs w:val="24"/>
          <w:lang w:val="en-US"/>
        </w:rPr>
        <w:t xml:space="preserve"> </w:t>
      </w:r>
      <w:r w:rsidR="00CD72E8">
        <w:rPr>
          <w:rFonts w:ascii="Cambria" w:eastAsia="Cambria" w:hAnsi="Cambria" w:cs="Cambria"/>
          <w:color w:val="000000"/>
          <w:szCs w:val="24"/>
          <w:lang w:val="en-US"/>
        </w:rPr>
        <w:fldChar w:fldCharType="begin" w:fldLock="1"/>
      </w:r>
      <w:r w:rsidR="00CD72E8">
        <w:rPr>
          <w:rFonts w:ascii="Cambria" w:eastAsia="Cambria" w:hAnsi="Cambria" w:cs="Cambria"/>
          <w:color w:val="000000"/>
          <w:szCs w:val="24"/>
          <w:lang w:val="en-US"/>
        </w:rPr>
        <w:instrText>ADDIN CSL_CITATION {"citationItems":[{"id":"ITEM-1","itemData":{"ISBN":"0870516191","author":[{"dropping-particle":"","family":"Epstein","given":"Marc J","non-dropping-particle":"","parse-names":false,"suffix":""},{"dropping-particle":"","family":"Buhovac","given":"Adriana Rejc","non-dropping-particle":"","parse-names":false,"suffix":""}],"id":"ITEM-1","issued":{"date-parts":[["2005"]]},"number-of-pages":"40","publisher":"Society of Management Accountants of Canada","publisher-place":"Port of Spain","title":"Identifying, Measuring, And Managing Organizational Risks For Improved Performance: Management Accounting Guideline","type":"book"},"uris":["http://www.mendeley.com/documents/?uuid=1ced7c57-e8a9-4928-93c4-a34009c33388"]}],"mendeley":{"formattedCitation":"(Epstein &amp; Buhovac, 2005)","plainTextFormattedCitation":"(Epstein &amp; Buhovac, 2005)","previouslyFormattedCitation":"(Epstein &amp; Buhovac, 2005)"},"properties":{"noteIndex":0},"schema":"https://github.com/citation-style-language/schema/raw/master/csl-citation.json"}</w:instrText>
      </w:r>
      <w:r w:rsidR="00CD72E8">
        <w:rPr>
          <w:rFonts w:ascii="Cambria" w:eastAsia="Cambria" w:hAnsi="Cambria" w:cs="Cambria"/>
          <w:color w:val="000000"/>
          <w:szCs w:val="24"/>
          <w:lang w:val="en-US"/>
        </w:rPr>
        <w:fldChar w:fldCharType="separate"/>
      </w:r>
      <w:r w:rsidR="00CD72E8" w:rsidRPr="00CD72E8">
        <w:rPr>
          <w:rFonts w:ascii="Cambria" w:eastAsia="Cambria" w:hAnsi="Cambria" w:cs="Cambria"/>
          <w:noProof/>
          <w:color w:val="000000"/>
          <w:szCs w:val="24"/>
          <w:lang w:val="en-US"/>
        </w:rPr>
        <w:t>(Epstein &amp; Buhovac, 2005)</w:t>
      </w:r>
      <w:r w:rsidR="00CD72E8">
        <w:rPr>
          <w:rFonts w:ascii="Cambria" w:eastAsia="Cambria" w:hAnsi="Cambria" w:cs="Cambria"/>
          <w:color w:val="000000"/>
          <w:szCs w:val="24"/>
          <w:lang w:val="en-US"/>
        </w:rPr>
        <w:fldChar w:fldCharType="end"/>
      </w:r>
      <w:r w:rsidRPr="00414EE6">
        <w:rPr>
          <w:rFonts w:ascii="Cambria" w:eastAsia="Cambria" w:hAnsi="Cambria" w:cs="Cambria"/>
          <w:color w:val="000000"/>
          <w:szCs w:val="24"/>
        </w:rPr>
        <w:t>. The structured framework of COSO (ERM) is a framework that is widely recognized to give a comprehensive structured approach to accomplish the risks. It will help organizations to apply the risk principles systematically based on the established risk management theory.</w:t>
      </w:r>
    </w:p>
    <w:p w14:paraId="2C1CA622" w14:textId="77777777" w:rsidR="00171496" w:rsidRDefault="00171496">
      <w:pPr>
        <w:pBdr>
          <w:top w:val="nil"/>
          <w:left w:val="nil"/>
          <w:bottom w:val="nil"/>
          <w:right w:val="nil"/>
          <w:between w:val="nil"/>
        </w:pBdr>
        <w:spacing w:line="276" w:lineRule="auto"/>
        <w:ind w:left="0" w:hanging="2"/>
        <w:rPr>
          <w:rFonts w:ascii="Cambria" w:eastAsia="Cambria" w:hAnsi="Cambria" w:cs="Cambria"/>
          <w:color w:val="000000"/>
          <w:szCs w:val="24"/>
        </w:rPr>
      </w:pPr>
    </w:p>
    <w:p w14:paraId="621E34A6" w14:textId="7094350C" w:rsidR="00171496" w:rsidRPr="00961A81" w:rsidRDefault="00A51BCA">
      <w:pPr>
        <w:pBdr>
          <w:top w:val="nil"/>
          <w:left w:val="nil"/>
          <w:bottom w:val="nil"/>
          <w:right w:val="nil"/>
          <w:between w:val="nil"/>
        </w:pBdr>
        <w:spacing w:before="100" w:after="100" w:line="276" w:lineRule="auto"/>
        <w:ind w:left="0" w:hanging="2"/>
        <w:rPr>
          <w:rFonts w:ascii="Cambria" w:eastAsia="Cambria" w:hAnsi="Cambria" w:cs="Cambria"/>
          <w:b/>
          <w:color w:val="000000"/>
          <w:szCs w:val="24"/>
        </w:rPr>
      </w:pPr>
      <w:r w:rsidRPr="00961A81">
        <w:rPr>
          <w:rFonts w:ascii="Cambria" w:eastAsia="Cambria" w:hAnsi="Cambria" w:cs="Cambria"/>
          <w:b/>
          <w:color w:val="000000"/>
          <w:szCs w:val="24"/>
        </w:rPr>
        <w:t>H</w:t>
      </w:r>
      <w:r w:rsidR="00AA2227">
        <w:rPr>
          <w:rFonts w:ascii="Cambria" w:eastAsia="Cambria" w:hAnsi="Cambria" w:cs="Cambria"/>
          <w:b/>
          <w:color w:val="000000"/>
          <w:szCs w:val="24"/>
          <w:lang w:val="en-US"/>
        </w:rPr>
        <w:t>YT</w:t>
      </w:r>
      <w:r w:rsidRPr="00961A81">
        <w:rPr>
          <w:rFonts w:ascii="Cambria" w:eastAsia="Cambria" w:hAnsi="Cambria" w:cs="Cambria"/>
          <w:b/>
          <w:color w:val="000000"/>
          <w:szCs w:val="24"/>
        </w:rPr>
        <w:t>POT</w:t>
      </w:r>
      <w:r w:rsidR="00AA2227">
        <w:rPr>
          <w:rFonts w:ascii="Cambria" w:eastAsia="Cambria" w:hAnsi="Cambria" w:cs="Cambria"/>
          <w:b/>
          <w:color w:val="000000"/>
          <w:szCs w:val="24"/>
          <w:lang w:val="en-US"/>
        </w:rPr>
        <w:t>H</w:t>
      </w:r>
      <w:r w:rsidRPr="00961A81">
        <w:rPr>
          <w:rFonts w:ascii="Cambria" w:eastAsia="Cambria" w:hAnsi="Cambria" w:cs="Cambria"/>
          <w:b/>
          <w:color w:val="000000"/>
          <w:szCs w:val="24"/>
        </w:rPr>
        <w:t xml:space="preserve">ESIS </w:t>
      </w:r>
    </w:p>
    <w:p w14:paraId="1DB1D1F6" w14:textId="77777777" w:rsidR="00BA55D6" w:rsidRPr="00BB1802" w:rsidRDefault="00BA55D6" w:rsidP="00E75E7F">
      <w:pPr>
        <w:pBdr>
          <w:top w:val="nil"/>
          <w:left w:val="nil"/>
          <w:bottom w:val="nil"/>
          <w:right w:val="nil"/>
          <w:between w:val="nil"/>
        </w:pBdr>
        <w:spacing w:before="100" w:line="276" w:lineRule="auto"/>
        <w:ind w:left="0" w:hanging="2"/>
        <w:rPr>
          <w:rFonts w:ascii="Cambria" w:eastAsia="Cambria" w:hAnsi="Cambria" w:cs="Cambria"/>
          <w:b/>
          <w:bCs/>
          <w:color w:val="222222"/>
        </w:rPr>
      </w:pPr>
      <w:r w:rsidRPr="00BB1802">
        <w:rPr>
          <w:rFonts w:ascii="Cambria" w:eastAsia="Cambria" w:hAnsi="Cambria" w:cs="Cambria"/>
          <w:b/>
          <w:bCs/>
          <w:color w:val="222222"/>
        </w:rPr>
        <w:t>COSO Enterprise Risk Management (ERM) and Financial Performance of Islamic Banks</w:t>
      </w:r>
    </w:p>
    <w:p w14:paraId="49D0984B" w14:textId="494D55C4" w:rsidR="00BA55D6" w:rsidRPr="00BA55D6" w:rsidRDefault="00BA55D6" w:rsidP="00BB1802">
      <w:pPr>
        <w:pBdr>
          <w:top w:val="nil"/>
          <w:left w:val="nil"/>
          <w:bottom w:val="nil"/>
          <w:right w:val="nil"/>
          <w:between w:val="nil"/>
        </w:pBdr>
        <w:spacing w:before="100" w:line="276" w:lineRule="auto"/>
        <w:ind w:left="0" w:hanging="2"/>
        <w:rPr>
          <w:rFonts w:ascii="Cambria" w:eastAsia="Cambria" w:hAnsi="Cambria" w:cs="Cambria"/>
          <w:color w:val="222222"/>
        </w:rPr>
      </w:pPr>
      <w:r w:rsidRPr="00BA55D6">
        <w:rPr>
          <w:rFonts w:ascii="Cambria" w:eastAsia="Cambria" w:hAnsi="Cambria" w:cs="Cambria"/>
          <w:color w:val="222222"/>
        </w:rPr>
        <w:t>Enterprise Risk Management (ERM) is a comprehensive approach to managing risk that is structured and integrated with the organization's strategic objectives. COSO ERM, developed by the Committee of Sponsoring Organizations of the Treadway Commission, includes eight main components: internal environment, goal setting, event identification, risk assessment, risk response, control activities, information and communication, and monitoring</w:t>
      </w:r>
      <w:r w:rsidR="00E75E7F">
        <w:rPr>
          <w:rFonts w:ascii="Cambria" w:eastAsia="Cambria" w:hAnsi="Cambria" w:cs="Cambria"/>
          <w:color w:val="222222"/>
          <w:lang w:val="en-US"/>
        </w:rPr>
        <w:t xml:space="preserve"> </w:t>
      </w:r>
      <w:r w:rsidR="00E75E7F">
        <w:rPr>
          <w:rFonts w:ascii="Cambria" w:eastAsia="Cambria" w:hAnsi="Cambria" w:cs="Cambria"/>
          <w:color w:val="222222"/>
          <w:lang w:val="en-US"/>
        </w:rPr>
        <w:fldChar w:fldCharType="begin" w:fldLock="1"/>
      </w:r>
      <w:r w:rsidR="00E75E7F">
        <w:rPr>
          <w:rFonts w:ascii="Cambria" w:eastAsia="Cambria" w:hAnsi="Cambria" w:cs="Cambria"/>
          <w:color w:val="222222"/>
          <w:lang w:val="en-US"/>
        </w:rPr>
        <w:instrText>ADDIN CSL_CITATION {"citationItems":[{"id":"ITEM-1","itemData":{"DOI":"10.1016/j.jaccpubpol.2005.10.001","author":[{"dropping-particle":"","family":"Beasley","given":"Mark S","non-dropping-particle":"","parse-names":false,"suffix":""},{"dropping-particle":"","family":"Clune","given":"Richard","non-dropping-particle":"","parse-names":false,"suffix":""},{"dropping-particle":"","family":"Hermanson","given":"Dana R","non-dropping-particle":"","parse-names":false,"suffix":""}],"container-title":"Journal of Accounting and Public Policy","id":"ITEM-1","issue":"6","issued":{"date-parts":[["2005"]]},"page":"521-531","title":"Enterprise Risk Management: An Empirical Analysis of Factors Associated With The Extent of Implementation","type":"article-journal","volume":"24"},"uris":["http://www.mendeley.com/documents/?uuid=93ed1c32-8ffa-4a37-9a2e-8b3156cea5de"]}],"mendeley":{"formattedCitation":"(M. S. Beasley et al., 2005)","plainTextFormattedCitation":"(M. S. Beasley et al., 2005)","previouslyFormattedCitation":"(M. S. Beasley et al., 2005)"},"properties":{"noteIndex":0},"schema":"https://github.com/citation-style-language/schema/raw/master/csl-citation.json"}</w:instrText>
      </w:r>
      <w:r w:rsidR="00E75E7F">
        <w:rPr>
          <w:rFonts w:ascii="Cambria" w:eastAsia="Cambria" w:hAnsi="Cambria" w:cs="Cambria"/>
          <w:color w:val="222222"/>
          <w:lang w:val="en-US"/>
        </w:rPr>
        <w:fldChar w:fldCharType="separate"/>
      </w:r>
      <w:r w:rsidR="00E75E7F" w:rsidRPr="00E75E7F">
        <w:rPr>
          <w:rFonts w:ascii="Cambria" w:eastAsia="Cambria" w:hAnsi="Cambria" w:cs="Cambria"/>
          <w:noProof/>
          <w:color w:val="222222"/>
          <w:lang w:val="en-US"/>
        </w:rPr>
        <w:t>(M. S. Beasley et al., 2005)</w:t>
      </w:r>
      <w:r w:rsidR="00E75E7F">
        <w:rPr>
          <w:rFonts w:ascii="Cambria" w:eastAsia="Cambria" w:hAnsi="Cambria" w:cs="Cambria"/>
          <w:color w:val="222222"/>
          <w:lang w:val="en-US"/>
        </w:rPr>
        <w:fldChar w:fldCharType="end"/>
      </w:r>
      <w:r w:rsidRPr="00BA55D6">
        <w:rPr>
          <w:rFonts w:ascii="Cambria" w:eastAsia="Cambria" w:hAnsi="Cambria" w:cs="Cambria"/>
          <w:color w:val="222222"/>
        </w:rPr>
        <w:t>. In the financial sector, especially Islamic banking, the implementation of COSO ERM is important given the complexity of risks that include the risk of compliance with sharia principles.</w:t>
      </w:r>
    </w:p>
    <w:p w14:paraId="626F4B7D" w14:textId="57B10B46" w:rsidR="00BA55D6" w:rsidRPr="00BA55D6" w:rsidRDefault="00BA55D6" w:rsidP="00BB1802">
      <w:pPr>
        <w:pBdr>
          <w:top w:val="nil"/>
          <w:left w:val="nil"/>
          <w:bottom w:val="nil"/>
          <w:right w:val="nil"/>
          <w:between w:val="nil"/>
        </w:pBdr>
        <w:spacing w:line="276" w:lineRule="auto"/>
        <w:ind w:left="0" w:hanging="2"/>
        <w:rPr>
          <w:rFonts w:ascii="Cambria" w:eastAsia="Cambria" w:hAnsi="Cambria" w:cs="Cambria"/>
          <w:color w:val="222222"/>
        </w:rPr>
      </w:pPr>
      <w:r w:rsidRPr="00BA55D6">
        <w:rPr>
          <w:rFonts w:ascii="Cambria" w:eastAsia="Cambria" w:hAnsi="Cambria" w:cs="Cambria"/>
          <w:color w:val="222222"/>
        </w:rPr>
        <w:t xml:space="preserve">Previous research shows that the implementation of ERM as a whole can improve the company's financial performance. </w:t>
      </w:r>
      <w:r w:rsidR="00E75E7F">
        <w:rPr>
          <w:rFonts w:ascii="Cambria" w:eastAsia="Cambria" w:hAnsi="Cambria" w:cs="Cambria"/>
          <w:color w:val="222222"/>
        </w:rPr>
        <w:fldChar w:fldCharType="begin" w:fldLock="1"/>
      </w:r>
      <w:r w:rsidR="00B93C74">
        <w:rPr>
          <w:rFonts w:ascii="Cambria" w:eastAsia="Cambria" w:hAnsi="Cambria" w:cs="Cambria"/>
          <w:color w:val="222222"/>
        </w:rPr>
        <w:instrText>ADDIN CSL_CITATION {"citationItems":[{"id":"ITEM-1","itemData":{"DOI":"10.1016/j.jaccpubpol.2009.06.006","ISSN":"02784254","abstract":"In recent years, a paradigm shift has occurred regarding the way organizations view risk management. Instead of looking at risk management from a silo-based perspective, the trend is to take a holistic view of risk management. This holistic approach toward managing an organization's risk is commonly referred to as enterprise risk management (ERM). Indeed, there is growing support for the general argument that organizations will improve their performance by employing the ERM concept. The basic argument presented in this paper is that the relation between ERM and firm performance is contingent upon the appropriate match between ERM and the following five factors affecting a firm: environmental uncertainty, industry competition, firm size, firm complexity, and board of directors' monitoring. Based on a sample of 112 US firms that disclose the implementation of their ERM activities within their 10Ks and 10Qs filed with the US Securities and Exchange Commission, empirical evidence confirms the above basic argument. The implication of these findings is that firms should consider the implementation of an ERM system in conjunction with contextual variables surrounding the firm. © 2009 Elsevier Inc. All rights reserved.","author":[{"dropping-particle":"","family":"Gordon","given":"Lawrence A.","non-dropping-particle":"","parse-names":false,"suffix":""},{"dropping-particle":"","family":"Loeb","given":"Martin P.","non-dropping-particle":"","parse-names":false,"suffix":""},{"dropping-particle":"","family":"Tseng","given":"Chih Yang","non-dropping-particle":"","parse-names":false,"suffix":""}],"container-title":"Journal of Accounting and Public Policy","id":"ITEM-1","issue":"4","issued":{"date-parts":[["2009"]]},"page":"301-327","publisher":"Elsevier Inc.","title":"Enterprise Risk Management And Firm Performance: A Contingency Perspective","type":"article-journal","volume":"28"},"uris":["http://www.mendeley.com/documents/?uuid=6bcadcef-32b8-4ebc-bf65-2faa55078d5f"]}],"mendeley":{"formattedCitation":"(Gordon et al., 2009)","plainTextFormattedCitation":"(Gordon et al., 2009)","previouslyFormattedCitation":"(Gordon et al., 2009)"},"properties":{"noteIndex":0},"schema":"https://github.com/citation-style-language/schema/raw/master/csl-citation.json"}</w:instrText>
      </w:r>
      <w:r w:rsidR="00E75E7F">
        <w:rPr>
          <w:rFonts w:ascii="Cambria" w:eastAsia="Cambria" w:hAnsi="Cambria" w:cs="Cambria"/>
          <w:color w:val="222222"/>
        </w:rPr>
        <w:fldChar w:fldCharType="separate"/>
      </w:r>
      <w:r w:rsidR="00E75E7F" w:rsidRPr="00E75E7F">
        <w:rPr>
          <w:rFonts w:ascii="Cambria" w:eastAsia="Cambria" w:hAnsi="Cambria" w:cs="Cambria"/>
          <w:noProof/>
          <w:color w:val="222222"/>
        </w:rPr>
        <w:t>(Gordon et al., 2009)</w:t>
      </w:r>
      <w:r w:rsidR="00E75E7F">
        <w:rPr>
          <w:rFonts w:ascii="Cambria" w:eastAsia="Cambria" w:hAnsi="Cambria" w:cs="Cambria"/>
          <w:color w:val="222222"/>
        </w:rPr>
        <w:fldChar w:fldCharType="end"/>
      </w:r>
      <w:r w:rsidRPr="00BA55D6">
        <w:rPr>
          <w:rFonts w:ascii="Cambria" w:eastAsia="Cambria" w:hAnsi="Cambria" w:cs="Cambria"/>
          <w:color w:val="222222"/>
        </w:rPr>
        <w:t xml:space="preserve"> stated that the success of ERM implementation depends on the alignment between the characteristics of the organization and its management strategy. With a good risk management system, Islamic banks can improve operational efficiency, strengthen governance, and reduce losses due to risks that are not identified early. Therefore, it can be assumed that the COSO ERM framework </w:t>
      </w:r>
      <w:r w:rsidRPr="00BA55D6">
        <w:rPr>
          <w:rFonts w:ascii="Cambria" w:eastAsia="Cambria" w:hAnsi="Cambria" w:cs="Cambria"/>
          <w:color w:val="222222"/>
        </w:rPr>
        <w:lastRenderedPageBreak/>
        <w:t>contributes positively to the financial performance of Islamic banks and to other key aspects of success that support this performance.</w:t>
      </w:r>
    </w:p>
    <w:p w14:paraId="62AFD6DF" w14:textId="297EA182" w:rsidR="00BA55D6" w:rsidRPr="00BA55D6" w:rsidRDefault="00BA55D6" w:rsidP="00BB1802">
      <w:pPr>
        <w:pBdr>
          <w:top w:val="nil"/>
          <w:left w:val="nil"/>
          <w:bottom w:val="nil"/>
          <w:right w:val="nil"/>
          <w:between w:val="nil"/>
        </w:pBdr>
        <w:spacing w:line="276" w:lineRule="auto"/>
        <w:ind w:left="0" w:hanging="2"/>
        <w:rPr>
          <w:rFonts w:ascii="Cambria" w:eastAsia="Cambria" w:hAnsi="Cambria" w:cs="Cambria"/>
          <w:color w:val="222222"/>
        </w:rPr>
      </w:pPr>
      <w:r w:rsidRPr="00BA55D6">
        <w:rPr>
          <w:rFonts w:ascii="Cambria" w:eastAsia="Cambria" w:hAnsi="Cambria" w:cs="Cambria"/>
          <w:color w:val="222222"/>
        </w:rPr>
        <w:t>In addition, the COSO ERM framework also serves in strengthening the Critical Success Factors (CSFs) required to achieve strategic objectives. ERM facilitates the identification and management of risks that may hinder the achievement of CSFs, such as technological efficiency, quality of human resources, and adaptive leadership</w:t>
      </w:r>
      <w:r w:rsidR="00E75E7F">
        <w:rPr>
          <w:rFonts w:ascii="Cambria" w:eastAsia="Cambria" w:hAnsi="Cambria" w:cs="Cambria"/>
          <w:color w:val="222222"/>
          <w:lang w:val="en-US"/>
        </w:rPr>
        <w:t xml:space="preserve"> </w:t>
      </w:r>
      <w:r w:rsidR="007479A0">
        <w:rPr>
          <w:rFonts w:ascii="Cambria" w:eastAsia="Cambria" w:hAnsi="Cambria" w:cs="Cambria"/>
          <w:color w:val="222222"/>
          <w:lang w:val="en-US"/>
        </w:rPr>
        <w:fldChar w:fldCharType="begin" w:fldLock="1"/>
      </w:r>
      <w:r w:rsidR="007479A0">
        <w:rPr>
          <w:rFonts w:ascii="Cambria" w:eastAsia="Cambria" w:hAnsi="Cambria" w:cs="Cambria"/>
          <w:color w:val="222222"/>
          <w:lang w:val="en-US"/>
        </w:rPr>
        <w:instrText>ADDIN CSL_CITATION {"citationItems":[{"id":"ITEM-1","itemData":{"ISBN":"9780470499085","author":[{"dropping-particle":"","family":"Fraser","given":"John","non-dropping-particle":"","parse-names":false,"suffix":""},{"dropping-particle":"","family":"Simkins","given":"Betty J","non-dropping-particle":"","parse-names":false,"suffix":""}],"edition":"1","id":"ITEM-1","issued":{"date-parts":[["2010"]]},"number-of-pages":"577","publisher":"John Wiley &amp; Sons Inc","publisher-place":"Hoboken","title":"Enterprise Risk Management","type":"book"},"uris":["http://www.mendeley.com/documents/?uuid=386d5e78-0cdb-4470-b046-9925eb745abc"]},{"id":"ITEM-2","itemData":{"abstract":"Operations are one of the important things in the company, if the operation in good then the company will be good and vice versa. Company operations will also face risks, therefore the company must have risk management, one of which is ERM. This research uses descriptive qualitative methods with data collection techniques in the from of journals, publications, and interview with LKP Tatik Modes in Trenggalek Regency. The approach used in this research is Enterprise risk management (ERM), which can be applied with the steps of indentifying risk conducting assessments, and controlling risk. Through the application of ERM, companies can identify risks and classify them as low, medium, or high. The pupose of this study is to identify risks that may occur in the company and create a risk matrix to determine the most critical risks that should be prioritized for control. The results showed that operational risks at LKP Tatik Modes include occupational safety risks such as sewing machines that are difficult to control by novice participants, scrorched or perforated clothes when ironed by novice participants, and potential fires. Financial risks include fluctuating income as it depends on the number of participants who register. Environmental risks include potential flooding and power outages. Technological risks include social media being hacked. Human resource risks include theft of important data and damage to equipment.","author":[{"dropping-particle":"","family":"Sandy","given":"Mutiara Ike Faradillah","non-dropping-particle":"","parse-names":false,"suffix":""},{"dropping-particle":"","family":"Kurdi","given":"Moh.","non-dropping-particle":"","parse-names":false,"suffix":""}],"container-title":"Journal MISSY (Management and Business Strategy)","id":"ITEM-2","issue":"2","issued":{"date-parts":[["2024"]]},"page":"117-123","title":"Analisis Manajemen Risiko Operasional Berdasarkan Pendekatan Enterprise Risk Management (ERM) Pada LKP Tatik Modes Kabupaten Trenggalek","type":"article-journal","volume":"5"},"uris":["http://www.mendeley.com/documents/?uuid=fbda64a2-a2c3-4dad-b0ed-04d33f5af828"]}],"mendeley":{"formattedCitation":"(Fraser &amp; Simkins, 2010; Sandy &amp; Kurdi, 2024)","plainTextFormattedCitation":"(Fraser &amp; Simkins, 2010; Sandy &amp; Kurdi, 2024)"},"properties":{"noteIndex":0},"schema":"https://github.com/citation-style-language/schema/raw/master/csl-citation.json"}</w:instrText>
      </w:r>
      <w:r w:rsidR="007479A0">
        <w:rPr>
          <w:rFonts w:ascii="Cambria" w:eastAsia="Cambria" w:hAnsi="Cambria" w:cs="Cambria"/>
          <w:color w:val="222222"/>
          <w:lang w:val="en-US"/>
        </w:rPr>
        <w:fldChar w:fldCharType="separate"/>
      </w:r>
      <w:r w:rsidR="007479A0" w:rsidRPr="007479A0">
        <w:rPr>
          <w:rFonts w:ascii="Cambria" w:eastAsia="Cambria" w:hAnsi="Cambria" w:cs="Cambria"/>
          <w:noProof/>
          <w:color w:val="222222"/>
          <w:lang w:val="en-US"/>
        </w:rPr>
        <w:t>(Fraser &amp; Simkins, 2010; Sandy &amp; Kurdi, 2024)</w:t>
      </w:r>
      <w:r w:rsidR="007479A0">
        <w:rPr>
          <w:rFonts w:ascii="Cambria" w:eastAsia="Cambria" w:hAnsi="Cambria" w:cs="Cambria"/>
          <w:color w:val="222222"/>
          <w:lang w:val="en-US"/>
        </w:rPr>
        <w:fldChar w:fldCharType="end"/>
      </w:r>
      <w:r w:rsidRPr="00BA55D6">
        <w:rPr>
          <w:rFonts w:ascii="Cambria" w:eastAsia="Cambria" w:hAnsi="Cambria" w:cs="Cambria"/>
          <w:color w:val="222222"/>
        </w:rPr>
        <w:t>. Thus, the implementation of COSO ERM not only has a direct impact on financial performance, but also on the achievement of CSFs, which ultimately contributes to improving the overall performance of Islamic financial institutions.</w:t>
      </w:r>
    </w:p>
    <w:p w14:paraId="4AE7D216" w14:textId="7673D1B0" w:rsidR="00BB1802" w:rsidRPr="00E75E7F" w:rsidRDefault="00BA55D6" w:rsidP="00E75E7F">
      <w:pPr>
        <w:pBdr>
          <w:top w:val="nil"/>
          <w:left w:val="nil"/>
          <w:bottom w:val="nil"/>
          <w:right w:val="nil"/>
          <w:between w:val="nil"/>
        </w:pBdr>
        <w:spacing w:line="276" w:lineRule="auto"/>
        <w:ind w:left="0" w:hanging="2"/>
        <w:rPr>
          <w:rFonts w:asciiTheme="minorHAnsi" w:hAnsiTheme="minorHAnsi"/>
        </w:rPr>
      </w:pPr>
      <w:r w:rsidRPr="00BA55D6">
        <w:rPr>
          <w:rFonts w:ascii="Cambria" w:eastAsia="Cambria" w:hAnsi="Cambria" w:cs="Cambria"/>
          <w:color w:val="222222"/>
        </w:rPr>
        <w:t>Furthermore, in the context of sharia-based governance, COSO ERM provides internal control structures and mechanisms that support the implementation of Islamic Corporate Governance (ICG). ICG principles such as fairness, accountability, and trustworthiness require a reliable risk monitoring system to be implemented consistently</w:t>
      </w:r>
      <w:r w:rsidR="00E75E7F">
        <w:rPr>
          <w:rFonts w:ascii="Cambria" w:eastAsia="Cambria" w:hAnsi="Cambria" w:cs="Cambria"/>
          <w:color w:val="222222"/>
          <w:lang w:val="en-US"/>
        </w:rPr>
        <w:t xml:space="preserve"> </w:t>
      </w:r>
      <w:r w:rsidR="0058641A">
        <w:rPr>
          <w:rFonts w:ascii="Cambria" w:eastAsia="Cambria" w:hAnsi="Cambria" w:cs="Cambria"/>
          <w:color w:val="222222"/>
          <w:lang w:val="en-US"/>
        </w:rPr>
        <w:fldChar w:fldCharType="begin" w:fldLock="1"/>
      </w:r>
      <w:r w:rsidR="0058641A">
        <w:rPr>
          <w:rFonts w:ascii="Cambria" w:eastAsia="Cambria" w:hAnsi="Cambria" w:cs="Cambria"/>
          <w:color w:val="222222"/>
          <w:lang w:val="en-US"/>
        </w:rPr>
        <w:instrText>ADDIN CSL_CITATION {"citationItems":[{"id":"ITEM-1","itemData":{"abstract":"A mosque is one of the community organizations that manages its resources in a mosque, mosque resources come from the congregation both individually and in groups, Good governance (Good Mosque Governance) is absolutely necessary to increase the congregation's trust as a contributor to the mosque. mosque organization. Takmir or mosque administrators who manage all mosque resources must be able to fulfill the interests of the congregation, so that the congregation feels comfortable and well served. This research uses qualitative research with the theory used is the theory of interest. The results showed that the Baiturahman Banyuwangi Grand Mosque had implemented the principles of Good Mosque Governance even though it was not yet perfect. And the management considers that with the Good Mosque Governance they feel helped and motivated to continue to improve the quality of governance in the implementation of the Baiturahman Grand Mosque in Banyuwangi.","author":[{"dropping-particle":"","family":"Iqzani","given":"Elvia Fadjar","non-dropping-particle":"","parse-names":false,"suffix":""}],"container-title":"International Journal of Scientific Development and Research (IJSDR)","id":"ITEM-1","issue":"1","issued":{"date-parts":[["2021"]]},"page":"253-256","title":"Implentation of Good Mosque Governance Principles (Case Study of The Baiturrahman Banyuwangi Grand Mosque)","type":"article-journal","volume":"6"},"uris":["http://www.mendeley.com/documents/?uuid=12c10d97-fe69-464a-ac8c-85d0c49a4797"]}],"mendeley":{"formattedCitation":"(Iqzani, 2021)","plainTextFormattedCitation":"(Iqzani, 2021)","previouslyFormattedCitation":"(Iqzani, 2021)"},"properties":{"noteIndex":0},"schema":"https://github.com/citation-style-language/schema/raw/master/csl-citation.json"}</w:instrText>
      </w:r>
      <w:r w:rsidR="0058641A">
        <w:rPr>
          <w:rFonts w:ascii="Cambria" w:eastAsia="Cambria" w:hAnsi="Cambria" w:cs="Cambria"/>
          <w:color w:val="222222"/>
          <w:lang w:val="en-US"/>
        </w:rPr>
        <w:fldChar w:fldCharType="separate"/>
      </w:r>
      <w:r w:rsidR="0058641A" w:rsidRPr="0058641A">
        <w:rPr>
          <w:rFonts w:ascii="Cambria" w:eastAsia="Cambria" w:hAnsi="Cambria" w:cs="Cambria"/>
          <w:noProof/>
          <w:color w:val="222222"/>
          <w:lang w:val="en-US"/>
        </w:rPr>
        <w:t>(Iqzani, 2021)</w:t>
      </w:r>
      <w:r w:rsidR="0058641A">
        <w:rPr>
          <w:rFonts w:ascii="Cambria" w:eastAsia="Cambria" w:hAnsi="Cambria" w:cs="Cambria"/>
          <w:color w:val="222222"/>
          <w:lang w:val="en-US"/>
        </w:rPr>
        <w:fldChar w:fldCharType="end"/>
      </w:r>
      <w:r w:rsidRPr="00BA55D6">
        <w:rPr>
          <w:rFonts w:ascii="Cambria" w:eastAsia="Cambria" w:hAnsi="Cambria" w:cs="Cambria"/>
          <w:color w:val="222222"/>
        </w:rPr>
        <w:t>.</w:t>
      </w:r>
      <w:r w:rsidR="0058641A">
        <w:rPr>
          <w:rFonts w:ascii="Cambria" w:eastAsia="Cambria" w:hAnsi="Cambria" w:cs="Cambria"/>
          <w:color w:val="222222"/>
          <w:lang w:val="en-US"/>
        </w:rPr>
        <w:t xml:space="preserve"> </w:t>
      </w:r>
      <w:r w:rsidR="0058641A">
        <w:rPr>
          <w:rFonts w:ascii="Cambria" w:eastAsia="Cambria" w:hAnsi="Cambria" w:cs="Cambria"/>
          <w:color w:val="222222"/>
          <w:lang w:val="en-US"/>
        </w:rPr>
        <w:fldChar w:fldCharType="begin" w:fldLock="1"/>
      </w:r>
      <w:r w:rsidR="007479A0">
        <w:rPr>
          <w:rFonts w:ascii="Cambria" w:eastAsia="Cambria" w:hAnsi="Cambria" w:cs="Cambria"/>
          <w:color w:val="222222"/>
          <w:lang w:val="en-US"/>
        </w:rPr>
        <w:instrText>ADDIN CSL_CITATION {"citationItems":[{"id":"ITEM-1","itemData":{"DOI":"10.17951/h.2021.55.1.19-29","ISSN":"0459-9586","abstract":"&lt;p&gt;&lt;strong&gt;Theoretical background:&lt;/strong&gt; The specificity of Islamic principles, on the basis of which Islamic banking was created, as well as the nature of its financial instruments, means that Islamic banks may be exposed to greater risks than conventional banks.&lt;/p&gt;&lt;p&gt;&lt;strong&gt;Purpose of the article:&lt;/strong&gt; The aim of the article is to define key risks identified by Islamic banks and to define risk management systems in the 13 largest banks of the Arabian Peninsula region. The article analyses the annual reports submitted by the supervisory boards of the largest Islamic banks of the Arabian Peninsula for 2018, so that common elements in their risk management processes can be found.&lt;/p&gt;&lt;p&gt;&lt;strong&gt;Research methods:&lt;/strong&gt; Analyses of annual reports of the banks of the Arabian Peninsula region.&lt;/p&gt;&lt;p&gt;&lt;strong&gt;Main findings:&lt;/strong&gt; Supervisory boards of Islamic banks identify risks and implement strategies and risk management structures. The most important risks identified by banks are credit risk, liquidity risk, reputational risk, as well as operational risk, understood as the risk of direct or indirect loss, resulting from inadequate or faulty internal processes, errors of employees or systems and external events. Islamic banks may be exposed to increased credit risk, due to the application of the principle of profit and loss sharing (PLS), which is one of the pillars of Islamic finance. An analysis of the fiancial reports of the largest Islamic banks of the Arabian Peninsula shows that all supervisory boards are aware of the importance and role of an effective risk management system in reducing costs and increasing banks’ results. Most of them use the principles described by the Islamic Financial Services Board (IFSB). All banks have implemented appropriate risk management processes and policies, and have units in their structures responsible for the risk management process, which means that they apply the first IFSB principle. The institutions declare that they identify and monitor risks, and implement risk mitigation measures.&lt;/p&gt;","author":[{"dropping-particle":"","family":"Khalil-Oliwa","given":"Oliwia","non-dropping-particle":"","parse-names":false,"suffix":""}],"container-title":"Annales Universitatis Mariae Curie-Skłodowska, sectio H – Oeconomia","id":"ITEM-1","issue":"1","issued":{"date-parts":[["2021"]]},"page":"19","title":"Review of Risks and Risk Management Systems in the Largest Islamic Banks of the Arabian Peninsula","type":"article-journal","volume":"55"},"uris":["http://www.mendeley.com/documents/?uuid=b13a3e40-6688-4930-8be3-f590abb1d600"]}],"mendeley":{"formattedCitation":"(Khalil-Oliwa, 2021)","plainTextFormattedCitation":"(Khalil-Oliwa, 2021)","previouslyFormattedCitation":"(Khalil-Oliwa, 2021)"},"properties":{"noteIndex":0},"schema":"https://github.com/citation-style-language/schema/raw/master/csl-citation.json"}</w:instrText>
      </w:r>
      <w:r w:rsidR="0058641A">
        <w:rPr>
          <w:rFonts w:ascii="Cambria" w:eastAsia="Cambria" w:hAnsi="Cambria" w:cs="Cambria"/>
          <w:color w:val="222222"/>
          <w:lang w:val="en-US"/>
        </w:rPr>
        <w:fldChar w:fldCharType="separate"/>
      </w:r>
      <w:r w:rsidR="0058641A" w:rsidRPr="0058641A">
        <w:rPr>
          <w:rFonts w:ascii="Cambria" w:eastAsia="Cambria" w:hAnsi="Cambria" w:cs="Cambria"/>
          <w:noProof/>
          <w:color w:val="222222"/>
          <w:lang w:val="en-US"/>
        </w:rPr>
        <w:t>(Khalil-Oliwa, 2021)</w:t>
      </w:r>
      <w:r w:rsidR="0058641A">
        <w:rPr>
          <w:rFonts w:ascii="Cambria" w:eastAsia="Cambria" w:hAnsi="Cambria" w:cs="Cambria"/>
          <w:color w:val="222222"/>
          <w:lang w:val="en-US"/>
        </w:rPr>
        <w:fldChar w:fldCharType="end"/>
      </w:r>
      <w:r w:rsidRPr="00BA55D6">
        <w:rPr>
          <w:rFonts w:ascii="Cambria" w:eastAsia="Cambria" w:hAnsi="Cambria" w:cs="Cambria"/>
          <w:color w:val="222222"/>
        </w:rPr>
        <w:t xml:space="preserve"> showed that good risk management practices strengthen Islamic governance mechanisms in Islamic banks, thereby promoting a more transparent and responsible organization.</w:t>
      </w:r>
      <w:r w:rsidR="00BB1802">
        <w:rPr>
          <w:rFonts w:ascii="Cambria" w:eastAsia="Cambria" w:hAnsi="Cambria" w:cs="Cambria"/>
          <w:color w:val="222222"/>
          <w:lang w:val="en-US"/>
        </w:rPr>
        <w:t xml:space="preserve"> </w:t>
      </w:r>
      <w:r w:rsidR="00BB1802" w:rsidRPr="00BB1802">
        <w:rPr>
          <w:rFonts w:asciiTheme="minorHAnsi" w:hAnsiTheme="minorHAnsi"/>
        </w:rPr>
        <w:t>Thus, the following hypotheses were formulated for this study:</w:t>
      </w:r>
    </w:p>
    <w:p w14:paraId="16A0A098" w14:textId="77777777" w:rsidR="00BB1802" w:rsidRPr="00BB1802" w:rsidRDefault="00BB1802" w:rsidP="00E75E7F">
      <w:pPr>
        <w:pBdr>
          <w:top w:val="nil"/>
          <w:left w:val="nil"/>
          <w:bottom w:val="nil"/>
          <w:right w:val="nil"/>
          <w:between w:val="nil"/>
        </w:pBdr>
        <w:spacing w:line="276" w:lineRule="auto"/>
        <w:ind w:left="0" w:hanging="2"/>
        <w:rPr>
          <w:rFonts w:ascii="Cambria" w:eastAsia="Cambria" w:hAnsi="Cambria" w:cs="Cambria"/>
          <w:color w:val="222222"/>
          <w:lang w:val="en-US"/>
        </w:rPr>
      </w:pPr>
      <w:r w:rsidRPr="00BB1802">
        <w:rPr>
          <w:rFonts w:ascii="Cambria" w:eastAsia="Cambria" w:hAnsi="Cambria" w:cs="Cambria"/>
          <w:color w:val="222222"/>
          <w:lang w:val="en-US"/>
        </w:rPr>
        <w:t xml:space="preserve">H1: The COSO Framework (ERM) has a positive effect on the financial performance of Islamic banks. </w:t>
      </w:r>
    </w:p>
    <w:p w14:paraId="2B3DA184" w14:textId="77777777" w:rsidR="00BB1802" w:rsidRPr="00BB1802" w:rsidRDefault="00BB1802" w:rsidP="00E75E7F">
      <w:pPr>
        <w:pBdr>
          <w:top w:val="nil"/>
          <w:left w:val="nil"/>
          <w:bottom w:val="nil"/>
          <w:right w:val="nil"/>
          <w:between w:val="nil"/>
        </w:pBdr>
        <w:spacing w:before="100" w:line="276" w:lineRule="auto"/>
        <w:ind w:left="0" w:hanging="2"/>
        <w:rPr>
          <w:rFonts w:ascii="Cambria" w:eastAsia="Cambria" w:hAnsi="Cambria" w:cs="Cambria"/>
          <w:color w:val="222222"/>
          <w:lang w:val="en-US"/>
        </w:rPr>
      </w:pPr>
      <w:r w:rsidRPr="00BB1802">
        <w:rPr>
          <w:rFonts w:ascii="Cambria" w:eastAsia="Cambria" w:hAnsi="Cambria" w:cs="Cambria"/>
          <w:color w:val="222222"/>
          <w:lang w:val="en-US"/>
        </w:rPr>
        <w:t xml:space="preserve">H2: COSO Framework (ERM) has a positive effect on Critical Success Factors (CSF). </w:t>
      </w:r>
    </w:p>
    <w:p w14:paraId="71F8032C" w14:textId="3A736185" w:rsidR="00BB1802" w:rsidRDefault="00BB1802" w:rsidP="00BB1802">
      <w:pPr>
        <w:pBdr>
          <w:top w:val="nil"/>
          <w:left w:val="nil"/>
          <w:bottom w:val="nil"/>
          <w:right w:val="nil"/>
          <w:between w:val="nil"/>
        </w:pBdr>
        <w:spacing w:before="100" w:after="100" w:line="276" w:lineRule="auto"/>
        <w:ind w:left="0" w:hanging="2"/>
        <w:rPr>
          <w:rFonts w:ascii="Cambria" w:eastAsia="Cambria" w:hAnsi="Cambria" w:cs="Cambria"/>
          <w:color w:val="222222"/>
          <w:lang w:val="en-US"/>
        </w:rPr>
      </w:pPr>
      <w:r w:rsidRPr="00BB1802">
        <w:rPr>
          <w:rFonts w:ascii="Cambria" w:eastAsia="Cambria" w:hAnsi="Cambria" w:cs="Cambria"/>
          <w:color w:val="222222"/>
          <w:lang w:val="en-US"/>
        </w:rPr>
        <w:t>H3: COSO Framework (ERM) has a positive effect on Islamic Corporate Governance (ICG).</w:t>
      </w:r>
    </w:p>
    <w:p w14:paraId="777108C0" w14:textId="696B49DF" w:rsidR="00BB1802" w:rsidRDefault="00BB1802" w:rsidP="00BB1802">
      <w:pPr>
        <w:pBdr>
          <w:top w:val="nil"/>
          <w:left w:val="nil"/>
          <w:bottom w:val="nil"/>
          <w:right w:val="nil"/>
          <w:between w:val="nil"/>
        </w:pBdr>
        <w:spacing w:before="100" w:after="100" w:line="276" w:lineRule="auto"/>
        <w:ind w:left="0" w:hanging="2"/>
        <w:rPr>
          <w:rFonts w:ascii="Cambria" w:eastAsia="Cambria" w:hAnsi="Cambria" w:cs="Cambria"/>
          <w:color w:val="222222"/>
          <w:lang w:val="en-US"/>
        </w:rPr>
      </w:pPr>
    </w:p>
    <w:p w14:paraId="5F8C8C03" w14:textId="77777777" w:rsidR="00BB1802" w:rsidRPr="00BB1802" w:rsidRDefault="00BB1802" w:rsidP="00E75E7F">
      <w:pPr>
        <w:pBdr>
          <w:top w:val="nil"/>
          <w:left w:val="nil"/>
          <w:bottom w:val="nil"/>
          <w:right w:val="nil"/>
          <w:between w:val="nil"/>
        </w:pBdr>
        <w:spacing w:before="100" w:line="276" w:lineRule="auto"/>
        <w:ind w:left="0" w:hanging="2"/>
        <w:rPr>
          <w:rFonts w:ascii="Cambria" w:eastAsia="Cambria" w:hAnsi="Cambria" w:cs="Cambria"/>
          <w:b/>
          <w:bCs/>
          <w:color w:val="222222"/>
          <w:lang w:val="en-US"/>
        </w:rPr>
      </w:pPr>
      <w:r w:rsidRPr="00BB1802">
        <w:rPr>
          <w:rFonts w:ascii="Cambria" w:eastAsia="Cambria" w:hAnsi="Cambria" w:cs="Cambria"/>
          <w:b/>
          <w:bCs/>
          <w:color w:val="222222"/>
          <w:lang w:val="en-US"/>
        </w:rPr>
        <w:t>The Role of Critical Success Factors and Islamic Corporate Governance in Improving Financial Performance</w:t>
      </w:r>
    </w:p>
    <w:p w14:paraId="2DE44374" w14:textId="55145514" w:rsidR="00BB1802" w:rsidRPr="00BB1802" w:rsidRDefault="00BB1802" w:rsidP="00BB1802">
      <w:pPr>
        <w:pBdr>
          <w:top w:val="nil"/>
          <w:left w:val="nil"/>
          <w:bottom w:val="nil"/>
          <w:right w:val="nil"/>
          <w:between w:val="nil"/>
        </w:pBdr>
        <w:spacing w:before="100" w:line="276" w:lineRule="auto"/>
        <w:ind w:left="0" w:hanging="2"/>
        <w:rPr>
          <w:rFonts w:ascii="Cambria" w:eastAsia="Cambria" w:hAnsi="Cambria" w:cs="Cambria"/>
          <w:color w:val="222222"/>
          <w:lang w:val="en-US"/>
        </w:rPr>
      </w:pPr>
      <w:r w:rsidRPr="00BB1802">
        <w:rPr>
          <w:rFonts w:ascii="Cambria" w:eastAsia="Cambria" w:hAnsi="Cambria" w:cs="Cambria"/>
          <w:color w:val="222222"/>
          <w:lang w:val="en-US"/>
        </w:rPr>
        <w:t>Critical Success Factors (CSF) are key areas that must be achieved by the organization to ensure successful strategy implementation. In the context of Islamic banking, CSFs include managerial capabilities, use of information technology, compliance with sharia principles, and stakeholder engagement</w:t>
      </w:r>
      <w:r w:rsidR="007479A0">
        <w:rPr>
          <w:rFonts w:ascii="Cambria" w:eastAsia="Cambria" w:hAnsi="Cambria" w:cs="Cambria"/>
          <w:color w:val="222222"/>
          <w:lang w:val="en-US"/>
        </w:rPr>
        <w:t xml:space="preserve"> </w:t>
      </w:r>
      <w:r w:rsidR="007479A0">
        <w:rPr>
          <w:rFonts w:ascii="Cambria" w:eastAsia="Cambria" w:hAnsi="Cambria" w:cs="Cambria"/>
          <w:color w:val="222222"/>
          <w:lang w:val="en-US"/>
        </w:rPr>
        <w:fldChar w:fldCharType="begin" w:fldLock="1"/>
      </w:r>
      <w:r w:rsidR="007479A0">
        <w:rPr>
          <w:rFonts w:ascii="Cambria" w:eastAsia="Cambria" w:hAnsi="Cambria" w:cs="Cambria"/>
          <w:color w:val="222222"/>
          <w:lang w:val="en-US"/>
        </w:rPr>
        <w:instrText>ADDIN CSL_CITATION {"citationItems":[{"id":"ITEM-1","itemData":{"DOI":"10.5267/j.uscm.2023.9.022","ISSN":"22916830","abstract":"This research delves into the intricate nexus between integrated reporting, corporate governance, and financial sustainability in Islamic banking. The study scrutinized a collection of research spanning diverse geographies and periods, emphasizing factors like board dynamics, audit committee proficiency, sustainability disclosures, and the implementation of value-centric strategies. The distillation of insights from an initial pool of 173 studies, which was meticulously narrowed down to 30 through rigorous criteria, indicates a prevalent positive association between these determinants and the financial robustness of Islamic banks. Such findings accentuate the pivotal role of syncing banking operations with the intrinsically sustainable tenets of Islamic finance. This harmony can notably spur sustainable development, potentially drawing more investors and boosting the stature of the Islamic banking domain. Furthermore, this study sheds light on potential avenues for upcoming research, including the analysis of managerial competencies' influence on varying Corporate Social Responsibility (CSR) classifications and the examination of the ramifications of sustainability benchmarks, cultural variances, legal structures, and Islamic statutes in diverse nations. This investigation provides critical insights for professionals and decision-makers in Islamic banking, facilitating a deeper understanding of practices that strengthen financial sustainability.","author":[{"dropping-particle":"","family":"Yusuf","given":"Muhammad","non-dropping-particle":"","parse-names":false,"suffix":""},{"dropping-particle":"","family":"Dasawaty","given":"Elis Sondang","non-dropping-particle":"","parse-names":false,"suffix":""},{"dropping-particle":"","family":"Esra","given":"Martha Ayerza","non-dropping-particle":"","parse-names":false,"suffix":""},{"dropping-particle":"","family":"Apriwenni","given":"Prima","non-dropping-particle":"","parse-names":false,"suffix":""},{"dropping-particle":"","family":"Meiden","given":"Carmel","non-dropping-particle":"","parse-names":false,"suffix":""},{"dropping-particle":"","family":"Fahlevi","given":"Mochammad","non-dropping-particle":"","parse-names":false,"suffix":""}],"container-title":"Uncertain Supply Chain Management","id":"ITEM-1","issue":"1","issued":{"date-parts":[["2024"]]},"page":"273-290","title":"Integrated Reporting, Corporate Governance, and Financial Sustainability in Islamic Banking","type":"article-journal","volume":"12"},"uris":["http://www.mendeley.com/documents/?uuid=080e4c01-e607-443e-953b-0a879f6b2a9f"]},{"id":"ITEM-2","itemData":{"DOI":"10.24239/jsi.v13i2.444.181-217","ISSN":"1411-125X","abstract":"Information technology has been considered as a vital tool for modern organizations to support their knowledge management projects. Previous studies have found that success knowledge management projects were supported by various information technology infrastructures. They addressed how information technology has succesfully implemented to support knowledge management project within conventional banks. However, limited study has been proposed regarding how information technology play roles in support knowledge management project within Islamic banks. Through the case study approach, the author studied the use of information technology for knowledge management process within two Bank Syariah (Bank Mandiri and Bank BNI Syariah) in Palu Central Sulawesi. The author collected data through observation, written material, and in-depth interviews with key informants from both banks. The findings show that information technology infrastructures have played important roles in support knowledge management projects within the Islamic banks. Those information technology infrastructures includes internet, intranet, websites, communication application such as email, and social media. This study sheds light and provides new insight on how information technology has succesfully used to support knowledge management within Islamic banks. The results benefits both academic and practioners in Islamic banks and knowledge managemet area. As the social media was an important finding for knowledge management in Islamic banks, future research need to focus on how social media should be used for knowledge management projects in Islamic banks","author":[{"dropping-particle":"","family":"Nurdin","given":"Nurdin","non-dropping-particle":"","parse-names":false,"suffix":""}],"container-title":"HUNAFA: Jurnal Studia Islamika","id":"ITEM-2","issue":"2","issued":{"date-parts":[["2017"]]},"page":"181-217","title":"The Roles of Information Technology in Islamic Bank Knowledge Management: A study of Two Syariah Banks in Palu","type":"article-journal","volume":"13"},"uris":["http://www.mendeley.com/documents/?uuid=17e8c29a-6b87-4b55-951b-60c8cada41f9"]},{"id":"ITEM-3","itemData":{"abstract":"In Islamic financial institutions themselves, it can be used as a qualitative measure to assess sharia compliance in Islamic financial institutions.Sharia compliance is an obligation for sharia banking products and operations. Banks that fail to carry out their compliance role and function will face compliance risk such as legal risk or legal sanctions, loss of money or material, or will even worsen the bank's reputation. Non-compliance with national banks affects the stability of the national economy because banks are the place for managing or circulating money within the country. Sharia compliance regulations begin with regulations for banks that carry out their activities in the sharia sector. The business activities carried out by sharia banking are in accordance with Bank Indonesia regulations, the fatwa of the National Sharia Council (DSN), and the prevailing laws and regulations. Compliance risk is the risk that arises from the non- compliance of sharia banks with sharia rules or regulations that have been set by the Sharia Supervisory Board (DPS). The Sharia Supervisory Board (DPS) is the holder of the supervisory authority for sharia compliance, which has responsibilities that are regulated through strict legal provisions.","author":[{"dropping-particle":"","family":"Hobvi","given":"Aci Lailatul Jantika","non-dropping-particle":"","parse-names":false,"suffix":""},{"dropping-particle":"","family":"Zunaidi","given":"Arif","non-dropping-particle":"","parse-names":false,"suffix":""},{"dropping-particle":"","family":"Fikriyah","given":"Ashfa","non-dropping-particle":"","parse-names":false,"suffix":""}],"container-title":"Proceedings of Islamic Economics, Business, and Philanthropy","id":"ITEM-3","issue":"2","issued":{"date-parts":[["2022"]]},"page":"346-362","title":"Implementation Of Compliance Management In The Sharia Banking Sector","type":"article-journal","volume":"1"},"uris":["http://www.mendeley.com/documents/?uuid=72daa2c1-7660-4eb7-a442-d595455ba63e"]}],"mendeley":{"formattedCitation":"(Hobvi et al., 2022; Nurdin, 2017; Yusuf et al., 2024)","plainTextFormattedCitation":"(Hobvi et al., 2022; Nurdin, 2017; Yusuf et al., 2024)","previouslyFormattedCitation":"(Hobvi et al., 2022; Nurdin, 2017; Yusuf et al., 2024)"},"properties":{"noteIndex":0},"schema":"https://github.com/citation-style-language/schema/raw/master/csl-citation.json"}</w:instrText>
      </w:r>
      <w:r w:rsidR="007479A0">
        <w:rPr>
          <w:rFonts w:ascii="Cambria" w:eastAsia="Cambria" w:hAnsi="Cambria" w:cs="Cambria"/>
          <w:color w:val="222222"/>
          <w:lang w:val="en-US"/>
        </w:rPr>
        <w:fldChar w:fldCharType="separate"/>
      </w:r>
      <w:r w:rsidR="007479A0" w:rsidRPr="007479A0">
        <w:rPr>
          <w:rFonts w:ascii="Cambria" w:eastAsia="Cambria" w:hAnsi="Cambria" w:cs="Cambria"/>
          <w:noProof/>
          <w:color w:val="222222"/>
          <w:lang w:val="en-US"/>
        </w:rPr>
        <w:t>(Hobvi et al., 2022; Nurdin, 2017; Yusuf et al., 2024)</w:t>
      </w:r>
      <w:r w:rsidR="007479A0">
        <w:rPr>
          <w:rFonts w:ascii="Cambria" w:eastAsia="Cambria" w:hAnsi="Cambria" w:cs="Cambria"/>
          <w:color w:val="222222"/>
          <w:lang w:val="en-US"/>
        </w:rPr>
        <w:fldChar w:fldCharType="end"/>
      </w:r>
      <w:r w:rsidRPr="00BB1802">
        <w:rPr>
          <w:rFonts w:ascii="Cambria" w:eastAsia="Cambria" w:hAnsi="Cambria" w:cs="Cambria"/>
          <w:color w:val="222222"/>
          <w:lang w:val="en-US"/>
        </w:rPr>
        <w:t>. A well-managed CSF will strengthen the competitive position of Islamic banks and encourage increased efficiency and financial performance.</w:t>
      </w:r>
    </w:p>
    <w:p w14:paraId="28FC965A" w14:textId="687DDC89" w:rsidR="00BB1802" w:rsidRPr="00BB1802" w:rsidRDefault="00BB1802" w:rsidP="00BB1802">
      <w:pPr>
        <w:pBdr>
          <w:top w:val="nil"/>
          <w:left w:val="nil"/>
          <w:bottom w:val="nil"/>
          <w:right w:val="nil"/>
          <w:between w:val="nil"/>
        </w:pBdr>
        <w:spacing w:line="276" w:lineRule="auto"/>
        <w:ind w:left="0" w:hanging="2"/>
        <w:rPr>
          <w:rFonts w:ascii="Cambria" w:eastAsia="Cambria" w:hAnsi="Cambria" w:cs="Cambria"/>
          <w:color w:val="222222"/>
          <w:lang w:val="en-US"/>
        </w:rPr>
      </w:pPr>
      <w:r w:rsidRPr="00BB1802">
        <w:rPr>
          <w:rFonts w:ascii="Cambria" w:eastAsia="Cambria" w:hAnsi="Cambria" w:cs="Cambria"/>
          <w:color w:val="222222"/>
          <w:lang w:val="en-US"/>
        </w:rPr>
        <w:t xml:space="preserve">On the other hand, Islamic Corporate Governance (ICG) is a governance framework based on Islamic values such as justice, responsibility, </w:t>
      </w:r>
      <w:r w:rsidRPr="00BB1802">
        <w:rPr>
          <w:rFonts w:ascii="Cambria" w:eastAsia="Cambria" w:hAnsi="Cambria" w:cs="Cambria"/>
          <w:color w:val="222222"/>
          <w:lang w:val="en-US"/>
        </w:rPr>
        <w:lastRenderedPageBreak/>
        <w:t>transparency, and shura (deliberation). ICG is essential in ensuring Islamic financial institutions' compliance with sharia principles as well as in maintaining integrity and public trust</w:t>
      </w:r>
      <w:r w:rsidR="007479A0">
        <w:rPr>
          <w:rFonts w:ascii="Cambria" w:eastAsia="Cambria" w:hAnsi="Cambria" w:cs="Cambria"/>
          <w:color w:val="222222"/>
          <w:lang w:val="en-US"/>
        </w:rPr>
        <w:t xml:space="preserve"> </w:t>
      </w:r>
      <w:r w:rsidR="007479A0">
        <w:rPr>
          <w:rFonts w:ascii="Cambria" w:eastAsia="Cambria" w:hAnsi="Cambria" w:cs="Cambria"/>
          <w:color w:val="222222"/>
          <w:lang w:val="en-US"/>
        </w:rPr>
        <w:fldChar w:fldCharType="begin" w:fldLock="1"/>
      </w:r>
      <w:r w:rsidR="007479A0">
        <w:rPr>
          <w:rFonts w:ascii="Cambria" w:eastAsia="Cambria" w:hAnsi="Cambria" w:cs="Cambria"/>
          <w:color w:val="222222"/>
          <w:lang w:val="en-US"/>
        </w:rPr>
        <w:instrText>ADDIN CSL_CITATION {"citationItems":[{"id":"ITEM-1","itemData":{"DOI":"10.20473/tijab.V2.I1.2018.29-38","abstract":"In 2001, a financial institution in Turkey went bankrupt. The financial institution is \"Ihlas Finance House\". The cause of the bankruptcy of financial institutions according to Islamic finance economists is as a result of weaknesses in the internal and external mechanisms of corporate governance. The purpose of writing this article is to find out how the implementation of Islamic Corporate Governance in Islamic Banking. The method used in this article to answer the research question is a literature study. The results of this study indicate that Islamic banking financial institutions in Indonesia have not fully implemented Islamic Corporate Governance (ICG). The implementation of Islamic Corporate Governance (ICG) that has not been fully implemented is sharia compliance (syari'ah compliance). Sharia compliance in Islamic bank financial products. Conclusion of this article: 1. Implementation of Islamic Corporate Governance (ICG) in Islamic banking is accommodated in the Sharia Banking Law and Bank Indonesia Regulations; 2. Islamic Corporate Government (ICG) can be seen from the establishment of Sharia Supervisory and Sharia Compliance Board in Islamic banking; and 3. Islamic banking in Indonesia does not yet fully implement Islamic Corporate Governance (ICG) in sharia compliance for Islamic financial products","author":[{"dropping-particle":"","family":"Rini","given":"Nova","non-dropping-particle":"","parse-names":false,"suffix":""}],"container-title":"The International Journal of Applied Business (TIJAB)","id":"ITEM-1","issue":"1","issued":{"date-parts":[["2018"]]},"page":"29-38","title":"The Implementation of Islamic Corporate Governance (ICG) on Sharia Banking in Indonesia","type":"article-journal","volume":"2"},"uris":["http://www.mendeley.com/documents/?uuid=8ff4a1be-77ec-41c7-bb17-bec9e65a9f95"]}],"mendeley":{"formattedCitation":"(Rini, 2018)","plainTextFormattedCitation":"(Rini, 2018)","previouslyFormattedCitation":"(Rini, 2018)"},"properties":{"noteIndex":0},"schema":"https://github.com/citation-style-language/schema/raw/master/csl-citation.json"}</w:instrText>
      </w:r>
      <w:r w:rsidR="007479A0">
        <w:rPr>
          <w:rFonts w:ascii="Cambria" w:eastAsia="Cambria" w:hAnsi="Cambria" w:cs="Cambria"/>
          <w:color w:val="222222"/>
          <w:lang w:val="en-US"/>
        </w:rPr>
        <w:fldChar w:fldCharType="separate"/>
      </w:r>
      <w:r w:rsidR="007479A0" w:rsidRPr="007479A0">
        <w:rPr>
          <w:rFonts w:ascii="Cambria" w:eastAsia="Cambria" w:hAnsi="Cambria" w:cs="Cambria"/>
          <w:noProof/>
          <w:color w:val="222222"/>
          <w:lang w:val="en-US"/>
        </w:rPr>
        <w:t>(Rini, 2018)</w:t>
      </w:r>
      <w:r w:rsidR="007479A0">
        <w:rPr>
          <w:rFonts w:ascii="Cambria" w:eastAsia="Cambria" w:hAnsi="Cambria" w:cs="Cambria"/>
          <w:color w:val="222222"/>
          <w:lang w:val="en-US"/>
        </w:rPr>
        <w:fldChar w:fldCharType="end"/>
      </w:r>
      <w:r w:rsidRPr="00BB1802">
        <w:rPr>
          <w:rFonts w:ascii="Cambria" w:eastAsia="Cambria" w:hAnsi="Cambria" w:cs="Cambria"/>
          <w:color w:val="222222"/>
          <w:lang w:val="en-US"/>
        </w:rPr>
        <w:t>. Strong ICG practices can minimize compliance risks and improve managerial efficiency, which in turn will have a positive impact on the financial performance of Islamic banks.</w:t>
      </w:r>
    </w:p>
    <w:p w14:paraId="01EDBAC2" w14:textId="1B1D5BF2" w:rsidR="00BB1802" w:rsidRPr="00BB1802" w:rsidRDefault="00BB1802" w:rsidP="00E75E7F">
      <w:pPr>
        <w:pBdr>
          <w:top w:val="nil"/>
          <w:left w:val="nil"/>
          <w:bottom w:val="nil"/>
          <w:right w:val="nil"/>
          <w:between w:val="nil"/>
        </w:pBdr>
        <w:spacing w:line="276" w:lineRule="auto"/>
        <w:ind w:left="0" w:hanging="2"/>
        <w:rPr>
          <w:rFonts w:ascii="Cambria" w:eastAsia="Cambria" w:hAnsi="Cambria" w:cs="Cambria"/>
          <w:color w:val="222222"/>
          <w:lang w:val="en-US"/>
        </w:rPr>
      </w:pPr>
      <w:r w:rsidRPr="00BB1802">
        <w:rPr>
          <w:rFonts w:ascii="Cambria" w:eastAsia="Cambria" w:hAnsi="Cambria" w:cs="Cambria"/>
          <w:color w:val="222222"/>
          <w:lang w:val="en-US"/>
        </w:rPr>
        <w:t xml:space="preserve">Thus, both CSF and ICG act as important factors affecting the financial performance of Islamic financial institutions. </w:t>
      </w:r>
      <w:r w:rsidRPr="00BB1802">
        <w:rPr>
          <w:rFonts w:asciiTheme="minorHAnsi" w:hAnsiTheme="minorHAnsi"/>
        </w:rPr>
        <w:t>Thus, the following hypotheses were formulated for this study</w:t>
      </w:r>
      <w:r w:rsidRPr="00BB1802">
        <w:rPr>
          <w:rFonts w:ascii="Cambria" w:eastAsia="Cambria" w:hAnsi="Cambria" w:cs="Cambria"/>
          <w:color w:val="222222"/>
          <w:lang w:val="en-US"/>
        </w:rPr>
        <w:t xml:space="preserve">: </w:t>
      </w:r>
    </w:p>
    <w:p w14:paraId="6F4CE006" w14:textId="77777777" w:rsidR="00BB1802" w:rsidRPr="00BB1802" w:rsidRDefault="00BB1802" w:rsidP="00E75E7F">
      <w:pPr>
        <w:pBdr>
          <w:top w:val="nil"/>
          <w:left w:val="nil"/>
          <w:bottom w:val="nil"/>
          <w:right w:val="nil"/>
          <w:between w:val="nil"/>
        </w:pBdr>
        <w:spacing w:before="100" w:line="276" w:lineRule="auto"/>
        <w:ind w:left="0" w:hanging="2"/>
        <w:rPr>
          <w:rFonts w:ascii="Cambria" w:eastAsia="Cambria" w:hAnsi="Cambria" w:cs="Cambria"/>
          <w:color w:val="222222"/>
          <w:lang w:val="en-US"/>
        </w:rPr>
      </w:pPr>
      <w:r w:rsidRPr="00BB1802">
        <w:rPr>
          <w:rFonts w:ascii="Cambria" w:eastAsia="Cambria" w:hAnsi="Cambria" w:cs="Cambria"/>
          <w:color w:val="222222"/>
          <w:lang w:val="en-US"/>
        </w:rPr>
        <w:t xml:space="preserve">H4: Critical Success Factors (CSF) positively affect the financial performance of Islamic banks. </w:t>
      </w:r>
    </w:p>
    <w:p w14:paraId="733B4BC6" w14:textId="77777777" w:rsidR="00BB1802" w:rsidRPr="00BB1802" w:rsidRDefault="00BB1802" w:rsidP="00E75E7F">
      <w:pPr>
        <w:pBdr>
          <w:top w:val="nil"/>
          <w:left w:val="nil"/>
          <w:bottom w:val="nil"/>
          <w:right w:val="nil"/>
          <w:between w:val="nil"/>
        </w:pBdr>
        <w:spacing w:after="100" w:line="276" w:lineRule="auto"/>
        <w:ind w:left="0" w:hanging="2"/>
        <w:rPr>
          <w:rFonts w:ascii="Cambria" w:eastAsia="Cambria" w:hAnsi="Cambria" w:cs="Cambria"/>
          <w:color w:val="222222"/>
          <w:lang w:val="en-US"/>
        </w:rPr>
      </w:pPr>
      <w:r w:rsidRPr="00BB1802">
        <w:rPr>
          <w:rFonts w:ascii="Cambria" w:eastAsia="Cambria" w:hAnsi="Cambria" w:cs="Cambria"/>
          <w:color w:val="222222"/>
          <w:lang w:val="en-US"/>
        </w:rPr>
        <w:t>H5: Islamic Corporate Governance (ICG) has a positive effect on the financial performance of Islamic banks.</w:t>
      </w:r>
    </w:p>
    <w:p w14:paraId="44D6E609" w14:textId="77777777" w:rsidR="00BB1802" w:rsidRPr="00BB1802" w:rsidRDefault="00BB1802" w:rsidP="00BB1802">
      <w:pPr>
        <w:pBdr>
          <w:top w:val="nil"/>
          <w:left w:val="nil"/>
          <w:bottom w:val="nil"/>
          <w:right w:val="nil"/>
          <w:between w:val="nil"/>
        </w:pBdr>
        <w:spacing w:before="100" w:after="100" w:line="276" w:lineRule="auto"/>
        <w:ind w:left="0" w:hanging="2"/>
        <w:rPr>
          <w:rFonts w:ascii="Cambria" w:eastAsia="Cambria" w:hAnsi="Cambria" w:cs="Cambria"/>
          <w:color w:val="222222"/>
          <w:lang w:val="en-US"/>
        </w:rPr>
      </w:pPr>
    </w:p>
    <w:p w14:paraId="1E92BC2C" w14:textId="77777777" w:rsidR="00E75E7F" w:rsidRPr="00E75E7F" w:rsidRDefault="00E75E7F" w:rsidP="00E75E7F">
      <w:pPr>
        <w:pBdr>
          <w:top w:val="nil"/>
          <w:left w:val="nil"/>
          <w:bottom w:val="nil"/>
          <w:right w:val="nil"/>
          <w:between w:val="nil"/>
        </w:pBdr>
        <w:spacing w:before="100" w:line="276" w:lineRule="auto"/>
        <w:ind w:leftChars="0" w:firstLineChars="0" w:firstLine="0"/>
        <w:rPr>
          <w:rFonts w:ascii="Cambria" w:eastAsia="Cambria" w:hAnsi="Cambria" w:cs="Cambria"/>
          <w:b/>
          <w:bCs/>
          <w:color w:val="222222"/>
          <w:lang w:val="en-US"/>
        </w:rPr>
      </w:pPr>
      <w:r w:rsidRPr="00E75E7F">
        <w:rPr>
          <w:rFonts w:ascii="Cambria" w:eastAsia="Cambria" w:hAnsi="Cambria" w:cs="Cambria"/>
          <w:b/>
          <w:bCs/>
          <w:color w:val="222222"/>
          <w:lang w:val="en-US"/>
        </w:rPr>
        <w:t>The Mediating Role of CSF and ICG in the Relationship between COSO ERM and Financial Performance</w:t>
      </w:r>
    </w:p>
    <w:p w14:paraId="7E49B6ED" w14:textId="77777777" w:rsidR="00E75E7F" w:rsidRPr="00E75E7F" w:rsidRDefault="00E75E7F" w:rsidP="00E75E7F">
      <w:pPr>
        <w:pBdr>
          <w:top w:val="nil"/>
          <w:left w:val="nil"/>
          <w:bottom w:val="nil"/>
          <w:right w:val="nil"/>
          <w:between w:val="nil"/>
        </w:pBdr>
        <w:spacing w:before="100" w:line="276" w:lineRule="auto"/>
        <w:ind w:leftChars="0" w:firstLineChars="0" w:firstLine="0"/>
        <w:rPr>
          <w:rFonts w:ascii="Cambria" w:eastAsia="Cambria" w:hAnsi="Cambria" w:cs="Cambria"/>
          <w:color w:val="222222"/>
          <w:lang w:val="en-US"/>
        </w:rPr>
      </w:pPr>
      <w:r w:rsidRPr="00E75E7F">
        <w:rPr>
          <w:rFonts w:ascii="Cambria" w:eastAsia="Cambria" w:hAnsi="Cambria" w:cs="Cambria"/>
          <w:color w:val="222222"/>
          <w:lang w:val="en-US"/>
        </w:rPr>
        <w:t>The COSO ERM framework can indirectly affect financial performance through strengthening CSF and ICG aspects. By adopting a structured risk management approach, organizations can clarify their strategic objectives and align operational activities with the achievement of key success factors. On the other hand, the internal control structure developed within the ERM framework also contributes to the effective implementation of ICG principles.</w:t>
      </w:r>
    </w:p>
    <w:p w14:paraId="6CFBA538" w14:textId="4F7419C0" w:rsidR="00E75E7F" w:rsidRPr="00E75E7F" w:rsidRDefault="00B93C74" w:rsidP="00E75E7F">
      <w:pPr>
        <w:pBdr>
          <w:top w:val="nil"/>
          <w:left w:val="nil"/>
          <w:bottom w:val="nil"/>
          <w:right w:val="nil"/>
          <w:between w:val="nil"/>
        </w:pBdr>
        <w:spacing w:line="276" w:lineRule="auto"/>
        <w:ind w:leftChars="0" w:firstLineChars="0" w:firstLine="0"/>
        <w:rPr>
          <w:rFonts w:ascii="Cambria" w:eastAsia="Cambria" w:hAnsi="Cambria" w:cs="Cambria"/>
          <w:color w:val="222222"/>
          <w:lang w:val="en-US"/>
        </w:rPr>
      </w:pPr>
      <w:r>
        <w:rPr>
          <w:rFonts w:ascii="Cambria" w:eastAsia="Cambria" w:hAnsi="Cambria" w:cs="Cambria"/>
          <w:color w:val="222222"/>
          <w:lang w:val="en-US"/>
        </w:rPr>
        <w:fldChar w:fldCharType="begin" w:fldLock="1"/>
      </w:r>
      <w:r w:rsidR="0058641A">
        <w:rPr>
          <w:rFonts w:ascii="Cambria" w:eastAsia="Cambria" w:hAnsi="Cambria" w:cs="Cambria"/>
          <w:color w:val="222222"/>
          <w:lang w:val="en-US"/>
        </w:rPr>
        <w:instrText>ADDIN CSL_CITATION {"citationItems":[{"id":"ITEM-1","itemData":{"ISBN":"9780470499085","author":[{"dropping-particle":"","family":"Fraser","given":"John","non-dropping-particle":"","parse-names":false,"suffix":""},{"dropping-particle":"","family":"Simkins","given":"Betty J","non-dropping-particle":"","parse-names":false,"suffix":""}],"edition":"1","id":"ITEM-1","issued":{"date-parts":[["2010"]]},"number-of-pages":"577","publisher":"John Wiley &amp; Sons Inc","publisher-place":"Hoboken","title":"Enterprise Risk Management","type":"book"},"uris":["http://www.mendeley.com/documents/?uuid=386d5e78-0cdb-4470-b046-9925eb745abc"]}],"mendeley":{"formattedCitation":"(Fraser &amp; Simkins, 2010)","plainTextFormattedCitation":"(Fraser &amp; Simkins, 2010)","previouslyFormattedCitation":"(Fraser &amp; Simkins, 2010)"},"properties":{"noteIndex":0},"schema":"https://github.com/citation-style-language/schema/raw/master/csl-citation.json"}</w:instrText>
      </w:r>
      <w:r>
        <w:rPr>
          <w:rFonts w:ascii="Cambria" w:eastAsia="Cambria" w:hAnsi="Cambria" w:cs="Cambria"/>
          <w:color w:val="222222"/>
          <w:lang w:val="en-US"/>
        </w:rPr>
        <w:fldChar w:fldCharType="separate"/>
      </w:r>
      <w:r w:rsidRPr="00B93C74">
        <w:rPr>
          <w:rFonts w:ascii="Cambria" w:eastAsia="Cambria" w:hAnsi="Cambria" w:cs="Cambria"/>
          <w:noProof/>
          <w:color w:val="222222"/>
          <w:lang w:val="en-US"/>
        </w:rPr>
        <w:t>(Fraser &amp; Simkins, 2010)</w:t>
      </w:r>
      <w:r>
        <w:rPr>
          <w:rFonts w:ascii="Cambria" w:eastAsia="Cambria" w:hAnsi="Cambria" w:cs="Cambria"/>
          <w:color w:val="222222"/>
          <w:lang w:val="en-US"/>
        </w:rPr>
        <w:fldChar w:fldCharType="end"/>
      </w:r>
      <w:r w:rsidR="00E75E7F" w:rsidRPr="00E75E7F">
        <w:rPr>
          <w:rFonts w:ascii="Cambria" w:eastAsia="Cambria" w:hAnsi="Cambria" w:cs="Cambria"/>
          <w:color w:val="222222"/>
          <w:lang w:val="en-US"/>
        </w:rPr>
        <w:t xml:space="preserve"> explain that COSO ERM provides strategic direction that strengthens business processes and managerial practices. Thus, the mediating role of CSF and ICG is crucial in channeling the influence of the ERM framework on improving financial performance. </w:t>
      </w:r>
      <w:r w:rsidR="00E75E7F" w:rsidRPr="00BB1802">
        <w:rPr>
          <w:rFonts w:asciiTheme="minorHAnsi" w:hAnsiTheme="minorHAnsi"/>
        </w:rPr>
        <w:t>Thus, the following hypotheses were formulated for this study</w:t>
      </w:r>
      <w:r w:rsidR="00E75E7F" w:rsidRPr="00BB1802">
        <w:rPr>
          <w:rFonts w:ascii="Cambria" w:eastAsia="Cambria" w:hAnsi="Cambria" w:cs="Cambria"/>
          <w:color w:val="222222"/>
          <w:lang w:val="en-US"/>
        </w:rPr>
        <w:t>:</w:t>
      </w:r>
    </w:p>
    <w:p w14:paraId="0CFE50C1" w14:textId="77777777" w:rsidR="00E75E7F" w:rsidRPr="00E75E7F" w:rsidRDefault="00E75E7F" w:rsidP="00E75E7F">
      <w:pPr>
        <w:pBdr>
          <w:top w:val="nil"/>
          <w:left w:val="nil"/>
          <w:bottom w:val="nil"/>
          <w:right w:val="nil"/>
          <w:between w:val="nil"/>
        </w:pBdr>
        <w:spacing w:line="276" w:lineRule="auto"/>
        <w:ind w:leftChars="0" w:firstLineChars="0" w:firstLine="0"/>
        <w:rPr>
          <w:rFonts w:ascii="Cambria" w:eastAsia="Cambria" w:hAnsi="Cambria" w:cs="Cambria"/>
          <w:color w:val="222222"/>
          <w:lang w:val="en-US"/>
        </w:rPr>
      </w:pPr>
      <w:r w:rsidRPr="00E75E7F">
        <w:rPr>
          <w:rFonts w:ascii="Cambria" w:eastAsia="Cambria" w:hAnsi="Cambria" w:cs="Cambria"/>
          <w:color w:val="222222"/>
          <w:lang w:val="en-US"/>
        </w:rPr>
        <w:t xml:space="preserve">H6: Critical Success Factors (CSF) mediate the effect of COSO (ERM) on the financial performance of Islamic banks. </w:t>
      </w:r>
    </w:p>
    <w:p w14:paraId="53FDDC22" w14:textId="136CB5E3" w:rsidR="00BB1802" w:rsidRPr="00BB1802" w:rsidRDefault="00E75E7F" w:rsidP="00E75E7F">
      <w:pPr>
        <w:pBdr>
          <w:top w:val="nil"/>
          <w:left w:val="nil"/>
          <w:bottom w:val="nil"/>
          <w:right w:val="nil"/>
          <w:between w:val="nil"/>
        </w:pBdr>
        <w:spacing w:before="100" w:after="100" w:line="276" w:lineRule="auto"/>
        <w:ind w:leftChars="0" w:left="0" w:firstLineChars="0" w:firstLine="0"/>
        <w:rPr>
          <w:rFonts w:ascii="Cambria" w:eastAsia="Cambria" w:hAnsi="Cambria" w:cs="Cambria"/>
          <w:color w:val="222222"/>
          <w:lang w:val="en-US"/>
        </w:rPr>
      </w:pPr>
      <w:r w:rsidRPr="00E75E7F">
        <w:rPr>
          <w:rFonts w:ascii="Cambria" w:eastAsia="Cambria" w:hAnsi="Cambria" w:cs="Cambria"/>
          <w:color w:val="222222"/>
          <w:lang w:val="en-US"/>
        </w:rPr>
        <w:t>H7: Islamic Corporate Governance (ICG) mediates the effect of COSO (ERM) on the financial performance of Islamic banks.</w:t>
      </w:r>
    </w:p>
    <w:p w14:paraId="7A36DF95" w14:textId="77777777" w:rsidR="00E75E7F" w:rsidRDefault="00E75E7F" w:rsidP="008B0B52">
      <w:pPr>
        <w:pBdr>
          <w:top w:val="nil"/>
          <w:left w:val="nil"/>
          <w:bottom w:val="nil"/>
          <w:right w:val="nil"/>
          <w:between w:val="nil"/>
        </w:pBdr>
        <w:spacing w:before="100" w:after="100" w:line="276" w:lineRule="auto"/>
        <w:ind w:left="0" w:hanging="2"/>
        <w:rPr>
          <w:rFonts w:ascii="Cambria" w:eastAsia="Cambria" w:hAnsi="Cambria" w:cs="Cambria"/>
          <w:b/>
          <w:color w:val="000000"/>
          <w:szCs w:val="24"/>
        </w:rPr>
      </w:pPr>
    </w:p>
    <w:p w14:paraId="0396C508" w14:textId="79EC52F1" w:rsidR="007376CD" w:rsidRPr="008C43E9" w:rsidRDefault="00A51BCA" w:rsidP="008B0B52">
      <w:pPr>
        <w:pBdr>
          <w:top w:val="nil"/>
          <w:left w:val="nil"/>
          <w:bottom w:val="nil"/>
          <w:right w:val="nil"/>
          <w:between w:val="nil"/>
        </w:pBdr>
        <w:spacing w:before="100" w:after="100" w:line="276" w:lineRule="auto"/>
        <w:ind w:left="0" w:hanging="2"/>
        <w:rPr>
          <w:rFonts w:ascii="Cambria" w:eastAsia="Cambria" w:hAnsi="Cambria" w:cs="Cambria"/>
          <w:b/>
          <w:color w:val="000000"/>
          <w:szCs w:val="24"/>
          <w:lang w:val="en-US"/>
        </w:rPr>
      </w:pPr>
      <w:r>
        <w:rPr>
          <w:rFonts w:ascii="Cambria" w:eastAsia="Cambria" w:hAnsi="Cambria" w:cs="Cambria"/>
          <w:b/>
          <w:color w:val="000000"/>
          <w:szCs w:val="24"/>
        </w:rPr>
        <w:t>ME</w:t>
      </w:r>
      <w:r w:rsidR="008C43E9">
        <w:rPr>
          <w:rFonts w:ascii="Cambria" w:eastAsia="Cambria" w:hAnsi="Cambria" w:cs="Cambria"/>
          <w:b/>
          <w:color w:val="000000"/>
          <w:szCs w:val="24"/>
          <w:lang w:val="en-US"/>
        </w:rPr>
        <w:t>THOD</w:t>
      </w:r>
    </w:p>
    <w:p w14:paraId="5533E8A2" w14:textId="0BD5E7A4" w:rsidR="008B0B52" w:rsidRPr="008B0B52" w:rsidRDefault="008B0B52" w:rsidP="001B4399">
      <w:pPr>
        <w:pBdr>
          <w:top w:val="nil"/>
          <w:left w:val="nil"/>
          <w:bottom w:val="nil"/>
          <w:right w:val="nil"/>
          <w:between w:val="nil"/>
        </w:pBdr>
        <w:spacing w:line="276" w:lineRule="auto"/>
        <w:ind w:left="-2" w:firstLineChars="236" w:firstLine="566"/>
        <w:rPr>
          <w:rFonts w:asciiTheme="minorHAnsi" w:hAnsiTheme="minorHAnsi" w:cs="Times New Roman"/>
          <w:szCs w:val="24"/>
        </w:rPr>
      </w:pPr>
      <w:r w:rsidRPr="008B0B52">
        <w:rPr>
          <w:rFonts w:asciiTheme="minorHAnsi" w:hAnsiTheme="minorHAnsi" w:cs="Times New Roman"/>
          <w:szCs w:val="24"/>
        </w:rPr>
        <w:t xml:space="preserve">The type of research is a quantitative approach, and secondary data in the form of financial statements issued on the Bank's website during the research period 2014 to 2023. All of the variables include the manifest variables of the data panel. Data analysis using Path Analysis. Where the beta estimator value is obtained by FGLS (Feasible Generalized Least Squares) to </w:t>
      </w:r>
      <w:r w:rsidRPr="008B0B52">
        <w:rPr>
          <w:rFonts w:asciiTheme="minorHAnsi" w:hAnsiTheme="minorHAnsi" w:cs="Times New Roman"/>
          <w:szCs w:val="24"/>
        </w:rPr>
        <w:lastRenderedPageBreak/>
        <w:t>measure how large the percentage of dependent variables can be explained by a regression model.</w:t>
      </w:r>
    </w:p>
    <w:p w14:paraId="282425B1" w14:textId="0DC6CA1A" w:rsidR="008B0B52" w:rsidRPr="00842C59" w:rsidRDefault="008B0B52">
      <w:pPr>
        <w:pBdr>
          <w:top w:val="nil"/>
          <w:left w:val="nil"/>
          <w:bottom w:val="nil"/>
          <w:right w:val="nil"/>
          <w:between w:val="nil"/>
        </w:pBdr>
        <w:spacing w:line="276" w:lineRule="auto"/>
        <w:ind w:left="0" w:hanging="2"/>
        <w:rPr>
          <w:rFonts w:ascii="Times New Roman" w:hAnsi="Times New Roman" w:cs="Times New Roman"/>
          <w:szCs w:val="24"/>
          <w:lang w:val="en-US"/>
        </w:rPr>
      </w:pPr>
    </w:p>
    <w:p w14:paraId="5E9B3C94" w14:textId="5BBE4D32" w:rsidR="008B0B52" w:rsidRDefault="008B0B52" w:rsidP="0052450F">
      <w:pPr>
        <w:pBdr>
          <w:top w:val="nil"/>
          <w:left w:val="nil"/>
          <w:bottom w:val="nil"/>
          <w:right w:val="nil"/>
          <w:between w:val="nil"/>
        </w:pBdr>
        <w:spacing w:line="276" w:lineRule="auto"/>
        <w:ind w:left="0" w:hanging="2"/>
        <w:jc w:val="center"/>
        <w:rPr>
          <w:rFonts w:ascii="Cambria" w:eastAsia="Cambria" w:hAnsi="Cambria" w:cs="Cambria"/>
          <w:color w:val="000000"/>
          <w:szCs w:val="24"/>
          <w:highlight w:val="yellow"/>
        </w:rPr>
      </w:pPr>
      <w:r w:rsidRPr="00942BA4">
        <w:rPr>
          <w:rFonts w:asciiTheme="minorHAnsi" w:hAnsiTheme="minorHAnsi"/>
          <w:noProof/>
          <w:sz w:val="20"/>
          <w:szCs w:val="20"/>
        </w:rPr>
        <w:drawing>
          <wp:inline distT="0" distB="0" distL="0" distR="0" wp14:anchorId="2EA468E8" wp14:editId="7F297E06">
            <wp:extent cx="4730529" cy="2798158"/>
            <wp:effectExtent l="0" t="0" r="0" b="254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a:picLocks noChangeAspect="1"/>
                    </pic:cNvPicPr>
                  </pic:nvPicPr>
                  <pic:blipFill rotWithShape="1">
                    <a:blip r:embed="rId10">
                      <a:extLst>
                        <a:ext uri="{28A0092B-C50C-407E-A947-70E740481C1C}">
                          <a14:useLocalDpi xmlns:a14="http://schemas.microsoft.com/office/drawing/2010/main" val="0"/>
                        </a:ext>
                      </a:extLst>
                    </a:blip>
                    <a:srcRect l="2524" t="4120" r="3598" b="5244"/>
                    <a:stretch/>
                  </pic:blipFill>
                  <pic:spPr bwMode="auto">
                    <a:xfrm>
                      <a:off x="0" y="0"/>
                      <a:ext cx="4732009" cy="2799034"/>
                    </a:xfrm>
                    <a:prstGeom prst="rect">
                      <a:avLst/>
                    </a:prstGeom>
                    <a:noFill/>
                    <a:ln>
                      <a:noFill/>
                    </a:ln>
                    <a:extLst>
                      <a:ext uri="{53640926-AAD7-44D8-BBD7-CCE9431645EC}">
                        <a14:shadowObscured xmlns:a14="http://schemas.microsoft.com/office/drawing/2010/main"/>
                      </a:ext>
                    </a:extLst>
                  </pic:spPr>
                </pic:pic>
              </a:graphicData>
            </a:graphic>
          </wp:inline>
        </w:drawing>
      </w:r>
    </w:p>
    <w:p w14:paraId="1AA0CEE9" w14:textId="7FE148B8" w:rsidR="00842C59" w:rsidRPr="00842C59" w:rsidRDefault="00842C59" w:rsidP="00842C59">
      <w:pPr>
        <w:pBdr>
          <w:top w:val="nil"/>
          <w:left w:val="nil"/>
          <w:bottom w:val="nil"/>
          <w:right w:val="nil"/>
          <w:between w:val="nil"/>
        </w:pBdr>
        <w:spacing w:after="240" w:line="276" w:lineRule="auto"/>
        <w:ind w:left="0" w:hanging="2"/>
        <w:jc w:val="center"/>
        <w:rPr>
          <w:rFonts w:ascii="Cambria" w:eastAsia="Cambria" w:hAnsi="Cambria" w:cs="Cambria"/>
          <w:b/>
          <w:bCs/>
          <w:color w:val="000000"/>
          <w:sz w:val="20"/>
          <w:szCs w:val="20"/>
          <w:lang w:val="en-US"/>
        </w:rPr>
      </w:pPr>
      <w:r w:rsidRPr="00842C59">
        <w:rPr>
          <w:rFonts w:ascii="Cambria" w:eastAsia="Cambria" w:hAnsi="Cambria" w:cs="Cambria"/>
          <w:b/>
          <w:bCs/>
          <w:color w:val="000000"/>
          <w:sz w:val="20"/>
          <w:szCs w:val="20"/>
          <w:lang w:val="en-US"/>
        </w:rPr>
        <w:t>Figure 1. Research Conceptual Framework</w:t>
      </w:r>
    </w:p>
    <w:p w14:paraId="09761F0F" w14:textId="66E2B804" w:rsidR="003C1B13" w:rsidRPr="003C1B13" w:rsidRDefault="008B0B52" w:rsidP="00461506">
      <w:pPr>
        <w:pBdr>
          <w:top w:val="nil"/>
          <w:left w:val="nil"/>
          <w:bottom w:val="nil"/>
          <w:right w:val="nil"/>
          <w:between w:val="nil"/>
        </w:pBdr>
        <w:spacing w:line="276" w:lineRule="auto"/>
        <w:ind w:left="-2" w:firstLineChars="236" w:firstLine="566"/>
        <w:rPr>
          <w:rFonts w:ascii="Cambria" w:eastAsia="Cambria" w:hAnsi="Cambria" w:cs="Cambria"/>
          <w:color w:val="000000"/>
          <w:szCs w:val="24"/>
        </w:rPr>
      </w:pPr>
      <w:r w:rsidRPr="008B0B52">
        <w:rPr>
          <w:rFonts w:ascii="Cambria" w:eastAsia="Cambria" w:hAnsi="Cambria" w:cs="Cambria"/>
          <w:color w:val="000000"/>
          <w:szCs w:val="24"/>
        </w:rPr>
        <w:t xml:space="preserve">The population of this study consists of the 10 largest Islamic banks in the world, as listed in </w:t>
      </w:r>
      <w:bookmarkStart w:id="3" w:name="_Hlk196639224"/>
      <w:r w:rsidRPr="008B0B52">
        <w:rPr>
          <w:rFonts w:ascii="Cambria" w:eastAsia="Cambria" w:hAnsi="Cambria" w:cs="Cambria"/>
          <w:color w:val="000000"/>
          <w:szCs w:val="24"/>
        </w:rPr>
        <w:t>the Global Finance World's Best Islamic Financial Institutions 2022</w:t>
      </w:r>
      <w:bookmarkEnd w:id="3"/>
      <w:r w:rsidRPr="008B0B52">
        <w:rPr>
          <w:rFonts w:ascii="Cambria" w:eastAsia="Cambria" w:hAnsi="Cambria" w:cs="Cambria"/>
          <w:color w:val="000000"/>
          <w:szCs w:val="24"/>
        </w:rPr>
        <w:t xml:space="preserve">. </w:t>
      </w:r>
      <w:r w:rsidR="00461506" w:rsidRPr="00461506">
        <w:rPr>
          <w:rFonts w:ascii="Cambria" w:eastAsia="Cambria" w:hAnsi="Cambria" w:cs="Cambria"/>
          <w:color w:val="000000"/>
          <w:szCs w:val="24"/>
        </w:rPr>
        <w:t>This selection is predicated on several key considerations.</w:t>
      </w:r>
      <w:r w:rsidR="00461506">
        <w:rPr>
          <w:rFonts w:ascii="Cambria" w:eastAsia="Cambria" w:hAnsi="Cambria" w:cs="Cambria"/>
          <w:color w:val="000000"/>
          <w:szCs w:val="24"/>
          <w:lang w:val="en-US"/>
        </w:rPr>
        <w:t xml:space="preserve"> </w:t>
      </w:r>
      <w:r w:rsidR="00461506" w:rsidRPr="00461506">
        <w:rPr>
          <w:rFonts w:ascii="Cambria" w:eastAsia="Cambria" w:hAnsi="Cambria" w:cs="Cambria"/>
          <w:color w:val="000000"/>
          <w:szCs w:val="24"/>
        </w:rPr>
        <w:t>Primarily, the world's largest Islamic banks possess extensive expertise and well-established practices in the realms of risk management and financial performance enhancement.</w:t>
      </w:r>
      <w:r w:rsidR="00461506">
        <w:rPr>
          <w:rFonts w:ascii="Cambria" w:eastAsia="Cambria" w:hAnsi="Cambria" w:cs="Cambria"/>
          <w:color w:val="000000"/>
          <w:szCs w:val="24"/>
          <w:lang w:val="en-US"/>
        </w:rPr>
        <w:t xml:space="preserve"> </w:t>
      </w:r>
      <w:r w:rsidR="00461506" w:rsidRPr="00461506">
        <w:rPr>
          <w:rFonts w:ascii="Cambria" w:eastAsia="Cambria" w:hAnsi="Cambria" w:cs="Cambria"/>
          <w:color w:val="000000"/>
          <w:szCs w:val="24"/>
        </w:rPr>
        <w:t>Furthermore, examining these institutions will yield significant insights into the mediating roles of CSF and ICG in the disclosure processes related to the COSO ERM framework.</w:t>
      </w:r>
      <w:r w:rsidR="00461506">
        <w:rPr>
          <w:rFonts w:ascii="Cambria" w:eastAsia="Cambria" w:hAnsi="Cambria" w:cs="Cambria"/>
          <w:color w:val="000000"/>
          <w:szCs w:val="24"/>
          <w:lang w:val="en-US"/>
        </w:rPr>
        <w:t xml:space="preserve"> </w:t>
      </w:r>
      <w:r w:rsidR="00461506" w:rsidRPr="00461506">
        <w:rPr>
          <w:rFonts w:ascii="Cambria" w:eastAsia="Cambria" w:hAnsi="Cambria" w:cs="Cambria"/>
          <w:color w:val="000000"/>
          <w:szCs w:val="24"/>
        </w:rPr>
        <w:t>Ultimately, this research aims to contribute substantively to both the theoretical and practical advancements in the fields of risk management and financial performance within Islamic banking.</w:t>
      </w:r>
    </w:p>
    <w:p w14:paraId="3B34AB19" w14:textId="20562EDC" w:rsidR="008B0B52" w:rsidRPr="008B0B52" w:rsidRDefault="008B0B52" w:rsidP="003C1B13">
      <w:pPr>
        <w:pBdr>
          <w:top w:val="nil"/>
          <w:left w:val="nil"/>
          <w:bottom w:val="nil"/>
          <w:right w:val="nil"/>
          <w:between w:val="nil"/>
        </w:pBdr>
        <w:spacing w:line="276" w:lineRule="auto"/>
        <w:ind w:leftChars="0" w:left="0" w:firstLineChars="0" w:firstLine="564"/>
        <w:rPr>
          <w:rFonts w:ascii="Cambria" w:eastAsia="Cambria" w:hAnsi="Cambria" w:cs="Cambria"/>
          <w:color w:val="000000"/>
          <w:szCs w:val="24"/>
        </w:rPr>
      </w:pPr>
      <w:r w:rsidRPr="008B0B52">
        <w:rPr>
          <w:rFonts w:ascii="Cambria" w:eastAsia="Cambria" w:hAnsi="Cambria" w:cs="Cambria"/>
          <w:color w:val="000000"/>
          <w:szCs w:val="24"/>
        </w:rPr>
        <w:t>The sampling technique used is purposive sampling, with the criterion that the Islamic banks must have published annual financial reports in the research period.</w:t>
      </w:r>
    </w:p>
    <w:p w14:paraId="7B571DBA" w14:textId="6E94A88F" w:rsidR="008B0B52" w:rsidRDefault="008B0B52" w:rsidP="001B4399">
      <w:pPr>
        <w:pBdr>
          <w:top w:val="nil"/>
          <w:left w:val="nil"/>
          <w:bottom w:val="nil"/>
          <w:right w:val="nil"/>
          <w:between w:val="nil"/>
        </w:pBdr>
        <w:spacing w:line="276" w:lineRule="auto"/>
        <w:ind w:left="-2" w:firstLineChars="236" w:firstLine="566"/>
        <w:rPr>
          <w:rFonts w:ascii="Cambria" w:eastAsia="Cambria" w:hAnsi="Cambria" w:cs="Cambria"/>
          <w:color w:val="000000"/>
          <w:szCs w:val="24"/>
          <w:highlight w:val="yellow"/>
        </w:rPr>
      </w:pPr>
      <w:r w:rsidRPr="008B0B52">
        <w:rPr>
          <w:rFonts w:ascii="Cambria" w:eastAsia="Cambria" w:hAnsi="Cambria" w:cs="Cambria"/>
          <w:color w:val="000000"/>
          <w:szCs w:val="24"/>
        </w:rPr>
        <w:t>Hypothesis testing is a procedure for proving the correctness of population traits based on samples. The hypothesis test carried out in this study is by using the determination coefficient test (R2) and the partial test (t).</w:t>
      </w:r>
    </w:p>
    <w:p w14:paraId="005D727F" w14:textId="73012C3C" w:rsidR="00634CED" w:rsidRPr="00BA2D02" w:rsidRDefault="00634CED" w:rsidP="008C43E9">
      <w:pPr>
        <w:pBdr>
          <w:top w:val="nil"/>
          <w:left w:val="nil"/>
          <w:bottom w:val="nil"/>
          <w:right w:val="nil"/>
          <w:between w:val="nil"/>
        </w:pBdr>
        <w:spacing w:line="276" w:lineRule="auto"/>
        <w:ind w:leftChars="0" w:left="0" w:firstLineChars="0" w:firstLine="0"/>
        <w:rPr>
          <w:rFonts w:ascii="Cambria" w:eastAsia="Cambria" w:hAnsi="Cambria" w:cs="Cambria"/>
          <w:color w:val="000000"/>
          <w:szCs w:val="24"/>
          <w:lang w:val="en-US"/>
        </w:rPr>
      </w:pPr>
    </w:p>
    <w:p w14:paraId="064C8A59" w14:textId="1013CBC8" w:rsidR="00171496" w:rsidRDefault="003D3BE7" w:rsidP="0052450F">
      <w:pPr>
        <w:pBdr>
          <w:top w:val="nil"/>
          <w:left w:val="nil"/>
          <w:bottom w:val="nil"/>
          <w:right w:val="nil"/>
          <w:between w:val="nil"/>
        </w:pBdr>
        <w:spacing w:before="100" w:line="276" w:lineRule="auto"/>
        <w:ind w:left="0" w:hanging="2"/>
        <w:rPr>
          <w:rFonts w:ascii="Cambria" w:eastAsia="Cambria" w:hAnsi="Cambria" w:cs="Cambria"/>
          <w:color w:val="000000"/>
          <w:szCs w:val="24"/>
        </w:rPr>
      </w:pPr>
      <w:r w:rsidRPr="003D3BE7">
        <w:rPr>
          <w:rFonts w:ascii="Cambria" w:eastAsia="Cambria" w:hAnsi="Cambria" w:cs="Cambria"/>
          <w:b/>
          <w:color w:val="000000"/>
          <w:szCs w:val="24"/>
        </w:rPr>
        <w:t>RESULTS AND DISCUSSION</w:t>
      </w:r>
    </w:p>
    <w:p w14:paraId="2D747B77" w14:textId="77777777" w:rsidR="008B0B52" w:rsidRPr="009A0AF4" w:rsidRDefault="008B0B52" w:rsidP="008B0B52">
      <w:pPr>
        <w:pBdr>
          <w:top w:val="nil"/>
          <w:left w:val="nil"/>
          <w:bottom w:val="nil"/>
          <w:right w:val="nil"/>
          <w:between w:val="nil"/>
        </w:pBdr>
        <w:spacing w:line="276" w:lineRule="auto"/>
        <w:ind w:left="0" w:hanging="2"/>
        <w:rPr>
          <w:rFonts w:ascii="Cambria" w:eastAsia="Cambria" w:hAnsi="Cambria" w:cs="Cambria"/>
          <w:b/>
          <w:bCs/>
          <w:color w:val="000000"/>
          <w:szCs w:val="24"/>
        </w:rPr>
      </w:pPr>
      <w:r w:rsidRPr="009A0AF4">
        <w:rPr>
          <w:rFonts w:ascii="Cambria" w:eastAsia="Cambria" w:hAnsi="Cambria" w:cs="Cambria"/>
          <w:b/>
          <w:bCs/>
          <w:color w:val="000000"/>
          <w:szCs w:val="24"/>
        </w:rPr>
        <w:t>The Effect of COSO ERM Framework On Financial Performance of Islamic Banks</w:t>
      </w:r>
    </w:p>
    <w:p w14:paraId="2E072440" w14:textId="5DFB54E3" w:rsidR="009A0AF4" w:rsidRPr="0052450F" w:rsidRDefault="008B0B52" w:rsidP="0052450F">
      <w:pPr>
        <w:pBdr>
          <w:top w:val="nil"/>
          <w:left w:val="nil"/>
          <w:bottom w:val="nil"/>
          <w:right w:val="nil"/>
          <w:between w:val="nil"/>
        </w:pBdr>
        <w:spacing w:after="240" w:line="276" w:lineRule="auto"/>
        <w:ind w:left="-2" w:firstLineChars="236" w:firstLine="566"/>
        <w:rPr>
          <w:rFonts w:ascii="Cambria" w:eastAsia="Cambria" w:hAnsi="Cambria" w:cs="Cambria"/>
          <w:color w:val="000000"/>
          <w:szCs w:val="24"/>
          <w:lang w:val="en-US"/>
        </w:rPr>
      </w:pPr>
      <w:r w:rsidRPr="008B0B52">
        <w:rPr>
          <w:rFonts w:ascii="Cambria" w:eastAsia="Cambria" w:hAnsi="Cambria" w:cs="Cambria"/>
          <w:color w:val="000000"/>
          <w:szCs w:val="24"/>
        </w:rPr>
        <w:lastRenderedPageBreak/>
        <w:t>The result of the study used the estimation of software R where COSO (ERM) Framework had positive effect and significant on the financial performance of Islamic banks. An Enterprise Risk Management Disclosure reported the corporate commitment in organizing the risks for one period of time. A good company risk management was able to provide more value, so that investors were more confident in giving their capital to the company that could manage risk well and correctly. This analysis was in line with the agency theory which is one of the theoretical foundations in this research.</w:t>
      </w:r>
    </w:p>
    <w:p w14:paraId="5AD66752" w14:textId="53328E19" w:rsidR="008B0B52" w:rsidRPr="003D3BE7" w:rsidRDefault="009A0AF4" w:rsidP="008B0B52">
      <w:pPr>
        <w:pBdr>
          <w:top w:val="nil"/>
          <w:left w:val="nil"/>
          <w:bottom w:val="nil"/>
          <w:right w:val="nil"/>
          <w:between w:val="nil"/>
        </w:pBdr>
        <w:spacing w:line="276" w:lineRule="auto"/>
        <w:ind w:left="0" w:hanging="2"/>
        <w:jc w:val="center"/>
        <w:rPr>
          <w:rFonts w:ascii="Cambria" w:eastAsia="Cambria" w:hAnsi="Cambria" w:cs="Cambria"/>
          <w:b/>
          <w:bCs/>
          <w:color w:val="000000"/>
          <w:sz w:val="20"/>
          <w:szCs w:val="20"/>
          <w:lang w:val="en-US"/>
        </w:rPr>
      </w:pPr>
      <w:r>
        <w:rPr>
          <w:rFonts w:ascii="Cambria" w:eastAsia="Cambria" w:hAnsi="Cambria" w:cs="Cambria"/>
          <w:b/>
          <w:bCs/>
          <w:color w:val="000000"/>
          <w:sz w:val="20"/>
          <w:szCs w:val="20"/>
          <w:lang w:val="en-US"/>
        </w:rPr>
        <w:t xml:space="preserve">Tabel 1. </w:t>
      </w:r>
      <w:r w:rsidR="008B0B52" w:rsidRPr="003D3BE7">
        <w:rPr>
          <w:rFonts w:ascii="Cambria" w:eastAsia="Cambria" w:hAnsi="Cambria" w:cs="Cambria"/>
          <w:b/>
          <w:bCs/>
          <w:color w:val="000000"/>
          <w:sz w:val="20"/>
          <w:szCs w:val="20"/>
          <w:lang w:val="en-US"/>
        </w:rPr>
        <w:t>Research Model Parameter Estimation</w:t>
      </w:r>
    </w:p>
    <w:tbl>
      <w:tblPr>
        <w:tblStyle w:val="PlainTable2"/>
        <w:tblW w:w="4260" w:type="pct"/>
        <w:jc w:val="center"/>
        <w:tblLook w:val="04A0" w:firstRow="1" w:lastRow="0" w:firstColumn="1" w:lastColumn="0" w:noHBand="0" w:noVBand="1"/>
      </w:tblPr>
      <w:tblGrid>
        <w:gridCol w:w="1350"/>
        <w:gridCol w:w="1234"/>
        <w:gridCol w:w="1325"/>
        <w:gridCol w:w="1135"/>
        <w:gridCol w:w="1719"/>
      </w:tblGrid>
      <w:tr w:rsidR="008B0B52" w:rsidRPr="00595D52" w14:paraId="475C8CF8" w14:textId="77777777" w:rsidTr="0052450F">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BFBFBF" w:themeFill="background1" w:themeFillShade="BF"/>
            <w:noWrap/>
            <w:hideMark/>
          </w:tcPr>
          <w:p w14:paraId="1C71732F" w14:textId="77777777" w:rsidR="008B0B52" w:rsidRPr="009A0AF4" w:rsidRDefault="008B0B52" w:rsidP="007107F9">
            <w:pPr>
              <w:ind w:left="0" w:hanging="2"/>
              <w:rPr>
                <w:rFonts w:asciiTheme="minorHAnsi" w:hAnsiTheme="minorHAnsi" w:cs="Times New Roman"/>
                <w:b w:val="0"/>
                <w:bCs w:val="0"/>
                <w:sz w:val="20"/>
                <w:szCs w:val="20"/>
              </w:rPr>
            </w:pPr>
            <w:bookmarkStart w:id="4" w:name="_Hlk177048660"/>
            <w:r w:rsidRPr="009A0AF4">
              <w:rPr>
                <w:rFonts w:asciiTheme="minorHAnsi" w:hAnsiTheme="minorHAnsi" w:cs="Times New Roman"/>
                <w:sz w:val="20"/>
                <w:szCs w:val="20"/>
              </w:rPr>
              <w:t>Model 1</w:t>
            </w:r>
          </w:p>
        </w:tc>
      </w:tr>
      <w:tr w:rsidR="008B0B52" w:rsidRPr="00595D52" w14:paraId="27ABB20D" w14:textId="77777777" w:rsidTr="0052450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97" w:type="pct"/>
            <w:shd w:val="clear" w:color="auto" w:fill="BFBFBF" w:themeFill="background1" w:themeFillShade="BF"/>
            <w:noWrap/>
          </w:tcPr>
          <w:p w14:paraId="4498D717" w14:textId="77777777" w:rsidR="008B0B52" w:rsidRPr="009A0AF4" w:rsidRDefault="008B0B52" w:rsidP="007107F9">
            <w:pPr>
              <w:ind w:left="0" w:hanging="2"/>
              <w:rPr>
                <w:rFonts w:asciiTheme="minorHAnsi" w:hAnsiTheme="minorHAnsi" w:cs="Times New Roman"/>
                <w:sz w:val="20"/>
                <w:szCs w:val="20"/>
              </w:rPr>
            </w:pPr>
          </w:p>
        </w:tc>
        <w:tc>
          <w:tcPr>
            <w:tcW w:w="913" w:type="pct"/>
            <w:shd w:val="clear" w:color="auto" w:fill="BFBFBF" w:themeFill="background1" w:themeFillShade="BF"/>
            <w:hideMark/>
          </w:tcPr>
          <w:p w14:paraId="368074C2"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Estimate</w:t>
            </w:r>
          </w:p>
        </w:tc>
        <w:tc>
          <w:tcPr>
            <w:tcW w:w="980" w:type="pct"/>
            <w:shd w:val="clear" w:color="auto" w:fill="BFBFBF" w:themeFill="background1" w:themeFillShade="BF"/>
            <w:noWrap/>
            <w:hideMark/>
          </w:tcPr>
          <w:p w14:paraId="790C036D"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Std.Error</w:t>
            </w:r>
          </w:p>
        </w:tc>
        <w:tc>
          <w:tcPr>
            <w:tcW w:w="839" w:type="pct"/>
            <w:shd w:val="clear" w:color="auto" w:fill="BFBFBF" w:themeFill="background1" w:themeFillShade="BF"/>
            <w:noWrap/>
            <w:hideMark/>
          </w:tcPr>
          <w:p w14:paraId="5CEC5B57"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T-Value</w:t>
            </w:r>
          </w:p>
        </w:tc>
        <w:tc>
          <w:tcPr>
            <w:tcW w:w="1270" w:type="pct"/>
            <w:shd w:val="clear" w:color="auto" w:fill="BFBFBF" w:themeFill="background1" w:themeFillShade="BF"/>
            <w:noWrap/>
            <w:hideMark/>
          </w:tcPr>
          <w:p w14:paraId="7279046D"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Sig. (Pr(&gt;|t|))</w:t>
            </w:r>
          </w:p>
        </w:tc>
      </w:tr>
      <w:tr w:rsidR="008B0B52" w:rsidRPr="00595D52" w14:paraId="63412B62" w14:textId="77777777" w:rsidTr="00942BA4">
        <w:trPr>
          <w:trHeight w:val="288"/>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00DA584B"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(Intercept)</w:t>
            </w:r>
          </w:p>
        </w:tc>
        <w:tc>
          <w:tcPr>
            <w:tcW w:w="913" w:type="pct"/>
            <w:noWrap/>
            <w:hideMark/>
          </w:tcPr>
          <w:p w14:paraId="5379F83B"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-0,0002</w:t>
            </w:r>
          </w:p>
        </w:tc>
        <w:tc>
          <w:tcPr>
            <w:tcW w:w="980" w:type="pct"/>
            <w:noWrap/>
            <w:hideMark/>
          </w:tcPr>
          <w:p w14:paraId="0934D81D"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0,007007</w:t>
            </w:r>
          </w:p>
        </w:tc>
        <w:tc>
          <w:tcPr>
            <w:tcW w:w="839" w:type="pct"/>
            <w:noWrap/>
            <w:hideMark/>
          </w:tcPr>
          <w:p w14:paraId="4B5385F5"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-0,029</w:t>
            </w:r>
          </w:p>
        </w:tc>
        <w:tc>
          <w:tcPr>
            <w:tcW w:w="1270" w:type="pct"/>
            <w:noWrap/>
            <w:hideMark/>
          </w:tcPr>
          <w:p w14:paraId="5E46F566"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0,9769</w:t>
            </w:r>
          </w:p>
        </w:tc>
      </w:tr>
      <w:tr w:rsidR="008B0B52" w:rsidRPr="00595D52" w14:paraId="006DA90F" w14:textId="77777777" w:rsidTr="00942BA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562A4CEE"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COSO</w:t>
            </w:r>
          </w:p>
        </w:tc>
        <w:tc>
          <w:tcPr>
            <w:tcW w:w="913" w:type="pct"/>
            <w:noWrap/>
            <w:hideMark/>
          </w:tcPr>
          <w:p w14:paraId="2FD629BE"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-0,42847</w:t>
            </w:r>
          </w:p>
        </w:tc>
        <w:tc>
          <w:tcPr>
            <w:tcW w:w="980" w:type="pct"/>
            <w:noWrap/>
            <w:hideMark/>
          </w:tcPr>
          <w:p w14:paraId="460C2B59"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0,083678</w:t>
            </w:r>
          </w:p>
        </w:tc>
        <w:tc>
          <w:tcPr>
            <w:tcW w:w="839" w:type="pct"/>
            <w:noWrap/>
            <w:hideMark/>
          </w:tcPr>
          <w:p w14:paraId="5BE7E08E"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-5,1205</w:t>
            </w:r>
          </w:p>
        </w:tc>
        <w:tc>
          <w:tcPr>
            <w:tcW w:w="1270" w:type="pct"/>
            <w:noWrap/>
            <w:hideMark/>
          </w:tcPr>
          <w:p w14:paraId="699E7EA7"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1,62E-06***</w:t>
            </w:r>
          </w:p>
        </w:tc>
      </w:tr>
      <w:tr w:rsidR="008B0B52" w:rsidRPr="00595D52" w14:paraId="7A60F740" w14:textId="77777777" w:rsidTr="00942BA4">
        <w:trPr>
          <w:trHeight w:val="288"/>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09FB5681"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CSF</w:t>
            </w:r>
          </w:p>
        </w:tc>
        <w:tc>
          <w:tcPr>
            <w:tcW w:w="913" w:type="pct"/>
            <w:noWrap/>
            <w:hideMark/>
          </w:tcPr>
          <w:p w14:paraId="0A32533B"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0,01002</w:t>
            </w:r>
          </w:p>
        </w:tc>
        <w:tc>
          <w:tcPr>
            <w:tcW w:w="980" w:type="pct"/>
            <w:noWrap/>
            <w:hideMark/>
          </w:tcPr>
          <w:p w14:paraId="47AFBE89"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0,007194</w:t>
            </w:r>
          </w:p>
        </w:tc>
        <w:tc>
          <w:tcPr>
            <w:tcW w:w="839" w:type="pct"/>
            <w:noWrap/>
            <w:hideMark/>
          </w:tcPr>
          <w:p w14:paraId="3C2D6387"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1,3929</w:t>
            </w:r>
          </w:p>
        </w:tc>
        <w:tc>
          <w:tcPr>
            <w:tcW w:w="1270" w:type="pct"/>
            <w:noWrap/>
            <w:hideMark/>
          </w:tcPr>
          <w:p w14:paraId="344FF46E"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0,1669</w:t>
            </w:r>
          </w:p>
        </w:tc>
      </w:tr>
      <w:tr w:rsidR="008B0B52" w:rsidRPr="00595D52" w14:paraId="384DC838" w14:textId="77777777" w:rsidTr="00942BA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74FA438A"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ICG</w:t>
            </w:r>
          </w:p>
        </w:tc>
        <w:tc>
          <w:tcPr>
            <w:tcW w:w="913" w:type="pct"/>
            <w:noWrap/>
            <w:hideMark/>
          </w:tcPr>
          <w:p w14:paraId="3FFDF78C"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0,029312</w:t>
            </w:r>
          </w:p>
        </w:tc>
        <w:tc>
          <w:tcPr>
            <w:tcW w:w="980" w:type="pct"/>
            <w:noWrap/>
            <w:hideMark/>
          </w:tcPr>
          <w:p w14:paraId="0D0E9DCA"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0,006129</w:t>
            </w:r>
          </w:p>
        </w:tc>
        <w:tc>
          <w:tcPr>
            <w:tcW w:w="839" w:type="pct"/>
            <w:noWrap/>
            <w:hideMark/>
          </w:tcPr>
          <w:p w14:paraId="04C7FF64"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4,7822</w:t>
            </w:r>
          </w:p>
        </w:tc>
        <w:tc>
          <w:tcPr>
            <w:tcW w:w="1270" w:type="pct"/>
            <w:noWrap/>
            <w:hideMark/>
          </w:tcPr>
          <w:p w14:paraId="079D4ADE"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6,41E-06***</w:t>
            </w:r>
          </w:p>
        </w:tc>
      </w:tr>
      <w:tr w:rsidR="008B0B52" w:rsidRPr="00595D52" w14:paraId="45313A37" w14:textId="77777777" w:rsidTr="00942BA4">
        <w:trPr>
          <w:trHeight w:val="288"/>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1B06CE35"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DER</w:t>
            </w:r>
          </w:p>
        </w:tc>
        <w:tc>
          <w:tcPr>
            <w:tcW w:w="913" w:type="pct"/>
            <w:noWrap/>
            <w:hideMark/>
          </w:tcPr>
          <w:p w14:paraId="6F219421"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-0,00094</w:t>
            </w:r>
          </w:p>
        </w:tc>
        <w:tc>
          <w:tcPr>
            <w:tcW w:w="980" w:type="pct"/>
            <w:noWrap/>
            <w:hideMark/>
          </w:tcPr>
          <w:p w14:paraId="763C9DC3"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0,00017</w:t>
            </w:r>
          </w:p>
        </w:tc>
        <w:tc>
          <w:tcPr>
            <w:tcW w:w="839" w:type="pct"/>
            <w:noWrap/>
            <w:hideMark/>
          </w:tcPr>
          <w:p w14:paraId="0E7D31B6"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-5,5411</w:t>
            </w:r>
          </w:p>
        </w:tc>
        <w:tc>
          <w:tcPr>
            <w:tcW w:w="1270" w:type="pct"/>
            <w:noWrap/>
            <w:hideMark/>
          </w:tcPr>
          <w:p w14:paraId="73E8CDEF"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2,73E-07***</w:t>
            </w:r>
          </w:p>
        </w:tc>
      </w:tr>
      <w:tr w:rsidR="008B0B52" w:rsidRPr="00595D52" w14:paraId="11519258" w14:textId="77777777" w:rsidTr="00942BA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0C933B82"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EAR</w:t>
            </w:r>
          </w:p>
        </w:tc>
        <w:tc>
          <w:tcPr>
            <w:tcW w:w="913" w:type="pct"/>
            <w:noWrap/>
            <w:hideMark/>
          </w:tcPr>
          <w:p w14:paraId="075E9072"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0,086897</w:t>
            </w:r>
          </w:p>
        </w:tc>
        <w:tc>
          <w:tcPr>
            <w:tcW w:w="980" w:type="pct"/>
            <w:noWrap/>
            <w:hideMark/>
          </w:tcPr>
          <w:p w14:paraId="51D80AF4"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0,018785</w:t>
            </w:r>
          </w:p>
        </w:tc>
        <w:tc>
          <w:tcPr>
            <w:tcW w:w="839" w:type="pct"/>
            <w:noWrap/>
            <w:hideMark/>
          </w:tcPr>
          <w:p w14:paraId="68290C8D"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4,6258</w:t>
            </w:r>
          </w:p>
        </w:tc>
        <w:tc>
          <w:tcPr>
            <w:tcW w:w="1270" w:type="pct"/>
            <w:noWrap/>
            <w:hideMark/>
          </w:tcPr>
          <w:p w14:paraId="09D37C3B"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1,19E-05***</w:t>
            </w:r>
          </w:p>
        </w:tc>
      </w:tr>
      <w:tr w:rsidR="008B0B52" w:rsidRPr="00595D52" w14:paraId="095DD37D" w14:textId="77777777" w:rsidTr="00942BA4">
        <w:trPr>
          <w:trHeight w:val="288"/>
          <w:jc w:val="center"/>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0167E236" w14:textId="77777777" w:rsidR="008B0B52" w:rsidRPr="009A0AF4" w:rsidRDefault="008B0B52" w:rsidP="007107F9">
            <w:pPr>
              <w:ind w:left="0" w:hanging="2"/>
              <w:rPr>
                <w:rFonts w:asciiTheme="minorHAnsi" w:hAnsiTheme="minorHAnsi" w:cs="Times New Roman"/>
                <w:b w:val="0"/>
                <w:bCs w:val="0"/>
                <w:sz w:val="20"/>
                <w:szCs w:val="20"/>
              </w:rPr>
            </w:pPr>
            <w:r w:rsidRPr="009A0AF4">
              <w:rPr>
                <w:rFonts w:asciiTheme="minorHAnsi" w:hAnsiTheme="minorHAnsi" w:cs="Times New Roman"/>
                <w:sz w:val="20"/>
                <w:szCs w:val="20"/>
              </w:rPr>
              <w:t>Model 2</w:t>
            </w:r>
          </w:p>
        </w:tc>
      </w:tr>
      <w:tr w:rsidR="008B0B52" w:rsidRPr="00595D52" w14:paraId="44A4CE89" w14:textId="77777777" w:rsidTr="00942BA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6F8719C8"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(Intercept)</w:t>
            </w:r>
          </w:p>
        </w:tc>
        <w:tc>
          <w:tcPr>
            <w:tcW w:w="913" w:type="pct"/>
            <w:noWrap/>
            <w:hideMark/>
          </w:tcPr>
          <w:p w14:paraId="2CF4FBEA"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0,497428</w:t>
            </w:r>
          </w:p>
        </w:tc>
        <w:tc>
          <w:tcPr>
            <w:tcW w:w="980" w:type="pct"/>
            <w:noWrap/>
            <w:hideMark/>
          </w:tcPr>
          <w:p w14:paraId="4D71119B"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0,034522</w:t>
            </w:r>
          </w:p>
        </w:tc>
        <w:tc>
          <w:tcPr>
            <w:tcW w:w="839" w:type="pct"/>
            <w:noWrap/>
            <w:hideMark/>
          </w:tcPr>
          <w:p w14:paraId="05BD39BC"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14,409</w:t>
            </w:r>
          </w:p>
        </w:tc>
        <w:tc>
          <w:tcPr>
            <w:tcW w:w="1270" w:type="pct"/>
            <w:noWrap/>
            <w:hideMark/>
          </w:tcPr>
          <w:p w14:paraId="475C8D48"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&lt;2,20E-16***</w:t>
            </w:r>
          </w:p>
        </w:tc>
      </w:tr>
      <w:tr w:rsidR="008B0B52" w:rsidRPr="00595D52" w14:paraId="2C8A6D8E" w14:textId="77777777" w:rsidTr="00CD72E8">
        <w:trPr>
          <w:trHeight w:val="216"/>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01942D46"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COSO</w:t>
            </w:r>
          </w:p>
        </w:tc>
        <w:tc>
          <w:tcPr>
            <w:tcW w:w="913" w:type="pct"/>
            <w:noWrap/>
            <w:hideMark/>
          </w:tcPr>
          <w:p w14:paraId="2C997F31"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6,888889</w:t>
            </w:r>
          </w:p>
        </w:tc>
        <w:tc>
          <w:tcPr>
            <w:tcW w:w="980" w:type="pct"/>
            <w:noWrap/>
            <w:hideMark/>
          </w:tcPr>
          <w:p w14:paraId="17B14D73"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0,779113</w:t>
            </w:r>
          </w:p>
        </w:tc>
        <w:tc>
          <w:tcPr>
            <w:tcW w:w="839" w:type="pct"/>
            <w:noWrap/>
            <w:hideMark/>
          </w:tcPr>
          <w:p w14:paraId="07F5012C"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8,842</w:t>
            </w:r>
          </w:p>
        </w:tc>
        <w:tc>
          <w:tcPr>
            <w:tcW w:w="1270" w:type="pct"/>
            <w:noWrap/>
            <w:hideMark/>
          </w:tcPr>
          <w:p w14:paraId="5D3A9C48"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3,93E-14***</w:t>
            </w:r>
          </w:p>
        </w:tc>
      </w:tr>
      <w:tr w:rsidR="008B0B52" w:rsidRPr="00595D52" w14:paraId="053E5D06" w14:textId="77777777" w:rsidTr="00942BA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5599B840" w14:textId="77777777" w:rsidR="008B0B52" w:rsidRPr="009A0AF4" w:rsidRDefault="008B0B52" w:rsidP="007107F9">
            <w:pPr>
              <w:ind w:left="0" w:hanging="2"/>
              <w:rPr>
                <w:rFonts w:asciiTheme="minorHAnsi" w:hAnsiTheme="minorHAnsi" w:cs="Times New Roman"/>
                <w:b w:val="0"/>
                <w:bCs w:val="0"/>
                <w:sz w:val="20"/>
                <w:szCs w:val="20"/>
              </w:rPr>
            </w:pPr>
            <w:r w:rsidRPr="009A0AF4">
              <w:rPr>
                <w:rFonts w:asciiTheme="minorHAnsi" w:hAnsiTheme="minorHAnsi" w:cs="Times New Roman"/>
                <w:sz w:val="20"/>
                <w:szCs w:val="20"/>
              </w:rPr>
              <w:t>Model 3</w:t>
            </w:r>
          </w:p>
        </w:tc>
      </w:tr>
      <w:tr w:rsidR="008B0B52" w:rsidRPr="00595D52" w14:paraId="7CE14CA6" w14:textId="77777777" w:rsidTr="00942BA4">
        <w:trPr>
          <w:trHeight w:val="288"/>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448366A0"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(Intercept)</w:t>
            </w:r>
          </w:p>
        </w:tc>
        <w:tc>
          <w:tcPr>
            <w:tcW w:w="913" w:type="pct"/>
            <w:noWrap/>
            <w:hideMark/>
          </w:tcPr>
          <w:p w14:paraId="0004F1DA"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0,384774</w:t>
            </w:r>
          </w:p>
        </w:tc>
        <w:tc>
          <w:tcPr>
            <w:tcW w:w="980" w:type="pct"/>
            <w:noWrap/>
            <w:hideMark/>
          </w:tcPr>
          <w:p w14:paraId="58BEF6FC"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0,045033</w:t>
            </w:r>
          </w:p>
        </w:tc>
        <w:tc>
          <w:tcPr>
            <w:tcW w:w="839" w:type="pct"/>
            <w:noWrap/>
            <w:hideMark/>
          </w:tcPr>
          <w:p w14:paraId="311603A1"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8,5442</w:t>
            </w:r>
          </w:p>
        </w:tc>
        <w:tc>
          <w:tcPr>
            <w:tcW w:w="1270" w:type="pct"/>
            <w:noWrap/>
            <w:hideMark/>
          </w:tcPr>
          <w:p w14:paraId="34961646" w14:textId="77777777" w:rsidR="008B0B52" w:rsidRPr="009A0AF4" w:rsidRDefault="008B0B52" w:rsidP="007107F9">
            <w:pPr>
              <w:ind w:left="0" w:hanging="2"/>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1,73E-13***</w:t>
            </w:r>
          </w:p>
        </w:tc>
      </w:tr>
      <w:tr w:rsidR="008B0B52" w:rsidRPr="00595D52" w14:paraId="7843F196" w14:textId="77777777" w:rsidTr="00942BA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97" w:type="pct"/>
            <w:noWrap/>
            <w:hideMark/>
          </w:tcPr>
          <w:p w14:paraId="6A46789C" w14:textId="77777777" w:rsidR="008B0B52" w:rsidRPr="009A0AF4" w:rsidRDefault="008B0B52" w:rsidP="007107F9">
            <w:pPr>
              <w:ind w:left="0" w:hanging="2"/>
              <w:rPr>
                <w:rFonts w:asciiTheme="minorHAnsi" w:hAnsiTheme="minorHAnsi" w:cs="Times New Roman"/>
                <w:sz w:val="20"/>
                <w:szCs w:val="20"/>
              </w:rPr>
            </w:pPr>
            <w:r w:rsidRPr="009A0AF4">
              <w:rPr>
                <w:rFonts w:asciiTheme="minorHAnsi" w:hAnsiTheme="minorHAnsi" w:cs="Times New Roman"/>
                <w:sz w:val="20"/>
                <w:szCs w:val="20"/>
              </w:rPr>
              <w:t>COSO</w:t>
            </w:r>
          </w:p>
        </w:tc>
        <w:tc>
          <w:tcPr>
            <w:tcW w:w="913" w:type="pct"/>
            <w:noWrap/>
            <w:hideMark/>
          </w:tcPr>
          <w:p w14:paraId="2C8DDFB3"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6,222222</w:t>
            </w:r>
          </w:p>
        </w:tc>
        <w:tc>
          <w:tcPr>
            <w:tcW w:w="980" w:type="pct"/>
            <w:noWrap/>
            <w:hideMark/>
          </w:tcPr>
          <w:p w14:paraId="59CBA680"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1,016338</w:t>
            </w:r>
          </w:p>
        </w:tc>
        <w:tc>
          <w:tcPr>
            <w:tcW w:w="839" w:type="pct"/>
            <w:noWrap/>
            <w:hideMark/>
          </w:tcPr>
          <w:p w14:paraId="74BF597C"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6,1222</w:t>
            </w:r>
          </w:p>
        </w:tc>
        <w:tc>
          <w:tcPr>
            <w:tcW w:w="1270" w:type="pct"/>
            <w:noWrap/>
            <w:hideMark/>
          </w:tcPr>
          <w:p w14:paraId="6BD8D3D8" w14:textId="77777777" w:rsidR="008B0B52" w:rsidRPr="009A0AF4" w:rsidRDefault="008B0B52" w:rsidP="007107F9">
            <w:pPr>
              <w:ind w:left="0" w:hanging="2"/>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1,91E-08***</w:t>
            </w:r>
          </w:p>
        </w:tc>
      </w:tr>
    </w:tbl>
    <w:bookmarkEnd w:id="4"/>
    <w:p w14:paraId="4E809E26" w14:textId="4907164B" w:rsidR="008B0B52" w:rsidRPr="0052450F" w:rsidRDefault="00942BA4" w:rsidP="00942BA4">
      <w:pPr>
        <w:pBdr>
          <w:top w:val="nil"/>
          <w:left w:val="nil"/>
          <w:bottom w:val="nil"/>
          <w:right w:val="nil"/>
          <w:between w:val="nil"/>
        </w:pBdr>
        <w:spacing w:line="276" w:lineRule="auto"/>
        <w:ind w:leftChars="0" w:left="426" w:firstLineChars="0" w:firstLine="0"/>
        <w:rPr>
          <w:rFonts w:ascii="Cambria" w:eastAsia="Cambria" w:hAnsi="Cambria" w:cs="Cambria"/>
          <w:b/>
          <w:bCs/>
          <w:color w:val="000000"/>
          <w:sz w:val="20"/>
          <w:szCs w:val="20"/>
        </w:rPr>
      </w:pPr>
      <w:r>
        <w:rPr>
          <w:rFonts w:ascii="Cambria" w:eastAsia="Cambria" w:hAnsi="Cambria" w:cs="Cambria"/>
          <w:color w:val="000000"/>
          <w:sz w:val="20"/>
          <w:szCs w:val="20"/>
          <w:lang w:val="en-US"/>
        </w:rPr>
        <w:t xml:space="preserve">    </w:t>
      </w:r>
      <w:r w:rsidR="008728F3" w:rsidRPr="0052450F">
        <w:rPr>
          <w:rFonts w:ascii="Cambria" w:eastAsia="Cambria" w:hAnsi="Cambria" w:cs="Cambria"/>
          <w:b/>
          <w:bCs/>
          <w:color w:val="000000"/>
          <w:sz w:val="20"/>
          <w:szCs w:val="20"/>
        </w:rPr>
        <w:t>Note: Sig.&lt; 1%***, &gt; 1% &lt; 5% **,&lt; 5% ** sig under 5%*.</w:t>
      </w:r>
    </w:p>
    <w:p w14:paraId="2D804800" w14:textId="2FEF056D" w:rsidR="003D3BE7" w:rsidRPr="0052450F" w:rsidRDefault="00942BA4" w:rsidP="00634CED">
      <w:pPr>
        <w:pBdr>
          <w:top w:val="nil"/>
          <w:left w:val="nil"/>
          <w:bottom w:val="nil"/>
          <w:right w:val="nil"/>
          <w:between w:val="nil"/>
        </w:pBdr>
        <w:ind w:leftChars="0" w:left="567" w:firstLineChars="0" w:firstLine="0"/>
        <w:rPr>
          <w:rFonts w:ascii="Cambria" w:eastAsia="Cambria" w:hAnsi="Cambria" w:cs="Cambria"/>
          <w:b/>
          <w:bCs/>
          <w:color w:val="000000"/>
          <w:sz w:val="20"/>
          <w:szCs w:val="20"/>
        </w:rPr>
      </w:pPr>
      <w:r w:rsidRPr="0052450F">
        <w:rPr>
          <w:rFonts w:ascii="Cambria" w:eastAsia="Cambria" w:hAnsi="Cambria" w:cs="Cambria"/>
          <w:b/>
          <w:bCs/>
          <w:color w:val="000000"/>
          <w:sz w:val="20"/>
          <w:szCs w:val="20"/>
          <w:lang w:val="en-US"/>
        </w:rPr>
        <w:t xml:space="preserve"> </w:t>
      </w:r>
      <w:r w:rsidR="003D3BE7" w:rsidRPr="0052450F">
        <w:rPr>
          <w:rFonts w:ascii="Cambria" w:eastAsia="Cambria" w:hAnsi="Cambria" w:cs="Cambria"/>
          <w:b/>
          <w:bCs/>
          <w:color w:val="000000"/>
          <w:sz w:val="20"/>
          <w:szCs w:val="20"/>
        </w:rPr>
        <w:t>Sumber: Data diolah R, 2024</w:t>
      </w:r>
    </w:p>
    <w:p w14:paraId="3FF8E8B9" w14:textId="46EB3EFC" w:rsidR="00942BA4" w:rsidRPr="0052450F" w:rsidRDefault="006D2A2B" w:rsidP="0052450F">
      <w:pPr>
        <w:pBdr>
          <w:top w:val="nil"/>
          <w:left w:val="nil"/>
          <w:bottom w:val="nil"/>
          <w:right w:val="nil"/>
          <w:between w:val="nil"/>
        </w:pBdr>
        <w:spacing w:after="240" w:line="276" w:lineRule="auto"/>
        <w:ind w:left="-2" w:firstLineChars="236" w:firstLine="566"/>
        <w:rPr>
          <w:rFonts w:ascii="Cambria" w:eastAsia="Cambria" w:hAnsi="Cambria" w:cs="Cambria"/>
          <w:color w:val="000000"/>
          <w:szCs w:val="24"/>
          <w:lang w:val="en-US"/>
        </w:rPr>
      </w:pPr>
      <w:r w:rsidRPr="006D2A2B">
        <w:rPr>
          <w:rFonts w:ascii="Cambria" w:eastAsia="Cambria" w:hAnsi="Cambria" w:cs="Cambria"/>
          <w:color w:val="000000"/>
          <w:szCs w:val="24"/>
        </w:rPr>
        <w:t xml:space="preserve">Based on the research results, it is known that the implementation of COSO ERM has a significant negative effect on ROA, with a coefficient of -0.42847 and a significance value of 1.62×10-⁶ which is smaller than the 5% significance level. This suggests that an increase in COSO implementation actually decreases the level of bank profitability (ROA), which may be due to high implementation costs, bureaucratic complexity, or overly conservative risk management strategies. However, this negative effect is expected to be temporary. Meanwhile, Critical Success Factors (CSF) do not have a significant effect on ROA, possibly because they have not yet had a direct impact on profitability or are still in the development stage. On the other hand, Islamic Corporate Governance (ICG) has a positive significant effect on ROA with a coefficient of 0.029312 and a significance value of 6.41×10-⁶, which indicates that increased implementation of Islamic governance principles will increase bank profitability through increased trust, transparency, and reduced operational risk. In addition, the control variables of capital structure (DER and EAR) also have a significant effect on ROA, indicating that the combination </w:t>
      </w:r>
      <w:r w:rsidRPr="006D2A2B">
        <w:rPr>
          <w:rFonts w:ascii="Cambria" w:eastAsia="Cambria" w:hAnsi="Cambria" w:cs="Cambria"/>
          <w:color w:val="000000"/>
          <w:szCs w:val="24"/>
        </w:rPr>
        <w:lastRenderedPageBreak/>
        <w:t>of debt and equity also determines the financial performance of banks. In the advanced model, COSO is shown to have a significant positive effect on CSF with a coefficient of 6.888889 and a significance of 3.93×10-¹⁴, and a significant positive effect on ICG with a coefficient of 6.22222 and a significance of 1.91×10-¹⁸. These findings indicate that the higher the implementation of COSO ERM, the higher the achievement of CSF and the implementation of ICG.</w:t>
      </w:r>
    </w:p>
    <w:p w14:paraId="79030E51" w14:textId="0960F932" w:rsidR="007B55E3" w:rsidRPr="003D3BE7" w:rsidRDefault="009A0AF4" w:rsidP="007B55E3">
      <w:pPr>
        <w:pBdr>
          <w:top w:val="nil"/>
          <w:left w:val="nil"/>
          <w:bottom w:val="nil"/>
          <w:right w:val="nil"/>
          <w:between w:val="nil"/>
        </w:pBdr>
        <w:spacing w:line="276" w:lineRule="auto"/>
        <w:ind w:left="0" w:hanging="2"/>
        <w:jc w:val="center"/>
        <w:rPr>
          <w:rFonts w:ascii="Cambria" w:eastAsia="Cambria" w:hAnsi="Cambria" w:cs="Cambria"/>
          <w:b/>
          <w:bCs/>
          <w:color w:val="000000"/>
          <w:sz w:val="20"/>
          <w:szCs w:val="20"/>
        </w:rPr>
      </w:pPr>
      <w:r>
        <w:rPr>
          <w:rFonts w:ascii="Cambria" w:eastAsia="Cambria" w:hAnsi="Cambria" w:cs="Cambria"/>
          <w:b/>
          <w:bCs/>
          <w:color w:val="000000"/>
          <w:sz w:val="20"/>
          <w:szCs w:val="20"/>
          <w:lang w:val="en-US"/>
        </w:rPr>
        <w:t xml:space="preserve">Tabel 2. </w:t>
      </w:r>
      <w:r w:rsidR="007B55E3" w:rsidRPr="003D3BE7">
        <w:rPr>
          <w:rFonts w:ascii="Cambria" w:eastAsia="Cambria" w:hAnsi="Cambria" w:cs="Cambria"/>
          <w:b/>
          <w:bCs/>
          <w:color w:val="000000"/>
          <w:sz w:val="20"/>
          <w:szCs w:val="20"/>
        </w:rPr>
        <w:t>Summary of Hypothesis Test Results</w:t>
      </w:r>
    </w:p>
    <w:tbl>
      <w:tblPr>
        <w:tblStyle w:val="PlainTable2"/>
        <w:tblpPr w:leftFromText="180" w:rightFromText="180" w:vertAnchor="text" w:horzAnchor="margin" w:tblpXSpec="center" w:tblpY="68"/>
        <w:tblW w:w="4693" w:type="pct"/>
        <w:tblLook w:val="04A0" w:firstRow="1" w:lastRow="0" w:firstColumn="1" w:lastColumn="0" w:noHBand="0" w:noVBand="1"/>
      </w:tblPr>
      <w:tblGrid>
        <w:gridCol w:w="574"/>
        <w:gridCol w:w="2839"/>
        <w:gridCol w:w="1204"/>
        <w:gridCol w:w="1606"/>
        <w:gridCol w:w="1228"/>
      </w:tblGrid>
      <w:tr w:rsidR="009A0AF4" w:rsidRPr="009A0AF4" w14:paraId="1F3F994C" w14:textId="77777777" w:rsidTr="0052450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91" w:type="pct"/>
            <w:gridSpan w:val="2"/>
            <w:shd w:val="clear" w:color="auto" w:fill="BFBFBF" w:themeFill="background1" w:themeFillShade="BF"/>
            <w:hideMark/>
          </w:tcPr>
          <w:p w14:paraId="2441795C" w14:textId="11A09C2C" w:rsidR="007B55E3" w:rsidRPr="00942BA4" w:rsidRDefault="007B55E3" w:rsidP="009A0AF4">
            <w:pPr>
              <w:spacing w:after="160" w:line="259" w:lineRule="auto"/>
              <w:ind w:left="0" w:hanging="2"/>
              <w:jc w:val="center"/>
              <w:textDirection w:val="lrTb"/>
              <w:rPr>
                <w:rFonts w:asciiTheme="minorHAnsi" w:hAnsiTheme="minorHAnsi" w:cs="Times New Roman"/>
                <w:sz w:val="20"/>
                <w:szCs w:val="20"/>
              </w:rPr>
            </w:pPr>
            <w:r w:rsidRPr="00942BA4">
              <w:rPr>
                <w:rFonts w:asciiTheme="minorHAnsi" w:hAnsiTheme="minorHAnsi" w:cs="Times New Roman"/>
                <w:sz w:val="20"/>
                <w:szCs w:val="20"/>
              </w:rPr>
              <w:t>Hypothesis</w:t>
            </w:r>
          </w:p>
        </w:tc>
        <w:tc>
          <w:tcPr>
            <w:tcW w:w="808" w:type="pct"/>
            <w:shd w:val="clear" w:color="auto" w:fill="BFBFBF" w:themeFill="background1" w:themeFillShade="BF"/>
            <w:hideMark/>
          </w:tcPr>
          <w:p w14:paraId="7ED97378" w14:textId="77777777" w:rsidR="007B55E3" w:rsidRPr="00942BA4" w:rsidRDefault="007B55E3" w:rsidP="009A0AF4">
            <w:pPr>
              <w:spacing w:after="160" w:line="259" w:lineRule="auto"/>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42BA4">
              <w:rPr>
                <w:rFonts w:asciiTheme="minorHAnsi" w:hAnsiTheme="minorHAnsi" w:cs="Times New Roman"/>
                <w:sz w:val="20"/>
                <w:szCs w:val="20"/>
              </w:rPr>
              <w:t>T-Value</w:t>
            </w:r>
          </w:p>
        </w:tc>
        <w:tc>
          <w:tcPr>
            <w:tcW w:w="1078" w:type="pct"/>
            <w:shd w:val="clear" w:color="auto" w:fill="BFBFBF" w:themeFill="background1" w:themeFillShade="BF"/>
            <w:hideMark/>
          </w:tcPr>
          <w:p w14:paraId="772FB382" w14:textId="77777777" w:rsidR="007B55E3" w:rsidRPr="00942BA4" w:rsidRDefault="007B55E3" w:rsidP="009A0AF4">
            <w:pPr>
              <w:spacing w:after="160" w:line="259" w:lineRule="auto"/>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42BA4">
              <w:rPr>
                <w:rFonts w:asciiTheme="minorHAnsi" w:hAnsiTheme="minorHAnsi" w:cs="Times New Roman"/>
                <w:sz w:val="20"/>
                <w:szCs w:val="20"/>
              </w:rPr>
              <w:t>Sig. (Pr(&gt;|t|))</w:t>
            </w:r>
          </w:p>
        </w:tc>
        <w:tc>
          <w:tcPr>
            <w:tcW w:w="824" w:type="pct"/>
            <w:shd w:val="clear" w:color="auto" w:fill="BFBFBF" w:themeFill="background1" w:themeFillShade="BF"/>
            <w:hideMark/>
          </w:tcPr>
          <w:p w14:paraId="7C06783C" w14:textId="346611A3" w:rsidR="007B55E3" w:rsidRPr="00942BA4" w:rsidRDefault="007B55E3" w:rsidP="009A0AF4">
            <w:pPr>
              <w:spacing w:after="160" w:line="259" w:lineRule="auto"/>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0"/>
                <w:szCs w:val="20"/>
                <w:lang w:val="en-US"/>
              </w:rPr>
            </w:pPr>
            <w:r w:rsidRPr="00942BA4">
              <w:rPr>
                <w:rFonts w:asciiTheme="minorHAnsi" w:hAnsiTheme="minorHAnsi" w:cs="Times New Roman"/>
                <w:sz w:val="20"/>
                <w:szCs w:val="20"/>
                <w:lang w:val="en-US"/>
              </w:rPr>
              <w:t>Conclusion</w:t>
            </w:r>
          </w:p>
        </w:tc>
      </w:tr>
      <w:tr w:rsidR="003D3BE7" w:rsidRPr="009A0AF4" w14:paraId="79C8E994" w14:textId="77777777" w:rsidTr="009A0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hideMark/>
          </w:tcPr>
          <w:p w14:paraId="65E8CA0E" w14:textId="77777777" w:rsidR="007B55E3" w:rsidRPr="009A0AF4" w:rsidRDefault="007B55E3" w:rsidP="007107F9">
            <w:pPr>
              <w:spacing w:after="160" w:line="259" w:lineRule="auto"/>
              <w:ind w:left="0" w:hanging="2"/>
              <w:textDirection w:val="lrTb"/>
              <w:rPr>
                <w:rFonts w:asciiTheme="minorHAnsi" w:hAnsiTheme="minorHAnsi" w:cs="Times New Roman"/>
                <w:sz w:val="20"/>
                <w:szCs w:val="20"/>
              </w:rPr>
            </w:pPr>
            <w:r w:rsidRPr="009A0AF4">
              <w:rPr>
                <w:rFonts w:asciiTheme="minorHAnsi" w:hAnsiTheme="minorHAnsi" w:cs="Times New Roman"/>
                <w:sz w:val="20"/>
                <w:szCs w:val="20"/>
              </w:rPr>
              <w:t>H1:</w:t>
            </w:r>
          </w:p>
        </w:tc>
        <w:tc>
          <w:tcPr>
            <w:tcW w:w="1905" w:type="pct"/>
            <w:hideMark/>
          </w:tcPr>
          <w:p w14:paraId="2E9C65EF" w14:textId="48C15FC0"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The effect of the COSO ERM Framework has a significant effect on the Financial Performance of Islamic Banks</w:t>
            </w:r>
          </w:p>
        </w:tc>
        <w:tc>
          <w:tcPr>
            <w:tcW w:w="808" w:type="pct"/>
          </w:tcPr>
          <w:p w14:paraId="40FF5C6A"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-0,029</w:t>
            </w:r>
          </w:p>
          <w:p w14:paraId="1F891924"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p>
        </w:tc>
        <w:tc>
          <w:tcPr>
            <w:tcW w:w="1078" w:type="pct"/>
          </w:tcPr>
          <w:p w14:paraId="69962A41"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0,9769</w:t>
            </w:r>
          </w:p>
          <w:p w14:paraId="40DFF7F3"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p>
        </w:tc>
        <w:tc>
          <w:tcPr>
            <w:tcW w:w="824" w:type="pct"/>
            <w:hideMark/>
          </w:tcPr>
          <w:p w14:paraId="655E9D64" w14:textId="47EC4FA9"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Negative No Significant</w:t>
            </w:r>
          </w:p>
        </w:tc>
      </w:tr>
      <w:tr w:rsidR="003D3BE7" w:rsidRPr="009A0AF4" w14:paraId="1BA2DE21" w14:textId="77777777" w:rsidTr="009A0AF4">
        <w:trPr>
          <w:trHeight w:val="885"/>
        </w:trPr>
        <w:tc>
          <w:tcPr>
            <w:cnfStyle w:val="001000000000" w:firstRow="0" w:lastRow="0" w:firstColumn="1" w:lastColumn="0" w:oddVBand="0" w:evenVBand="0" w:oddHBand="0" w:evenHBand="0" w:firstRowFirstColumn="0" w:firstRowLastColumn="0" w:lastRowFirstColumn="0" w:lastRowLastColumn="0"/>
            <w:tcW w:w="386" w:type="pct"/>
            <w:hideMark/>
          </w:tcPr>
          <w:p w14:paraId="2BB5D451" w14:textId="77777777" w:rsidR="007B55E3" w:rsidRPr="009A0AF4" w:rsidRDefault="007B55E3" w:rsidP="007107F9">
            <w:pPr>
              <w:spacing w:after="160" w:line="259" w:lineRule="auto"/>
              <w:ind w:left="0" w:hanging="2"/>
              <w:textDirection w:val="lrTb"/>
              <w:rPr>
                <w:rFonts w:asciiTheme="minorHAnsi" w:hAnsiTheme="minorHAnsi" w:cs="Times New Roman"/>
                <w:sz w:val="20"/>
                <w:szCs w:val="20"/>
              </w:rPr>
            </w:pPr>
            <w:r w:rsidRPr="009A0AF4">
              <w:rPr>
                <w:rFonts w:asciiTheme="minorHAnsi" w:hAnsiTheme="minorHAnsi" w:cs="Times New Roman"/>
                <w:sz w:val="20"/>
                <w:szCs w:val="20"/>
              </w:rPr>
              <w:t>H2:</w:t>
            </w:r>
          </w:p>
        </w:tc>
        <w:tc>
          <w:tcPr>
            <w:tcW w:w="1905" w:type="pct"/>
            <w:hideMark/>
          </w:tcPr>
          <w:p w14:paraId="799F0382" w14:textId="7DEE5A23" w:rsidR="007B55E3" w:rsidRPr="009A0AF4" w:rsidRDefault="007B55E3" w:rsidP="007B55E3">
            <w:pPr>
              <w:spacing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The effect of the COSO Framework (ERM) on Critical Success Factors (CSF)</w:t>
            </w:r>
          </w:p>
        </w:tc>
        <w:tc>
          <w:tcPr>
            <w:tcW w:w="808" w:type="pct"/>
          </w:tcPr>
          <w:p w14:paraId="64569B7E"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-5,1205</w:t>
            </w:r>
          </w:p>
          <w:p w14:paraId="699827FB"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p>
        </w:tc>
        <w:tc>
          <w:tcPr>
            <w:tcW w:w="1078" w:type="pct"/>
          </w:tcPr>
          <w:p w14:paraId="0D42C804"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1,62E-06***</w:t>
            </w:r>
          </w:p>
          <w:p w14:paraId="55FFF048"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p>
        </w:tc>
        <w:tc>
          <w:tcPr>
            <w:tcW w:w="824" w:type="pct"/>
            <w:hideMark/>
          </w:tcPr>
          <w:p w14:paraId="373587AE" w14:textId="788D944F" w:rsidR="007B55E3" w:rsidRPr="009A0AF4" w:rsidRDefault="007B55E3" w:rsidP="007B55E3">
            <w:pPr>
              <w:spacing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Negative No Significant</w:t>
            </w:r>
          </w:p>
        </w:tc>
      </w:tr>
      <w:tr w:rsidR="003D3BE7" w:rsidRPr="009A0AF4" w14:paraId="384FC235" w14:textId="77777777" w:rsidTr="009A0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hideMark/>
          </w:tcPr>
          <w:p w14:paraId="52306025" w14:textId="77777777" w:rsidR="007B55E3" w:rsidRPr="009A0AF4" w:rsidRDefault="007B55E3" w:rsidP="007107F9">
            <w:pPr>
              <w:spacing w:after="160" w:line="259" w:lineRule="auto"/>
              <w:ind w:left="0" w:hanging="2"/>
              <w:textDirection w:val="lrTb"/>
              <w:rPr>
                <w:rFonts w:asciiTheme="minorHAnsi" w:hAnsiTheme="minorHAnsi" w:cs="Times New Roman"/>
                <w:sz w:val="20"/>
                <w:szCs w:val="20"/>
              </w:rPr>
            </w:pPr>
            <w:r w:rsidRPr="009A0AF4">
              <w:rPr>
                <w:rFonts w:asciiTheme="minorHAnsi" w:hAnsiTheme="minorHAnsi" w:cs="Times New Roman"/>
                <w:sz w:val="20"/>
                <w:szCs w:val="20"/>
              </w:rPr>
              <w:t>H3</w:t>
            </w:r>
          </w:p>
        </w:tc>
        <w:tc>
          <w:tcPr>
            <w:tcW w:w="1905" w:type="pct"/>
            <w:hideMark/>
          </w:tcPr>
          <w:p w14:paraId="24E54236" w14:textId="564417F9"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The effect of the COSO Framework (ERM) on Islamic Corporate Governance (ICG)</w:t>
            </w:r>
          </w:p>
        </w:tc>
        <w:tc>
          <w:tcPr>
            <w:tcW w:w="808" w:type="pct"/>
          </w:tcPr>
          <w:p w14:paraId="0A29D222"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1,3929</w:t>
            </w:r>
          </w:p>
          <w:p w14:paraId="016F24E4"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p>
        </w:tc>
        <w:tc>
          <w:tcPr>
            <w:tcW w:w="1078" w:type="pct"/>
          </w:tcPr>
          <w:p w14:paraId="1FE6FDB2"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0,1669</w:t>
            </w:r>
          </w:p>
          <w:p w14:paraId="7B9F5859"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p>
        </w:tc>
        <w:tc>
          <w:tcPr>
            <w:tcW w:w="824" w:type="pct"/>
            <w:hideMark/>
          </w:tcPr>
          <w:p w14:paraId="2B0D4D00" w14:textId="7484BE57" w:rsidR="007B55E3" w:rsidRPr="009A0AF4" w:rsidRDefault="007B55E3" w:rsidP="007B55E3">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lang w:val="en-US"/>
              </w:rPr>
              <w:t>P</w:t>
            </w:r>
            <w:r w:rsidRPr="009A0AF4">
              <w:rPr>
                <w:rFonts w:asciiTheme="minorHAnsi" w:hAnsiTheme="minorHAnsi" w:cs="Times New Roman"/>
                <w:sz w:val="20"/>
                <w:szCs w:val="20"/>
              </w:rPr>
              <w:t xml:space="preserve">ositive </w:t>
            </w:r>
            <w:r w:rsidRPr="009A0AF4">
              <w:rPr>
                <w:rFonts w:asciiTheme="minorHAnsi" w:hAnsiTheme="minorHAnsi" w:cs="Times New Roman"/>
                <w:sz w:val="20"/>
                <w:szCs w:val="20"/>
                <w:lang w:val="en-US"/>
              </w:rPr>
              <w:t>S</w:t>
            </w:r>
            <w:r w:rsidRPr="009A0AF4">
              <w:rPr>
                <w:rFonts w:asciiTheme="minorHAnsi" w:hAnsiTheme="minorHAnsi" w:cs="Times New Roman"/>
                <w:sz w:val="20"/>
                <w:szCs w:val="20"/>
              </w:rPr>
              <w:t>ignificant</w:t>
            </w:r>
          </w:p>
        </w:tc>
      </w:tr>
      <w:tr w:rsidR="003D3BE7" w:rsidRPr="009A0AF4" w14:paraId="67537E85" w14:textId="77777777" w:rsidTr="009A0AF4">
        <w:tc>
          <w:tcPr>
            <w:cnfStyle w:val="001000000000" w:firstRow="0" w:lastRow="0" w:firstColumn="1" w:lastColumn="0" w:oddVBand="0" w:evenVBand="0" w:oddHBand="0" w:evenHBand="0" w:firstRowFirstColumn="0" w:firstRowLastColumn="0" w:lastRowFirstColumn="0" w:lastRowLastColumn="0"/>
            <w:tcW w:w="386" w:type="pct"/>
            <w:hideMark/>
          </w:tcPr>
          <w:p w14:paraId="66DA307C" w14:textId="77777777" w:rsidR="007B55E3" w:rsidRPr="009A0AF4" w:rsidRDefault="007B55E3" w:rsidP="007107F9">
            <w:pPr>
              <w:spacing w:after="160" w:line="259" w:lineRule="auto"/>
              <w:ind w:left="0" w:hanging="2"/>
              <w:textDirection w:val="lrTb"/>
              <w:rPr>
                <w:rFonts w:asciiTheme="minorHAnsi" w:hAnsiTheme="minorHAnsi" w:cs="Times New Roman"/>
                <w:sz w:val="20"/>
                <w:szCs w:val="20"/>
              </w:rPr>
            </w:pPr>
            <w:r w:rsidRPr="009A0AF4">
              <w:rPr>
                <w:rFonts w:asciiTheme="minorHAnsi" w:hAnsiTheme="minorHAnsi" w:cs="Times New Roman"/>
                <w:sz w:val="20"/>
                <w:szCs w:val="20"/>
              </w:rPr>
              <w:t>H4</w:t>
            </w:r>
          </w:p>
        </w:tc>
        <w:tc>
          <w:tcPr>
            <w:tcW w:w="1905" w:type="pct"/>
            <w:hideMark/>
          </w:tcPr>
          <w:p w14:paraId="5B82FEF4" w14:textId="4CFEE02A"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The effect of Critical Success Factors (CSF) on the Financial Performance of Islamic Banks</w:t>
            </w:r>
          </w:p>
        </w:tc>
        <w:tc>
          <w:tcPr>
            <w:tcW w:w="808" w:type="pct"/>
          </w:tcPr>
          <w:p w14:paraId="4B7BC4C9"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4,7822</w:t>
            </w:r>
          </w:p>
          <w:p w14:paraId="66392D4E"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p>
        </w:tc>
        <w:tc>
          <w:tcPr>
            <w:tcW w:w="1078" w:type="pct"/>
          </w:tcPr>
          <w:p w14:paraId="3A8C04D2"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6,41E-06***</w:t>
            </w:r>
          </w:p>
          <w:p w14:paraId="28A1ACF4"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p>
        </w:tc>
        <w:tc>
          <w:tcPr>
            <w:tcW w:w="824" w:type="pct"/>
            <w:hideMark/>
          </w:tcPr>
          <w:p w14:paraId="5D74DD1D" w14:textId="299E234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lang w:val="en-US"/>
              </w:rPr>
              <w:t>P</w:t>
            </w:r>
            <w:r w:rsidRPr="009A0AF4">
              <w:rPr>
                <w:rFonts w:asciiTheme="minorHAnsi" w:hAnsiTheme="minorHAnsi" w:cs="Times New Roman"/>
                <w:sz w:val="20"/>
                <w:szCs w:val="20"/>
              </w:rPr>
              <w:t xml:space="preserve">ositive </w:t>
            </w:r>
            <w:r w:rsidRPr="009A0AF4">
              <w:rPr>
                <w:rFonts w:asciiTheme="minorHAnsi" w:hAnsiTheme="minorHAnsi" w:cs="Times New Roman"/>
                <w:sz w:val="20"/>
                <w:szCs w:val="20"/>
                <w:lang w:val="en-US"/>
              </w:rPr>
              <w:t>S</w:t>
            </w:r>
            <w:r w:rsidRPr="009A0AF4">
              <w:rPr>
                <w:rFonts w:asciiTheme="minorHAnsi" w:hAnsiTheme="minorHAnsi" w:cs="Times New Roman"/>
                <w:sz w:val="20"/>
                <w:szCs w:val="20"/>
              </w:rPr>
              <w:t>ignificant</w:t>
            </w:r>
          </w:p>
        </w:tc>
      </w:tr>
      <w:tr w:rsidR="003D3BE7" w:rsidRPr="009A0AF4" w14:paraId="4EBBAF6A" w14:textId="77777777" w:rsidTr="009A0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hideMark/>
          </w:tcPr>
          <w:p w14:paraId="09299E1E" w14:textId="77777777" w:rsidR="007B55E3" w:rsidRPr="009A0AF4" w:rsidRDefault="007B55E3" w:rsidP="007107F9">
            <w:pPr>
              <w:spacing w:after="160" w:line="259" w:lineRule="auto"/>
              <w:ind w:left="0" w:hanging="2"/>
              <w:textDirection w:val="lrTb"/>
              <w:rPr>
                <w:rFonts w:asciiTheme="minorHAnsi" w:hAnsiTheme="minorHAnsi" w:cs="Times New Roman"/>
                <w:sz w:val="20"/>
                <w:szCs w:val="20"/>
              </w:rPr>
            </w:pPr>
            <w:r w:rsidRPr="009A0AF4">
              <w:rPr>
                <w:rFonts w:asciiTheme="minorHAnsi" w:hAnsiTheme="minorHAnsi" w:cs="Times New Roman"/>
                <w:sz w:val="20"/>
                <w:szCs w:val="20"/>
              </w:rPr>
              <w:t>H5</w:t>
            </w:r>
          </w:p>
        </w:tc>
        <w:tc>
          <w:tcPr>
            <w:tcW w:w="1905" w:type="pct"/>
            <w:hideMark/>
          </w:tcPr>
          <w:p w14:paraId="1CA3AAA9" w14:textId="75106B53"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 xml:space="preserve">The effect of Islamic Corporate Governance (ICG) on the Financial Performance of Islamic Banks </w:t>
            </w:r>
          </w:p>
        </w:tc>
        <w:tc>
          <w:tcPr>
            <w:tcW w:w="808" w:type="pct"/>
          </w:tcPr>
          <w:p w14:paraId="4DD6CCFE"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-5,5411</w:t>
            </w:r>
          </w:p>
          <w:p w14:paraId="4482FD92"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p>
        </w:tc>
        <w:tc>
          <w:tcPr>
            <w:tcW w:w="1078" w:type="pct"/>
          </w:tcPr>
          <w:p w14:paraId="7046A6F3"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2,73E-07***</w:t>
            </w:r>
          </w:p>
          <w:p w14:paraId="617F9B1B"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p>
        </w:tc>
        <w:tc>
          <w:tcPr>
            <w:tcW w:w="824" w:type="pct"/>
            <w:hideMark/>
          </w:tcPr>
          <w:p w14:paraId="3898888F" w14:textId="34CAA21D"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Negative No Significant</w:t>
            </w:r>
          </w:p>
        </w:tc>
      </w:tr>
      <w:tr w:rsidR="003D3BE7" w:rsidRPr="009A0AF4" w14:paraId="7D3D3B41" w14:textId="77777777" w:rsidTr="009A0AF4">
        <w:trPr>
          <w:trHeight w:val="983"/>
        </w:trPr>
        <w:tc>
          <w:tcPr>
            <w:cnfStyle w:val="001000000000" w:firstRow="0" w:lastRow="0" w:firstColumn="1" w:lastColumn="0" w:oddVBand="0" w:evenVBand="0" w:oddHBand="0" w:evenHBand="0" w:firstRowFirstColumn="0" w:firstRowLastColumn="0" w:lastRowFirstColumn="0" w:lastRowLastColumn="0"/>
            <w:tcW w:w="386" w:type="pct"/>
          </w:tcPr>
          <w:p w14:paraId="11454AB4" w14:textId="77777777" w:rsidR="007B55E3" w:rsidRPr="009A0AF4" w:rsidRDefault="007B55E3" w:rsidP="007107F9">
            <w:pPr>
              <w:spacing w:after="160" w:line="259" w:lineRule="auto"/>
              <w:ind w:left="0" w:hanging="2"/>
              <w:textDirection w:val="lrTb"/>
              <w:rPr>
                <w:rFonts w:asciiTheme="minorHAnsi" w:hAnsiTheme="minorHAnsi" w:cs="Times New Roman"/>
                <w:sz w:val="20"/>
                <w:szCs w:val="20"/>
              </w:rPr>
            </w:pPr>
            <w:r w:rsidRPr="009A0AF4">
              <w:rPr>
                <w:rFonts w:asciiTheme="minorHAnsi" w:hAnsiTheme="minorHAnsi" w:cs="Times New Roman"/>
                <w:sz w:val="20"/>
                <w:szCs w:val="20"/>
              </w:rPr>
              <w:t>H6</w:t>
            </w:r>
          </w:p>
          <w:p w14:paraId="2A4FA306" w14:textId="77777777" w:rsidR="007B55E3" w:rsidRPr="009A0AF4" w:rsidRDefault="007B55E3" w:rsidP="007107F9">
            <w:pPr>
              <w:spacing w:after="160" w:line="259" w:lineRule="auto"/>
              <w:ind w:left="0" w:hanging="2"/>
              <w:textDirection w:val="lrTb"/>
              <w:rPr>
                <w:rFonts w:asciiTheme="minorHAnsi" w:hAnsiTheme="minorHAnsi" w:cs="Times New Roman"/>
                <w:sz w:val="20"/>
                <w:szCs w:val="20"/>
              </w:rPr>
            </w:pPr>
          </w:p>
        </w:tc>
        <w:tc>
          <w:tcPr>
            <w:tcW w:w="1905" w:type="pct"/>
            <w:hideMark/>
          </w:tcPr>
          <w:p w14:paraId="4C2DE988" w14:textId="20F94355"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The influence of the COSO Framework (ERM) mediated by Critical Success Factors (CSF) strengthens the relationship to the Financial Performance of Islamic Banks</w:t>
            </w:r>
          </w:p>
        </w:tc>
        <w:tc>
          <w:tcPr>
            <w:tcW w:w="808" w:type="pct"/>
          </w:tcPr>
          <w:p w14:paraId="1864E3C5"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4,6258</w:t>
            </w:r>
          </w:p>
          <w:p w14:paraId="7182BC7A"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p>
          <w:p w14:paraId="3F859233"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p>
        </w:tc>
        <w:tc>
          <w:tcPr>
            <w:tcW w:w="1078" w:type="pct"/>
          </w:tcPr>
          <w:p w14:paraId="02468E5D"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1,19E-05***</w:t>
            </w:r>
          </w:p>
          <w:p w14:paraId="67D04579"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p>
          <w:p w14:paraId="3C061BEF" w14:textId="77777777"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p>
        </w:tc>
        <w:tc>
          <w:tcPr>
            <w:tcW w:w="824" w:type="pct"/>
            <w:hideMark/>
          </w:tcPr>
          <w:p w14:paraId="516A7CA9" w14:textId="0171AA4F" w:rsidR="007B55E3" w:rsidRPr="009A0AF4" w:rsidRDefault="007B55E3" w:rsidP="007107F9">
            <w:pPr>
              <w:spacing w:after="160" w:line="259" w:lineRule="auto"/>
              <w:ind w:left="0" w:hanging="2"/>
              <w:textDirection w:val="lrTb"/>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lang w:val="en-US"/>
              </w:rPr>
              <w:t>P</w:t>
            </w:r>
            <w:r w:rsidRPr="009A0AF4">
              <w:rPr>
                <w:rFonts w:asciiTheme="minorHAnsi" w:hAnsiTheme="minorHAnsi" w:cs="Times New Roman"/>
                <w:sz w:val="20"/>
                <w:szCs w:val="20"/>
              </w:rPr>
              <w:t xml:space="preserve">ositive </w:t>
            </w:r>
            <w:r w:rsidRPr="009A0AF4">
              <w:rPr>
                <w:rFonts w:asciiTheme="minorHAnsi" w:hAnsiTheme="minorHAnsi" w:cs="Times New Roman"/>
                <w:sz w:val="20"/>
                <w:szCs w:val="20"/>
                <w:lang w:val="en-US"/>
              </w:rPr>
              <w:t>S</w:t>
            </w:r>
            <w:r w:rsidRPr="009A0AF4">
              <w:rPr>
                <w:rFonts w:asciiTheme="minorHAnsi" w:hAnsiTheme="minorHAnsi" w:cs="Times New Roman"/>
                <w:sz w:val="20"/>
                <w:szCs w:val="20"/>
              </w:rPr>
              <w:t>ignificant</w:t>
            </w:r>
          </w:p>
        </w:tc>
      </w:tr>
      <w:tr w:rsidR="003D3BE7" w:rsidRPr="009A0AF4" w14:paraId="0771FC1B" w14:textId="77777777" w:rsidTr="009A0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 w:type="pct"/>
            <w:hideMark/>
          </w:tcPr>
          <w:p w14:paraId="311720FA" w14:textId="77777777" w:rsidR="007B55E3" w:rsidRPr="009A0AF4" w:rsidRDefault="007B55E3" w:rsidP="007107F9">
            <w:pPr>
              <w:spacing w:after="160" w:line="259" w:lineRule="auto"/>
              <w:ind w:left="0" w:hanging="2"/>
              <w:textDirection w:val="lrTb"/>
              <w:rPr>
                <w:rFonts w:asciiTheme="minorHAnsi" w:hAnsiTheme="minorHAnsi" w:cs="Times New Roman"/>
                <w:sz w:val="20"/>
                <w:szCs w:val="20"/>
              </w:rPr>
            </w:pPr>
            <w:r w:rsidRPr="009A0AF4">
              <w:rPr>
                <w:rFonts w:asciiTheme="minorHAnsi" w:hAnsiTheme="minorHAnsi" w:cs="Times New Roman"/>
                <w:sz w:val="20"/>
                <w:szCs w:val="20"/>
              </w:rPr>
              <w:t>H7</w:t>
            </w:r>
          </w:p>
        </w:tc>
        <w:tc>
          <w:tcPr>
            <w:tcW w:w="1905" w:type="pct"/>
            <w:hideMark/>
          </w:tcPr>
          <w:p w14:paraId="5F58F41B" w14:textId="6F248E4D"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The effect of the COSO Framework (ERM) mediated by Islamic Corporate Governance (ICG) strengthens the relationship to the Financial Performance of Islamic Banks</w:t>
            </w:r>
          </w:p>
        </w:tc>
        <w:tc>
          <w:tcPr>
            <w:tcW w:w="808" w:type="pct"/>
          </w:tcPr>
          <w:p w14:paraId="72998F1D"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p>
          <w:p w14:paraId="08144D8A"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6,1222</w:t>
            </w:r>
          </w:p>
          <w:p w14:paraId="0DEF604E"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p>
        </w:tc>
        <w:tc>
          <w:tcPr>
            <w:tcW w:w="1078" w:type="pct"/>
          </w:tcPr>
          <w:p w14:paraId="334E5A84"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p>
          <w:p w14:paraId="5FF34D0C" w14:textId="77777777"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rPr>
              <w:t>1,91E-08***</w:t>
            </w:r>
          </w:p>
        </w:tc>
        <w:tc>
          <w:tcPr>
            <w:tcW w:w="824" w:type="pct"/>
            <w:hideMark/>
          </w:tcPr>
          <w:p w14:paraId="13DFB00F" w14:textId="784322A6" w:rsidR="007B55E3" w:rsidRPr="009A0AF4" w:rsidRDefault="007B55E3" w:rsidP="007107F9">
            <w:pPr>
              <w:spacing w:after="160" w:line="259" w:lineRule="auto"/>
              <w:ind w:left="0" w:hanging="2"/>
              <w:textDirection w:val="lrTb"/>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9A0AF4">
              <w:rPr>
                <w:rFonts w:asciiTheme="minorHAnsi" w:hAnsiTheme="minorHAnsi" w:cs="Times New Roman"/>
                <w:sz w:val="20"/>
                <w:szCs w:val="20"/>
                <w:lang w:val="en-US"/>
              </w:rPr>
              <w:t>P</w:t>
            </w:r>
            <w:r w:rsidRPr="009A0AF4">
              <w:rPr>
                <w:rFonts w:asciiTheme="minorHAnsi" w:hAnsiTheme="minorHAnsi" w:cs="Times New Roman"/>
                <w:sz w:val="20"/>
                <w:szCs w:val="20"/>
              </w:rPr>
              <w:t xml:space="preserve">ositive </w:t>
            </w:r>
            <w:r w:rsidRPr="009A0AF4">
              <w:rPr>
                <w:rFonts w:asciiTheme="minorHAnsi" w:hAnsiTheme="minorHAnsi" w:cs="Times New Roman"/>
                <w:sz w:val="20"/>
                <w:szCs w:val="20"/>
                <w:lang w:val="en-US"/>
              </w:rPr>
              <w:t>S</w:t>
            </w:r>
            <w:r w:rsidRPr="009A0AF4">
              <w:rPr>
                <w:rFonts w:asciiTheme="minorHAnsi" w:hAnsiTheme="minorHAnsi" w:cs="Times New Roman"/>
                <w:sz w:val="20"/>
                <w:szCs w:val="20"/>
              </w:rPr>
              <w:t>ignificant</w:t>
            </w:r>
          </w:p>
        </w:tc>
      </w:tr>
    </w:tbl>
    <w:p w14:paraId="16F61B78" w14:textId="6A7EB624" w:rsidR="007B55E3" w:rsidRPr="0052450F" w:rsidRDefault="00942BA4" w:rsidP="00634CED">
      <w:pPr>
        <w:pBdr>
          <w:top w:val="nil"/>
          <w:left w:val="nil"/>
          <w:bottom w:val="nil"/>
          <w:right w:val="nil"/>
          <w:between w:val="nil"/>
        </w:pBdr>
        <w:ind w:leftChars="58" w:left="141" w:hanging="2"/>
        <w:jc w:val="left"/>
        <w:rPr>
          <w:rFonts w:ascii="Cambria" w:eastAsia="Cambria" w:hAnsi="Cambria" w:cs="Cambria"/>
          <w:b/>
          <w:bCs/>
          <w:color w:val="000000"/>
          <w:sz w:val="20"/>
          <w:szCs w:val="20"/>
          <w:highlight w:val="yellow"/>
          <w:lang w:val="en-US"/>
        </w:rPr>
      </w:pPr>
      <w:r>
        <w:rPr>
          <w:rFonts w:ascii="Cambria" w:eastAsia="Cambria" w:hAnsi="Cambria" w:cs="Cambria"/>
          <w:color w:val="000000"/>
          <w:sz w:val="20"/>
          <w:szCs w:val="20"/>
          <w:lang w:val="en-US"/>
        </w:rPr>
        <w:t xml:space="preserve">  </w:t>
      </w:r>
      <w:r w:rsidR="003D3BE7" w:rsidRPr="0052450F">
        <w:rPr>
          <w:rFonts w:ascii="Cambria" w:eastAsia="Cambria" w:hAnsi="Cambria" w:cs="Cambria"/>
          <w:b/>
          <w:bCs/>
          <w:color w:val="000000"/>
          <w:sz w:val="20"/>
          <w:szCs w:val="20"/>
          <w:lang w:val="en-US"/>
        </w:rPr>
        <w:t>Sumber: Data Diolah Peneliti</w:t>
      </w:r>
    </w:p>
    <w:p w14:paraId="23458D59" w14:textId="77777777" w:rsidR="003D3BE7" w:rsidRPr="003D3BE7" w:rsidRDefault="003D3BE7" w:rsidP="001B4399">
      <w:pPr>
        <w:pBdr>
          <w:top w:val="nil"/>
          <w:left w:val="nil"/>
          <w:bottom w:val="nil"/>
          <w:right w:val="nil"/>
          <w:between w:val="nil"/>
        </w:pBdr>
        <w:spacing w:line="276" w:lineRule="auto"/>
        <w:ind w:left="-2" w:firstLineChars="236" w:firstLine="566"/>
        <w:rPr>
          <w:rFonts w:ascii="Cambria" w:eastAsia="Cambria" w:hAnsi="Cambria" w:cs="Cambria"/>
          <w:color w:val="000000"/>
          <w:szCs w:val="24"/>
        </w:rPr>
      </w:pPr>
      <w:r w:rsidRPr="003D3BE7">
        <w:rPr>
          <w:rFonts w:ascii="Cambria" w:eastAsia="Cambria" w:hAnsi="Cambria" w:cs="Cambria"/>
          <w:color w:val="000000"/>
          <w:szCs w:val="24"/>
        </w:rPr>
        <w:t>Based on the t-value and significant pata table 4.6 above, it can be seen the partial influence of each variable, so that it can be decided as follows:</w:t>
      </w:r>
    </w:p>
    <w:p w14:paraId="51CE73F7" w14:textId="77777777" w:rsidR="003D3BE7" w:rsidRDefault="003D3BE7" w:rsidP="003D3BE7">
      <w:pPr>
        <w:pStyle w:val="ListParagraph"/>
        <w:numPr>
          <w:ilvl w:val="0"/>
          <w:numId w:val="1"/>
        </w:numPr>
        <w:pBdr>
          <w:top w:val="nil"/>
          <w:left w:val="nil"/>
          <w:bottom w:val="nil"/>
          <w:right w:val="nil"/>
          <w:between w:val="nil"/>
        </w:pBdr>
        <w:spacing w:line="276" w:lineRule="auto"/>
        <w:ind w:leftChars="0" w:firstLineChars="0"/>
        <w:rPr>
          <w:rFonts w:ascii="Cambria" w:eastAsia="Cambria" w:hAnsi="Cambria" w:cs="Cambria"/>
          <w:color w:val="000000"/>
          <w:szCs w:val="24"/>
        </w:rPr>
      </w:pPr>
      <w:r w:rsidRPr="003D3BE7">
        <w:rPr>
          <w:rFonts w:ascii="Cambria" w:eastAsia="Cambria" w:hAnsi="Cambria" w:cs="Cambria"/>
          <w:color w:val="000000"/>
          <w:szCs w:val="24"/>
        </w:rPr>
        <w:lastRenderedPageBreak/>
        <w:t>The effect of the COSO ERM Framework has no effect or is negatively insignificant on the Financial Performance of Islamic Banks because it has a t-value of -0.029 and a significant value of 0.9769. And it can be concluded that the COSO ERM Framework indicator has a negative and insignificant effect on Financial Performance (ROA). This means that H1 is not accepted.</w:t>
      </w:r>
    </w:p>
    <w:p w14:paraId="20680956" w14:textId="77777777" w:rsidR="003D3BE7" w:rsidRDefault="003D3BE7" w:rsidP="003D3BE7">
      <w:pPr>
        <w:pStyle w:val="ListParagraph"/>
        <w:numPr>
          <w:ilvl w:val="0"/>
          <w:numId w:val="1"/>
        </w:numPr>
        <w:pBdr>
          <w:top w:val="nil"/>
          <w:left w:val="nil"/>
          <w:bottom w:val="nil"/>
          <w:right w:val="nil"/>
          <w:between w:val="nil"/>
        </w:pBdr>
        <w:spacing w:line="276" w:lineRule="auto"/>
        <w:ind w:leftChars="0" w:firstLineChars="0"/>
        <w:rPr>
          <w:rFonts w:ascii="Cambria" w:eastAsia="Cambria" w:hAnsi="Cambria" w:cs="Cambria"/>
          <w:color w:val="000000"/>
          <w:szCs w:val="24"/>
        </w:rPr>
      </w:pPr>
      <w:r w:rsidRPr="003D3BE7">
        <w:rPr>
          <w:rFonts w:ascii="Cambria" w:eastAsia="Cambria" w:hAnsi="Cambria" w:cs="Cambria"/>
          <w:color w:val="000000"/>
          <w:szCs w:val="24"/>
        </w:rPr>
        <w:t>The effect of the COSO Framework (ERM) has no effect or is negatively insignificant on Critical Success Factors (CSF) because it has a t-value of -5.1205 and a significant value of 1.62E-06***. It can be concluded that the COSO ERM Framework indicator has an insignificant negative impact on Critical Success Factors (CSF). This means that H2 is not accepted.</w:t>
      </w:r>
    </w:p>
    <w:p w14:paraId="4453251E" w14:textId="77777777" w:rsidR="003D3BE7" w:rsidRDefault="003D3BE7" w:rsidP="003D3BE7">
      <w:pPr>
        <w:pStyle w:val="ListParagraph"/>
        <w:numPr>
          <w:ilvl w:val="0"/>
          <w:numId w:val="1"/>
        </w:numPr>
        <w:pBdr>
          <w:top w:val="nil"/>
          <w:left w:val="nil"/>
          <w:bottom w:val="nil"/>
          <w:right w:val="nil"/>
          <w:between w:val="nil"/>
        </w:pBdr>
        <w:spacing w:line="276" w:lineRule="auto"/>
        <w:ind w:leftChars="0" w:firstLineChars="0"/>
        <w:rPr>
          <w:rFonts w:ascii="Cambria" w:eastAsia="Cambria" w:hAnsi="Cambria" w:cs="Cambria"/>
          <w:color w:val="000000"/>
          <w:szCs w:val="24"/>
        </w:rPr>
      </w:pPr>
      <w:r w:rsidRPr="003D3BE7">
        <w:rPr>
          <w:rFonts w:ascii="Cambria" w:eastAsia="Cambria" w:hAnsi="Cambria" w:cs="Cambria"/>
          <w:color w:val="000000"/>
          <w:szCs w:val="24"/>
        </w:rPr>
        <w:t>The effect of COSO Framework (ERM) on Islamic Corporate Governance (ICG) has a significant positive effect because it has a t-value of 1.3929 and a significant value of 0.1669. It can be concluded that the COSO ERM Framework indicator has a significant effect on Islamic Corporate Governance (ICG). This means that H3 is accepted.</w:t>
      </w:r>
    </w:p>
    <w:p w14:paraId="08C4140E" w14:textId="77777777" w:rsidR="003D3BE7" w:rsidRDefault="003D3BE7" w:rsidP="003D3BE7">
      <w:pPr>
        <w:pStyle w:val="ListParagraph"/>
        <w:numPr>
          <w:ilvl w:val="0"/>
          <w:numId w:val="1"/>
        </w:numPr>
        <w:pBdr>
          <w:top w:val="nil"/>
          <w:left w:val="nil"/>
          <w:bottom w:val="nil"/>
          <w:right w:val="nil"/>
          <w:between w:val="nil"/>
        </w:pBdr>
        <w:spacing w:line="276" w:lineRule="auto"/>
        <w:ind w:leftChars="0" w:firstLineChars="0"/>
        <w:rPr>
          <w:rFonts w:ascii="Cambria" w:eastAsia="Cambria" w:hAnsi="Cambria" w:cs="Cambria"/>
          <w:color w:val="000000"/>
          <w:szCs w:val="24"/>
        </w:rPr>
      </w:pPr>
      <w:r w:rsidRPr="003D3BE7">
        <w:rPr>
          <w:rFonts w:ascii="Cambria" w:eastAsia="Cambria" w:hAnsi="Cambria" w:cs="Cambria"/>
          <w:color w:val="000000"/>
          <w:szCs w:val="24"/>
        </w:rPr>
        <w:t>The effect of Critical Success Factors (CSF) on the Financial Performance of Islamic Banks has a significant positive effect because it has a t-value of 4.7822 and a significant value of 6.41E-06***. It can be concluded that the Critical Success Factors (CSF) indicator has a significant influence on the Financial Performance of Islamic Banks, this means that H4 is accepted.</w:t>
      </w:r>
    </w:p>
    <w:p w14:paraId="2D0C5DAA" w14:textId="77777777" w:rsidR="003D3BE7" w:rsidRDefault="003D3BE7" w:rsidP="003D3BE7">
      <w:pPr>
        <w:pStyle w:val="ListParagraph"/>
        <w:numPr>
          <w:ilvl w:val="0"/>
          <w:numId w:val="1"/>
        </w:numPr>
        <w:pBdr>
          <w:top w:val="nil"/>
          <w:left w:val="nil"/>
          <w:bottom w:val="nil"/>
          <w:right w:val="nil"/>
          <w:between w:val="nil"/>
        </w:pBdr>
        <w:spacing w:line="276" w:lineRule="auto"/>
        <w:ind w:leftChars="0" w:firstLineChars="0"/>
        <w:rPr>
          <w:rFonts w:ascii="Cambria" w:eastAsia="Cambria" w:hAnsi="Cambria" w:cs="Cambria"/>
          <w:color w:val="000000"/>
          <w:szCs w:val="24"/>
        </w:rPr>
      </w:pPr>
      <w:r w:rsidRPr="003D3BE7">
        <w:rPr>
          <w:rFonts w:ascii="Cambria" w:eastAsia="Cambria" w:hAnsi="Cambria" w:cs="Cambria"/>
          <w:color w:val="000000"/>
          <w:szCs w:val="24"/>
        </w:rPr>
        <w:t>The effect of Islamic Corporate Governance (ICG) has no effect or negative insignificant on the Financial Performance of Islamic Banks because it has a t-value of -5.5411 and a significant value of 2.73E-07***. It can be concluded that the Islamic Corporate Governance (ICG) indicator has no significant effect on the Financial Performance of Islamic Banks, this means that H5 is not accepted.</w:t>
      </w:r>
    </w:p>
    <w:p w14:paraId="1FA46D1A" w14:textId="77777777" w:rsidR="003D3BE7" w:rsidRDefault="003D3BE7" w:rsidP="003D3BE7">
      <w:pPr>
        <w:pStyle w:val="ListParagraph"/>
        <w:numPr>
          <w:ilvl w:val="0"/>
          <w:numId w:val="1"/>
        </w:numPr>
        <w:pBdr>
          <w:top w:val="nil"/>
          <w:left w:val="nil"/>
          <w:bottom w:val="nil"/>
          <w:right w:val="nil"/>
          <w:between w:val="nil"/>
        </w:pBdr>
        <w:spacing w:line="276" w:lineRule="auto"/>
        <w:ind w:leftChars="0" w:firstLineChars="0"/>
        <w:rPr>
          <w:rFonts w:ascii="Cambria" w:eastAsia="Cambria" w:hAnsi="Cambria" w:cs="Cambria"/>
          <w:color w:val="000000"/>
          <w:szCs w:val="24"/>
        </w:rPr>
      </w:pPr>
      <w:r w:rsidRPr="003D3BE7">
        <w:rPr>
          <w:rFonts w:ascii="Cambria" w:eastAsia="Cambria" w:hAnsi="Cambria" w:cs="Cambria"/>
          <w:color w:val="000000"/>
          <w:szCs w:val="24"/>
        </w:rPr>
        <w:t>The effect of the COSO Framework (ERM) mediated by Critical Success Factors (CSF) has a significant effect on strengthening the relationship to the Financial Performance of Islamic Banks because it has a t-value of 4.6258 and a significant value of 1.19E-05***. It can be concluded that the COSO Framework (ERM) indicator mediated by Critical Success Factors (CSF) has a significant influence on the Financial Performance of Islamic Banks, this means that H6 is accepted.</w:t>
      </w:r>
    </w:p>
    <w:p w14:paraId="1C4C05E1" w14:textId="1E64E4A6" w:rsidR="003D3BE7" w:rsidRPr="003D3BE7" w:rsidRDefault="003D3BE7" w:rsidP="003D3BE7">
      <w:pPr>
        <w:pStyle w:val="ListParagraph"/>
        <w:numPr>
          <w:ilvl w:val="0"/>
          <w:numId w:val="1"/>
        </w:numPr>
        <w:pBdr>
          <w:top w:val="nil"/>
          <w:left w:val="nil"/>
          <w:bottom w:val="nil"/>
          <w:right w:val="nil"/>
          <w:between w:val="nil"/>
        </w:pBdr>
        <w:spacing w:line="276" w:lineRule="auto"/>
        <w:ind w:leftChars="0" w:firstLineChars="0"/>
        <w:rPr>
          <w:rFonts w:ascii="Cambria" w:eastAsia="Cambria" w:hAnsi="Cambria" w:cs="Cambria"/>
          <w:color w:val="000000"/>
          <w:szCs w:val="24"/>
        </w:rPr>
      </w:pPr>
      <w:r w:rsidRPr="003D3BE7">
        <w:rPr>
          <w:rFonts w:ascii="Cambria" w:eastAsia="Cambria" w:hAnsi="Cambria" w:cs="Cambria"/>
          <w:color w:val="000000"/>
          <w:szCs w:val="24"/>
        </w:rPr>
        <w:t xml:space="preserve">The effect of the COSO Framework (ERM) mediated by Islamic Corporate Governance (ICG) has a significant effect on strengthening the relationship to the Financial Performance of Islamic Banks because it has a t-value of 6.1222 and a significant value of 1.91E-08***. It can </w:t>
      </w:r>
      <w:r w:rsidRPr="003D3BE7">
        <w:rPr>
          <w:rFonts w:ascii="Cambria" w:eastAsia="Cambria" w:hAnsi="Cambria" w:cs="Cambria"/>
          <w:color w:val="000000"/>
          <w:szCs w:val="24"/>
        </w:rPr>
        <w:lastRenderedPageBreak/>
        <w:t>be concluded that the COSO Framework (ERM) indicator mediated by Islamic Corporate Governance (ICG) has a significant influence on the Financial Performance of Islamic Banks, this means that H7 is accepted.</w:t>
      </w:r>
    </w:p>
    <w:p w14:paraId="64909B89" w14:textId="15FBBB80" w:rsidR="00C01041" w:rsidRPr="001429F4" w:rsidRDefault="001429F4" w:rsidP="00C01041">
      <w:pPr>
        <w:pBdr>
          <w:top w:val="nil"/>
          <w:left w:val="nil"/>
          <w:bottom w:val="nil"/>
          <w:right w:val="nil"/>
          <w:between w:val="nil"/>
        </w:pBdr>
        <w:spacing w:line="276" w:lineRule="auto"/>
        <w:ind w:leftChars="0" w:left="0" w:firstLineChars="0" w:firstLine="0"/>
        <w:rPr>
          <w:rFonts w:ascii="Cambria" w:eastAsia="Cambria" w:hAnsi="Cambria" w:cs="Cambria"/>
          <w:b/>
          <w:bCs/>
          <w:color w:val="000000"/>
          <w:szCs w:val="24"/>
          <w:lang w:val="en-US"/>
        </w:rPr>
      </w:pPr>
      <w:r>
        <w:rPr>
          <w:rFonts w:ascii="Cambria" w:eastAsia="Cambria" w:hAnsi="Cambria" w:cs="Cambria"/>
          <w:b/>
          <w:bCs/>
          <w:color w:val="000000"/>
          <w:szCs w:val="24"/>
          <w:lang w:val="en-US"/>
        </w:rPr>
        <w:t>DISCUSSION</w:t>
      </w:r>
    </w:p>
    <w:p w14:paraId="2A60CF0E" w14:textId="1FE9B9FB" w:rsidR="003D3BE7" w:rsidRPr="003D3BE7" w:rsidRDefault="003D3BE7" w:rsidP="001B4399">
      <w:pPr>
        <w:pBdr>
          <w:top w:val="nil"/>
          <w:left w:val="nil"/>
          <w:bottom w:val="nil"/>
          <w:right w:val="nil"/>
          <w:between w:val="nil"/>
        </w:pBdr>
        <w:spacing w:line="276" w:lineRule="auto"/>
        <w:ind w:left="-2" w:firstLineChars="236" w:firstLine="566"/>
        <w:rPr>
          <w:rFonts w:ascii="Cambria" w:eastAsia="Cambria" w:hAnsi="Cambria" w:cs="Cambria"/>
          <w:color w:val="000000"/>
          <w:szCs w:val="24"/>
        </w:rPr>
      </w:pPr>
      <w:r w:rsidRPr="003D3BE7">
        <w:rPr>
          <w:rFonts w:ascii="Cambria" w:eastAsia="Cambria" w:hAnsi="Cambria" w:cs="Cambria"/>
          <w:color w:val="000000"/>
          <w:szCs w:val="24"/>
        </w:rPr>
        <w:t xml:space="preserve">The research highlights the potential for adopting risk management frameworks, such as the influence of the COSO Framework ERM on islamic bank financial performance. The company's commitment to managing risk for a one-year period is outlined in a report called an Enterprise Risk Management Disclosure or ERM disclosure report. Good corporate risk management is able to provide more value so that investors are more confident in giving trust in their capital to companies that are able to manage risk properly and correctly.     </w:t>
      </w:r>
    </w:p>
    <w:p w14:paraId="5EF41FDB" w14:textId="77777777" w:rsidR="003D3BE7" w:rsidRPr="003D3BE7" w:rsidRDefault="003D3BE7" w:rsidP="003D3BE7">
      <w:pPr>
        <w:pBdr>
          <w:top w:val="nil"/>
          <w:left w:val="nil"/>
          <w:bottom w:val="nil"/>
          <w:right w:val="nil"/>
          <w:between w:val="nil"/>
        </w:pBdr>
        <w:spacing w:line="276" w:lineRule="auto"/>
        <w:ind w:left="0" w:hanging="2"/>
        <w:rPr>
          <w:rFonts w:ascii="Cambria" w:eastAsia="Cambria" w:hAnsi="Cambria" w:cs="Cambria"/>
          <w:color w:val="000000"/>
          <w:szCs w:val="24"/>
        </w:rPr>
      </w:pPr>
      <w:r w:rsidRPr="003D3BE7">
        <w:rPr>
          <w:rFonts w:ascii="Cambria" w:eastAsia="Cambria" w:hAnsi="Cambria" w:cs="Cambria"/>
          <w:color w:val="000000"/>
          <w:szCs w:val="24"/>
        </w:rPr>
        <w:t xml:space="preserve">Then if it is associated with the analysis of the influence of the COSO Framework (ERM), Critical Success Factors (CSF), and Islamic Corporate Governance (ICG) on the financial performance of Islamic banks, it has significant implications for accounting education and risk management.  Some of the implications that can be identified: </w:t>
      </w:r>
    </w:p>
    <w:p w14:paraId="5676F13E" w14:textId="77777777" w:rsidR="003D3BE7" w:rsidRPr="009A0AF4" w:rsidRDefault="003D3BE7" w:rsidP="003D3BE7">
      <w:pPr>
        <w:pBdr>
          <w:top w:val="nil"/>
          <w:left w:val="nil"/>
          <w:bottom w:val="nil"/>
          <w:right w:val="nil"/>
          <w:between w:val="nil"/>
        </w:pBdr>
        <w:spacing w:line="276" w:lineRule="auto"/>
        <w:ind w:left="0" w:hanging="2"/>
        <w:rPr>
          <w:rFonts w:ascii="Cambria" w:eastAsia="Cambria" w:hAnsi="Cambria" w:cs="Cambria"/>
          <w:b/>
          <w:bCs/>
          <w:color w:val="000000"/>
          <w:szCs w:val="24"/>
        </w:rPr>
      </w:pPr>
      <w:r w:rsidRPr="009A0AF4">
        <w:rPr>
          <w:rFonts w:ascii="Cambria" w:eastAsia="Cambria" w:hAnsi="Cambria" w:cs="Cambria"/>
          <w:b/>
          <w:bCs/>
          <w:color w:val="000000"/>
          <w:szCs w:val="24"/>
        </w:rPr>
        <w:t>Encouraging Further Research in the Field of Sharia Risk Management and Accounting</w:t>
      </w:r>
    </w:p>
    <w:p w14:paraId="34257B4C" w14:textId="0C9CF4D3" w:rsidR="003D3BE7" w:rsidRPr="00634CED" w:rsidRDefault="003D3BE7" w:rsidP="00634CED">
      <w:pPr>
        <w:pBdr>
          <w:top w:val="nil"/>
          <w:left w:val="nil"/>
          <w:bottom w:val="nil"/>
          <w:right w:val="nil"/>
          <w:between w:val="nil"/>
        </w:pBdr>
        <w:spacing w:line="276" w:lineRule="auto"/>
        <w:ind w:left="-2" w:firstLineChars="236" w:firstLine="566"/>
        <w:rPr>
          <w:rFonts w:ascii="Cambria" w:eastAsia="Cambria" w:hAnsi="Cambria" w:cs="Cambria"/>
          <w:color w:val="000000"/>
          <w:szCs w:val="24"/>
          <w:lang w:val="en-US"/>
        </w:rPr>
      </w:pPr>
      <w:r w:rsidRPr="003D3BE7">
        <w:rPr>
          <w:rFonts w:ascii="Cambria" w:eastAsia="Cambria" w:hAnsi="Cambria" w:cs="Cambria"/>
          <w:color w:val="000000"/>
          <w:szCs w:val="24"/>
        </w:rPr>
        <w:t>This study opens up opportunities for academics and students to conduct further research related to: The Effectiveness of the Implementation of COSO ERM in the Islamic Finance Industry, for example, to the Development of an Optimal Islamic Governance Model</w:t>
      </w:r>
      <w:r w:rsidR="00634CED">
        <w:rPr>
          <w:rFonts w:ascii="Cambria" w:eastAsia="Cambria" w:hAnsi="Cambria" w:cs="Cambria"/>
          <w:color w:val="000000"/>
          <w:szCs w:val="24"/>
          <w:lang w:val="en-US"/>
        </w:rPr>
        <w:t>.</w:t>
      </w:r>
    </w:p>
    <w:p w14:paraId="3ED40425" w14:textId="77777777" w:rsidR="00171496" w:rsidRDefault="00171496" w:rsidP="00634CED">
      <w:pPr>
        <w:pBdr>
          <w:top w:val="nil"/>
          <w:left w:val="nil"/>
          <w:bottom w:val="nil"/>
          <w:right w:val="nil"/>
          <w:between w:val="nil"/>
        </w:pBdr>
        <w:spacing w:after="120" w:line="276" w:lineRule="auto"/>
        <w:ind w:leftChars="0" w:left="0" w:firstLineChars="0" w:firstLine="0"/>
        <w:jc w:val="left"/>
        <w:rPr>
          <w:rFonts w:ascii="Cambria" w:eastAsia="Cambria" w:hAnsi="Cambria" w:cs="Cambria"/>
          <w:b/>
          <w:color w:val="000000"/>
          <w:sz w:val="20"/>
          <w:szCs w:val="20"/>
        </w:rPr>
      </w:pPr>
    </w:p>
    <w:p w14:paraId="66AFD6F5" w14:textId="612365E8" w:rsidR="00171496" w:rsidRPr="008C43E9" w:rsidRDefault="008C43E9" w:rsidP="008B0B52">
      <w:pPr>
        <w:pBdr>
          <w:top w:val="nil"/>
          <w:left w:val="nil"/>
          <w:bottom w:val="nil"/>
          <w:right w:val="nil"/>
          <w:between w:val="nil"/>
        </w:pBdr>
        <w:spacing w:before="100"/>
        <w:ind w:left="0" w:hanging="2"/>
        <w:rPr>
          <w:rFonts w:ascii="Cambria" w:eastAsia="Cambria" w:hAnsi="Cambria" w:cs="Cambria"/>
          <w:color w:val="000000"/>
          <w:szCs w:val="24"/>
          <w:lang w:val="en-US"/>
        </w:rPr>
      </w:pPr>
      <w:r>
        <w:rPr>
          <w:rFonts w:ascii="Cambria" w:eastAsia="Cambria" w:hAnsi="Cambria" w:cs="Cambria"/>
          <w:b/>
          <w:color w:val="000000"/>
          <w:szCs w:val="24"/>
          <w:lang w:val="en-US"/>
        </w:rPr>
        <w:t>CONCLUSION</w:t>
      </w:r>
    </w:p>
    <w:p w14:paraId="002C2200" w14:textId="77777777" w:rsidR="004B032D" w:rsidRPr="004B032D" w:rsidRDefault="004B032D" w:rsidP="001B4399">
      <w:pPr>
        <w:pBdr>
          <w:top w:val="nil"/>
          <w:left w:val="nil"/>
          <w:bottom w:val="nil"/>
          <w:right w:val="nil"/>
          <w:between w:val="nil"/>
        </w:pBdr>
        <w:spacing w:line="276" w:lineRule="auto"/>
        <w:ind w:left="-2" w:firstLineChars="236" w:firstLine="566"/>
        <w:rPr>
          <w:rFonts w:ascii="Cambria" w:eastAsia="Cambria" w:hAnsi="Cambria" w:cs="Cambria"/>
          <w:color w:val="000000"/>
          <w:szCs w:val="24"/>
        </w:rPr>
      </w:pPr>
      <w:r w:rsidRPr="004B032D">
        <w:rPr>
          <w:rFonts w:ascii="Cambria" w:eastAsia="Cambria" w:hAnsi="Cambria" w:cs="Cambria"/>
          <w:color w:val="000000"/>
          <w:szCs w:val="24"/>
        </w:rPr>
        <w:t xml:space="preserve">Research implications from the results of research on the effect of the COSO ERM Framework mediated by Critical Success Factors (CSF) and Islamic Corporate Governance (ICG) on the financial performance of the 10 largest Islamic Banks in the world according to Global Finance World's Best Islamic Financial Institutions 2022. In improving Risk Management Effectiveness in Global Islamic Banks, the COSO ERM Framework provides an integrated approach to risk management in Islamic financial institutions. By adopting the COSO ERM Framework, the world's largest Islamic bank can improve its effectiveness in identifying, measuring, and managing the various risks it faces, such as operational, credit, and reputational risks. Optimization of Critical Success Factors (CSF) in Operational Strategy Critical Success Factors (CSF) such as the quality of human resources, technology, competent management, and innovative products play an important role in improving the financial performance of Islamic banks. These leading banks have optimally utilized CSFs to maintain their competitiveness. In strengthening Islamic Corporate </w:t>
      </w:r>
      <w:r w:rsidRPr="004B032D">
        <w:rPr>
          <w:rFonts w:ascii="Cambria" w:eastAsia="Cambria" w:hAnsi="Cambria" w:cs="Cambria"/>
          <w:color w:val="000000"/>
          <w:szCs w:val="24"/>
        </w:rPr>
        <w:lastRenderedPageBreak/>
        <w:t>Governance (ICG) as the largest Islamic bank, compliance with Islamic Corporate Governance (ICG) is a top priority. The world's largest Islamic banks must ensure that their governance is fully compliant with Shariah principles to maintain customer and stakeholder trust. More Stable and Sustainable Financial Performance Effective risk management through COSO ERM, supported by good CSF management and ICG compliance, directly impacts the financial performance of Islamic banks. Islamic banks that implement COSO ERM effectively tend to have more stable financial performance, with increased profitability and reduced risk of loss.</w:t>
      </w:r>
    </w:p>
    <w:p w14:paraId="73817BCB" w14:textId="77777777" w:rsidR="00171496" w:rsidRDefault="00171496" w:rsidP="004B032D">
      <w:pPr>
        <w:pBdr>
          <w:top w:val="nil"/>
          <w:left w:val="nil"/>
          <w:bottom w:val="nil"/>
          <w:right w:val="nil"/>
          <w:between w:val="nil"/>
        </w:pBdr>
        <w:spacing w:line="276" w:lineRule="auto"/>
        <w:ind w:leftChars="0" w:left="0" w:firstLineChars="0" w:firstLine="0"/>
        <w:rPr>
          <w:rFonts w:ascii="Cambria" w:eastAsia="Cambria" w:hAnsi="Cambria" w:cs="Cambria"/>
          <w:color w:val="000000"/>
          <w:szCs w:val="24"/>
        </w:rPr>
      </w:pPr>
    </w:p>
    <w:p w14:paraId="497703B9" w14:textId="407B49AE" w:rsidR="00171496" w:rsidRPr="001429F4" w:rsidRDefault="001429F4">
      <w:pPr>
        <w:pBdr>
          <w:top w:val="nil"/>
          <w:left w:val="nil"/>
          <w:bottom w:val="nil"/>
          <w:right w:val="nil"/>
          <w:between w:val="nil"/>
        </w:pBdr>
        <w:spacing w:before="100" w:after="100" w:line="276" w:lineRule="auto"/>
        <w:ind w:left="0" w:hanging="2"/>
        <w:jc w:val="left"/>
        <w:rPr>
          <w:rFonts w:ascii="Cambria" w:eastAsia="Cambria" w:hAnsi="Cambria" w:cs="Cambria"/>
          <w:b/>
          <w:color w:val="000000"/>
          <w:szCs w:val="24"/>
          <w:lang w:val="en-US"/>
        </w:rPr>
      </w:pPr>
      <w:r>
        <w:rPr>
          <w:rFonts w:ascii="Cambria" w:eastAsia="Cambria" w:hAnsi="Cambria" w:cs="Cambria"/>
          <w:b/>
          <w:color w:val="000000"/>
          <w:szCs w:val="24"/>
          <w:lang w:val="en-US"/>
        </w:rPr>
        <w:t>REFERENCE</w:t>
      </w:r>
    </w:p>
    <w:p w14:paraId="39562208" w14:textId="1C2DF0E1" w:rsidR="007479A0" w:rsidRPr="007479A0" w:rsidRDefault="009A0AF4"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9A0AF4">
        <w:rPr>
          <w:rFonts w:asciiTheme="minorHAnsi" w:eastAsia="Cambria" w:hAnsiTheme="minorHAnsi" w:cs="Cambria"/>
          <w:b/>
          <w:color w:val="000000"/>
          <w:szCs w:val="24"/>
          <w:lang w:val="en-US"/>
        </w:rPr>
        <w:fldChar w:fldCharType="begin" w:fldLock="1"/>
      </w:r>
      <w:r w:rsidRPr="009A0AF4">
        <w:rPr>
          <w:rFonts w:asciiTheme="minorHAnsi" w:eastAsia="Cambria" w:hAnsiTheme="minorHAnsi" w:cs="Cambria"/>
          <w:b/>
          <w:color w:val="000000"/>
          <w:szCs w:val="24"/>
          <w:lang w:val="en-US"/>
        </w:rPr>
        <w:instrText xml:space="preserve">ADDIN Mendeley Bibliography CSL_BIBLIOGRAPHY </w:instrText>
      </w:r>
      <w:r w:rsidRPr="009A0AF4">
        <w:rPr>
          <w:rFonts w:asciiTheme="minorHAnsi" w:eastAsia="Cambria" w:hAnsiTheme="minorHAnsi" w:cs="Cambria"/>
          <w:b/>
          <w:color w:val="000000"/>
          <w:szCs w:val="24"/>
          <w:lang w:val="en-US"/>
        </w:rPr>
        <w:fldChar w:fldCharType="separate"/>
      </w:r>
      <w:r w:rsidR="007479A0" w:rsidRPr="007479A0">
        <w:rPr>
          <w:rFonts w:ascii="Cambria" w:hAnsi="Cambria" w:cs="Times New Roman"/>
          <w:noProof/>
          <w:szCs w:val="24"/>
        </w:rPr>
        <w:t xml:space="preserve">Abudi, G. (2013). Change Management Would be Easy if People weren’t Involved: Best Practices for Managing the People-Side of Change Management. </w:t>
      </w:r>
      <w:r w:rsidR="007479A0" w:rsidRPr="001429F4">
        <w:rPr>
          <w:rFonts w:ascii="Cambria" w:hAnsi="Cambria" w:cs="Times New Roman"/>
          <w:noProof/>
          <w:szCs w:val="24"/>
        </w:rPr>
        <w:t>2013 PMI Global Congress Proceedings</w:t>
      </w:r>
      <w:r w:rsidR="007479A0" w:rsidRPr="007479A0">
        <w:rPr>
          <w:rFonts w:ascii="Cambria" w:hAnsi="Cambria" w:cs="Times New Roman"/>
          <w:noProof/>
          <w:szCs w:val="24"/>
        </w:rPr>
        <w:t>. https://www.pmi.org/learning/library/change-management-best-practices-5868</w:t>
      </w:r>
    </w:p>
    <w:p w14:paraId="38646420"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Ahmed, S., Mohiuddin, M., Rahman, M., Tarique, K. M., &amp; Azim, M. (2021). The Impact of Islamic Shariah Compliance on Customer Satisfaction in Islamic Banking Services: Mediating Role of Service Quality. </w:t>
      </w:r>
      <w:r w:rsidRPr="001429F4">
        <w:rPr>
          <w:rFonts w:ascii="Cambria" w:hAnsi="Cambria" w:cs="Times New Roman"/>
          <w:noProof/>
          <w:szCs w:val="24"/>
        </w:rPr>
        <w:t>Journal of Islamic Marketing</w:t>
      </w:r>
      <w:r w:rsidRPr="007479A0">
        <w:rPr>
          <w:rFonts w:ascii="Cambria" w:hAnsi="Cambria" w:cs="Times New Roman"/>
          <w:noProof/>
          <w:szCs w:val="24"/>
        </w:rPr>
        <w:t xml:space="preserve">, </w:t>
      </w:r>
      <w:r w:rsidRPr="001429F4">
        <w:rPr>
          <w:rFonts w:ascii="Cambria" w:hAnsi="Cambria" w:cs="Times New Roman"/>
          <w:noProof/>
          <w:szCs w:val="24"/>
        </w:rPr>
        <w:t>13</w:t>
      </w:r>
      <w:r w:rsidRPr="007479A0">
        <w:rPr>
          <w:rFonts w:ascii="Cambria" w:hAnsi="Cambria" w:cs="Times New Roman"/>
          <w:noProof/>
          <w:szCs w:val="24"/>
        </w:rPr>
        <w:t>(9), 1829–1842. https://doi.org/10.1108/JIMA-11-2020-0346</w:t>
      </w:r>
    </w:p>
    <w:p w14:paraId="7E61E395"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Al-Khadash, H. A., &amp; Jireis, J. R. (2017). COSO Enterprise Risk Management Implementation in Jordanian Commercial Banks and its Impact on Financial Performance. </w:t>
      </w:r>
      <w:r w:rsidRPr="001429F4">
        <w:rPr>
          <w:rFonts w:ascii="Cambria" w:hAnsi="Cambria" w:cs="Times New Roman"/>
          <w:noProof/>
          <w:szCs w:val="24"/>
        </w:rPr>
        <w:t>Researchgate.Net</w:t>
      </w:r>
      <w:r w:rsidRPr="007479A0">
        <w:rPr>
          <w:rFonts w:ascii="Cambria" w:hAnsi="Cambria" w:cs="Times New Roman"/>
          <w:noProof/>
          <w:szCs w:val="24"/>
        </w:rPr>
        <w:t xml:space="preserve">, </w:t>
      </w:r>
      <w:r w:rsidRPr="001429F4">
        <w:rPr>
          <w:rFonts w:ascii="Cambria" w:hAnsi="Cambria" w:cs="Times New Roman"/>
          <w:noProof/>
          <w:szCs w:val="24"/>
        </w:rPr>
        <w:t>6</w:t>
      </w:r>
      <w:r w:rsidRPr="007479A0">
        <w:rPr>
          <w:rFonts w:ascii="Cambria" w:hAnsi="Cambria" w:cs="Times New Roman"/>
          <w:noProof/>
          <w:szCs w:val="24"/>
        </w:rPr>
        <w:t>(3), 1–22. https://www.researchgate.net/profile/Husam-Aldeen-Al-Khadash/publication/317719955_COSO_Enterprise_Risk_Management_Implementation_in_Jordanian_Commercial_Banks_and_its_Impact_on_Financial_Performance/links/594a5e2aaca2723195de5cd9/COSO-Enterprise-Risk-Man</w:t>
      </w:r>
    </w:p>
    <w:p w14:paraId="0C64C1AB"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Alharthi, M. (2017). Financial performance and stability in Islamic banks: Evidence from GCC countries. </w:t>
      </w:r>
      <w:r w:rsidRPr="001429F4">
        <w:rPr>
          <w:rFonts w:ascii="Cambria" w:hAnsi="Cambria" w:cs="Times New Roman"/>
          <w:noProof/>
          <w:szCs w:val="24"/>
        </w:rPr>
        <w:t>Corporate Ownership and Control</w:t>
      </w:r>
      <w:r w:rsidRPr="007479A0">
        <w:rPr>
          <w:rFonts w:ascii="Cambria" w:hAnsi="Cambria" w:cs="Times New Roman"/>
          <w:noProof/>
          <w:szCs w:val="24"/>
        </w:rPr>
        <w:t xml:space="preserve">, </w:t>
      </w:r>
      <w:r w:rsidRPr="001429F4">
        <w:rPr>
          <w:rFonts w:ascii="Cambria" w:hAnsi="Cambria" w:cs="Times New Roman"/>
          <w:noProof/>
          <w:szCs w:val="24"/>
        </w:rPr>
        <w:t>14</w:t>
      </w:r>
      <w:r w:rsidRPr="007479A0">
        <w:rPr>
          <w:rFonts w:ascii="Cambria" w:hAnsi="Cambria" w:cs="Times New Roman"/>
          <w:noProof/>
          <w:szCs w:val="24"/>
        </w:rPr>
        <w:t>(4), 103–113. https://doi.org/10.22495/cocv14i4art9</w:t>
      </w:r>
    </w:p>
    <w:p w14:paraId="10667E63"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Baig, M. M., Malik, Q. A., &amp; Ellahi, N. (2024). Corporate Governance and Credit Rating of Islamic Banks: Moderating Role of Shariah Governance Attributes. </w:t>
      </w:r>
      <w:r w:rsidRPr="001429F4">
        <w:rPr>
          <w:rFonts w:ascii="Cambria" w:hAnsi="Cambria" w:cs="Times New Roman"/>
          <w:noProof/>
          <w:szCs w:val="24"/>
        </w:rPr>
        <w:t>SAGE Open</w:t>
      </w:r>
      <w:r w:rsidRPr="007479A0">
        <w:rPr>
          <w:rFonts w:ascii="Cambria" w:hAnsi="Cambria" w:cs="Times New Roman"/>
          <w:noProof/>
          <w:szCs w:val="24"/>
        </w:rPr>
        <w:t xml:space="preserve">, </w:t>
      </w:r>
      <w:r w:rsidRPr="001429F4">
        <w:rPr>
          <w:rFonts w:ascii="Cambria" w:hAnsi="Cambria" w:cs="Times New Roman"/>
          <w:noProof/>
          <w:szCs w:val="24"/>
        </w:rPr>
        <w:t>14</w:t>
      </w:r>
      <w:r w:rsidRPr="007479A0">
        <w:rPr>
          <w:rFonts w:ascii="Cambria" w:hAnsi="Cambria" w:cs="Times New Roman"/>
          <w:noProof/>
          <w:szCs w:val="24"/>
        </w:rPr>
        <w:t>(2), 1–17. https://doi.org/10.1177/21582440241247386</w:t>
      </w:r>
    </w:p>
    <w:p w14:paraId="470B5775"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Bazaluk, O., Pavlychenko, A., Yavorska, O., Nesterova, O., Tsopa, V., Cheberiachko, S., Deryugin, O., &amp; Lozynskyi, V. (2024). Improving The Risk Management Process in Quality Management Systems of Higher Education. </w:t>
      </w:r>
      <w:r w:rsidRPr="001429F4">
        <w:rPr>
          <w:rFonts w:ascii="Cambria" w:hAnsi="Cambria" w:cs="Times New Roman"/>
          <w:noProof/>
          <w:szCs w:val="24"/>
        </w:rPr>
        <w:t>Scientific Reports</w:t>
      </w:r>
      <w:r w:rsidRPr="007479A0">
        <w:rPr>
          <w:rFonts w:ascii="Cambria" w:hAnsi="Cambria" w:cs="Times New Roman"/>
          <w:noProof/>
          <w:szCs w:val="24"/>
        </w:rPr>
        <w:t xml:space="preserve">, </w:t>
      </w:r>
      <w:r w:rsidRPr="001429F4">
        <w:rPr>
          <w:rFonts w:ascii="Cambria" w:hAnsi="Cambria" w:cs="Times New Roman"/>
          <w:noProof/>
          <w:szCs w:val="24"/>
        </w:rPr>
        <w:t>14</w:t>
      </w:r>
      <w:r w:rsidRPr="007479A0">
        <w:rPr>
          <w:rFonts w:ascii="Cambria" w:hAnsi="Cambria" w:cs="Times New Roman"/>
          <w:noProof/>
          <w:szCs w:val="24"/>
        </w:rPr>
        <w:t>(3977), 1–19. https://doi.org/10.1038/s41598-024-53455-9</w:t>
      </w:r>
    </w:p>
    <w:p w14:paraId="192705E3"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lastRenderedPageBreak/>
        <w:t xml:space="preserve">Beasley, M., Pagach, D., &amp; Warr, R. (2008). Information Conveyed in Hiring Announcements of Senior Executives Overseeing Enterprise-Wide Risk Management Processes. </w:t>
      </w:r>
      <w:r w:rsidRPr="001429F4">
        <w:rPr>
          <w:rFonts w:ascii="Cambria" w:hAnsi="Cambria" w:cs="Times New Roman"/>
          <w:noProof/>
          <w:szCs w:val="24"/>
        </w:rPr>
        <w:t>Journal of Accounting, Auditing &amp; Finance</w:t>
      </w:r>
      <w:r w:rsidRPr="007479A0">
        <w:rPr>
          <w:rFonts w:ascii="Cambria" w:hAnsi="Cambria" w:cs="Times New Roman"/>
          <w:noProof/>
          <w:szCs w:val="24"/>
        </w:rPr>
        <w:t xml:space="preserve">, </w:t>
      </w:r>
      <w:r w:rsidRPr="001429F4">
        <w:rPr>
          <w:rFonts w:ascii="Cambria" w:hAnsi="Cambria" w:cs="Times New Roman"/>
          <w:noProof/>
          <w:szCs w:val="24"/>
        </w:rPr>
        <w:t>23</w:t>
      </w:r>
      <w:r w:rsidRPr="007479A0">
        <w:rPr>
          <w:rFonts w:ascii="Cambria" w:hAnsi="Cambria" w:cs="Times New Roman"/>
          <w:noProof/>
          <w:szCs w:val="24"/>
        </w:rPr>
        <w:t>(3), 311–332. https://doi.org/10.1177/0148558x0802300303</w:t>
      </w:r>
    </w:p>
    <w:p w14:paraId="09199BE7"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Beasley, M. S., Clune, R., &amp; Hermanson, D. R. (2005). Enterprise Risk Management: An Empirical Analysis of Factors Associated With The Extent of Implementation. </w:t>
      </w:r>
      <w:r w:rsidRPr="001429F4">
        <w:rPr>
          <w:rFonts w:ascii="Cambria" w:hAnsi="Cambria" w:cs="Times New Roman"/>
          <w:noProof/>
          <w:szCs w:val="24"/>
        </w:rPr>
        <w:t>Journal of Accounting and Public Policy</w:t>
      </w:r>
      <w:r w:rsidRPr="007479A0">
        <w:rPr>
          <w:rFonts w:ascii="Cambria" w:hAnsi="Cambria" w:cs="Times New Roman"/>
          <w:noProof/>
          <w:szCs w:val="24"/>
        </w:rPr>
        <w:t xml:space="preserve">, </w:t>
      </w:r>
      <w:r w:rsidRPr="001429F4">
        <w:rPr>
          <w:rFonts w:ascii="Cambria" w:hAnsi="Cambria" w:cs="Times New Roman"/>
          <w:noProof/>
          <w:szCs w:val="24"/>
        </w:rPr>
        <w:t>24</w:t>
      </w:r>
      <w:r w:rsidRPr="007479A0">
        <w:rPr>
          <w:rFonts w:ascii="Cambria" w:hAnsi="Cambria" w:cs="Times New Roman"/>
          <w:noProof/>
          <w:szCs w:val="24"/>
        </w:rPr>
        <w:t>(6), 521–531. https://doi.org/10.1016/j.jaccpubpol.2005.10.001</w:t>
      </w:r>
    </w:p>
    <w:p w14:paraId="367E9681"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Darmawi, H. (1990). </w:t>
      </w:r>
      <w:r w:rsidRPr="001429F4">
        <w:rPr>
          <w:rFonts w:ascii="Cambria" w:hAnsi="Cambria" w:cs="Times New Roman"/>
          <w:noProof/>
          <w:szCs w:val="24"/>
        </w:rPr>
        <w:t>Manajemen Risiko</w:t>
      </w:r>
      <w:r w:rsidRPr="007479A0">
        <w:rPr>
          <w:rFonts w:ascii="Cambria" w:hAnsi="Cambria" w:cs="Times New Roman"/>
          <w:noProof/>
          <w:szCs w:val="24"/>
        </w:rPr>
        <w:t xml:space="preserve"> (2nd ed.). PT Bumi Aksara.</w:t>
      </w:r>
    </w:p>
    <w:p w14:paraId="3160A56F"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de Oliveira, G. L., de Oliveira, M. E., Macêdo, E. de O., Andrade, A. C., &amp; Edvan, R. L. (2019). Effect of Shading and Canopy Height on Pasture of Andropogon Gayanus in Silvopastoral System. </w:t>
      </w:r>
      <w:r w:rsidRPr="001429F4">
        <w:rPr>
          <w:rFonts w:ascii="Cambria" w:hAnsi="Cambria" w:cs="Times New Roman"/>
          <w:noProof/>
          <w:szCs w:val="24"/>
        </w:rPr>
        <w:t>Agroforestry Syst</w:t>
      </w:r>
      <w:r w:rsidRPr="007479A0">
        <w:rPr>
          <w:rFonts w:ascii="Cambria" w:hAnsi="Cambria" w:cs="Times New Roman"/>
          <w:noProof/>
          <w:szCs w:val="24"/>
        </w:rPr>
        <w:t xml:space="preserve">, </w:t>
      </w:r>
      <w:r w:rsidRPr="001429F4">
        <w:rPr>
          <w:rFonts w:ascii="Cambria" w:hAnsi="Cambria" w:cs="Times New Roman"/>
          <w:noProof/>
          <w:szCs w:val="24"/>
        </w:rPr>
        <w:t>94</w:t>
      </w:r>
      <w:r w:rsidRPr="007479A0">
        <w:rPr>
          <w:rFonts w:ascii="Cambria" w:hAnsi="Cambria" w:cs="Times New Roman"/>
          <w:noProof/>
          <w:szCs w:val="24"/>
        </w:rPr>
        <w:t>, 953–962. https://doi.org/10.1007/s10457-019-00458-5</w:t>
      </w:r>
    </w:p>
    <w:p w14:paraId="63B7739B"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Efe, A. (2023). A Comparison of Key Risk Management Frameworks: COSO-ERM, NIST RMF, ISO 31.000, COBIT. </w:t>
      </w:r>
      <w:r w:rsidRPr="001429F4">
        <w:rPr>
          <w:rFonts w:ascii="Cambria" w:hAnsi="Cambria" w:cs="Times New Roman"/>
          <w:noProof/>
          <w:szCs w:val="24"/>
        </w:rPr>
        <w:t>Journal of Auditing and Assurance Services</w:t>
      </w:r>
      <w:r w:rsidRPr="007479A0">
        <w:rPr>
          <w:rFonts w:ascii="Cambria" w:hAnsi="Cambria" w:cs="Times New Roman"/>
          <w:noProof/>
          <w:szCs w:val="24"/>
        </w:rPr>
        <w:t xml:space="preserve">, </w:t>
      </w:r>
      <w:r w:rsidRPr="001429F4">
        <w:rPr>
          <w:rFonts w:ascii="Cambria" w:hAnsi="Cambria" w:cs="Times New Roman"/>
          <w:noProof/>
          <w:szCs w:val="24"/>
        </w:rPr>
        <w:t>3</w:t>
      </w:r>
      <w:r w:rsidRPr="007479A0">
        <w:rPr>
          <w:rFonts w:ascii="Cambria" w:hAnsi="Cambria" w:cs="Times New Roman"/>
          <w:noProof/>
          <w:szCs w:val="24"/>
        </w:rPr>
        <w:t>(2), 185–205. https://dergipark.org.tr/en/pub/audas/issue/79262/1291915</w:t>
      </w:r>
    </w:p>
    <w:p w14:paraId="0FDAEAD0"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Epstein, M. J., &amp; Buhovac, A. R. (2005). </w:t>
      </w:r>
      <w:r w:rsidRPr="001429F4">
        <w:rPr>
          <w:rFonts w:ascii="Cambria" w:hAnsi="Cambria" w:cs="Times New Roman"/>
          <w:noProof/>
          <w:szCs w:val="24"/>
        </w:rPr>
        <w:t>Identifying, Measuring, And Managing Organizational Risks For Improved Performance: Management Accounting Guideline</w:t>
      </w:r>
      <w:r w:rsidRPr="007479A0">
        <w:rPr>
          <w:rFonts w:ascii="Cambria" w:hAnsi="Cambria" w:cs="Times New Roman"/>
          <w:noProof/>
          <w:szCs w:val="24"/>
        </w:rPr>
        <w:t>. Society of Management Accountants of Canada.</w:t>
      </w:r>
    </w:p>
    <w:p w14:paraId="5C6ED772"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Fraser, J., &amp; Simkins, B. J. (2010). </w:t>
      </w:r>
      <w:r w:rsidRPr="001429F4">
        <w:rPr>
          <w:rFonts w:ascii="Cambria" w:hAnsi="Cambria" w:cs="Times New Roman"/>
          <w:noProof/>
          <w:szCs w:val="24"/>
        </w:rPr>
        <w:t>Enterprise Risk Management</w:t>
      </w:r>
      <w:r w:rsidRPr="007479A0">
        <w:rPr>
          <w:rFonts w:ascii="Cambria" w:hAnsi="Cambria" w:cs="Times New Roman"/>
          <w:noProof/>
          <w:szCs w:val="24"/>
        </w:rPr>
        <w:t xml:space="preserve"> (1st ed.). John Wiley &amp; Sons Inc.</w:t>
      </w:r>
    </w:p>
    <w:p w14:paraId="234C1EDC"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Gennaro, A., &amp; Nietlispach, M. (2021). Corporate Governance and Risk Management: Lessons (Not) Learnt from the Financial Crisis. </w:t>
      </w:r>
      <w:r w:rsidRPr="001429F4">
        <w:rPr>
          <w:rFonts w:ascii="Cambria" w:hAnsi="Cambria" w:cs="Times New Roman"/>
          <w:noProof/>
          <w:szCs w:val="24"/>
        </w:rPr>
        <w:t>Journal of Risk and Financial Management</w:t>
      </w:r>
      <w:r w:rsidRPr="007479A0">
        <w:rPr>
          <w:rFonts w:ascii="Cambria" w:hAnsi="Cambria" w:cs="Times New Roman"/>
          <w:noProof/>
          <w:szCs w:val="24"/>
        </w:rPr>
        <w:t xml:space="preserve">, </w:t>
      </w:r>
      <w:r w:rsidRPr="001429F4">
        <w:rPr>
          <w:rFonts w:ascii="Cambria" w:hAnsi="Cambria" w:cs="Times New Roman"/>
          <w:noProof/>
          <w:szCs w:val="24"/>
        </w:rPr>
        <w:t>14</w:t>
      </w:r>
      <w:r w:rsidRPr="007479A0">
        <w:rPr>
          <w:rFonts w:ascii="Cambria" w:hAnsi="Cambria" w:cs="Times New Roman"/>
          <w:noProof/>
          <w:szCs w:val="24"/>
        </w:rPr>
        <w:t>(9), 1–19. https://doi.org/10.3390/jrfm14090419</w:t>
      </w:r>
    </w:p>
    <w:p w14:paraId="3A48ADB9"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Gordon, L. A., Loeb, M. P., &amp; Tseng, C. Y. (2009). Enterprise Risk Management And Firm Performance: A Contingency Perspective. </w:t>
      </w:r>
      <w:r w:rsidRPr="001429F4">
        <w:rPr>
          <w:rFonts w:ascii="Cambria" w:hAnsi="Cambria" w:cs="Times New Roman"/>
          <w:noProof/>
          <w:szCs w:val="24"/>
        </w:rPr>
        <w:t>Journal of Accounting and Public Policy</w:t>
      </w:r>
      <w:r w:rsidRPr="007479A0">
        <w:rPr>
          <w:rFonts w:ascii="Cambria" w:hAnsi="Cambria" w:cs="Times New Roman"/>
          <w:noProof/>
          <w:szCs w:val="24"/>
        </w:rPr>
        <w:t xml:space="preserve">, </w:t>
      </w:r>
      <w:r w:rsidRPr="001429F4">
        <w:rPr>
          <w:rFonts w:ascii="Cambria" w:hAnsi="Cambria" w:cs="Times New Roman"/>
          <w:noProof/>
          <w:szCs w:val="24"/>
        </w:rPr>
        <w:t>28</w:t>
      </w:r>
      <w:r w:rsidRPr="007479A0">
        <w:rPr>
          <w:rFonts w:ascii="Cambria" w:hAnsi="Cambria" w:cs="Times New Roman"/>
          <w:noProof/>
          <w:szCs w:val="24"/>
        </w:rPr>
        <w:t>(4), 301–327. https://doi.org/10.1016/j.jaccpubpol.2009.06.006</w:t>
      </w:r>
    </w:p>
    <w:p w14:paraId="113D56D8"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Hanafi, M. M., &amp; Halim, A. (2007). </w:t>
      </w:r>
      <w:r w:rsidRPr="001429F4">
        <w:rPr>
          <w:rFonts w:ascii="Cambria" w:hAnsi="Cambria" w:cs="Times New Roman"/>
          <w:noProof/>
          <w:szCs w:val="24"/>
        </w:rPr>
        <w:t>Analisa Laporan Keuangan Konsep dan Aplikasi</w:t>
      </w:r>
      <w:r w:rsidRPr="007479A0">
        <w:rPr>
          <w:rFonts w:ascii="Cambria" w:hAnsi="Cambria" w:cs="Times New Roman"/>
          <w:noProof/>
          <w:szCs w:val="24"/>
        </w:rPr>
        <w:t>. STIM YKPN.</w:t>
      </w:r>
    </w:p>
    <w:p w14:paraId="79395EA1"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Hobvi, A. L. J., Zunaidi, A., &amp; Fikriyah, A. (2022). Implementation Of Compliance Management In The Sharia Banking Sector. </w:t>
      </w:r>
      <w:r w:rsidRPr="001429F4">
        <w:rPr>
          <w:rFonts w:ascii="Cambria" w:hAnsi="Cambria" w:cs="Times New Roman"/>
          <w:noProof/>
          <w:szCs w:val="24"/>
        </w:rPr>
        <w:t>Proceedings of Islamic Economics, Business, and Philanthropy</w:t>
      </w:r>
      <w:r w:rsidRPr="007479A0">
        <w:rPr>
          <w:rFonts w:ascii="Cambria" w:hAnsi="Cambria" w:cs="Times New Roman"/>
          <w:noProof/>
          <w:szCs w:val="24"/>
        </w:rPr>
        <w:t xml:space="preserve">, </w:t>
      </w:r>
      <w:r w:rsidRPr="001429F4">
        <w:rPr>
          <w:rFonts w:ascii="Cambria" w:hAnsi="Cambria" w:cs="Times New Roman"/>
          <w:noProof/>
          <w:szCs w:val="24"/>
        </w:rPr>
        <w:t>1</w:t>
      </w:r>
      <w:r w:rsidRPr="007479A0">
        <w:rPr>
          <w:rFonts w:ascii="Cambria" w:hAnsi="Cambria" w:cs="Times New Roman"/>
          <w:noProof/>
          <w:szCs w:val="24"/>
        </w:rPr>
        <w:t>(2), 346–362. https://jurnalfebi.iainkediri.ac.id/index.php/proceedings/article/view/260</w:t>
      </w:r>
    </w:p>
    <w:p w14:paraId="28F02F3D"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Iqzani, E. F. (2021). Implentation of Good Mosque Governance Principles (Case Study of The Baiturrahman Banyuwangi Grand Mosque). </w:t>
      </w:r>
      <w:r w:rsidRPr="001429F4">
        <w:rPr>
          <w:rFonts w:ascii="Cambria" w:hAnsi="Cambria" w:cs="Times New Roman"/>
          <w:noProof/>
          <w:szCs w:val="24"/>
        </w:rPr>
        <w:t>International Journal of Scientific Development and Research (IJSDR)</w:t>
      </w:r>
      <w:r w:rsidRPr="007479A0">
        <w:rPr>
          <w:rFonts w:ascii="Cambria" w:hAnsi="Cambria" w:cs="Times New Roman"/>
          <w:noProof/>
          <w:szCs w:val="24"/>
        </w:rPr>
        <w:t xml:space="preserve">, </w:t>
      </w:r>
      <w:r w:rsidRPr="001429F4">
        <w:rPr>
          <w:rFonts w:ascii="Cambria" w:hAnsi="Cambria" w:cs="Times New Roman"/>
          <w:noProof/>
          <w:szCs w:val="24"/>
        </w:rPr>
        <w:t>6</w:t>
      </w:r>
      <w:r w:rsidRPr="007479A0">
        <w:rPr>
          <w:rFonts w:ascii="Cambria" w:hAnsi="Cambria" w:cs="Times New Roman"/>
          <w:noProof/>
          <w:szCs w:val="24"/>
        </w:rPr>
        <w:t>(1), 253–256. https://www.ijsdr.org/viewpaperforall.php?paper=IJSDR2101040</w:t>
      </w:r>
    </w:p>
    <w:p w14:paraId="21510E9B"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lastRenderedPageBreak/>
        <w:t xml:space="preserve">Kanakriyah, R., Al-Hindawi, R., Al Samen, N. A., Bataineh, H., &amp; Salameh, R. (2024). The Impact of The Corporate Risk Management Model on The Quality of Financial Reports in Jordanian Commercial Banks. </w:t>
      </w:r>
      <w:r w:rsidRPr="001429F4">
        <w:rPr>
          <w:rFonts w:ascii="Cambria" w:hAnsi="Cambria" w:cs="Times New Roman"/>
          <w:noProof/>
          <w:szCs w:val="24"/>
        </w:rPr>
        <w:t>International Journal of Applied Economics, Finance and Accounting</w:t>
      </w:r>
      <w:r w:rsidRPr="007479A0">
        <w:rPr>
          <w:rFonts w:ascii="Cambria" w:hAnsi="Cambria" w:cs="Times New Roman"/>
          <w:noProof/>
          <w:szCs w:val="24"/>
        </w:rPr>
        <w:t xml:space="preserve">, </w:t>
      </w:r>
      <w:r w:rsidRPr="001429F4">
        <w:rPr>
          <w:rFonts w:ascii="Cambria" w:hAnsi="Cambria" w:cs="Times New Roman"/>
          <w:noProof/>
          <w:szCs w:val="24"/>
        </w:rPr>
        <w:t>18</w:t>
      </w:r>
      <w:r w:rsidRPr="007479A0">
        <w:rPr>
          <w:rFonts w:ascii="Cambria" w:hAnsi="Cambria" w:cs="Times New Roman"/>
          <w:noProof/>
          <w:szCs w:val="24"/>
        </w:rPr>
        <w:t>(2), 339–350. https://doi.org/10.33094/ijaefa.v18i2.1399</w:t>
      </w:r>
    </w:p>
    <w:p w14:paraId="3DAA02D0"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Kanu, M. S. (2020). Integrating Enterprise Risk Management with Strategic Planning for Improved Firm Performance. </w:t>
      </w:r>
      <w:r w:rsidRPr="001429F4">
        <w:rPr>
          <w:rFonts w:ascii="Cambria" w:hAnsi="Cambria" w:cs="Times New Roman"/>
          <w:noProof/>
          <w:szCs w:val="24"/>
        </w:rPr>
        <w:t>EJBMR: European Journal of Business and Management Research</w:t>
      </w:r>
      <w:r w:rsidRPr="007479A0">
        <w:rPr>
          <w:rFonts w:ascii="Cambria" w:hAnsi="Cambria" w:cs="Times New Roman"/>
          <w:noProof/>
          <w:szCs w:val="24"/>
        </w:rPr>
        <w:t xml:space="preserve">, </w:t>
      </w:r>
      <w:r w:rsidRPr="001429F4">
        <w:rPr>
          <w:rFonts w:ascii="Cambria" w:hAnsi="Cambria" w:cs="Times New Roman"/>
          <w:noProof/>
          <w:szCs w:val="24"/>
        </w:rPr>
        <w:t>5</w:t>
      </w:r>
      <w:r w:rsidRPr="007479A0">
        <w:rPr>
          <w:rFonts w:ascii="Cambria" w:hAnsi="Cambria" w:cs="Times New Roman"/>
          <w:noProof/>
          <w:szCs w:val="24"/>
        </w:rPr>
        <w:t>(5), 1–11. https://doi.org/10.24018/ejbmr.2020.5.5.488</w:t>
      </w:r>
    </w:p>
    <w:p w14:paraId="3E3AA95F"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Karasik, T., Wehrey, F., &amp; Strom, S. (2007). Islamic Finance in A Global Context : Opportunities and Challanges. </w:t>
      </w:r>
      <w:r w:rsidRPr="001429F4">
        <w:rPr>
          <w:rFonts w:ascii="Cambria" w:hAnsi="Cambria" w:cs="Times New Roman"/>
          <w:noProof/>
          <w:szCs w:val="24"/>
        </w:rPr>
        <w:t>Chicago Journal of International Law</w:t>
      </w:r>
      <w:r w:rsidRPr="007479A0">
        <w:rPr>
          <w:rFonts w:ascii="Cambria" w:hAnsi="Cambria" w:cs="Times New Roman"/>
          <w:noProof/>
          <w:szCs w:val="24"/>
        </w:rPr>
        <w:t xml:space="preserve">, </w:t>
      </w:r>
      <w:r w:rsidRPr="001429F4">
        <w:rPr>
          <w:rFonts w:ascii="Cambria" w:hAnsi="Cambria" w:cs="Times New Roman"/>
          <w:noProof/>
          <w:szCs w:val="24"/>
        </w:rPr>
        <w:t>1</w:t>
      </w:r>
      <w:r w:rsidRPr="007479A0">
        <w:rPr>
          <w:rFonts w:ascii="Cambria" w:hAnsi="Cambria" w:cs="Times New Roman"/>
          <w:noProof/>
          <w:szCs w:val="24"/>
        </w:rPr>
        <w:t>(2), 379–396. https://chicagounbound.uchicago.edu/cjil/vol7/iss2/3/</w:t>
      </w:r>
    </w:p>
    <w:p w14:paraId="6B808A1C"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Khalil-Oliwa, O. (2021). Review of Risks and Risk Management Systems in the Largest Islamic Banks of the Arabian Peninsula. </w:t>
      </w:r>
      <w:r w:rsidRPr="001429F4">
        <w:rPr>
          <w:rFonts w:ascii="Cambria" w:hAnsi="Cambria" w:cs="Times New Roman"/>
          <w:noProof/>
          <w:szCs w:val="24"/>
        </w:rPr>
        <w:t>Annales Universitatis Mariae Curie-Skłodowska, Sectio H – Oeconomia</w:t>
      </w:r>
      <w:r w:rsidRPr="007479A0">
        <w:rPr>
          <w:rFonts w:ascii="Cambria" w:hAnsi="Cambria" w:cs="Times New Roman"/>
          <w:noProof/>
          <w:szCs w:val="24"/>
        </w:rPr>
        <w:t xml:space="preserve">, </w:t>
      </w:r>
      <w:r w:rsidRPr="001429F4">
        <w:rPr>
          <w:rFonts w:ascii="Cambria" w:hAnsi="Cambria" w:cs="Times New Roman"/>
          <w:noProof/>
          <w:szCs w:val="24"/>
        </w:rPr>
        <w:t>55</w:t>
      </w:r>
      <w:r w:rsidRPr="007479A0">
        <w:rPr>
          <w:rFonts w:ascii="Cambria" w:hAnsi="Cambria" w:cs="Times New Roman"/>
          <w:noProof/>
          <w:szCs w:val="24"/>
        </w:rPr>
        <w:t>(1), 19. https://doi.org/10.17951/h.2021.55.1.19-29</w:t>
      </w:r>
    </w:p>
    <w:p w14:paraId="3D3F43E4"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Mukhtaruddin, Adam, M., Isnurhadi, Fuadah, L. L., Saftiana, Y., &amp; Yuliani. (2022). Islamic Corporate Governance: A Rahmatin Lil’Alamin. </w:t>
      </w:r>
      <w:r w:rsidRPr="001429F4">
        <w:rPr>
          <w:rFonts w:ascii="Cambria" w:hAnsi="Cambria" w:cs="Times New Roman"/>
          <w:noProof/>
          <w:szCs w:val="24"/>
        </w:rPr>
        <w:t>Academy of Accounting and Financial Studies Journal</w:t>
      </w:r>
      <w:r w:rsidRPr="007479A0">
        <w:rPr>
          <w:rFonts w:ascii="Cambria" w:hAnsi="Cambria" w:cs="Times New Roman"/>
          <w:noProof/>
          <w:szCs w:val="24"/>
        </w:rPr>
        <w:t xml:space="preserve">, </w:t>
      </w:r>
      <w:r w:rsidRPr="001429F4">
        <w:rPr>
          <w:rFonts w:ascii="Cambria" w:hAnsi="Cambria" w:cs="Times New Roman"/>
          <w:noProof/>
          <w:szCs w:val="24"/>
        </w:rPr>
        <w:t>26</w:t>
      </w:r>
      <w:r w:rsidRPr="007479A0">
        <w:rPr>
          <w:rFonts w:ascii="Cambria" w:hAnsi="Cambria" w:cs="Times New Roman"/>
          <w:noProof/>
          <w:szCs w:val="24"/>
        </w:rPr>
        <w:t>(2), 1–10. https://repository.unsri.ac.id/66975/1/2022 Mukhtarudin et al.pdf</w:t>
      </w:r>
    </w:p>
    <w:p w14:paraId="3F1C5513"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Müller, R., &amp; Jugdev, K. (2012). Critical Success Factors in Projects: Pinto, Slevin, and Prescott - The Elucidation of Project Success. </w:t>
      </w:r>
      <w:r w:rsidRPr="001429F4">
        <w:rPr>
          <w:rFonts w:ascii="Cambria" w:hAnsi="Cambria" w:cs="Times New Roman"/>
          <w:noProof/>
          <w:szCs w:val="24"/>
        </w:rPr>
        <w:t>International Journal of Managing Projects in Business</w:t>
      </w:r>
      <w:r w:rsidRPr="007479A0">
        <w:rPr>
          <w:rFonts w:ascii="Cambria" w:hAnsi="Cambria" w:cs="Times New Roman"/>
          <w:noProof/>
          <w:szCs w:val="24"/>
        </w:rPr>
        <w:t xml:space="preserve">, </w:t>
      </w:r>
      <w:r w:rsidRPr="001429F4">
        <w:rPr>
          <w:rFonts w:ascii="Cambria" w:hAnsi="Cambria" w:cs="Times New Roman"/>
          <w:noProof/>
          <w:szCs w:val="24"/>
        </w:rPr>
        <w:t>5</w:t>
      </w:r>
      <w:r w:rsidRPr="007479A0">
        <w:rPr>
          <w:rFonts w:ascii="Cambria" w:hAnsi="Cambria" w:cs="Times New Roman"/>
          <w:noProof/>
          <w:szCs w:val="24"/>
        </w:rPr>
        <w:t>(4), 757–775. https://doi.org/10.1108/17538371211269040</w:t>
      </w:r>
    </w:p>
    <w:p w14:paraId="3CF88C2D"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Munir, A. S. (2017). Analisis Faktor-Faktor yang Mempengaruhi Kinerja Keuangan Perbankan di Indonesia. </w:t>
      </w:r>
      <w:r w:rsidRPr="001429F4">
        <w:rPr>
          <w:rFonts w:ascii="Cambria" w:hAnsi="Cambria" w:cs="Times New Roman"/>
          <w:noProof/>
          <w:szCs w:val="24"/>
        </w:rPr>
        <w:t>Jurnal Ummul Qura</w:t>
      </w:r>
      <w:r w:rsidRPr="007479A0">
        <w:rPr>
          <w:rFonts w:ascii="Cambria" w:hAnsi="Cambria" w:cs="Times New Roman"/>
          <w:noProof/>
          <w:szCs w:val="24"/>
        </w:rPr>
        <w:t xml:space="preserve">, </w:t>
      </w:r>
      <w:r w:rsidRPr="001429F4">
        <w:rPr>
          <w:rFonts w:ascii="Cambria" w:hAnsi="Cambria" w:cs="Times New Roman"/>
          <w:noProof/>
          <w:szCs w:val="24"/>
        </w:rPr>
        <w:t>9</w:t>
      </w:r>
      <w:r w:rsidRPr="007479A0">
        <w:rPr>
          <w:rFonts w:ascii="Cambria" w:hAnsi="Cambria" w:cs="Times New Roman"/>
          <w:noProof/>
          <w:szCs w:val="24"/>
        </w:rPr>
        <w:t>(1), 56–68.</w:t>
      </w:r>
    </w:p>
    <w:p w14:paraId="26265EC2"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Nugroho, E. R. (2021). Implementation of Sharia-Compliance in Islamic Bank Product Innovations. </w:t>
      </w:r>
      <w:r w:rsidRPr="001429F4">
        <w:rPr>
          <w:rFonts w:ascii="Cambria" w:hAnsi="Cambria" w:cs="Times New Roman"/>
          <w:noProof/>
          <w:szCs w:val="24"/>
        </w:rPr>
        <w:t>Prophetic Law Review</w:t>
      </w:r>
      <w:r w:rsidRPr="007479A0">
        <w:rPr>
          <w:rFonts w:ascii="Cambria" w:hAnsi="Cambria" w:cs="Times New Roman"/>
          <w:noProof/>
          <w:szCs w:val="24"/>
        </w:rPr>
        <w:t xml:space="preserve">, </w:t>
      </w:r>
      <w:r w:rsidRPr="001429F4">
        <w:rPr>
          <w:rFonts w:ascii="Cambria" w:hAnsi="Cambria" w:cs="Times New Roman"/>
          <w:noProof/>
          <w:szCs w:val="24"/>
        </w:rPr>
        <w:t>3</w:t>
      </w:r>
      <w:r w:rsidRPr="007479A0">
        <w:rPr>
          <w:rFonts w:ascii="Cambria" w:hAnsi="Cambria" w:cs="Times New Roman"/>
          <w:noProof/>
          <w:szCs w:val="24"/>
        </w:rPr>
        <w:t>(2), 173–197. https://doi.org/10.20885/plr.vol3.iss2.art4</w:t>
      </w:r>
    </w:p>
    <w:p w14:paraId="290E0C19"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Nunes, M., &amp; Abreu, A. (2021). Applying Social Network Analysis to Support the Management of Cooperative Project´s Behavioral Risks. </w:t>
      </w:r>
      <w:r w:rsidRPr="001429F4">
        <w:rPr>
          <w:rFonts w:ascii="Cambria" w:hAnsi="Cambria" w:cs="Times New Roman"/>
          <w:noProof/>
          <w:szCs w:val="24"/>
        </w:rPr>
        <w:t>FME Transactions</w:t>
      </w:r>
      <w:r w:rsidRPr="007479A0">
        <w:rPr>
          <w:rFonts w:ascii="Cambria" w:hAnsi="Cambria" w:cs="Times New Roman"/>
          <w:noProof/>
          <w:szCs w:val="24"/>
        </w:rPr>
        <w:t xml:space="preserve">, </w:t>
      </w:r>
      <w:r w:rsidRPr="001429F4">
        <w:rPr>
          <w:rFonts w:ascii="Cambria" w:hAnsi="Cambria" w:cs="Times New Roman"/>
          <w:noProof/>
          <w:szCs w:val="24"/>
        </w:rPr>
        <w:t>49</w:t>
      </w:r>
      <w:r w:rsidRPr="007479A0">
        <w:rPr>
          <w:rFonts w:ascii="Cambria" w:hAnsi="Cambria" w:cs="Times New Roman"/>
          <w:noProof/>
          <w:szCs w:val="24"/>
        </w:rPr>
        <w:t>(4), 795–805. https://doi.org/10.5937/FME2104795N</w:t>
      </w:r>
    </w:p>
    <w:p w14:paraId="1AF2E9D6"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Nurdin, N. (2017). The Roles of Information Technology in Islamic Bank Knowledge Management: A study of Two Syariah Banks in Palu. </w:t>
      </w:r>
      <w:r w:rsidRPr="001429F4">
        <w:rPr>
          <w:rFonts w:ascii="Cambria" w:hAnsi="Cambria" w:cs="Times New Roman"/>
          <w:noProof/>
          <w:szCs w:val="24"/>
        </w:rPr>
        <w:t>HUNAFA: Jurnal Studia Islamika</w:t>
      </w:r>
      <w:r w:rsidRPr="007479A0">
        <w:rPr>
          <w:rFonts w:ascii="Cambria" w:hAnsi="Cambria" w:cs="Times New Roman"/>
          <w:noProof/>
          <w:szCs w:val="24"/>
        </w:rPr>
        <w:t xml:space="preserve">, </w:t>
      </w:r>
      <w:r w:rsidRPr="001429F4">
        <w:rPr>
          <w:rFonts w:ascii="Cambria" w:hAnsi="Cambria" w:cs="Times New Roman"/>
          <w:noProof/>
          <w:szCs w:val="24"/>
        </w:rPr>
        <w:t>13</w:t>
      </w:r>
      <w:r w:rsidRPr="007479A0">
        <w:rPr>
          <w:rFonts w:ascii="Cambria" w:hAnsi="Cambria" w:cs="Times New Roman"/>
          <w:noProof/>
          <w:szCs w:val="24"/>
        </w:rPr>
        <w:t>(2), 181–217. https://doi.org/10.24239/jsi.v13i2.444.181-217</w:t>
      </w:r>
    </w:p>
    <w:p w14:paraId="7401668B"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Oniovosa, O. J., &amp; Godsday, O. E. (2023). Enterprise Risk Management and Firm Value: Evidence From Selected Commercial Banks in Sub-Saharan Africa. </w:t>
      </w:r>
      <w:r w:rsidRPr="001429F4">
        <w:rPr>
          <w:rFonts w:ascii="Cambria" w:hAnsi="Cambria" w:cs="Times New Roman"/>
          <w:noProof/>
          <w:szCs w:val="24"/>
        </w:rPr>
        <w:t>International Journal of Applied Economics, Finance and Accounting</w:t>
      </w:r>
      <w:r w:rsidRPr="007479A0">
        <w:rPr>
          <w:rFonts w:ascii="Cambria" w:hAnsi="Cambria" w:cs="Times New Roman"/>
          <w:noProof/>
          <w:szCs w:val="24"/>
        </w:rPr>
        <w:t xml:space="preserve">, </w:t>
      </w:r>
      <w:r w:rsidRPr="001429F4">
        <w:rPr>
          <w:rFonts w:ascii="Cambria" w:hAnsi="Cambria" w:cs="Times New Roman"/>
          <w:noProof/>
          <w:szCs w:val="24"/>
        </w:rPr>
        <w:t>16</w:t>
      </w:r>
      <w:r w:rsidRPr="007479A0">
        <w:rPr>
          <w:rFonts w:ascii="Cambria" w:hAnsi="Cambria" w:cs="Times New Roman"/>
          <w:noProof/>
          <w:szCs w:val="24"/>
        </w:rPr>
        <w:t>(2), 199–207. https://doi.org/10.33094/ijaefa.v16i2.949</w:t>
      </w:r>
    </w:p>
    <w:p w14:paraId="74C7DE5A"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Putri, E., &amp; Dharma, A. B. (2016). Analisis Perbedaan Kinerja Keuangan Antara Bank Konvensional Dengan Bank Syariah. </w:t>
      </w:r>
      <w:r w:rsidRPr="001429F4">
        <w:rPr>
          <w:rFonts w:ascii="Cambria" w:hAnsi="Cambria" w:cs="Times New Roman"/>
          <w:noProof/>
          <w:szCs w:val="24"/>
        </w:rPr>
        <w:t xml:space="preserve">Riset Akuntansi Dan Keuangan </w:t>
      </w:r>
      <w:r w:rsidRPr="001429F4">
        <w:rPr>
          <w:rFonts w:ascii="Cambria" w:hAnsi="Cambria" w:cs="Times New Roman"/>
          <w:noProof/>
          <w:szCs w:val="24"/>
        </w:rPr>
        <w:lastRenderedPageBreak/>
        <w:t>Indonesia</w:t>
      </w:r>
      <w:r w:rsidRPr="007479A0">
        <w:rPr>
          <w:rFonts w:ascii="Cambria" w:hAnsi="Cambria" w:cs="Times New Roman"/>
          <w:noProof/>
          <w:szCs w:val="24"/>
        </w:rPr>
        <w:t xml:space="preserve">, </w:t>
      </w:r>
      <w:r w:rsidRPr="001429F4">
        <w:rPr>
          <w:rFonts w:ascii="Cambria" w:hAnsi="Cambria" w:cs="Times New Roman"/>
          <w:noProof/>
          <w:szCs w:val="24"/>
        </w:rPr>
        <w:t>1</w:t>
      </w:r>
      <w:r w:rsidRPr="007479A0">
        <w:rPr>
          <w:rFonts w:ascii="Cambria" w:hAnsi="Cambria" w:cs="Times New Roman"/>
          <w:noProof/>
          <w:szCs w:val="24"/>
        </w:rPr>
        <w:t>(2), 98–107. https://doi.org/10.23917/reaksi.v1i2.2734</w:t>
      </w:r>
    </w:p>
    <w:p w14:paraId="32AA0647"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Rahmawati, I., &amp; Hidayat, W. (2024). </w:t>
      </w:r>
      <w:r w:rsidRPr="001429F4">
        <w:rPr>
          <w:rFonts w:ascii="Cambria" w:hAnsi="Cambria" w:cs="Times New Roman"/>
          <w:noProof/>
          <w:szCs w:val="24"/>
        </w:rPr>
        <w:t>Meningkatkan Mutu Pendidikan (Penelitian di Smk Al-Hadi Bandung)</w:t>
      </w:r>
      <w:r w:rsidRPr="007479A0">
        <w:rPr>
          <w:rFonts w:ascii="Cambria" w:hAnsi="Cambria" w:cs="Times New Roman"/>
          <w:noProof/>
          <w:szCs w:val="24"/>
        </w:rPr>
        <w:t xml:space="preserve">. </w:t>
      </w:r>
      <w:r w:rsidRPr="001429F4">
        <w:rPr>
          <w:rFonts w:ascii="Cambria" w:hAnsi="Cambria" w:cs="Times New Roman"/>
          <w:noProof/>
          <w:szCs w:val="24"/>
        </w:rPr>
        <w:t>6</w:t>
      </w:r>
      <w:r w:rsidRPr="007479A0">
        <w:rPr>
          <w:rFonts w:ascii="Cambria" w:hAnsi="Cambria" w:cs="Times New Roman"/>
          <w:noProof/>
          <w:szCs w:val="24"/>
        </w:rPr>
        <w:t>(1), 25–40. https://ejournal.iaida.ac.id/index.php/jmpid/article/download/3008/1605/7165</w:t>
      </w:r>
    </w:p>
    <w:p w14:paraId="3FBF94B4"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Rini, N. (2018). The Implementation of Islamic Corporate Governance (ICG) on Sharia Banking in Indonesia. </w:t>
      </w:r>
      <w:r w:rsidRPr="001429F4">
        <w:rPr>
          <w:rFonts w:ascii="Cambria" w:hAnsi="Cambria" w:cs="Times New Roman"/>
          <w:noProof/>
          <w:szCs w:val="24"/>
        </w:rPr>
        <w:t>The International Journal of Applied Business (TIJAB)</w:t>
      </w:r>
      <w:r w:rsidRPr="007479A0">
        <w:rPr>
          <w:rFonts w:ascii="Cambria" w:hAnsi="Cambria" w:cs="Times New Roman"/>
          <w:noProof/>
          <w:szCs w:val="24"/>
        </w:rPr>
        <w:t xml:space="preserve">, </w:t>
      </w:r>
      <w:r w:rsidRPr="001429F4">
        <w:rPr>
          <w:rFonts w:ascii="Cambria" w:hAnsi="Cambria" w:cs="Times New Roman"/>
          <w:noProof/>
          <w:szCs w:val="24"/>
        </w:rPr>
        <w:t>2</w:t>
      </w:r>
      <w:r w:rsidRPr="007479A0">
        <w:rPr>
          <w:rFonts w:ascii="Cambria" w:hAnsi="Cambria" w:cs="Times New Roman"/>
          <w:noProof/>
          <w:szCs w:val="24"/>
        </w:rPr>
        <w:t>(1), 29–38. https://doi.org/10.20473/tijab.V2.I1.2018.29-38</w:t>
      </w:r>
    </w:p>
    <w:p w14:paraId="33B89F19"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Rudianto. (2013). </w:t>
      </w:r>
      <w:r w:rsidRPr="001429F4">
        <w:rPr>
          <w:rFonts w:ascii="Cambria" w:hAnsi="Cambria" w:cs="Times New Roman"/>
          <w:noProof/>
          <w:szCs w:val="24"/>
        </w:rPr>
        <w:t>Akuntansi Manajemen: Informasi Untuk Pengambilan Keputusan Strategis</w:t>
      </w:r>
      <w:r w:rsidRPr="007479A0">
        <w:rPr>
          <w:rFonts w:ascii="Cambria" w:hAnsi="Cambria" w:cs="Times New Roman"/>
          <w:noProof/>
          <w:szCs w:val="24"/>
        </w:rPr>
        <w:t xml:space="preserve"> (S. Saat (ed.); 1st ed.). Erlangga.</w:t>
      </w:r>
    </w:p>
    <w:p w14:paraId="4CBC5687"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Sandy, M. I. F., &amp; Kurdi, M. (2024). Analisis Manajemen Risiko Operasional Berdasarkan Pendekatan Enterprise Risk Management (ERM) Pada LKP Tatik Modes Kabupaten Trenggalek. </w:t>
      </w:r>
      <w:r w:rsidRPr="001429F4">
        <w:rPr>
          <w:rFonts w:ascii="Cambria" w:hAnsi="Cambria" w:cs="Times New Roman"/>
          <w:noProof/>
          <w:szCs w:val="24"/>
        </w:rPr>
        <w:t>Journal MISSY (Management and Business Strategy)</w:t>
      </w:r>
      <w:r w:rsidRPr="007479A0">
        <w:rPr>
          <w:rFonts w:ascii="Cambria" w:hAnsi="Cambria" w:cs="Times New Roman"/>
          <w:noProof/>
          <w:szCs w:val="24"/>
        </w:rPr>
        <w:t xml:space="preserve">, </w:t>
      </w:r>
      <w:r w:rsidRPr="001429F4">
        <w:rPr>
          <w:rFonts w:ascii="Cambria" w:hAnsi="Cambria" w:cs="Times New Roman"/>
          <w:noProof/>
          <w:szCs w:val="24"/>
        </w:rPr>
        <w:t>5</w:t>
      </w:r>
      <w:r w:rsidRPr="007479A0">
        <w:rPr>
          <w:rFonts w:ascii="Cambria" w:hAnsi="Cambria" w:cs="Times New Roman"/>
          <w:noProof/>
          <w:szCs w:val="24"/>
        </w:rPr>
        <w:t>(2), 117–123. https://www.ejournalwiraraja.com/index.php/MISSY/article/view/3952</w:t>
      </w:r>
    </w:p>
    <w:p w14:paraId="705047B7"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Scannell, T. V., Curkovic, S., &amp; Wagner, B. J. (2013). Integration of ISO 31000:2009 and Supply Chain Risk Management. </w:t>
      </w:r>
      <w:r w:rsidRPr="001429F4">
        <w:rPr>
          <w:rFonts w:ascii="Cambria" w:hAnsi="Cambria" w:cs="Times New Roman"/>
          <w:noProof/>
          <w:szCs w:val="24"/>
        </w:rPr>
        <w:t>American Journal of Industrial and Business Management</w:t>
      </w:r>
      <w:r w:rsidRPr="007479A0">
        <w:rPr>
          <w:rFonts w:ascii="Cambria" w:hAnsi="Cambria" w:cs="Times New Roman"/>
          <w:noProof/>
          <w:szCs w:val="24"/>
        </w:rPr>
        <w:t xml:space="preserve">, </w:t>
      </w:r>
      <w:r w:rsidRPr="001429F4">
        <w:rPr>
          <w:rFonts w:ascii="Cambria" w:hAnsi="Cambria" w:cs="Times New Roman"/>
          <w:noProof/>
          <w:szCs w:val="24"/>
        </w:rPr>
        <w:t>03</w:t>
      </w:r>
      <w:r w:rsidRPr="007479A0">
        <w:rPr>
          <w:rFonts w:ascii="Cambria" w:hAnsi="Cambria" w:cs="Times New Roman"/>
          <w:noProof/>
          <w:szCs w:val="24"/>
        </w:rPr>
        <w:t>(04), 367–377. https://doi.org/10.4236/ajibm.2013.34043</w:t>
      </w:r>
    </w:p>
    <w:p w14:paraId="52DC2D0B"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Schormair, M. J. L., &amp; Gilbert, D. U. (2020). Creating Value by Sharing Values: Managing Stakeholder Value Conflict in the Face of Pluralism through Discursive Justification. </w:t>
      </w:r>
      <w:r w:rsidRPr="001429F4">
        <w:rPr>
          <w:rFonts w:ascii="Cambria" w:hAnsi="Cambria" w:cs="Times New Roman"/>
          <w:noProof/>
          <w:szCs w:val="24"/>
        </w:rPr>
        <w:t>Business Ethics Quarterly</w:t>
      </w:r>
      <w:r w:rsidRPr="007479A0">
        <w:rPr>
          <w:rFonts w:ascii="Cambria" w:hAnsi="Cambria" w:cs="Times New Roman"/>
          <w:noProof/>
          <w:szCs w:val="24"/>
        </w:rPr>
        <w:t xml:space="preserve">, </w:t>
      </w:r>
      <w:r w:rsidRPr="001429F4">
        <w:rPr>
          <w:rFonts w:ascii="Cambria" w:hAnsi="Cambria" w:cs="Times New Roman"/>
          <w:noProof/>
          <w:szCs w:val="24"/>
        </w:rPr>
        <w:t>31</w:t>
      </w:r>
      <w:r w:rsidRPr="007479A0">
        <w:rPr>
          <w:rFonts w:ascii="Cambria" w:hAnsi="Cambria" w:cs="Times New Roman"/>
          <w:noProof/>
          <w:szCs w:val="24"/>
        </w:rPr>
        <w:t>(1), 1–36. https://doi.org/10.1017/beq.2020.12</w:t>
      </w:r>
    </w:p>
    <w:p w14:paraId="63B8D8AF"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Shibani, O., &amp; De Fuentes, C. (2017). The Differences And The Similarities Between Corporate Governance Principles in Islamic Banks And Conventional Banks. </w:t>
      </w:r>
      <w:r w:rsidRPr="001429F4">
        <w:rPr>
          <w:rFonts w:ascii="Cambria" w:hAnsi="Cambria" w:cs="Times New Roman"/>
          <w:noProof/>
          <w:szCs w:val="24"/>
        </w:rPr>
        <w:t>Research in International Business and Finance</w:t>
      </w:r>
      <w:r w:rsidRPr="007479A0">
        <w:rPr>
          <w:rFonts w:ascii="Cambria" w:hAnsi="Cambria" w:cs="Times New Roman"/>
          <w:noProof/>
          <w:szCs w:val="24"/>
        </w:rPr>
        <w:t xml:space="preserve">, </w:t>
      </w:r>
      <w:r w:rsidRPr="001429F4">
        <w:rPr>
          <w:rFonts w:ascii="Cambria" w:hAnsi="Cambria" w:cs="Times New Roman"/>
          <w:noProof/>
          <w:szCs w:val="24"/>
        </w:rPr>
        <w:t>42</w:t>
      </w:r>
      <w:r w:rsidRPr="007479A0">
        <w:rPr>
          <w:rFonts w:ascii="Cambria" w:hAnsi="Cambria" w:cs="Times New Roman"/>
          <w:noProof/>
          <w:szCs w:val="24"/>
        </w:rPr>
        <w:t>, 1005–1010. https://doi.org/10.1016/j.ribaf.2017.07.036</w:t>
      </w:r>
    </w:p>
    <w:p w14:paraId="455D9BAC"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Siddique, J., Shamim, A., Nawaz, M., Faye, I., &amp; Rehman, M. (2021). Co-creation or Co-destruction: A Perspective of Online Customer Engagement Valence. </w:t>
      </w:r>
      <w:r w:rsidRPr="001429F4">
        <w:rPr>
          <w:rFonts w:ascii="Cambria" w:hAnsi="Cambria" w:cs="Times New Roman"/>
          <w:noProof/>
          <w:szCs w:val="24"/>
        </w:rPr>
        <w:t>Frontiers in Psychology</w:t>
      </w:r>
      <w:r w:rsidRPr="007479A0">
        <w:rPr>
          <w:rFonts w:ascii="Cambria" w:hAnsi="Cambria" w:cs="Times New Roman"/>
          <w:noProof/>
          <w:szCs w:val="24"/>
        </w:rPr>
        <w:t xml:space="preserve">, </w:t>
      </w:r>
      <w:r w:rsidRPr="001429F4">
        <w:rPr>
          <w:rFonts w:ascii="Cambria" w:hAnsi="Cambria" w:cs="Times New Roman"/>
          <w:noProof/>
          <w:szCs w:val="24"/>
        </w:rPr>
        <w:t>11</w:t>
      </w:r>
      <w:r w:rsidRPr="007479A0">
        <w:rPr>
          <w:rFonts w:ascii="Cambria" w:hAnsi="Cambria" w:cs="Times New Roman"/>
          <w:noProof/>
          <w:szCs w:val="24"/>
        </w:rPr>
        <w:t>(591753), 1–7. https://doi.org/10.3389/fpsyg.2020.591753</w:t>
      </w:r>
    </w:p>
    <w:p w14:paraId="3329F71E"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Siegel, J. G., &amp; Shim, J. K. (1994). </w:t>
      </w:r>
      <w:r w:rsidRPr="001429F4">
        <w:rPr>
          <w:rFonts w:ascii="Cambria" w:hAnsi="Cambria" w:cs="Times New Roman"/>
          <w:noProof/>
          <w:szCs w:val="24"/>
        </w:rPr>
        <w:t>Kamus Istilah Akuntansi</w:t>
      </w:r>
      <w:r w:rsidRPr="007479A0">
        <w:rPr>
          <w:rFonts w:ascii="Cambria" w:hAnsi="Cambria" w:cs="Times New Roman"/>
          <w:noProof/>
          <w:szCs w:val="24"/>
        </w:rPr>
        <w:t xml:space="preserve"> (3rd ed.). PT. Elex Media Komputindo.</w:t>
      </w:r>
    </w:p>
    <w:p w14:paraId="6BFA075F"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Sulistiyo, A. B., Wardayati, S. M., Hidayatullah, A., &amp; Riesky, S. S. N. (2020). Effect of Islamic Corporate Governance on Customer Trust: Empirical Study on Islamic Bank. </w:t>
      </w:r>
      <w:r w:rsidRPr="001429F4">
        <w:rPr>
          <w:rFonts w:ascii="Cambria" w:hAnsi="Cambria" w:cs="Times New Roman"/>
          <w:noProof/>
          <w:szCs w:val="24"/>
        </w:rPr>
        <w:t>Asian Journal of Islamic Management (AJIM)</w:t>
      </w:r>
      <w:r w:rsidRPr="007479A0">
        <w:rPr>
          <w:rFonts w:ascii="Cambria" w:hAnsi="Cambria" w:cs="Times New Roman"/>
          <w:noProof/>
          <w:szCs w:val="24"/>
        </w:rPr>
        <w:t xml:space="preserve">, </w:t>
      </w:r>
      <w:r w:rsidRPr="001429F4">
        <w:rPr>
          <w:rFonts w:ascii="Cambria" w:hAnsi="Cambria" w:cs="Times New Roman"/>
          <w:noProof/>
          <w:szCs w:val="24"/>
        </w:rPr>
        <w:t>2</w:t>
      </w:r>
      <w:r w:rsidRPr="007479A0">
        <w:rPr>
          <w:rFonts w:ascii="Cambria" w:hAnsi="Cambria" w:cs="Times New Roman"/>
          <w:noProof/>
          <w:szCs w:val="24"/>
        </w:rPr>
        <w:t>(1), 12–24. https://doi.org/10.20885/ajim.vol2.iss1.art2</w:t>
      </w:r>
    </w:p>
    <w:p w14:paraId="71F9C0AB"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cs="Times New Roman"/>
          <w:noProof/>
          <w:szCs w:val="24"/>
        </w:rPr>
      </w:pPr>
      <w:r w:rsidRPr="007479A0">
        <w:rPr>
          <w:rFonts w:ascii="Cambria" w:hAnsi="Cambria" w:cs="Times New Roman"/>
          <w:noProof/>
          <w:szCs w:val="24"/>
        </w:rPr>
        <w:t xml:space="preserve">Sutrisno. (2009). </w:t>
      </w:r>
      <w:r w:rsidRPr="001429F4">
        <w:rPr>
          <w:rFonts w:ascii="Cambria" w:hAnsi="Cambria" w:cs="Times New Roman"/>
          <w:noProof/>
          <w:szCs w:val="24"/>
        </w:rPr>
        <w:t>Manajemen Keuangan Teori, Konsep Dan Aplikasi</w:t>
      </w:r>
      <w:r w:rsidRPr="007479A0">
        <w:rPr>
          <w:rFonts w:ascii="Cambria" w:hAnsi="Cambria" w:cs="Times New Roman"/>
          <w:noProof/>
          <w:szCs w:val="24"/>
        </w:rPr>
        <w:t xml:space="preserve"> (1st ed.). Ekonosia.</w:t>
      </w:r>
    </w:p>
    <w:p w14:paraId="15615563" w14:textId="77777777" w:rsidR="007479A0" w:rsidRPr="007479A0" w:rsidRDefault="007479A0" w:rsidP="001429F4">
      <w:pPr>
        <w:widowControl w:val="0"/>
        <w:autoSpaceDE w:val="0"/>
        <w:autoSpaceDN w:val="0"/>
        <w:adjustRightInd w:val="0"/>
        <w:spacing w:before="100" w:after="100" w:line="240" w:lineRule="auto"/>
        <w:ind w:leftChars="0" w:left="567" w:firstLineChars="0" w:hanging="567"/>
        <w:rPr>
          <w:rFonts w:ascii="Cambria" w:hAnsi="Cambria"/>
          <w:noProof/>
        </w:rPr>
      </w:pPr>
      <w:r w:rsidRPr="007479A0">
        <w:rPr>
          <w:rFonts w:ascii="Cambria" w:hAnsi="Cambria" w:cs="Times New Roman"/>
          <w:noProof/>
          <w:szCs w:val="24"/>
        </w:rPr>
        <w:lastRenderedPageBreak/>
        <w:t xml:space="preserve">Yusuf, M., Dasawaty, E. S., Esra, M. A., Apriwenni, P., Meiden, C., &amp; Fahlevi, M. (2024). Integrated Reporting, Corporate Governance, and Financial Sustainability in Islamic Banking. </w:t>
      </w:r>
      <w:r w:rsidRPr="001429F4">
        <w:rPr>
          <w:rFonts w:ascii="Cambria" w:hAnsi="Cambria" w:cs="Times New Roman"/>
          <w:noProof/>
          <w:szCs w:val="24"/>
        </w:rPr>
        <w:t>Uncertain Supply Chain Management</w:t>
      </w:r>
      <w:r w:rsidRPr="007479A0">
        <w:rPr>
          <w:rFonts w:ascii="Cambria" w:hAnsi="Cambria" w:cs="Times New Roman"/>
          <w:noProof/>
          <w:szCs w:val="24"/>
        </w:rPr>
        <w:t xml:space="preserve">, </w:t>
      </w:r>
      <w:r w:rsidRPr="001429F4">
        <w:rPr>
          <w:rFonts w:ascii="Cambria" w:hAnsi="Cambria" w:cs="Times New Roman"/>
          <w:noProof/>
          <w:szCs w:val="24"/>
        </w:rPr>
        <w:t>12</w:t>
      </w:r>
      <w:r w:rsidRPr="007479A0">
        <w:rPr>
          <w:rFonts w:ascii="Cambria" w:hAnsi="Cambria" w:cs="Times New Roman"/>
          <w:noProof/>
          <w:szCs w:val="24"/>
        </w:rPr>
        <w:t>(1), 273–290. https://doi.org/10.5267/j.uscm.2023.9.022</w:t>
      </w:r>
    </w:p>
    <w:p w14:paraId="02866D6B" w14:textId="7C6903FD" w:rsidR="00171496" w:rsidRDefault="009A0AF4" w:rsidP="00634CED">
      <w:pPr>
        <w:pBdr>
          <w:top w:val="nil"/>
          <w:left w:val="nil"/>
          <w:bottom w:val="nil"/>
          <w:right w:val="nil"/>
          <w:between w:val="nil"/>
        </w:pBdr>
        <w:spacing w:before="100" w:after="100" w:line="276" w:lineRule="auto"/>
        <w:ind w:left="0" w:hanging="2"/>
        <w:jc w:val="left"/>
        <w:rPr>
          <w:rFonts w:ascii="Cambria" w:eastAsia="Cambria" w:hAnsi="Cambria" w:cs="Cambria"/>
        </w:rPr>
      </w:pPr>
      <w:r w:rsidRPr="009A0AF4">
        <w:rPr>
          <w:rFonts w:asciiTheme="minorHAnsi" w:eastAsia="Cambria" w:hAnsiTheme="minorHAnsi" w:cs="Cambria"/>
          <w:b/>
          <w:color w:val="000000"/>
          <w:szCs w:val="24"/>
          <w:lang w:val="en-US"/>
        </w:rPr>
        <w:fldChar w:fldCharType="end"/>
      </w:r>
    </w:p>
    <w:p w14:paraId="7A2051E6" w14:textId="77777777" w:rsidR="00171496" w:rsidRDefault="00171496">
      <w:pPr>
        <w:widowControl w:val="0"/>
        <w:spacing w:line="240" w:lineRule="auto"/>
        <w:ind w:left="0" w:hanging="2"/>
        <w:rPr>
          <w:rFonts w:ascii="Cambria" w:eastAsia="Cambria" w:hAnsi="Cambria" w:cs="Cambria"/>
        </w:rPr>
      </w:pPr>
    </w:p>
    <w:sectPr w:rsidR="00171496">
      <w:headerReference w:type="default" r:id="rId11"/>
      <w:footerReference w:type="default" r:id="rId12"/>
      <w:headerReference w:type="first" r:id="rId13"/>
      <w:footerReference w:type="first" r:id="rId14"/>
      <w:pgSz w:w="11907" w:h="16839"/>
      <w:pgMar w:top="1701" w:right="1701" w:bottom="1701" w:left="2268" w:header="964" w:footer="794" w:gutter="0"/>
      <w:pgNumType w:start="8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0D7BE" w14:textId="77777777" w:rsidR="004D05B3" w:rsidRDefault="004D05B3">
      <w:pPr>
        <w:spacing w:line="240" w:lineRule="auto"/>
        <w:ind w:left="0" w:hanging="2"/>
      </w:pPr>
      <w:r>
        <w:separator/>
      </w:r>
    </w:p>
  </w:endnote>
  <w:endnote w:type="continuationSeparator" w:id="0">
    <w:p w14:paraId="3EBF052B" w14:textId="77777777" w:rsidR="004D05B3" w:rsidRDefault="004D05B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rts Mill Goudy">
    <w:altName w:val="Calibri"/>
    <w:charset w:val="00"/>
    <w:family w:val="auto"/>
    <w:pitch w:val="default"/>
  </w:font>
  <w:font w:name="Goudy Old Style">
    <w:panose1 w:val="02020502050305020303"/>
    <w:charset w:val="00"/>
    <w:family w:val="roman"/>
    <w:pitch w:val="variable"/>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L-Hosam">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78AEF" w14:textId="0E89D9B8" w:rsidR="00171496" w:rsidRDefault="00A51BCA">
    <w:pPr>
      <w:pBdr>
        <w:top w:val="nil"/>
        <w:left w:val="nil"/>
        <w:bottom w:val="nil"/>
        <w:right w:val="nil"/>
        <w:between w:val="nil"/>
      </w:pBdr>
      <w:tabs>
        <w:tab w:val="center" w:pos="4513"/>
        <w:tab w:val="right" w:pos="9026"/>
      </w:tabs>
      <w:spacing w:before="120"/>
      <w:ind w:left="0" w:hanging="2"/>
      <w:jc w:val="right"/>
      <w:rPr>
        <w:rFonts w:ascii="Cambria" w:eastAsia="Cambria" w:hAnsi="Cambria" w:cs="Cambria"/>
        <w:color w:val="000000"/>
        <w:sz w:val="22"/>
        <w:szCs w:val="22"/>
      </w:rPr>
    </w:pPr>
    <w:r>
      <w:rPr>
        <w:rFonts w:ascii="Cambria" w:eastAsia="Cambria" w:hAnsi="Cambria" w:cs="Cambria"/>
        <w:i/>
        <w:color w:val="000000"/>
        <w:sz w:val="20"/>
        <w:szCs w:val="20"/>
      </w:rPr>
      <w:t>EL DINAR Volume X, No. X, Tahun 20XX</w:t>
    </w:r>
    <w:r>
      <w:rPr>
        <w:rFonts w:ascii="Cambria" w:eastAsia="Cambria" w:hAnsi="Cambria" w:cs="Cambria"/>
        <w:color w:val="000000"/>
        <w:sz w:val="22"/>
        <w:szCs w:val="22"/>
      </w:rPr>
      <w:t xml:space="preserve"> |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550137">
      <w:rPr>
        <w:rFonts w:ascii="Cambria" w:eastAsia="Cambria" w:hAnsi="Cambria" w:cs="Cambria"/>
        <w:noProof/>
        <w:color w:val="000000"/>
        <w:sz w:val="22"/>
        <w:szCs w:val="22"/>
      </w:rPr>
      <w:t>84</w:t>
    </w:r>
    <w:r>
      <w:rPr>
        <w:rFonts w:ascii="Cambria" w:eastAsia="Cambria" w:hAnsi="Cambria" w:cs="Cambria"/>
        <w:color w:val="000000"/>
        <w:sz w:val="22"/>
        <w:szCs w:val="22"/>
      </w:rPr>
      <w:fldChar w:fldCharType="end"/>
    </w:r>
    <w:r>
      <w:rPr>
        <w:rFonts w:ascii="Cambria" w:eastAsia="Cambria" w:hAnsi="Cambria" w:cs="Cambria"/>
        <w:color w:val="000000"/>
        <w:sz w:val="22"/>
        <w:szCs w:val="22"/>
      </w:rPr>
      <w:t xml:space="preserve"> </w:t>
    </w:r>
    <w:r>
      <w:rPr>
        <w:noProof/>
      </w:rPr>
      <mc:AlternateContent>
        <mc:Choice Requires="wpg">
          <w:drawing>
            <wp:anchor distT="0" distB="0" distL="114300" distR="114300" simplePos="0" relativeHeight="251662336" behindDoc="0" locked="0" layoutInCell="1" hidden="0" allowOverlap="1" wp14:anchorId="5558C369" wp14:editId="494D6A83">
              <wp:simplePos x="0" y="0"/>
              <wp:positionH relativeFrom="column">
                <wp:posOffset>1</wp:posOffset>
              </wp:positionH>
              <wp:positionV relativeFrom="paragraph">
                <wp:posOffset>25400</wp:posOffset>
              </wp:positionV>
              <wp:extent cx="5041900" cy="19050"/>
              <wp:effectExtent l="0" t="0" r="0" b="0"/>
              <wp:wrapNone/>
              <wp:docPr id="1030" name="Straight Arrow Connector 1030"/>
              <wp:cNvGraphicFramePr/>
              <a:graphic xmlns:a="http://schemas.openxmlformats.org/drawingml/2006/main">
                <a:graphicData uri="http://schemas.microsoft.com/office/word/2010/wordprocessingShape">
                  <wps:wsp>
                    <wps:cNvCnPr/>
                    <wps:spPr>
                      <a:xfrm>
                        <a:off x="2825050" y="3779683"/>
                        <a:ext cx="5041900" cy="635"/>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5041900" cy="19050"/>
              <wp:effectExtent b="0" l="0" r="0" t="0"/>
              <wp:wrapNone/>
              <wp:docPr id="1030"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041900" cy="19050"/>
                      </a:xfrm>
                      <a:prstGeom prst="rect"/>
                      <a:ln/>
                    </pic:spPr>
                  </pic:pic>
                </a:graphicData>
              </a:graphic>
            </wp:anchor>
          </w:drawing>
        </mc:Fallback>
      </mc:AlternateContent>
    </w:r>
  </w:p>
  <w:p w14:paraId="1539AED8" w14:textId="77777777" w:rsidR="00171496" w:rsidRDefault="00171496">
    <w:pPr>
      <w:pBdr>
        <w:top w:val="nil"/>
        <w:left w:val="nil"/>
        <w:bottom w:val="nil"/>
        <w:right w:val="nil"/>
        <w:between w:val="nil"/>
      </w:pBdr>
      <w:tabs>
        <w:tab w:val="center" w:pos="4513"/>
        <w:tab w:val="right" w:pos="9026"/>
      </w:tabs>
      <w:ind w:left="0" w:hanging="2"/>
      <w:jc w:val="right"/>
      <w:rPr>
        <w:rFonts w:ascii="Cambria" w:eastAsia="Cambria" w:hAnsi="Cambria" w:cs="Cambria"/>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F6A0" w14:textId="77777777" w:rsidR="00171496" w:rsidRDefault="00A51BCA">
    <w:pPr>
      <w:pBdr>
        <w:top w:val="nil"/>
        <w:left w:val="nil"/>
        <w:bottom w:val="nil"/>
        <w:right w:val="nil"/>
        <w:between w:val="nil"/>
      </w:pBdr>
      <w:tabs>
        <w:tab w:val="center" w:pos="4513"/>
        <w:tab w:val="right" w:pos="9026"/>
      </w:tabs>
      <w:spacing w:before="120"/>
      <w:ind w:left="0" w:hanging="2"/>
      <w:jc w:val="right"/>
      <w:rPr>
        <w:rFonts w:ascii="Cambria" w:eastAsia="Cambria" w:hAnsi="Cambria" w:cs="Cambria"/>
        <w:color w:val="000000"/>
        <w:sz w:val="22"/>
        <w:szCs w:val="22"/>
      </w:rPr>
    </w:pPr>
    <w:r>
      <w:rPr>
        <w:rFonts w:ascii="Cambria" w:eastAsia="Cambria" w:hAnsi="Cambria" w:cs="Cambria"/>
        <w:i/>
        <w:color w:val="000000"/>
        <w:sz w:val="20"/>
        <w:szCs w:val="20"/>
      </w:rPr>
      <w:t>EL DINAR Volume 6, No. 1, Tahun 2018</w:t>
    </w:r>
    <w:r>
      <w:rPr>
        <w:rFonts w:ascii="Cambria" w:eastAsia="Cambria" w:hAnsi="Cambria" w:cs="Cambria"/>
        <w:color w:val="000000"/>
        <w:sz w:val="20"/>
        <w:szCs w:val="20"/>
      </w:rPr>
      <w:t xml:space="preserve"> </w:t>
    </w:r>
    <w:r>
      <w:rPr>
        <w:rFonts w:ascii="Cambria" w:eastAsia="Cambria" w:hAnsi="Cambria" w:cs="Cambria"/>
        <w:color w:val="000000"/>
        <w:sz w:val="22"/>
        <w:szCs w:val="22"/>
      </w:rPr>
      <w:t xml:space="preserve">|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550137">
      <w:rPr>
        <w:rFonts w:ascii="Cambria" w:eastAsia="Cambria" w:hAnsi="Cambria" w:cs="Cambria"/>
        <w:noProof/>
        <w:color w:val="000000"/>
        <w:sz w:val="22"/>
        <w:szCs w:val="22"/>
      </w:rPr>
      <w:t>83</w:t>
    </w:r>
    <w:r>
      <w:rPr>
        <w:rFonts w:ascii="Cambria" w:eastAsia="Cambria" w:hAnsi="Cambria" w:cs="Cambria"/>
        <w:color w:val="000000"/>
        <w:sz w:val="22"/>
        <w:szCs w:val="22"/>
      </w:rPr>
      <w:fldChar w:fldCharType="end"/>
    </w:r>
    <w:r>
      <w:rPr>
        <w:rFonts w:ascii="Cambria" w:eastAsia="Cambria" w:hAnsi="Cambria" w:cs="Cambria"/>
        <w:color w:val="000000"/>
        <w:sz w:val="22"/>
        <w:szCs w:val="22"/>
      </w:rPr>
      <w:t xml:space="preserve"> </w:t>
    </w:r>
    <w:r>
      <w:rPr>
        <w:noProof/>
      </w:rPr>
      <mc:AlternateContent>
        <mc:Choice Requires="wpg">
          <w:drawing>
            <wp:anchor distT="0" distB="0" distL="114300" distR="114300" simplePos="0" relativeHeight="251663360" behindDoc="0" locked="0" layoutInCell="1" hidden="0" allowOverlap="1" wp14:anchorId="502C4A8A" wp14:editId="4E346780">
              <wp:simplePos x="0" y="0"/>
              <wp:positionH relativeFrom="column">
                <wp:posOffset>-12699</wp:posOffset>
              </wp:positionH>
              <wp:positionV relativeFrom="paragraph">
                <wp:posOffset>38100</wp:posOffset>
              </wp:positionV>
              <wp:extent cx="5053965" cy="19050"/>
              <wp:effectExtent l="0" t="0" r="0" b="0"/>
              <wp:wrapNone/>
              <wp:docPr id="1027" name="Straight Arrow Connector 1027"/>
              <wp:cNvGraphicFramePr/>
              <a:graphic xmlns:a="http://schemas.openxmlformats.org/drawingml/2006/main">
                <a:graphicData uri="http://schemas.microsoft.com/office/word/2010/wordprocessingShape">
                  <wps:wsp>
                    <wps:cNvCnPr/>
                    <wps:spPr>
                      <a:xfrm>
                        <a:off x="2819018" y="3780000"/>
                        <a:ext cx="5053965" cy="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-12699</wp:posOffset>
              </wp:positionH>
              <wp:positionV relativeFrom="paragraph">
                <wp:posOffset>38100</wp:posOffset>
              </wp:positionV>
              <wp:extent cx="5053965" cy="19050"/>
              <wp:effectExtent b="0" l="0" r="0" t="0"/>
              <wp:wrapNone/>
              <wp:docPr id="102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053965" cy="19050"/>
                      </a:xfrm>
                      <a:prstGeom prst="rect"/>
                      <a:ln/>
                    </pic:spPr>
                  </pic:pic>
                </a:graphicData>
              </a:graphic>
            </wp:anchor>
          </w:drawing>
        </mc:Fallback>
      </mc:AlternateContent>
    </w:r>
  </w:p>
  <w:p w14:paraId="2CBB41B3" w14:textId="77777777" w:rsidR="00171496" w:rsidRDefault="00171496">
    <w:pPr>
      <w:pBdr>
        <w:top w:val="nil"/>
        <w:left w:val="nil"/>
        <w:bottom w:val="nil"/>
        <w:right w:val="nil"/>
        <w:between w:val="nil"/>
      </w:pBdr>
      <w:tabs>
        <w:tab w:val="center" w:pos="4513"/>
        <w:tab w:val="right" w:pos="9026"/>
      </w:tabs>
      <w:ind w:left="0" w:hanging="2"/>
      <w:rPr>
        <w:rFonts w:ascii="Sorts Mill Goudy" w:hAnsi="Sorts Mill Goudy" w:cs="Sorts Mill Goudy"/>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84A60" w14:textId="77777777" w:rsidR="004D05B3" w:rsidRDefault="004D05B3">
      <w:pPr>
        <w:spacing w:line="240" w:lineRule="auto"/>
        <w:ind w:left="0" w:hanging="2"/>
      </w:pPr>
      <w:r>
        <w:separator/>
      </w:r>
    </w:p>
  </w:footnote>
  <w:footnote w:type="continuationSeparator" w:id="0">
    <w:p w14:paraId="7A81B335" w14:textId="77777777" w:rsidR="004D05B3" w:rsidRDefault="004D05B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A158" w14:textId="77777777" w:rsidR="00171496" w:rsidRDefault="00A51BCA">
    <w:pPr>
      <w:pBdr>
        <w:top w:val="nil"/>
        <w:left w:val="nil"/>
        <w:bottom w:val="nil"/>
        <w:right w:val="nil"/>
        <w:between w:val="nil"/>
      </w:pBdr>
      <w:tabs>
        <w:tab w:val="center" w:pos="4513"/>
        <w:tab w:val="right" w:pos="9026"/>
      </w:tabs>
      <w:ind w:left="0" w:hanging="2"/>
      <w:jc w:val="left"/>
      <w:rPr>
        <w:rFonts w:ascii="Cambria" w:eastAsia="Cambria" w:hAnsi="Cambria" w:cs="Cambria"/>
        <w:color w:val="000000"/>
        <w:sz w:val="20"/>
        <w:szCs w:val="20"/>
      </w:rPr>
    </w:pPr>
    <w:r>
      <w:rPr>
        <w:noProof/>
      </w:rPr>
      <w:drawing>
        <wp:anchor distT="0" distB="0" distL="114300" distR="114300" simplePos="0" relativeHeight="251658240" behindDoc="0" locked="0" layoutInCell="1" hidden="0" allowOverlap="1" wp14:anchorId="6C0CF801" wp14:editId="489325D7">
          <wp:simplePos x="0" y="0"/>
          <wp:positionH relativeFrom="column">
            <wp:posOffset>4853305</wp:posOffset>
          </wp:positionH>
          <wp:positionV relativeFrom="paragraph">
            <wp:posOffset>201930</wp:posOffset>
          </wp:positionV>
          <wp:extent cx="181610" cy="179705"/>
          <wp:effectExtent l="0" t="0" r="0" b="0"/>
          <wp:wrapNone/>
          <wp:docPr id="10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1610" cy="179705"/>
                  </a:xfrm>
                  <a:prstGeom prst="rect">
                    <a:avLst/>
                  </a:prstGeom>
                  <a:ln/>
                </pic:spPr>
              </pic:pic>
            </a:graphicData>
          </a:graphic>
        </wp:anchor>
      </w:drawing>
    </w:r>
  </w:p>
  <w:p w14:paraId="22E6A1DC" w14:textId="77777777" w:rsidR="00171496" w:rsidRDefault="00A51BCA">
    <w:pPr>
      <w:pBdr>
        <w:top w:val="nil"/>
        <w:left w:val="nil"/>
        <w:bottom w:val="nil"/>
        <w:right w:val="nil"/>
        <w:between w:val="nil"/>
      </w:pBdr>
      <w:tabs>
        <w:tab w:val="center" w:pos="4513"/>
        <w:tab w:val="right" w:pos="9026"/>
      </w:tabs>
      <w:ind w:left="0" w:hanging="2"/>
      <w:jc w:val="left"/>
      <w:rPr>
        <w:rFonts w:ascii="Cambria" w:eastAsia="Cambria" w:hAnsi="Cambria" w:cs="Cambria"/>
        <w:color w:val="000000"/>
        <w:sz w:val="20"/>
        <w:szCs w:val="20"/>
      </w:rPr>
    </w:pPr>
    <w:r>
      <w:rPr>
        <w:rFonts w:ascii="Cambria" w:eastAsia="Cambria" w:hAnsi="Cambria" w:cs="Cambria"/>
        <w:b/>
        <w:color w:val="000000"/>
        <w:sz w:val="20"/>
        <w:szCs w:val="20"/>
      </w:rPr>
      <w:t xml:space="preserve">Nama Author: </w:t>
    </w:r>
    <w:r>
      <w:rPr>
        <w:rFonts w:ascii="Cambria" w:eastAsia="Cambria" w:hAnsi="Cambria" w:cs="Cambria"/>
        <w:color w:val="000000"/>
        <w:sz w:val="20"/>
        <w:szCs w:val="20"/>
      </w:rPr>
      <w:t>Judul Artikel</w:t>
    </w:r>
    <w:r>
      <w:rPr>
        <w:noProof/>
      </w:rPr>
      <mc:AlternateContent>
        <mc:Choice Requires="wpg">
          <w:drawing>
            <wp:anchor distT="0" distB="0" distL="114300" distR="114300" simplePos="0" relativeHeight="251659264" behindDoc="0" locked="0" layoutInCell="1" hidden="0" allowOverlap="1" wp14:anchorId="501F7D19" wp14:editId="630F19AC">
              <wp:simplePos x="0" y="0"/>
              <wp:positionH relativeFrom="column">
                <wp:posOffset>1</wp:posOffset>
              </wp:positionH>
              <wp:positionV relativeFrom="paragraph">
                <wp:posOffset>177800</wp:posOffset>
              </wp:positionV>
              <wp:extent cx="5044440" cy="19050"/>
              <wp:effectExtent l="0" t="0" r="0" b="0"/>
              <wp:wrapNone/>
              <wp:docPr id="1029" name="Straight Arrow Connector 1029"/>
              <wp:cNvGraphicFramePr/>
              <a:graphic xmlns:a="http://schemas.openxmlformats.org/drawingml/2006/main">
                <a:graphicData uri="http://schemas.microsoft.com/office/word/2010/wordprocessingShape">
                  <wps:wsp>
                    <wps:cNvCnPr/>
                    <wps:spPr>
                      <a:xfrm>
                        <a:off x="2823780" y="3780000"/>
                        <a:ext cx="5044440" cy="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177800</wp:posOffset>
              </wp:positionV>
              <wp:extent cx="5044440" cy="19050"/>
              <wp:effectExtent b="0" l="0" r="0" t="0"/>
              <wp:wrapNone/>
              <wp:docPr id="1029"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5044440" cy="1905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D1FDE" w14:textId="77777777" w:rsidR="00171496" w:rsidRDefault="00A51BCA">
    <w:pPr>
      <w:pBdr>
        <w:top w:val="nil"/>
        <w:left w:val="nil"/>
        <w:bottom w:val="nil"/>
        <w:right w:val="nil"/>
        <w:between w:val="nil"/>
      </w:pBdr>
      <w:tabs>
        <w:tab w:val="center" w:pos="4513"/>
        <w:tab w:val="right" w:pos="9026"/>
      </w:tabs>
      <w:ind w:left="0" w:hanging="2"/>
      <w:rPr>
        <w:rFonts w:ascii="Sorts Mill Goudy" w:hAnsi="Sorts Mill Goudy" w:cs="Sorts Mill Goudy"/>
        <w:color w:val="000000"/>
        <w:szCs w:val="24"/>
      </w:rPr>
    </w:pPr>
    <w:r>
      <w:rPr>
        <w:noProof/>
      </w:rPr>
      <mc:AlternateContent>
        <mc:Choice Requires="wpg">
          <w:drawing>
            <wp:anchor distT="0" distB="0" distL="114300" distR="114300" simplePos="0" relativeHeight="251660288" behindDoc="0" locked="0" layoutInCell="1" hidden="0" allowOverlap="1" wp14:anchorId="39FBF57D" wp14:editId="12058458">
              <wp:simplePos x="0" y="0"/>
              <wp:positionH relativeFrom="column">
                <wp:posOffset>-12699</wp:posOffset>
              </wp:positionH>
              <wp:positionV relativeFrom="paragraph">
                <wp:posOffset>444500</wp:posOffset>
              </wp:positionV>
              <wp:extent cx="5053965" cy="19050"/>
              <wp:effectExtent l="0" t="0" r="0" b="0"/>
              <wp:wrapNone/>
              <wp:docPr id="1028" name="Straight Arrow Connector 1028"/>
              <wp:cNvGraphicFramePr/>
              <a:graphic xmlns:a="http://schemas.openxmlformats.org/drawingml/2006/main">
                <a:graphicData uri="http://schemas.microsoft.com/office/word/2010/wordprocessingShape">
                  <wps:wsp>
                    <wps:cNvCnPr/>
                    <wps:spPr>
                      <a:xfrm>
                        <a:off x="2819018" y="3780000"/>
                        <a:ext cx="5053965" cy="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-12699</wp:posOffset>
              </wp:positionH>
              <wp:positionV relativeFrom="paragraph">
                <wp:posOffset>444500</wp:posOffset>
              </wp:positionV>
              <wp:extent cx="5053965" cy="19050"/>
              <wp:effectExtent b="0" l="0" r="0" t="0"/>
              <wp:wrapNone/>
              <wp:docPr id="102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053965" cy="19050"/>
                      </a:xfrm>
                      <a:prstGeom prst="rect"/>
                      <a:ln/>
                    </pic:spPr>
                  </pic:pic>
                </a:graphicData>
              </a:graphic>
            </wp:anchor>
          </w:drawing>
        </mc:Fallback>
      </mc:AlternateContent>
    </w:r>
    <w:r>
      <w:rPr>
        <w:noProof/>
      </w:rPr>
      <mc:AlternateContent>
        <mc:Choice Requires="wps">
          <w:drawing>
            <wp:anchor distT="0" distB="0" distL="114300" distR="114300" simplePos="0" relativeHeight="251661312" behindDoc="0" locked="0" layoutInCell="1" hidden="0" allowOverlap="1" wp14:anchorId="78B2E5D4" wp14:editId="0227E942">
              <wp:simplePos x="0" y="0"/>
              <wp:positionH relativeFrom="column">
                <wp:posOffset>-114299</wp:posOffset>
              </wp:positionH>
              <wp:positionV relativeFrom="paragraph">
                <wp:posOffset>-101599</wp:posOffset>
              </wp:positionV>
              <wp:extent cx="4516120" cy="577215"/>
              <wp:effectExtent l="0" t="0" r="0" b="0"/>
              <wp:wrapNone/>
              <wp:docPr id="1031" name="Rectangle 1031"/>
              <wp:cNvGraphicFramePr/>
              <a:graphic xmlns:a="http://schemas.openxmlformats.org/drawingml/2006/main">
                <a:graphicData uri="http://schemas.microsoft.com/office/word/2010/wordprocessingShape">
                  <wps:wsp>
                    <wps:cNvSpPr/>
                    <wps:spPr>
                      <a:xfrm>
                        <a:off x="3092703" y="3496155"/>
                        <a:ext cx="4506595" cy="567690"/>
                      </a:xfrm>
                      <a:prstGeom prst="rect">
                        <a:avLst/>
                      </a:prstGeom>
                      <a:noFill/>
                      <a:ln>
                        <a:noFill/>
                      </a:ln>
                    </wps:spPr>
                    <wps:txbx>
                      <w:txbxContent>
                        <w:p w14:paraId="4B738266" w14:textId="77777777" w:rsidR="00171496" w:rsidRDefault="00A51BCA">
                          <w:pPr>
                            <w:spacing w:line="240" w:lineRule="auto"/>
                            <w:ind w:left="0" w:hanging="2"/>
                            <w:jc w:val="left"/>
                          </w:pPr>
                          <w:r>
                            <w:rPr>
                              <w:rFonts w:ascii="Cambria" w:eastAsia="Cambria" w:hAnsi="Cambria" w:cs="Cambria"/>
                              <w:b/>
                              <w:color w:val="000000"/>
                              <w:sz w:val="20"/>
                            </w:rPr>
                            <w:t>EL DINAR:</w:t>
                          </w:r>
                          <w:r>
                            <w:rPr>
                              <w:rFonts w:ascii="Cambria" w:eastAsia="Cambria" w:hAnsi="Cambria" w:cs="Cambria"/>
                              <w:color w:val="000000"/>
                              <w:sz w:val="20"/>
                            </w:rPr>
                            <w:t xml:space="preserve"> Jurnal Keuangan dan Perbankan Syariah</w:t>
                          </w:r>
                        </w:p>
                        <w:p w14:paraId="295E6849" w14:textId="77777777" w:rsidR="00171496" w:rsidRDefault="00A51BCA">
                          <w:pPr>
                            <w:spacing w:line="240" w:lineRule="auto"/>
                            <w:ind w:left="0" w:hanging="2"/>
                            <w:jc w:val="left"/>
                          </w:pPr>
                          <w:r>
                            <w:rPr>
                              <w:rFonts w:ascii="Cambria" w:eastAsia="Cambria" w:hAnsi="Cambria" w:cs="Cambria"/>
                              <w:color w:val="000000"/>
                              <w:sz w:val="20"/>
                            </w:rPr>
                            <w:t>Volume X , No. X, Tahun XXXX</w:t>
                          </w:r>
                        </w:p>
                        <w:p w14:paraId="25D37B35" w14:textId="77777777" w:rsidR="00171496" w:rsidRDefault="00A51BCA">
                          <w:pPr>
                            <w:spacing w:line="240" w:lineRule="auto"/>
                            <w:ind w:left="0" w:hanging="2"/>
                            <w:jc w:val="left"/>
                          </w:pPr>
                          <w:r>
                            <w:rPr>
                              <w:rFonts w:ascii="Cambria" w:eastAsia="Cambria" w:hAnsi="Cambria" w:cs="Cambria"/>
                              <w:color w:val="000000"/>
                              <w:sz w:val="20"/>
                            </w:rPr>
                            <w:t>E ISSN: 2622-0083</w:t>
                          </w:r>
                        </w:p>
                        <w:p w14:paraId="3D2A6D0E" w14:textId="77777777" w:rsidR="00171496" w:rsidRDefault="00171496">
                          <w:pPr>
                            <w:ind w:left="0" w:hanging="2"/>
                          </w:pPr>
                        </w:p>
                      </w:txbxContent>
                    </wps:txbx>
                    <wps:bodyPr spcFirstLastPara="1" wrap="square" lIns="91425" tIns="45700" rIns="91425" bIns="45700" anchor="t" anchorCtr="0">
                      <a:noAutofit/>
                    </wps:bodyPr>
                  </wps:wsp>
                </a:graphicData>
              </a:graphic>
            </wp:anchor>
          </w:drawing>
        </mc:Choice>
        <mc:Fallback>
          <w:pict>
            <v:rect w14:anchorId="78B2E5D4" id="Rectangle 1031" o:spid="_x0000_s1026" style="position:absolute;left:0;text-align:left;margin-left:-9pt;margin-top:-8pt;width:355.6pt;height:45.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" filled="f" stroked="f">
              <v:textbox inset="2.53958mm,1.2694mm,2.53958mm,1.2694mm">
                <w:txbxContent>
                  <w:p w14:paraId="4B738266" w14:textId="77777777" w:rsidR="00171496" w:rsidRDefault="00A51BCA">
                    <w:pPr>
                      <w:spacing w:line="240" w:lineRule="auto"/>
                      <w:ind w:left="0" w:hanging="2"/>
                      <w:jc w:val="left"/>
                    </w:pPr>
                    <w:r>
                      <w:rPr>
                        <w:rFonts w:ascii="Cambria" w:eastAsia="Cambria" w:hAnsi="Cambria" w:cs="Cambria"/>
                        <w:b/>
                        <w:color w:val="000000"/>
                        <w:sz w:val="20"/>
                      </w:rPr>
                      <w:t>EL DINAR:</w:t>
                    </w:r>
                    <w:r>
                      <w:rPr>
                        <w:rFonts w:ascii="Cambria" w:eastAsia="Cambria" w:hAnsi="Cambria" w:cs="Cambria"/>
                        <w:color w:val="000000"/>
                        <w:sz w:val="20"/>
                      </w:rPr>
                      <w:t xml:space="preserve"> Jurnal Keuangan dan Perbankan Syariah</w:t>
                    </w:r>
                  </w:p>
                  <w:p w14:paraId="295E6849" w14:textId="77777777" w:rsidR="00171496" w:rsidRDefault="00A51BCA">
                    <w:pPr>
                      <w:spacing w:line="240" w:lineRule="auto"/>
                      <w:ind w:left="0" w:hanging="2"/>
                      <w:jc w:val="left"/>
                    </w:pPr>
                    <w:r>
                      <w:rPr>
                        <w:rFonts w:ascii="Cambria" w:eastAsia="Cambria" w:hAnsi="Cambria" w:cs="Cambria"/>
                        <w:color w:val="000000"/>
                        <w:sz w:val="20"/>
                      </w:rPr>
                      <w:t>Volume X , No. X, Tahun XXXX</w:t>
                    </w:r>
                  </w:p>
                  <w:p w14:paraId="25D37B35" w14:textId="77777777" w:rsidR="00171496" w:rsidRDefault="00A51BCA">
                    <w:pPr>
                      <w:spacing w:line="240" w:lineRule="auto"/>
                      <w:ind w:left="0" w:hanging="2"/>
                      <w:jc w:val="left"/>
                    </w:pPr>
                    <w:r>
                      <w:rPr>
                        <w:rFonts w:ascii="Cambria" w:eastAsia="Cambria" w:hAnsi="Cambria" w:cs="Cambria"/>
                        <w:color w:val="000000"/>
                        <w:sz w:val="20"/>
                      </w:rPr>
                      <w:t>E ISSN: 2622-0083</w:t>
                    </w:r>
                  </w:p>
                  <w:p w14:paraId="3D2A6D0E" w14:textId="77777777" w:rsidR="00171496" w:rsidRDefault="00171496">
                    <w:pPr>
                      <w:ind w:left="0" w:hanging="2"/>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A55D1"/>
    <w:multiLevelType w:val="hybridMultilevel"/>
    <w:tmpl w:val="0B1230DE"/>
    <w:lvl w:ilvl="0" w:tplc="38090019">
      <w:start w:val="1"/>
      <w:numFmt w:val="lowerLetter"/>
      <w:lvlText w:val="%1."/>
      <w:lvlJc w:val="left"/>
      <w:pPr>
        <w:ind w:left="718" w:hanging="360"/>
      </w:pPr>
    </w:lvl>
    <w:lvl w:ilvl="1" w:tplc="38090019" w:tentative="1">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num w:numId="1" w16cid:durableId="436491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96"/>
    <w:rsid w:val="00024394"/>
    <w:rsid w:val="000C3406"/>
    <w:rsid w:val="00141C41"/>
    <w:rsid w:val="001429F4"/>
    <w:rsid w:val="00171496"/>
    <w:rsid w:val="001B4399"/>
    <w:rsid w:val="00233F06"/>
    <w:rsid w:val="00245862"/>
    <w:rsid w:val="002C06E6"/>
    <w:rsid w:val="00314382"/>
    <w:rsid w:val="003C1B13"/>
    <w:rsid w:val="003D3BE7"/>
    <w:rsid w:val="003F532D"/>
    <w:rsid w:val="00414EE6"/>
    <w:rsid w:val="00461506"/>
    <w:rsid w:val="004A4B5F"/>
    <w:rsid w:val="004B032D"/>
    <w:rsid w:val="004D05B3"/>
    <w:rsid w:val="00502515"/>
    <w:rsid w:val="0052450F"/>
    <w:rsid w:val="00550137"/>
    <w:rsid w:val="0058641A"/>
    <w:rsid w:val="005A5039"/>
    <w:rsid w:val="005B57E2"/>
    <w:rsid w:val="00622015"/>
    <w:rsid w:val="00634CED"/>
    <w:rsid w:val="00643B60"/>
    <w:rsid w:val="006D2A2B"/>
    <w:rsid w:val="007376CD"/>
    <w:rsid w:val="00744FF1"/>
    <w:rsid w:val="007479A0"/>
    <w:rsid w:val="00754B4B"/>
    <w:rsid w:val="0077628A"/>
    <w:rsid w:val="00796BBD"/>
    <w:rsid w:val="007B55E3"/>
    <w:rsid w:val="00810836"/>
    <w:rsid w:val="00842C59"/>
    <w:rsid w:val="008728F3"/>
    <w:rsid w:val="008866F3"/>
    <w:rsid w:val="008B0B52"/>
    <w:rsid w:val="008C43E9"/>
    <w:rsid w:val="0091295A"/>
    <w:rsid w:val="00942BA4"/>
    <w:rsid w:val="00961A81"/>
    <w:rsid w:val="009A0AF4"/>
    <w:rsid w:val="00A51BCA"/>
    <w:rsid w:val="00A54D20"/>
    <w:rsid w:val="00AA2227"/>
    <w:rsid w:val="00AD2D40"/>
    <w:rsid w:val="00AF067E"/>
    <w:rsid w:val="00B176D3"/>
    <w:rsid w:val="00B53F0D"/>
    <w:rsid w:val="00B62997"/>
    <w:rsid w:val="00B93C74"/>
    <w:rsid w:val="00BA2D02"/>
    <w:rsid w:val="00BA55D6"/>
    <w:rsid w:val="00BB1802"/>
    <w:rsid w:val="00C01041"/>
    <w:rsid w:val="00C101B4"/>
    <w:rsid w:val="00CD72E8"/>
    <w:rsid w:val="00CD73F5"/>
    <w:rsid w:val="00D769A9"/>
    <w:rsid w:val="00DD43E2"/>
    <w:rsid w:val="00E11DBE"/>
    <w:rsid w:val="00E75E7F"/>
    <w:rsid w:val="00F4647C"/>
    <w:rsid w:val="00F57A15"/>
    <w:rsid w:val="00FB4FF7"/>
    <w:rsid w:val="00FB6736"/>
  </w:rsids>
  <m:mathPr>
    <m:mathFont m:val="Cambria Math"/>
    <m:brkBin m:val="before"/>
    <m:brkBinSub m:val="--"/>
    <m:smallFrac m:val="0"/>
    <m:dispDef/>
    <m:lMargin m:val="0"/>
    <m:rMargin m:val="0"/>
    <m:defJc m:val="centerGroup"/>
    <m:wrapIndent m:val="1440"/>
    <m:intLim m:val="subSup"/>
    <m:naryLim m:val="undOvr"/>
  </m:mathPr>
  <w:themeFontLang w:val="en-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F4216"/>
  <w15:docId w15:val="{1FBFD780-8319-4EA5-80C4-3BB4BD23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rts Mill Goudy" w:eastAsia="Sorts Mill Goudy" w:hAnsi="Sorts Mill Goudy" w:cs="Sorts Mill Goudy"/>
        <w:sz w:val="24"/>
        <w:szCs w:val="24"/>
        <w:lang w:val="en-US" w:eastAsia="ko-KR"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rFonts w:ascii="Goudy Old Style" w:hAnsi="Goudy Old Style" w:cs="Traditional Arabic"/>
      <w:position w:val="-1"/>
      <w:szCs w:val="36"/>
      <w:lang w:val="id-ID" w:eastAsia="en-US"/>
    </w:rPr>
  </w:style>
  <w:style w:type="paragraph" w:styleId="Heading1">
    <w:name w:val="heading 1"/>
    <w:basedOn w:val="Normal"/>
    <w:next w:val="Normal"/>
    <w:uiPriority w:val="9"/>
    <w:qFormat/>
    <w:pPr>
      <w:keepNext/>
      <w:keepLines/>
      <w:spacing w:before="240" w:line="259" w:lineRule="auto"/>
      <w:jc w:val="left"/>
    </w:pPr>
    <w:rPr>
      <w:rFonts w:ascii="Calibri Light" w:hAnsi="Calibri Light" w:cs="Times New Roman"/>
      <w:color w:val="2F5496"/>
      <w:sz w:val="32"/>
      <w:szCs w:val="32"/>
      <w:lang w:val="en-US"/>
    </w:rPr>
  </w:style>
  <w:style w:type="paragraph" w:styleId="Heading2">
    <w:name w:val="heading 2"/>
    <w:basedOn w:val="Normal"/>
    <w:next w:val="Normal"/>
    <w:uiPriority w:val="9"/>
    <w:semiHidden/>
    <w:unhideWhenUsed/>
    <w:qFormat/>
    <w:pPr>
      <w:keepNext/>
      <w:keepLines/>
      <w:spacing w:before="360" w:after="80"/>
      <w:outlineLvl w:val="1"/>
    </w:pPr>
    <w:rPr>
      <w:b/>
      <w:sz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JUDUL">
    <w:name w:val="JUDUL"/>
    <w:basedOn w:val="Normal"/>
    <w:next w:val="NamaPenulis"/>
    <w:pPr>
      <w:keepNext/>
      <w:spacing w:after="360" w:line="240" w:lineRule="auto"/>
      <w:jc w:val="center"/>
    </w:pPr>
    <w:rPr>
      <w:rFonts w:ascii="Cambria" w:hAnsi="Cambria" w:cs="AL-Hosam"/>
      <w:b/>
      <w:caps/>
      <w:sz w:val="26"/>
    </w:rPr>
  </w:style>
  <w:style w:type="character" w:styleId="CommentReference">
    <w:name w:val="annotation reference"/>
    <w:qFormat/>
    <w:rPr>
      <w:w w:val="100"/>
      <w:position w:val="-1"/>
      <w:sz w:val="16"/>
      <w:szCs w:val="16"/>
      <w:effect w:val="none"/>
      <w:vertAlign w:val="baseline"/>
      <w:cs w:val="0"/>
      <w:em w:val="none"/>
      <w:lang w:bidi="ar-SA"/>
    </w:rPr>
  </w:style>
  <w:style w:type="paragraph" w:styleId="CommentText">
    <w:name w:val="annotation text"/>
    <w:basedOn w:val="Normal"/>
    <w:qFormat/>
    <w:pPr>
      <w:spacing w:line="240" w:lineRule="auto"/>
    </w:pPr>
    <w:rPr>
      <w:rFonts w:ascii="Calibri" w:hAnsi="Calibri" w:cs="Times New Roman"/>
      <w:sz w:val="20"/>
      <w:szCs w:val="20"/>
    </w:rPr>
  </w:style>
  <w:style w:type="character" w:customStyle="1" w:styleId="CommentTextChar">
    <w:name w:val="Comment Text Char"/>
    <w:rPr>
      <w:w w:val="100"/>
      <w:position w:val="-1"/>
      <w:sz w:val="20"/>
      <w:szCs w:val="20"/>
      <w:effect w:val="none"/>
      <w:vertAlign w:val="baseline"/>
      <w:cs w:val="0"/>
      <w:em w:val="none"/>
      <w:lang w:bidi="ar-SA"/>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lang w:bidi="ar-SA"/>
    </w:rPr>
  </w:style>
  <w:style w:type="paragraph" w:styleId="BalloonText">
    <w:name w:val="Balloon Text"/>
    <w:basedOn w:val="Normal"/>
    <w:qFormat/>
    <w:pPr>
      <w:spacing w:line="240" w:lineRule="auto"/>
    </w:pPr>
    <w:rPr>
      <w:rFonts w:ascii="Segoe UI" w:hAnsi="Segoe UI" w:cs="Times New Roman"/>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customStyle="1" w:styleId="NamaPenulis">
    <w:name w:val="Nama Penulis"/>
    <w:basedOn w:val="Normal"/>
    <w:next w:val="NamaLembaga"/>
    <w:pPr>
      <w:spacing w:line="240" w:lineRule="auto"/>
      <w:jc w:val="center"/>
    </w:pPr>
    <w:rPr>
      <w:rFonts w:ascii="Cambria" w:hAnsi="Cambria"/>
    </w:rPr>
  </w:style>
  <w:style w:type="paragraph" w:customStyle="1" w:styleId="NamaLembaga">
    <w:name w:val="Nama Lembaga"/>
    <w:basedOn w:val="NamaPenulis"/>
    <w:next w:val="NomorTelepon"/>
    <w:rPr>
      <w:i/>
      <w:sz w:val="22"/>
    </w:rPr>
  </w:style>
  <w:style w:type="paragraph" w:customStyle="1" w:styleId="NomorTelepon">
    <w:name w:val="Nomor Telepon"/>
    <w:basedOn w:val="NamaLembaga"/>
    <w:next w:val="e-mail"/>
  </w:style>
  <w:style w:type="paragraph" w:customStyle="1" w:styleId="e-mail">
    <w:name w:val="e-mail"/>
    <w:basedOn w:val="NomorTelepon"/>
    <w:next w:val="Abstract"/>
  </w:style>
  <w:style w:type="paragraph" w:customStyle="1" w:styleId="Abstract">
    <w:name w:val="Abstract"/>
    <w:basedOn w:val="NomorTelepon"/>
    <w:next w:val="IsiAbstractBahasaInggris"/>
    <w:pPr>
      <w:spacing w:before="360"/>
      <w:jc w:val="left"/>
    </w:pPr>
    <w:rPr>
      <w:b/>
    </w:rPr>
  </w:style>
  <w:style w:type="paragraph" w:customStyle="1" w:styleId="4ABSTRAK">
    <w:name w:val="4 ABSTRAK"/>
    <w:basedOn w:val="Normal"/>
    <w:pPr>
      <w:suppressAutoHyphens w:val="0"/>
      <w:autoSpaceDE w:val="0"/>
      <w:autoSpaceDN w:val="0"/>
      <w:adjustRightInd w:val="0"/>
      <w:spacing w:line="288" w:lineRule="auto"/>
      <w:jc w:val="left"/>
      <w:textAlignment w:val="center"/>
    </w:pPr>
    <w:rPr>
      <w:rFonts w:cs="Goudy Old Style"/>
      <w:b/>
      <w:bCs/>
      <w:color w:val="000000"/>
      <w:szCs w:val="24"/>
      <w:lang w:val="en-US"/>
    </w:rPr>
  </w:style>
  <w:style w:type="paragraph" w:customStyle="1" w:styleId="IsiAbstractBahasaInggris">
    <w:name w:val="Isi Abstract Bahasa Inggris"/>
    <w:basedOn w:val="Abstract"/>
    <w:next w:val="IsiAbstrakBahasaIndonesia"/>
    <w:pPr>
      <w:spacing w:before="0" w:after="360"/>
      <w:ind w:left="567"/>
      <w:jc w:val="both"/>
    </w:pPr>
    <w:rPr>
      <w:b w:val="0"/>
      <w:i w:val="0"/>
      <w:szCs w:val="24"/>
      <w:lang w:val="en-US"/>
    </w:rPr>
  </w:style>
  <w:style w:type="paragraph" w:customStyle="1" w:styleId="IsiAbstrakBahasaIndonesia">
    <w:name w:val="Isi Abstrak Bahasa Indonesia"/>
    <w:basedOn w:val="IsiAbstractBahasaInggris"/>
    <w:next w:val="KeyWords"/>
    <w:rPr>
      <w:lang w:val="id-ID"/>
    </w:rPr>
  </w:style>
  <w:style w:type="paragraph" w:customStyle="1" w:styleId="KeyWords">
    <w:name w:val="Key Words"/>
    <w:basedOn w:val="IsiAbstractBahasaInggris"/>
    <w:next w:val="SubJudul"/>
    <w:pPr>
      <w:spacing w:after="120"/>
    </w:pPr>
  </w:style>
  <w:style w:type="paragraph" w:customStyle="1" w:styleId="SubJudul">
    <w:name w:val="Sub Judul"/>
    <w:basedOn w:val="Abstract"/>
    <w:next w:val="MateriArtikel"/>
    <w:rPr>
      <w:bCs/>
      <w:sz w:val="24"/>
    </w:rPr>
  </w:style>
  <w:style w:type="paragraph" w:customStyle="1" w:styleId="MateriArtikel">
    <w:name w:val="Materi Artikel"/>
    <w:basedOn w:val="Normal"/>
    <w:pPr>
      <w:ind w:firstLine="567"/>
    </w:pPr>
    <w:rPr>
      <w:rFonts w:ascii="Cambria" w:hAnsi="Cambria"/>
    </w:rPr>
  </w:style>
  <w:style w:type="paragraph" w:customStyle="1" w:styleId="Gambar">
    <w:name w:val="Gambar"/>
    <w:basedOn w:val="MateriArtikel"/>
    <w:pPr>
      <w:spacing w:line="240" w:lineRule="auto"/>
      <w:ind w:firstLine="0"/>
      <w:jc w:val="center"/>
    </w:pPr>
    <w:rPr>
      <w:lang w:val="en-US"/>
    </w:rPr>
  </w:style>
  <w:style w:type="paragraph" w:customStyle="1" w:styleId="JudulGambar">
    <w:name w:val="Judul Gambar"/>
    <w:next w:val="MateriArtikel"/>
    <w:pPr>
      <w:suppressAutoHyphens/>
      <w:spacing w:before="120" w:line="1" w:lineRule="atLeast"/>
      <w:ind w:leftChars="-1" w:left="-1" w:hangingChars="1" w:hanging="1"/>
      <w:jc w:val="center"/>
      <w:textDirection w:val="btLr"/>
      <w:textAlignment w:val="top"/>
      <w:outlineLvl w:val="0"/>
    </w:pPr>
    <w:rPr>
      <w:rFonts w:ascii="Cambria" w:hAnsi="Cambria" w:cs="Traditional Arabic"/>
      <w:b/>
      <w:position w:val="-1"/>
      <w:szCs w:val="36"/>
      <w:lang w:val="id-ID" w:eastAsia="en-US"/>
    </w:rPr>
  </w:style>
  <w:style w:type="paragraph" w:customStyle="1" w:styleId="SumberGambar">
    <w:name w:val="Sumber Gambar"/>
    <w:basedOn w:val="JudulGambar"/>
    <w:next w:val="MateriArtikel"/>
    <w:pPr>
      <w:spacing w:before="0" w:after="120"/>
    </w:pPr>
    <w:rPr>
      <w:lang w:val="en-US"/>
    </w:rPr>
  </w:style>
  <w:style w:type="table" w:styleId="TableGrid">
    <w:name w:val="Table Grid"/>
    <w:basedOn w:val="TableNormal"/>
    <w:uiPriority w:val="39"/>
    <w:pPr>
      <w:suppressAutoHyphens/>
      <w:spacing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dulTabel">
    <w:name w:val="Judul Tabel"/>
    <w:basedOn w:val="MateriArtikel"/>
    <w:pPr>
      <w:spacing w:after="120" w:line="240" w:lineRule="auto"/>
      <w:ind w:firstLine="0"/>
      <w:jc w:val="left"/>
    </w:pPr>
    <w:rPr>
      <w:b/>
      <w:sz w:val="20"/>
    </w:rPr>
  </w:style>
  <w:style w:type="paragraph" w:styleId="Header">
    <w:name w:val="header"/>
    <w:basedOn w:val="Normal"/>
    <w:qFormat/>
    <w:pPr>
      <w:tabs>
        <w:tab w:val="center" w:pos="4513"/>
        <w:tab w:val="right" w:pos="9026"/>
      </w:tabs>
    </w:pPr>
    <w:rPr>
      <w:rFonts w:cs="Times New Roman"/>
    </w:rPr>
  </w:style>
  <w:style w:type="character" w:customStyle="1" w:styleId="HeaderChar">
    <w:name w:val="Header Char"/>
    <w:rPr>
      <w:rFonts w:ascii="Goudy Old Style" w:hAnsi="Goudy Old Style" w:cs="Traditional Arabic"/>
      <w:w w:val="100"/>
      <w:position w:val="-1"/>
      <w:sz w:val="24"/>
      <w:szCs w:val="36"/>
      <w:effect w:val="none"/>
      <w:vertAlign w:val="baseline"/>
      <w:cs w:val="0"/>
      <w:em w:val="none"/>
      <w:lang w:val="id-ID" w:eastAsia="en-US"/>
    </w:rPr>
  </w:style>
  <w:style w:type="paragraph" w:styleId="Footer">
    <w:name w:val="footer"/>
    <w:basedOn w:val="Normal"/>
    <w:qFormat/>
    <w:pPr>
      <w:tabs>
        <w:tab w:val="center" w:pos="4513"/>
        <w:tab w:val="right" w:pos="9026"/>
      </w:tabs>
    </w:pPr>
    <w:rPr>
      <w:rFonts w:cs="Times New Roman"/>
    </w:rPr>
  </w:style>
  <w:style w:type="character" w:customStyle="1" w:styleId="FooterChar">
    <w:name w:val="Footer Char"/>
    <w:rPr>
      <w:rFonts w:ascii="Goudy Old Style" w:hAnsi="Goudy Old Style" w:cs="Traditional Arabic"/>
      <w:w w:val="100"/>
      <w:position w:val="-1"/>
      <w:sz w:val="24"/>
      <w:szCs w:val="36"/>
      <w:effect w:val="none"/>
      <w:vertAlign w:val="baseline"/>
      <w:cs w:val="0"/>
      <w:em w:val="none"/>
      <w:lang w:val="id-ID" w:eastAsia="en-US"/>
    </w:rPr>
  </w:style>
  <w:style w:type="paragraph" w:styleId="NormalWeb">
    <w:name w:val="Normal (Web)"/>
    <w:basedOn w:val="Normal"/>
    <w:qFormat/>
    <w:pPr>
      <w:spacing w:before="100" w:beforeAutospacing="1" w:after="100" w:afterAutospacing="1" w:line="240" w:lineRule="auto"/>
      <w:jc w:val="left"/>
    </w:pPr>
    <w:rPr>
      <w:rFonts w:ascii="Times New Roman" w:hAnsi="Times New Roman" w:cs="Times New Roman"/>
      <w:szCs w:val="24"/>
      <w:lang w:eastAsia="id-ID"/>
    </w:rPr>
  </w:style>
  <w:style w:type="character" w:customStyle="1" w:styleId="notranslate">
    <w:name w:val="notranslate"/>
    <w:basedOn w:val="DefaultParagraphFont"/>
    <w:rPr>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lang w:val="id-ID" w:eastAsia="en-US"/>
    </w:rPr>
  </w:style>
  <w:style w:type="character" w:styleId="Hyperlink">
    <w:name w:val="Hyperlink"/>
    <w:qFormat/>
    <w:rPr>
      <w:color w:val="0000FF"/>
      <w:w w:val="100"/>
      <w:position w:val="-1"/>
      <w:u w:val="single"/>
      <w:effect w:val="none"/>
      <w:vertAlign w:val="baseline"/>
      <w:cs w:val="0"/>
      <w:em w:val="none"/>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Times New Roman"/>
      <w:sz w:val="20"/>
      <w:szCs w:val="20"/>
    </w:rPr>
  </w:style>
  <w:style w:type="character" w:customStyle="1" w:styleId="HTMLPreformattedChar">
    <w:name w:val="HTML Preformatted Char"/>
    <w:rPr>
      <w:rFonts w:ascii="Courier New" w:hAnsi="Courier New" w:cs="Courier New"/>
      <w:w w:val="100"/>
      <w:position w:val="-1"/>
      <w:effect w:val="none"/>
      <w:vertAlign w:val="baseline"/>
      <w:cs w:val="0"/>
      <w:em w:val="none"/>
    </w:rPr>
  </w:style>
  <w:style w:type="character" w:customStyle="1" w:styleId="Heading1Char">
    <w:name w:val="Heading 1 Char"/>
    <w:rPr>
      <w:rFonts w:ascii="Calibri Light" w:hAnsi="Calibri Light" w:cs="Times New Roman"/>
      <w:color w:val="2F5496"/>
      <w:w w:val="100"/>
      <w:position w:val="-1"/>
      <w:sz w:val="32"/>
      <w:szCs w:val="32"/>
      <w:effect w:val="none"/>
      <w:vertAlign w:val="baseline"/>
      <w:cs w:val="0"/>
      <w:em w:val="none"/>
      <w:lang w:val="en-US" w:eastAsia="en-US"/>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3D3BE7"/>
    <w:pPr>
      <w:ind w:left="720"/>
      <w:contextualSpacing/>
    </w:pPr>
  </w:style>
  <w:style w:type="table" w:styleId="PlainTable5">
    <w:name w:val="Plain Table 5"/>
    <w:basedOn w:val="TableNormal"/>
    <w:uiPriority w:val="45"/>
    <w:rsid w:val="009A0AF4"/>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9A0AF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40.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6XGdX2MKlcrUnErpXval2AOqtQ==">CgMxLjA4AHIhMVMwTm40aUVuWWhTOGkyMFpreUVZT1dFSmI5WklQVXZf</go:docsCustomData>
</go:gDocsCustomXmlDataStorage>
</file>

<file path=customXml/itemProps1.xml><?xml version="1.0" encoding="utf-8"?>
<ds:datastoreItem xmlns:ds="http://schemas.openxmlformats.org/officeDocument/2006/customXml" ds:itemID="{577870C4-B199-43B0-AD38-1C1DA46B0FA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17</Pages>
  <Words>19707</Words>
  <Characters>112331</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zuraidah ida</cp:lastModifiedBy>
  <cp:revision>3</cp:revision>
  <dcterms:created xsi:type="dcterms:W3CDTF">2025-04-30T02:58:00Z</dcterms:created>
  <dcterms:modified xsi:type="dcterms:W3CDTF">2025-04-30T04:06:00Z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cf97fa31-6f48-3a16-b12c-183189ad90b1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11th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