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5A523DE" w14:textId="77777777" w:rsidR="00900DBA" w:rsidRDefault="00900DBA">
      <w:pPr>
        <w:spacing w:after="0" w:line="240" w:lineRule="auto"/>
        <w:jc w:val="center"/>
        <w:rPr>
          <w:rFonts w:ascii="Times New Roman" w:eastAsia="Times New Roman" w:hAnsi="Times New Roman" w:cs="Times New Roman"/>
          <w:b/>
          <w:color w:val="1155CC"/>
          <w:sz w:val="24"/>
          <w:szCs w:val="24"/>
        </w:rPr>
      </w:pPr>
    </w:p>
    <w:p w14:paraId="3E2F3BFB" w14:textId="77777777" w:rsidR="00900DBA" w:rsidRDefault="00900DBA">
      <w:pPr>
        <w:spacing w:after="0" w:line="240" w:lineRule="auto"/>
        <w:jc w:val="center"/>
        <w:rPr>
          <w:rFonts w:ascii="Times New Roman" w:eastAsia="Times New Roman" w:hAnsi="Times New Roman" w:cs="Times New Roman"/>
          <w:b/>
          <w:color w:val="1155CC"/>
          <w:sz w:val="24"/>
          <w:szCs w:val="24"/>
        </w:rPr>
      </w:pPr>
    </w:p>
    <w:p w14:paraId="351CD278" w14:textId="59E590D8" w:rsidR="00900DBA" w:rsidRPr="00645623" w:rsidRDefault="00A50587" w:rsidP="00645623">
      <w:pPr>
        <w:spacing w:after="0" w:line="240" w:lineRule="auto"/>
        <w:jc w:val="center"/>
        <w:rPr>
          <w:rFonts w:ascii="Times New Roman" w:eastAsia="Times New Roman" w:hAnsi="Times New Roman" w:cs="Times New Roman"/>
          <w:b/>
          <w:bCs/>
          <w:color w:val="000000"/>
          <w:sz w:val="28"/>
          <w:szCs w:val="28"/>
        </w:rPr>
      </w:pPr>
      <w:r w:rsidRPr="00645623">
        <w:rPr>
          <w:rFonts w:ascii="Times New Roman" w:eastAsia="Times New Roman" w:hAnsi="Times New Roman" w:cs="Times New Roman"/>
          <w:b/>
          <w:bCs/>
          <w:color w:val="000000"/>
          <w:sz w:val="28"/>
          <w:szCs w:val="28"/>
        </w:rPr>
        <w:t xml:space="preserve">Development </w:t>
      </w:r>
      <w:r w:rsidR="007F5C5D">
        <w:rPr>
          <w:rFonts w:ascii="Times New Roman" w:eastAsia="Times New Roman" w:hAnsi="Times New Roman" w:cs="Times New Roman"/>
          <w:b/>
          <w:bCs/>
          <w:color w:val="000000"/>
          <w:sz w:val="28"/>
          <w:szCs w:val="28"/>
        </w:rPr>
        <w:t>o</w:t>
      </w:r>
      <w:r w:rsidRPr="00645623">
        <w:rPr>
          <w:rFonts w:ascii="Times New Roman" w:eastAsia="Times New Roman" w:hAnsi="Times New Roman" w:cs="Times New Roman"/>
          <w:b/>
          <w:bCs/>
          <w:color w:val="000000"/>
          <w:sz w:val="28"/>
          <w:szCs w:val="28"/>
        </w:rPr>
        <w:t xml:space="preserve">f Adaptive Arabic Language Teaching Materials </w:t>
      </w:r>
      <w:r w:rsidR="007F5C5D">
        <w:rPr>
          <w:rFonts w:ascii="Times New Roman" w:eastAsia="Times New Roman" w:hAnsi="Times New Roman" w:cs="Times New Roman"/>
          <w:b/>
          <w:bCs/>
          <w:color w:val="000000"/>
          <w:sz w:val="28"/>
          <w:szCs w:val="28"/>
        </w:rPr>
        <w:t>t</w:t>
      </w:r>
      <w:r w:rsidRPr="00645623">
        <w:rPr>
          <w:rFonts w:ascii="Times New Roman" w:eastAsia="Times New Roman" w:hAnsi="Times New Roman" w:cs="Times New Roman"/>
          <w:b/>
          <w:bCs/>
          <w:color w:val="000000"/>
          <w:sz w:val="28"/>
          <w:szCs w:val="28"/>
        </w:rPr>
        <w:t xml:space="preserve">o Support Inclusive Learning </w:t>
      </w:r>
      <w:r>
        <w:rPr>
          <w:rFonts w:ascii="Times New Roman" w:eastAsia="Times New Roman" w:hAnsi="Times New Roman" w:cs="Times New Roman"/>
          <w:b/>
          <w:bCs/>
          <w:color w:val="000000"/>
          <w:sz w:val="28"/>
          <w:szCs w:val="28"/>
        </w:rPr>
        <w:t>a</w:t>
      </w:r>
      <w:r w:rsidRPr="00645623">
        <w:rPr>
          <w:rFonts w:ascii="Times New Roman" w:eastAsia="Times New Roman" w:hAnsi="Times New Roman" w:cs="Times New Roman"/>
          <w:b/>
          <w:bCs/>
          <w:color w:val="000000"/>
          <w:sz w:val="28"/>
          <w:szCs w:val="28"/>
        </w:rPr>
        <w:t>t M</w:t>
      </w:r>
      <w:r>
        <w:rPr>
          <w:rFonts w:ascii="Times New Roman" w:eastAsia="Times New Roman" w:hAnsi="Times New Roman" w:cs="Times New Roman"/>
          <w:b/>
          <w:bCs/>
          <w:color w:val="000000"/>
          <w:sz w:val="28"/>
          <w:szCs w:val="28"/>
        </w:rPr>
        <w:t>T</w:t>
      </w:r>
      <w:r w:rsidRPr="00645623">
        <w:rPr>
          <w:rFonts w:ascii="Times New Roman" w:eastAsia="Times New Roman" w:hAnsi="Times New Roman" w:cs="Times New Roman"/>
          <w:b/>
          <w:bCs/>
          <w:color w:val="000000"/>
          <w:sz w:val="28"/>
          <w:szCs w:val="28"/>
        </w:rPr>
        <w:t xml:space="preserve">s </w:t>
      </w:r>
      <w:proofErr w:type="spellStart"/>
      <w:r w:rsidRPr="00645623">
        <w:rPr>
          <w:rFonts w:ascii="Times New Roman" w:eastAsia="Times New Roman" w:hAnsi="Times New Roman" w:cs="Times New Roman"/>
          <w:b/>
          <w:bCs/>
          <w:color w:val="000000"/>
          <w:sz w:val="28"/>
          <w:szCs w:val="28"/>
        </w:rPr>
        <w:t>Miftahul</w:t>
      </w:r>
      <w:proofErr w:type="spellEnd"/>
      <w:r w:rsidRPr="00645623">
        <w:rPr>
          <w:rFonts w:ascii="Times New Roman" w:eastAsia="Times New Roman" w:hAnsi="Times New Roman" w:cs="Times New Roman"/>
          <w:b/>
          <w:bCs/>
          <w:color w:val="000000"/>
          <w:sz w:val="28"/>
          <w:szCs w:val="28"/>
        </w:rPr>
        <w:t xml:space="preserve"> </w:t>
      </w:r>
      <w:proofErr w:type="spellStart"/>
      <w:r w:rsidRPr="00645623">
        <w:rPr>
          <w:rFonts w:ascii="Times New Roman" w:eastAsia="Times New Roman" w:hAnsi="Times New Roman" w:cs="Times New Roman"/>
          <w:b/>
          <w:bCs/>
          <w:color w:val="000000"/>
          <w:sz w:val="28"/>
          <w:szCs w:val="28"/>
        </w:rPr>
        <w:t>Afkar</w:t>
      </w:r>
      <w:proofErr w:type="spellEnd"/>
      <w:r w:rsidRPr="00645623">
        <w:rPr>
          <w:rFonts w:ascii="Times New Roman" w:eastAsia="Times New Roman" w:hAnsi="Times New Roman" w:cs="Times New Roman"/>
          <w:b/>
          <w:bCs/>
          <w:color w:val="000000"/>
          <w:sz w:val="28"/>
          <w:szCs w:val="28"/>
        </w:rPr>
        <w:t xml:space="preserve"> Kediri</w:t>
      </w:r>
    </w:p>
    <w:p w14:paraId="2DC3079B" w14:textId="77777777" w:rsidR="00900DBA" w:rsidRDefault="00900DBA">
      <w:pPr>
        <w:spacing w:after="0" w:line="240" w:lineRule="auto"/>
        <w:jc w:val="center"/>
        <w:rPr>
          <w:rFonts w:ascii="Times New Roman" w:eastAsia="Times New Roman" w:hAnsi="Times New Roman" w:cs="Times New Roman"/>
          <w:sz w:val="24"/>
          <w:szCs w:val="24"/>
        </w:rPr>
      </w:pPr>
      <w:bookmarkStart w:id="0" w:name="_heading=h.gjdgxs" w:colFirst="0" w:colLast="0"/>
      <w:bookmarkEnd w:id="0"/>
    </w:p>
    <w:p w14:paraId="2E07A020" w14:textId="088C0C70" w:rsidR="00900DBA" w:rsidRPr="001F44CA" w:rsidRDefault="001F44CA">
      <w:pPr>
        <w:spacing w:after="0" w:line="240" w:lineRule="auto"/>
        <w:jc w:val="center"/>
        <w:rPr>
          <w:rFonts w:ascii="Times New Roman" w:eastAsia="Times New Roman" w:hAnsi="Times New Roman" w:cs="Times New Roman"/>
          <w:sz w:val="24"/>
          <w:szCs w:val="24"/>
          <w:vertAlign w:val="superscript"/>
        </w:rPr>
      </w:pPr>
      <w:r w:rsidRPr="001F44CA">
        <w:rPr>
          <w:rFonts w:ascii="Times New Roman" w:eastAsia="Times New Roman" w:hAnsi="Times New Roman" w:cs="Times New Roman"/>
          <w:b/>
          <w:color w:val="000000"/>
          <w:sz w:val="24"/>
          <w:szCs w:val="24"/>
        </w:rPr>
        <w:t xml:space="preserve">Muhamad </w:t>
      </w:r>
      <w:proofErr w:type="spellStart"/>
      <w:r w:rsidRPr="001F44CA">
        <w:rPr>
          <w:rFonts w:ascii="Times New Roman" w:eastAsia="Times New Roman" w:hAnsi="Times New Roman" w:cs="Times New Roman"/>
          <w:b/>
          <w:color w:val="000000"/>
          <w:sz w:val="24"/>
          <w:szCs w:val="24"/>
        </w:rPr>
        <w:t>Fuad</w:t>
      </w:r>
      <w:proofErr w:type="spellEnd"/>
      <w:r w:rsidRPr="001F44CA">
        <w:rPr>
          <w:rFonts w:ascii="Times New Roman" w:eastAsia="Times New Roman" w:hAnsi="Times New Roman" w:cs="Times New Roman"/>
          <w:b/>
          <w:color w:val="000000"/>
          <w:sz w:val="24"/>
          <w:szCs w:val="24"/>
        </w:rPr>
        <w:t xml:space="preserve"> Hasim</w:t>
      </w:r>
      <w:r w:rsidR="006B646C">
        <w:rPr>
          <w:rFonts w:ascii="Times New Roman" w:eastAsia="Times New Roman" w:hAnsi="Times New Roman" w:cs="Times New Roman"/>
          <w:b/>
          <w:color w:val="000000"/>
          <w:sz w:val="24"/>
          <w:szCs w:val="24"/>
          <w:vertAlign w:val="superscript"/>
        </w:rPr>
        <w:t>1</w:t>
      </w:r>
      <w:r w:rsidR="006B646C">
        <w:rPr>
          <w:rFonts w:ascii="Times New Roman" w:eastAsia="Times New Roman" w:hAnsi="Times New Roman" w:cs="Times New Roman"/>
          <w:b/>
          <w:color w:val="000000"/>
          <w:sz w:val="24"/>
          <w:szCs w:val="24"/>
        </w:rPr>
        <w:t xml:space="preserve">, </w:t>
      </w:r>
      <w:r w:rsidRPr="001F44CA">
        <w:rPr>
          <w:rFonts w:ascii="Times New Roman" w:eastAsia="Times New Roman" w:hAnsi="Times New Roman" w:cs="Times New Roman"/>
          <w:b/>
          <w:color w:val="000000"/>
          <w:sz w:val="24"/>
          <w:szCs w:val="24"/>
        </w:rPr>
        <w:t xml:space="preserve">Mirwan </w:t>
      </w:r>
      <w:proofErr w:type="spellStart"/>
      <w:r w:rsidRPr="001F44CA">
        <w:rPr>
          <w:rFonts w:ascii="Times New Roman" w:eastAsia="Times New Roman" w:hAnsi="Times New Roman" w:cs="Times New Roman"/>
          <w:b/>
          <w:color w:val="000000"/>
          <w:sz w:val="24"/>
          <w:szCs w:val="24"/>
        </w:rPr>
        <w:t>A</w:t>
      </w:r>
      <w:bookmarkStart w:id="1" w:name="_GoBack"/>
      <w:bookmarkEnd w:id="1"/>
      <w:r w:rsidRPr="001F44CA">
        <w:rPr>
          <w:rFonts w:ascii="Times New Roman" w:eastAsia="Times New Roman" w:hAnsi="Times New Roman" w:cs="Times New Roman"/>
          <w:b/>
          <w:color w:val="000000"/>
          <w:sz w:val="24"/>
          <w:szCs w:val="24"/>
        </w:rPr>
        <w:t>khmad</w:t>
      </w:r>
      <w:proofErr w:type="spellEnd"/>
      <w:r w:rsidRPr="001F44CA">
        <w:rPr>
          <w:rFonts w:ascii="Times New Roman" w:eastAsia="Times New Roman" w:hAnsi="Times New Roman" w:cs="Times New Roman"/>
          <w:b/>
          <w:color w:val="000000"/>
          <w:sz w:val="24"/>
          <w:szCs w:val="24"/>
        </w:rPr>
        <w:t xml:space="preserve"> Taufiq</w:t>
      </w:r>
      <w:r w:rsidR="00C93A7A">
        <w:rPr>
          <w:rFonts w:ascii="Times New Roman" w:eastAsia="Times New Roman" w:hAnsi="Times New Roman" w:cs="Times New Roman"/>
          <w:b/>
          <w:color w:val="000000"/>
          <w:sz w:val="24"/>
          <w:szCs w:val="24"/>
        </w:rPr>
        <w:t>*</w:t>
      </w:r>
      <w:r w:rsidR="006B646C">
        <w:rPr>
          <w:rFonts w:ascii="Times New Roman" w:eastAsia="Times New Roman" w:hAnsi="Times New Roman" w:cs="Times New Roman"/>
          <w:b/>
          <w:color w:val="000000"/>
          <w:sz w:val="24"/>
          <w:szCs w:val="24"/>
          <w:vertAlign w:val="superscript"/>
        </w:rPr>
        <w:t>2</w:t>
      </w:r>
      <w:r w:rsidR="006B646C">
        <w:rPr>
          <w:rFonts w:ascii="Times New Roman" w:eastAsia="Times New Roman" w:hAnsi="Times New Roman" w:cs="Times New Roman"/>
          <w:b/>
          <w:color w:val="000000"/>
          <w:sz w:val="24"/>
          <w:szCs w:val="24"/>
        </w:rPr>
        <w:t xml:space="preserve">, </w:t>
      </w:r>
      <w:r w:rsidRPr="001F44CA">
        <w:rPr>
          <w:rFonts w:ascii="Times New Roman" w:eastAsia="Times New Roman" w:hAnsi="Times New Roman" w:cs="Times New Roman"/>
          <w:b/>
          <w:color w:val="000000"/>
          <w:sz w:val="24"/>
          <w:szCs w:val="24"/>
        </w:rPr>
        <w:t xml:space="preserve">Arya </w:t>
      </w:r>
      <w:proofErr w:type="spellStart"/>
      <w:r w:rsidRPr="001F44CA">
        <w:rPr>
          <w:rFonts w:ascii="Times New Roman" w:eastAsia="Times New Roman" w:hAnsi="Times New Roman" w:cs="Times New Roman"/>
          <w:b/>
          <w:color w:val="000000"/>
          <w:sz w:val="24"/>
          <w:szCs w:val="24"/>
        </w:rPr>
        <w:t>Pratama</w:t>
      </w:r>
      <w:proofErr w:type="spellEnd"/>
      <w:r w:rsidRPr="001F44CA">
        <w:rPr>
          <w:rFonts w:ascii="Times New Roman" w:eastAsia="Times New Roman" w:hAnsi="Times New Roman" w:cs="Times New Roman"/>
          <w:b/>
          <w:color w:val="000000"/>
          <w:sz w:val="24"/>
          <w:szCs w:val="24"/>
        </w:rPr>
        <w:t xml:space="preserve"> Ramadhani</w:t>
      </w:r>
      <w:r w:rsidR="006B646C">
        <w:rPr>
          <w:rFonts w:ascii="Times New Roman" w:eastAsia="Times New Roman" w:hAnsi="Times New Roman" w:cs="Times New Roman"/>
          <w:b/>
          <w:color w:val="000000"/>
          <w:sz w:val="24"/>
          <w:szCs w:val="24"/>
          <w:vertAlign w:val="superscript"/>
        </w:rPr>
        <w:t>3</w:t>
      </w:r>
      <w:r>
        <w:rPr>
          <w:rFonts w:ascii="Times New Roman" w:eastAsia="Times New Roman" w:hAnsi="Times New Roman" w:cs="Times New Roman"/>
          <w:b/>
          <w:color w:val="000000"/>
          <w:sz w:val="24"/>
          <w:szCs w:val="24"/>
        </w:rPr>
        <w:t xml:space="preserve">, </w:t>
      </w:r>
      <w:proofErr w:type="spellStart"/>
      <w:r w:rsidRPr="001F44CA">
        <w:rPr>
          <w:rFonts w:ascii="Times New Roman" w:eastAsia="Times New Roman" w:hAnsi="Times New Roman" w:cs="Times New Roman"/>
          <w:b/>
          <w:color w:val="000000"/>
          <w:sz w:val="24"/>
          <w:szCs w:val="24"/>
        </w:rPr>
        <w:t>Dewi</w:t>
      </w:r>
      <w:proofErr w:type="spellEnd"/>
      <w:r w:rsidRPr="001F44CA">
        <w:rPr>
          <w:rFonts w:ascii="Times New Roman" w:eastAsia="Times New Roman" w:hAnsi="Times New Roman" w:cs="Times New Roman"/>
          <w:b/>
          <w:color w:val="000000"/>
          <w:sz w:val="24"/>
          <w:szCs w:val="24"/>
        </w:rPr>
        <w:t xml:space="preserve"> Nur Masitho</w:t>
      </w:r>
      <w:r>
        <w:rPr>
          <w:rFonts w:ascii="Times New Roman" w:eastAsia="Times New Roman" w:hAnsi="Times New Roman" w:cs="Times New Roman"/>
          <w:b/>
          <w:color w:val="000000"/>
          <w:sz w:val="24"/>
          <w:szCs w:val="24"/>
          <w:vertAlign w:val="superscript"/>
        </w:rPr>
        <w:t>4</w:t>
      </w:r>
      <w:r>
        <w:rPr>
          <w:rFonts w:ascii="Times New Roman" w:eastAsia="Times New Roman" w:hAnsi="Times New Roman" w:cs="Times New Roman"/>
          <w:b/>
          <w:color w:val="000000"/>
          <w:sz w:val="24"/>
          <w:szCs w:val="24"/>
        </w:rPr>
        <w:t xml:space="preserve">, </w:t>
      </w:r>
      <w:r w:rsidRPr="001F44CA">
        <w:rPr>
          <w:rFonts w:ascii="Times New Roman" w:eastAsia="Times New Roman" w:hAnsi="Times New Roman" w:cs="Times New Roman"/>
          <w:b/>
          <w:color w:val="000000"/>
          <w:sz w:val="24"/>
          <w:szCs w:val="24"/>
        </w:rPr>
        <w:t>Adam Nashirulloh</w:t>
      </w:r>
      <w:r>
        <w:rPr>
          <w:rFonts w:ascii="Times New Roman" w:eastAsia="Times New Roman" w:hAnsi="Times New Roman" w:cs="Times New Roman"/>
          <w:b/>
          <w:color w:val="000000"/>
          <w:sz w:val="24"/>
          <w:szCs w:val="24"/>
          <w:vertAlign w:val="superscript"/>
        </w:rPr>
        <w:t>5</w:t>
      </w:r>
    </w:p>
    <w:p w14:paraId="7596A4CB" w14:textId="7908248B" w:rsidR="00900DBA" w:rsidRDefault="006B646C">
      <w:pPr>
        <w:spacing w:after="0" w:line="240" w:lineRule="auto"/>
        <w:jc w:val="center"/>
        <w:rPr>
          <w:rFonts w:ascii="Times New Roman" w:eastAsia="Times New Roman" w:hAnsi="Times New Roman" w:cs="Times New Roman"/>
          <w:i/>
          <w:sz w:val="24"/>
          <w:szCs w:val="24"/>
        </w:rPr>
      </w:pPr>
      <w:r>
        <w:rPr>
          <w:rFonts w:ascii="Times New Roman" w:eastAsia="Times New Roman" w:hAnsi="Times New Roman" w:cs="Times New Roman"/>
          <w:b/>
          <w:sz w:val="24"/>
          <w:szCs w:val="24"/>
          <w:vertAlign w:val="superscript"/>
        </w:rPr>
        <w:t>1,2,3</w:t>
      </w:r>
      <w:r w:rsidR="001F44CA">
        <w:rPr>
          <w:rFonts w:ascii="Times New Roman" w:eastAsia="Times New Roman" w:hAnsi="Times New Roman" w:cs="Times New Roman"/>
          <w:b/>
          <w:sz w:val="24"/>
          <w:szCs w:val="24"/>
          <w:vertAlign w:val="superscript"/>
        </w:rPr>
        <w:t>,4,5</w:t>
      </w:r>
      <w:r w:rsidR="001F44CA">
        <w:rPr>
          <w:rFonts w:ascii="Times New Roman" w:eastAsia="Times New Roman" w:hAnsi="Times New Roman" w:cs="Times New Roman"/>
          <w:sz w:val="24"/>
          <w:szCs w:val="24"/>
        </w:rPr>
        <w:t xml:space="preserve">Universitas Islam Negeri </w:t>
      </w:r>
      <w:proofErr w:type="spellStart"/>
      <w:r w:rsidR="001F44CA">
        <w:rPr>
          <w:rFonts w:ascii="Times New Roman" w:eastAsia="Times New Roman" w:hAnsi="Times New Roman" w:cs="Times New Roman"/>
          <w:sz w:val="24"/>
          <w:szCs w:val="24"/>
        </w:rPr>
        <w:t>Sunan</w:t>
      </w:r>
      <w:proofErr w:type="spellEnd"/>
      <w:r w:rsidR="001F44CA">
        <w:rPr>
          <w:rFonts w:ascii="Times New Roman" w:eastAsia="Times New Roman" w:hAnsi="Times New Roman" w:cs="Times New Roman"/>
          <w:sz w:val="24"/>
          <w:szCs w:val="24"/>
        </w:rPr>
        <w:t xml:space="preserve"> </w:t>
      </w:r>
      <w:proofErr w:type="spellStart"/>
      <w:r w:rsidR="001F44CA">
        <w:rPr>
          <w:rFonts w:ascii="Times New Roman" w:eastAsia="Times New Roman" w:hAnsi="Times New Roman" w:cs="Times New Roman"/>
          <w:sz w:val="24"/>
          <w:szCs w:val="24"/>
        </w:rPr>
        <w:t>Ampel</w:t>
      </w:r>
      <w:proofErr w:type="spellEnd"/>
      <w:r w:rsidR="001F44CA">
        <w:rPr>
          <w:rFonts w:ascii="Times New Roman" w:eastAsia="Times New Roman" w:hAnsi="Times New Roman" w:cs="Times New Roman"/>
          <w:sz w:val="24"/>
          <w:szCs w:val="24"/>
        </w:rPr>
        <w:t>, Surabaya, Indonesia</w:t>
      </w:r>
      <w:r>
        <w:rPr>
          <w:rFonts w:ascii="Times New Roman" w:eastAsia="Times New Roman" w:hAnsi="Times New Roman" w:cs="Times New Roman"/>
          <w:i/>
          <w:color w:val="000000"/>
          <w:sz w:val="24"/>
          <w:szCs w:val="24"/>
        </w:rPr>
        <w:t xml:space="preserve"> </w:t>
      </w:r>
    </w:p>
    <w:p w14:paraId="2F3CF04A" w14:textId="4384D127" w:rsidR="00900DBA" w:rsidRPr="004E5BF4" w:rsidRDefault="006B646C">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e-mail: </w:t>
      </w:r>
      <w:hyperlink r:id="rId9" w:history="1">
        <w:r w:rsidR="001F44CA" w:rsidRPr="00FF0544">
          <w:rPr>
            <w:rStyle w:val="Hyperlink"/>
            <w:rFonts w:ascii="Times New Roman" w:eastAsia="Times New Roman" w:hAnsi="Times New Roman" w:cs="Times New Roman"/>
            <w:sz w:val="24"/>
            <w:szCs w:val="24"/>
          </w:rPr>
          <w:t>hasimfuadmuhamad@gmail.com</w:t>
        </w:r>
        <w:r w:rsidR="001F44CA" w:rsidRPr="00FF0544">
          <w:rPr>
            <w:rStyle w:val="Hyperlink"/>
            <w:rFonts w:ascii="Times New Roman" w:eastAsia="Times New Roman" w:hAnsi="Times New Roman" w:cs="Times New Roman"/>
            <w:sz w:val="24"/>
            <w:szCs w:val="24"/>
            <w:vertAlign w:val="superscript"/>
          </w:rPr>
          <w:t>1</w:t>
        </w:r>
      </w:hyperlink>
      <w:r>
        <w:rPr>
          <w:rFonts w:ascii="Times New Roman" w:eastAsia="Times New Roman" w:hAnsi="Times New Roman" w:cs="Times New Roman"/>
          <w:color w:val="000000"/>
          <w:sz w:val="24"/>
          <w:szCs w:val="24"/>
        </w:rPr>
        <w:t>,</w:t>
      </w:r>
      <w:r w:rsidR="001F44CA">
        <w:rPr>
          <w:rFonts w:ascii="Times New Roman" w:eastAsia="Times New Roman" w:hAnsi="Times New Roman" w:cs="Times New Roman"/>
          <w:color w:val="000000"/>
          <w:sz w:val="24"/>
          <w:szCs w:val="24"/>
        </w:rPr>
        <w:t xml:space="preserve"> </w:t>
      </w:r>
      <w:hyperlink r:id="rId10" w:history="1">
        <w:r w:rsidR="001F44CA" w:rsidRPr="00FF0544">
          <w:rPr>
            <w:rStyle w:val="Hyperlink"/>
            <w:rFonts w:ascii="Times New Roman" w:eastAsia="Times New Roman" w:hAnsi="Times New Roman" w:cs="Times New Roman"/>
            <w:sz w:val="24"/>
            <w:szCs w:val="24"/>
          </w:rPr>
          <w:t>mirwan@uinsa.ac.id*</w:t>
        </w:r>
        <w:r w:rsidR="001F44CA" w:rsidRPr="00FF0544">
          <w:rPr>
            <w:rStyle w:val="Hyperlink"/>
            <w:rFonts w:ascii="Times New Roman" w:eastAsia="Times New Roman" w:hAnsi="Times New Roman" w:cs="Times New Roman"/>
            <w:sz w:val="24"/>
            <w:szCs w:val="24"/>
            <w:vertAlign w:val="superscript"/>
          </w:rPr>
          <w:t>2</w:t>
        </w:r>
      </w:hyperlink>
      <w:r>
        <w:rPr>
          <w:rFonts w:ascii="Times New Roman" w:eastAsia="Times New Roman" w:hAnsi="Times New Roman" w:cs="Times New Roman"/>
          <w:color w:val="000000"/>
          <w:sz w:val="24"/>
          <w:szCs w:val="24"/>
        </w:rPr>
        <w:t>,</w:t>
      </w:r>
      <w:r w:rsidR="001F44CA">
        <w:rPr>
          <w:rFonts w:ascii="Times New Roman" w:eastAsia="Times New Roman" w:hAnsi="Times New Roman" w:cs="Times New Roman"/>
          <w:color w:val="000000"/>
          <w:sz w:val="24"/>
          <w:szCs w:val="24"/>
        </w:rPr>
        <w:t xml:space="preserve"> </w:t>
      </w:r>
      <w:hyperlink r:id="rId11" w:history="1">
        <w:r w:rsidR="004E5BF4" w:rsidRPr="00FF0544">
          <w:rPr>
            <w:rStyle w:val="Hyperlink"/>
            <w:rFonts w:ascii="Times New Roman" w:eastAsia="Times New Roman" w:hAnsi="Times New Roman" w:cs="Times New Roman"/>
            <w:sz w:val="24"/>
            <w:szCs w:val="24"/>
          </w:rPr>
          <w:t>aryapratama445@gmail.com</w:t>
        </w:r>
        <w:r w:rsidR="004E5BF4" w:rsidRPr="00FF0544">
          <w:rPr>
            <w:rStyle w:val="Hyperlink"/>
            <w:rFonts w:ascii="Times New Roman" w:eastAsia="Times New Roman" w:hAnsi="Times New Roman" w:cs="Times New Roman"/>
            <w:sz w:val="24"/>
            <w:szCs w:val="24"/>
            <w:vertAlign w:val="superscript"/>
          </w:rPr>
          <w:t>3</w:t>
        </w:r>
      </w:hyperlink>
      <w:r w:rsidR="004E5BF4">
        <w:rPr>
          <w:rFonts w:ascii="Times New Roman" w:eastAsia="Times New Roman" w:hAnsi="Times New Roman" w:cs="Times New Roman"/>
          <w:color w:val="000000"/>
          <w:sz w:val="24"/>
          <w:szCs w:val="24"/>
        </w:rPr>
        <w:t xml:space="preserve">, </w:t>
      </w:r>
      <w:hyperlink r:id="rId12" w:history="1">
        <w:r w:rsidR="004E5BF4" w:rsidRPr="00FF0544">
          <w:rPr>
            <w:rStyle w:val="Hyperlink"/>
            <w:rFonts w:ascii="Times New Roman" w:eastAsia="Times New Roman" w:hAnsi="Times New Roman" w:cs="Times New Roman"/>
            <w:sz w:val="24"/>
            <w:szCs w:val="24"/>
          </w:rPr>
          <w:t>dnmasitho45@gmail.com</w:t>
        </w:r>
        <w:r w:rsidR="004E5BF4" w:rsidRPr="00FF0544">
          <w:rPr>
            <w:rStyle w:val="Hyperlink"/>
            <w:rFonts w:ascii="Times New Roman" w:eastAsia="Times New Roman" w:hAnsi="Times New Roman" w:cs="Times New Roman"/>
            <w:sz w:val="24"/>
            <w:szCs w:val="24"/>
            <w:vertAlign w:val="superscript"/>
          </w:rPr>
          <w:t>4</w:t>
        </w:r>
      </w:hyperlink>
      <w:r w:rsidR="004E5BF4">
        <w:rPr>
          <w:rFonts w:ascii="Times New Roman" w:eastAsia="Times New Roman" w:hAnsi="Times New Roman" w:cs="Times New Roman"/>
          <w:color w:val="000000"/>
          <w:sz w:val="24"/>
          <w:szCs w:val="24"/>
        </w:rPr>
        <w:t xml:space="preserve">, </w:t>
      </w:r>
      <w:hyperlink r:id="rId13" w:history="1">
        <w:r w:rsidR="004E5BF4" w:rsidRPr="00FF0544">
          <w:rPr>
            <w:rStyle w:val="Hyperlink"/>
            <w:rFonts w:ascii="Times New Roman" w:eastAsia="Times New Roman" w:hAnsi="Times New Roman" w:cs="Times New Roman"/>
            <w:sz w:val="24"/>
            <w:szCs w:val="24"/>
          </w:rPr>
          <w:t>adamalfatih1991@gmail.com</w:t>
        </w:r>
        <w:r w:rsidR="004E5BF4" w:rsidRPr="00FF0544">
          <w:rPr>
            <w:rStyle w:val="Hyperlink"/>
            <w:rFonts w:ascii="Times New Roman" w:eastAsia="Times New Roman" w:hAnsi="Times New Roman" w:cs="Times New Roman"/>
            <w:sz w:val="24"/>
            <w:szCs w:val="24"/>
            <w:vertAlign w:val="superscript"/>
          </w:rPr>
          <w:t>5</w:t>
        </w:r>
      </w:hyperlink>
      <w:r w:rsidR="004E5BF4">
        <w:rPr>
          <w:rFonts w:ascii="Times New Roman" w:eastAsia="Times New Roman" w:hAnsi="Times New Roman" w:cs="Times New Roman"/>
          <w:color w:val="000000"/>
          <w:sz w:val="24"/>
          <w:szCs w:val="24"/>
        </w:rPr>
        <w:t xml:space="preserve"> </w:t>
      </w:r>
    </w:p>
    <w:p w14:paraId="4FDB1A21" w14:textId="77777777" w:rsidR="00900DBA" w:rsidRDefault="00900DBA">
      <w:pPr>
        <w:spacing w:after="0" w:line="240" w:lineRule="auto"/>
        <w:ind w:left="720"/>
        <w:rPr>
          <w:rFonts w:ascii="Times New Roman" w:eastAsia="Times New Roman" w:hAnsi="Times New Roman" w:cs="Times New Roman"/>
          <w:sz w:val="24"/>
          <w:szCs w:val="24"/>
          <w:vertAlign w:val="superscript"/>
        </w:rPr>
      </w:pPr>
    </w:p>
    <w:p w14:paraId="23863643" w14:textId="77777777" w:rsidR="00900DBA" w:rsidRDefault="006B646C">
      <w:pPr>
        <w:spacing w:after="0" w:line="240" w:lineRule="auto"/>
        <w:jc w:val="center"/>
        <w:rPr>
          <w:rFonts w:ascii="Times New Roman" w:eastAsia="Times New Roman" w:hAnsi="Times New Roman" w:cs="Times New Roman"/>
          <w:sz w:val="24"/>
          <w:szCs w:val="24"/>
          <w:vertAlign w:val="superscript"/>
        </w:rPr>
      </w:pPr>
      <w:r>
        <w:rPr>
          <w:rFonts w:ascii="Times New Roman" w:eastAsia="Times New Roman" w:hAnsi="Times New Roman" w:cs="Times New Roman"/>
          <w:sz w:val="24"/>
          <w:szCs w:val="24"/>
        </w:rPr>
        <w:t>*) Correspondent</w:t>
      </w:r>
    </w:p>
    <w:p w14:paraId="6EDC6CBF" w14:textId="77777777" w:rsidR="00900DBA" w:rsidRDefault="00900DBA">
      <w:pPr>
        <w:spacing w:after="0" w:line="240" w:lineRule="auto"/>
        <w:jc w:val="center"/>
        <w:rPr>
          <w:rFonts w:ascii="Times New Roman" w:eastAsia="Times New Roman" w:hAnsi="Times New Roman" w:cs="Times New Roman"/>
          <w:sz w:val="24"/>
          <w:szCs w:val="24"/>
        </w:rPr>
      </w:pPr>
    </w:p>
    <w:p w14:paraId="1944D55F" w14:textId="0919509B" w:rsidR="00900DBA" w:rsidRDefault="006B646C">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 xml:space="preserve">Abstract </w:t>
      </w:r>
    </w:p>
    <w:p w14:paraId="00BA6C44" w14:textId="4C7EBCCF" w:rsidR="00900DBA" w:rsidRPr="0072453A" w:rsidRDefault="006B646C" w:rsidP="0072453A">
      <w:pPr>
        <w:spacing w:after="0" w:line="24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Abstrak</w:t>
      </w:r>
      <w:proofErr w:type="spellEnd"/>
      <w:r>
        <w:rPr>
          <w:rFonts w:ascii="Times New Roman" w:eastAsia="Times New Roman" w:hAnsi="Times New Roman" w:cs="Times New Roman"/>
          <w:sz w:val="24"/>
          <w:szCs w:val="24"/>
        </w:rPr>
        <w:t xml:space="preserve"> </w:t>
      </w:r>
      <w:proofErr w:type="gramStart"/>
      <w:r w:rsidR="0072453A" w:rsidRPr="0072453A">
        <w:rPr>
          <w:rFonts w:ascii="Times New Roman" w:eastAsia="Times New Roman" w:hAnsi="Times New Roman" w:cs="Times New Roman"/>
          <w:sz w:val="24"/>
          <w:szCs w:val="24"/>
        </w:rPr>
        <w:t>The</w:t>
      </w:r>
      <w:proofErr w:type="gramEnd"/>
      <w:r w:rsidR="0072453A" w:rsidRPr="0072453A">
        <w:rPr>
          <w:rFonts w:ascii="Times New Roman" w:eastAsia="Times New Roman" w:hAnsi="Times New Roman" w:cs="Times New Roman"/>
          <w:sz w:val="24"/>
          <w:szCs w:val="24"/>
        </w:rPr>
        <w:t xml:space="preserve"> increasing demand for inclusive education requires the availability of teaching materials that accommodate the diverse learning needs of all students, including those with special needs. Arabic, as a subject with complex grammatical structures, presents a unique challenge in inclusive classroom settings, particularly in Islamic schools. This study aims to examine the development of adaptive Arabic language teaching materials to support inclusive learning at MTs </w:t>
      </w:r>
      <w:proofErr w:type="spellStart"/>
      <w:r w:rsidR="0072453A" w:rsidRPr="0072453A">
        <w:rPr>
          <w:rFonts w:ascii="Times New Roman" w:eastAsia="Times New Roman" w:hAnsi="Times New Roman" w:cs="Times New Roman"/>
          <w:sz w:val="24"/>
          <w:szCs w:val="24"/>
        </w:rPr>
        <w:t>Miftahul</w:t>
      </w:r>
      <w:proofErr w:type="spellEnd"/>
      <w:r w:rsidR="0072453A" w:rsidRPr="0072453A">
        <w:rPr>
          <w:rFonts w:ascii="Times New Roman" w:eastAsia="Times New Roman" w:hAnsi="Times New Roman" w:cs="Times New Roman"/>
          <w:sz w:val="24"/>
          <w:szCs w:val="24"/>
        </w:rPr>
        <w:t xml:space="preserve"> </w:t>
      </w:r>
      <w:proofErr w:type="spellStart"/>
      <w:r w:rsidR="0072453A" w:rsidRPr="0072453A">
        <w:rPr>
          <w:rFonts w:ascii="Times New Roman" w:eastAsia="Times New Roman" w:hAnsi="Times New Roman" w:cs="Times New Roman"/>
          <w:sz w:val="24"/>
          <w:szCs w:val="24"/>
        </w:rPr>
        <w:t>Afkar</w:t>
      </w:r>
      <w:proofErr w:type="spellEnd"/>
      <w:r w:rsidR="0072453A" w:rsidRPr="0072453A">
        <w:rPr>
          <w:rFonts w:ascii="Times New Roman" w:eastAsia="Times New Roman" w:hAnsi="Times New Roman" w:cs="Times New Roman"/>
          <w:sz w:val="24"/>
          <w:szCs w:val="24"/>
        </w:rPr>
        <w:t xml:space="preserve"> Kediri. Using a qualitative approach with an evaluative-descriptive design, this research applies the CIPP (Context, Input, Process, Product) evaluation model, supported by the Universal Design for Learning (UDL) framework. Data were collected through classroom observations, in-depth interviews, and document analysis.</w:t>
      </w:r>
      <w:r w:rsidR="0072453A">
        <w:rPr>
          <w:rFonts w:ascii="Times New Roman" w:eastAsia="Times New Roman" w:hAnsi="Times New Roman" w:cs="Times New Roman"/>
          <w:sz w:val="24"/>
          <w:szCs w:val="24"/>
        </w:rPr>
        <w:t xml:space="preserve"> </w:t>
      </w:r>
      <w:r w:rsidR="0072453A" w:rsidRPr="0072453A">
        <w:rPr>
          <w:rFonts w:ascii="Times New Roman" w:eastAsia="Times New Roman" w:hAnsi="Times New Roman" w:cs="Times New Roman"/>
          <w:sz w:val="24"/>
          <w:szCs w:val="24"/>
        </w:rPr>
        <w:t>The results show that Arabic teachers have independently developed adaptive teaching materials by simplifying content, using visual and audio supports, and adjusting learning activities to match the students’ varied needs. These efforts reflect UDL principles such as multiple means of representation and engagement, even though teachers were not explicitly trained in UDL. The use of adaptive materials has shown a positive impact on student motivation and participation, especially among students with learning barriers. Regular students also benefited from the more interactive and multimodal approach. However, several challenges remain, including the absence of institutional policy support, limited teacher training, and the lack of standardized material evaluation procedures.</w:t>
      </w:r>
      <w:r w:rsidR="0072453A">
        <w:rPr>
          <w:rFonts w:ascii="Times New Roman" w:eastAsia="Times New Roman" w:hAnsi="Times New Roman" w:cs="Times New Roman"/>
          <w:sz w:val="24"/>
          <w:szCs w:val="24"/>
        </w:rPr>
        <w:t xml:space="preserve"> </w:t>
      </w:r>
      <w:r w:rsidR="0072453A" w:rsidRPr="0072453A">
        <w:rPr>
          <w:rFonts w:ascii="Times New Roman" w:eastAsia="Times New Roman" w:hAnsi="Times New Roman" w:cs="Times New Roman"/>
          <w:sz w:val="24"/>
          <w:szCs w:val="24"/>
        </w:rPr>
        <w:t>This study contributes to the development of inclusive education practices in madrasahs by emphasizing the importance of adaptive teaching materials and the teacher’s role as a curriculum designer. The novelty of this study lies in its integration of the UDL approach within the context of Arabic instruction and the focus on student engagement as an indicator of effectiveness. Findings from this study offer a practical reference for other inclusive madrasahs seeking to develop equitable and accessible Arabic learning experiences for all students.</w:t>
      </w:r>
    </w:p>
    <w:p w14:paraId="0AD81C83" w14:textId="77777777" w:rsidR="00900DBA" w:rsidRDefault="00900DBA">
      <w:pPr>
        <w:spacing w:after="0" w:line="240" w:lineRule="auto"/>
        <w:jc w:val="both"/>
        <w:rPr>
          <w:rFonts w:ascii="Times New Roman" w:eastAsia="Times New Roman" w:hAnsi="Times New Roman" w:cs="Times New Roman"/>
          <w:sz w:val="24"/>
          <w:szCs w:val="24"/>
        </w:rPr>
      </w:pPr>
    </w:p>
    <w:p w14:paraId="5C1B7D36" w14:textId="175DCF76" w:rsidR="0072453A" w:rsidRPr="00AB1327" w:rsidRDefault="006B646C" w:rsidP="0072453A">
      <w:pPr>
        <w:spacing w:line="360" w:lineRule="auto"/>
        <w:rPr>
          <w:rFonts w:asciiTheme="majorBidi" w:hAnsiTheme="majorBidi" w:cstheme="majorBidi"/>
          <w:sz w:val="24"/>
          <w:szCs w:val="24"/>
        </w:rPr>
      </w:pPr>
      <w:r>
        <w:rPr>
          <w:rFonts w:ascii="Times New Roman" w:eastAsia="Times New Roman" w:hAnsi="Times New Roman" w:cs="Times New Roman"/>
          <w:b/>
          <w:color w:val="000000"/>
          <w:sz w:val="24"/>
          <w:szCs w:val="24"/>
        </w:rPr>
        <w:t>Keywords:</w:t>
      </w:r>
      <w:r>
        <w:rPr>
          <w:rFonts w:ascii="Times New Roman" w:eastAsia="Times New Roman" w:hAnsi="Times New Roman" w:cs="Times New Roman"/>
          <w:color w:val="000000"/>
          <w:sz w:val="24"/>
          <w:szCs w:val="24"/>
        </w:rPr>
        <w:t xml:space="preserve"> </w:t>
      </w:r>
      <w:r w:rsidR="0072453A" w:rsidRPr="00AB1327">
        <w:rPr>
          <w:rFonts w:asciiTheme="majorBidi" w:hAnsiTheme="majorBidi" w:cstheme="majorBidi"/>
          <w:sz w:val="24"/>
          <w:szCs w:val="24"/>
        </w:rPr>
        <w:t xml:space="preserve">Inclusive </w:t>
      </w:r>
      <w:r w:rsidR="0072453A">
        <w:rPr>
          <w:rFonts w:asciiTheme="majorBidi" w:hAnsiTheme="majorBidi" w:cstheme="majorBidi"/>
          <w:sz w:val="24"/>
          <w:szCs w:val="24"/>
        </w:rPr>
        <w:t>Learning;</w:t>
      </w:r>
      <w:r w:rsidR="0072453A" w:rsidRPr="00AB1327">
        <w:rPr>
          <w:rFonts w:asciiTheme="majorBidi" w:hAnsiTheme="majorBidi" w:cstheme="majorBidi"/>
          <w:sz w:val="24"/>
          <w:szCs w:val="24"/>
        </w:rPr>
        <w:t xml:space="preserve"> Arabic language</w:t>
      </w:r>
      <w:r w:rsidR="0072453A">
        <w:rPr>
          <w:rFonts w:asciiTheme="majorBidi" w:hAnsiTheme="majorBidi" w:cstheme="majorBidi"/>
          <w:sz w:val="24"/>
          <w:szCs w:val="24"/>
        </w:rPr>
        <w:t>;</w:t>
      </w:r>
      <w:r w:rsidR="0072453A" w:rsidRPr="00AB1327">
        <w:rPr>
          <w:rFonts w:asciiTheme="majorBidi" w:hAnsiTheme="majorBidi" w:cstheme="majorBidi"/>
          <w:sz w:val="24"/>
          <w:szCs w:val="24"/>
        </w:rPr>
        <w:t xml:space="preserve"> adaptive materials</w:t>
      </w:r>
      <w:r w:rsidR="0072453A">
        <w:rPr>
          <w:rFonts w:asciiTheme="majorBidi" w:hAnsiTheme="majorBidi" w:cstheme="majorBidi"/>
          <w:sz w:val="24"/>
          <w:szCs w:val="24"/>
        </w:rPr>
        <w:t>;</w:t>
      </w:r>
      <w:r w:rsidR="0072453A" w:rsidRPr="00AB1327">
        <w:rPr>
          <w:rFonts w:asciiTheme="majorBidi" w:hAnsiTheme="majorBidi" w:cstheme="majorBidi"/>
          <w:sz w:val="24"/>
          <w:szCs w:val="24"/>
        </w:rPr>
        <w:t xml:space="preserve"> Universal Design for Learning</w:t>
      </w:r>
    </w:p>
    <w:p w14:paraId="1FCA7CB9" w14:textId="04EC9EF0" w:rsidR="00900DBA" w:rsidRDefault="00900DBA">
      <w:pPr>
        <w:spacing w:after="0" w:line="240" w:lineRule="auto"/>
        <w:jc w:val="both"/>
        <w:rPr>
          <w:rFonts w:ascii="Times New Roman" w:eastAsia="Times New Roman" w:hAnsi="Times New Roman" w:cs="Times New Roman"/>
          <w:sz w:val="24"/>
          <w:szCs w:val="24"/>
        </w:rPr>
      </w:pPr>
    </w:p>
    <w:p w14:paraId="049A1217" w14:textId="25B4B8F9" w:rsidR="0072453A" w:rsidRDefault="0072453A">
      <w:pPr>
        <w:spacing w:after="0" w:line="240" w:lineRule="auto"/>
        <w:jc w:val="both"/>
        <w:rPr>
          <w:rFonts w:ascii="Times New Roman" w:eastAsia="Times New Roman" w:hAnsi="Times New Roman" w:cs="Times New Roman"/>
          <w:sz w:val="24"/>
          <w:szCs w:val="24"/>
        </w:rPr>
      </w:pPr>
    </w:p>
    <w:p w14:paraId="21290046" w14:textId="77777777" w:rsidR="0072453A" w:rsidRDefault="0072453A">
      <w:pPr>
        <w:spacing w:after="0" w:line="240" w:lineRule="auto"/>
        <w:jc w:val="both"/>
        <w:rPr>
          <w:rFonts w:ascii="Times New Roman" w:eastAsia="Times New Roman" w:hAnsi="Times New Roman" w:cs="Times New Roman"/>
          <w:sz w:val="24"/>
          <w:szCs w:val="24"/>
        </w:rPr>
      </w:pPr>
    </w:p>
    <w:p w14:paraId="7391AEB5" w14:textId="77228B52" w:rsidR="00900DBA" w:rsidRDefault="006B646C">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lastRenderedPageBreak/>
        <w:t>INTRODUCTION</w:t>
      </w:r>
    </w:p>
    <w:p w14:paraId="72C06545" w14:textId="69625351" w:rsidR="0072453A" w:rsidRDefault="0072453A" w:rsidP="0072453A">
      <w:pPr>
        <w:spacing w:after="0" w:line="240" w:lineRule="auto"/>
        <w:ind w:firstLine="720"/>
        <w:jc w:val="both"/>
        <w:rPr>
          <w:rFonts w:ascii="Times New Roman" w:eastAsia="Times New Roman" w:hAnsi="Times New Roman" w:cs="Times New Roman"/>
          <w:color w:val="000000"/>
          <w:sz w:val="24"/>
          <w:szCs w:val="24"/>
        </w:rPr>
      </w:pPr>
      <w:r w:rsidRPr="0072453A">
        <w:rPr>
          <w:rFonts w:ascii="Times New Roman" w:eastAsia="Times New Roman" w:hAnsi="Times New Roman" w:cs="Times New Roman"/>
          <w:color w:val="000000"/>
          <w:sz w:val="24"/>
          <w:szCs w:val="24"/>
        </w:rPr>
        <w:t>Inclusive education is a pedagogical approach that aims to ensure that all students, including those with special needs, have equal access to quality education</w:t>
      </w:r>
      <w:r>
        <w:rPr>
          <w:rFonts w:ascii="Times New Roman" w:eastAsia="Times New Roman" w:hAnsi="Times New Roman" w:cs="Times New Roman"/>
          <w:color w:val="000000"/>
          <w:sz w:val="24"/>
          <w:szCs w:val="24"/>
        </w:rPr>
        <w:t xml:space="preserve"> </w:t>
      </w:r>
      <w:r w:rsidRPr="0072453A">
        <w:rPr>
          <w:rFonts w:ascii="Times New Roman" w:eastAsia="Times New Roman" w:hAnsi="Times New Roman" w:cs="Times New Roman"/>
          <w:color w:val="000000"/>
          <w:sz w:val="24"/>
          <w:szCs w:val="24"/>
        </w:rPr>
        <w:fldChar w:fldCharType="begin"/>
      </w:r>
      <w:r w:rsidR="00066BCA">
        <w:rPr>
          <w:rFonts w:ascii="Times New Roman" w:eastAsia="Times New Roman" w:hAnsi="Times New Roman" w:cs="Times New Roman"/>
          <w:color w:val="000000"/>
          <w:sz w:val="24"/>
          <w:szCs w:val="24"/>
        </w:rPr>
        <w:instrText xml:space="preserve"> ADDIN ZOTERO_ITEM CSL_CITATION {"citationID":"YEWtU2bS","properties":{"formattedCitation":"(Demchenko et al., 2021a)","plainCitation":"(Demchenko et al., 2021a)","dontUpdate":true,"noteIndex":0},"citationItems":[{"id":"eqbFgLeb/pInHaxFf","uris":["http://zotero.org/users/local/HTLpg2la/items/HGBDFB8M"],"itemData":{"id":475,"type":"article-journal","abstract":"According to the concept of developing inclusive education, the process of introducing inclusion in schools has been intensified. This is due to the training of physical education teachers to work with children with special educational needs during specially organized courses, whose fragmentation has not greatly increased the level of teachers' qualifications. The research aims to scientifically justify theoretical and methodological foundations, develop and experimentally verify the methodology of training future physical education teachers for professional activities under the conditions of inclusive education, taking into account the specifics of their psychological, theoretical and practical readiness for it. Pedagogical conditions for training future physical education teachers for professional activities under the conditions of inclusive education are defined as follows: prioritizing the content of programmes and teaching methodology; improving the content, forms, methods and means required to master normative, psychological, pedagogical and correctional theoretical and practical and scientific foundations of inclusive education, as well as didactic and correctional and developmental technologies during the classes dedicated to professional teaching methodologies; consolidating professional knowledge and practical skills of students based on the simulation modelling and reflection on pedagogical experience of future physical education teachers under the conditions of inclusive education with the relevant update of the content of teaching placements. The experimental work involved 444 students majoring in physical education and sport (222 students in the experimental and the control groups). Given the summarized data of final tests, it becomes clear that the students in the EG tend to have a high level of such readiness (at the ascertaining stage — 28.6%, at the formative stage — 47.0%, the difference being 18.4%). The results of the experiment prove the effectiveness of introducing the developed methodology of training future physical education teachers for professional activities under the conditions of inclusive education.","container-title":"BRAIN. Broad Research in Artificial Intelligence and Neuroscience","ISSN":"2067-3957","issue":"3","language":"en","license":"Copyright (c) 2021 BRAIN. Broad Research in Artificial Intelligence and Neuroscience","note":"number: 3","page":"191-213","source":"www.edusoft.ro","title":"Training Future Physical Education Teachers for Professional Activities under the Conditions of Inclusive Education","volume":"12","author":[{"family":"Demchenko","given":"Iryna"},{"family":"Maksymchuk","given":"Borys"},{"family":"Bilan","given":"Valentyna"},{"family":"Maksymchuk","given":"Iryna"},{"family":"Kalynovska","given":"Iryna"}],"issued":{"date-parts":[["2021",12,21]]}}}],"schema":"https://github.com/citation-style-language/schema/raw/master/csl-citation.json"} </w:instrText>
      </w:r>
      <w:r w:rsidRPr="0072453A">
        <w:rPr>
          <w:rFonts w:ascii="Times New Roman" w:eastAsia="Times New Roman" w:hAnsi="Times New Roman" w:cs="Times New Roman"/>
          <w:color w:val="000000"/>
          <w:sz w:val="24"/>
          <w:szCs w:val="24"/>
        </w:rPr>
        <w:fldChar w:fldCharType="separate"/>
      </w:r>
      <w:r w:rsidRPr="0072453A">
        <w:rPr>
          <w:rFonts w:ascii="Times New Roman" w:eastAsia="Times New Roman" w:hAnsi="Times New Roman" w:cs="Times New Roman"/>
          <w:color w:val="000000"/>
          <w:sz w:val="24"/>
          <w:szCs w:val="24"/>
        </w:rPr>
        <w:t>(Demchenko et al., 2021)</w:t>
      </w:r>
      <w:r w:rsidRPr="0072453A">
        <w:rPr>
          <w:rFonts w:ascii="Times New Roman" w:eastAsia="Times New Roman" w:hAnsi="Times New Roman" w:cs="Times New Roman"/>
          <w:color w:val="000000"/>
          <w:sz w:val="24"/>
          <w:szCs w:val="24"/>
        </w:rPr>
        <w:fldChar w:fldCharType="end"/>
      </w:r>
      <w:r>
        <w:rPr>
          <w:rFonts w:ascii="Times New Roman" w:eastAsia="Times New Roman" w:hAnsi="Times New Roman" w:cs="Times New Roman"/>
          <w:color w:val="000000"/>
          <w:sz w:val="24"/>
          <w:szCs w:val="24"/>
        </w:rPr>
        <w:t xml:space="preserve">. </w:t>
      </w:r>
      <w:r w:rsidRPr="0072453A">
        <w:rPr>
          <w:rFonts w:ascii="Times New Roman" w:eastAsia="Times New Roman" w:hAnsi="Times New Roman" w:cs="Times New Roman"/>
          <w:color w:val="000000"/>
          <w:sz w:val="24"/>
          <w:szCs w:val="24"/>
        </w:rPr>
        <w:t>This concept was born from the principle of social justice, which places diversity as a strength and not an obstacle in the learning process</w:t>
      </w:r>
      <w:r>
        <w:rPr>
          <w:rFonts w:ascii="Times New Roman" w:eastAsia="Times New Roman" w:hAnsi="Times New Roman" w:cs="Times New Roman"/>
          <w:color w:val="000000"/>
          <w:sz w:val="24"/>
          <w:szCs w:val="24"/>
        </w:rPr>
        <w:t xml:space="preserve"> </w:t>
      </w:r>
      <w:r w:rsidRPr="0072453A">
        <w:rPr>
          <w:rFonts w:ascii="Times New Roman" w:eastAsia="Times New Roman" w:hAnsi="Times New Roman" w:cs="Times New Roman"/>
          <w:color w:val="000000"/>
          <w:sz w:val="24"/>
          <w:szCs w:val="24"/>
        </w:rPr>
        <w:fldChar w:fldCharType="begin"/>
      </w:r>
      <w:r w:rsidR="00066BCA">
        <w:rPr>
          <w:rFonts w:ascii="Times New Roman" w:eastAsia="Times New Roman" w:hAnsi="Times New Roman" w:cs="Times New Roman"/>
          <w:color w:val="000000"/>
          <w:sz w:val="24"/>
          <w:szCs w:val="24"/>
        </w:rPr>
        <w:instrText xml:space="preserve"> ADDIN ZOTERO_ITEM CSL_CITATION {"citationID":"GRCUu5TL","properties":{"formattedCitation":"(Devine &amp; Ash, 2022)","plainCitation":"(Devine &amp; Ash, 2022)","noteIndex":0},"citationItems":[{"id":"eqbFgLeb/H3EvcSz3","uris":["http://zotero.org/users/local/HTLpg2la/items/JS7N76CU"],"itemData":{"id":477,"type":"article-journal","abstract":"In this review, we utilize a narrative approach to synthesize the multidisciplinary literature on diversity training. In examining hundreds of articles on the topic, we discovered that the literature is amorphous and complex and does not allow us to reach decisive conclusions regarding best practices in diversity training. We note that scholars of diversity training, when testing the efficacy of their approaches, too often use proxy measures for success that are far removed from the types of consequential outcomes that reflect the purported goals of such trainings. We suggest that the enthusiasm for, and monetary investment in, diversity training has outpaced the available evidence that such programs are effective in achieving their goals. We recommend that researchers and practitioners work together for future investigations to propel the science of diversity training forward. We conclude with a roadmap for how to create a more rigorous and relevant science of diversity training.","container-title":"Annual Review of Psychology","DOI":"10.1146/annurev-psych-060221-122215","ISSN":"0066-4308, 1545-2085","issue":"Volume 73, 2022","language":"en","note":"publisher: Annual Reviews","page":"403-429","source":"www.annualreviews.org","title":"Diversity Training Goals, Limitations, and Promise: A Review of the Multidisciplinary Literature","title-short":"Diversity Training Goals, Limitations, and Promise","volume":"73","author":[{"family":"Devine","given":"Patricia G."},{"family":"Ash","given":"Tory L."}],"issued":{"date-parts":[["2022",1,4]]}}}],"schema":"https://github.com/citation-style-language/schema/raw/master/csl-citation.json"} </w:instrText>
      </w:r>
      <w:r w:rsidRPr="0072453A">
        <w:rPr>
          <w:rFonts w:ascii="Times New Roman" w:eastAsia="Times New Roman" w:hAnsi="Times New Roman" w:cs="Times New Roman"/>
          <w:color w:val="000000"/>
          <w:sz w:val="24"/>
          <w:szCs w:val="24"/>
        </w:rPr>
        <w:fldChar w:fldCharType="separate"/>
      </w:r>
      <w:r w:rsidRPr="0072453A">
        <w:rPr>
          <w:rFonts w:ascii="Times New Roman" w:eastAsia="Times New Roman" w:hAnsi="Times New Roman" w:cs="Times New Roman"/>
          <w:color w:val="000000"/>
          <w:sz w:val="24"/>
          <w:szCs w:val="24"/>
        </w:rPr>
        <w:t>(Devine &amp; Ash, 2022)</w:t>
      </w:r>
      <w:r w:rsidRPr="0072453A">
        <w:rPr>
          <w:rFonts w:ascii="Times New Roman" w:eastAsia="Times New Roman" w:hAnsi="Times New Roman" w:cs="Times New Roman"/>
          <w:color w:val="000000"/>
          <w:sz w:val="24"/>
          <w:szCs w:val="24"/>
        </w:rPr>
        <w:fldChar w:fldCharType="end"/>
      </w:r>
      <w:r>
        <w:rPr>
          <w:rFonts w:ascii="Times New Roman" w:eastAsia="Times New Roman" w:hAnsi="Times New Roman" w:cs="Times New Roman"/>
          <w:color w:val="000000"/>
          <w:sz w:val="24"/>
          <w:szCs w:val="24"/>
        </w:rPr>
        <w:t xml:space="preserve">. </w:t>
      </w:r>
      <w:r w:rsidRPr="0072453A">
        <w:rPr>
          <w:rFonts w:ascii="Times New Roman" w:eastAsia="Times New Roman" w:hAnsi="Times New Roman" w:cs="Times New Roman"/>
          <w:color w:val="000000"/>
          <w:sz w:val="24"/>
          <w:szCs w:val="24"/>
        </w:rPr>
        <w:t>In line with this principle, educational institutions at all levels are expected to accommodate differences in student abilities, backgrounds, and needs in a fair and dignified manner.</w:t>
      </w:r>
    </w:p>
    <w:p w14:paraId="2167060F" w14:textId="77777777" w:rsidR="0072453A" w:rsidRDefault="0072453A" w:rsidP="0072453A">
      <w:pPr>
        <w:spacing w:after="0" w:line="240" w:lineRule="auto"/>
        <w:ind w:firstLine="720"/>
        <w:jc w:val="both"/>
        <w:rPr>
          <w:rFonts w:ascii="Times New Roman" w:eastAsia="Times New Roman" w:hAnsi="Times New Roman" w:cs="Times New Roman"/>
          <w:color w:val="000000"/>
          <w:sz w:val="24"/>
          <w:szCs w:val="24"/>
        </w:rPr>
      </w:pPr>
      <w:r w:rsidRPr="0072453A">
        <w:rPr>
          <w:rFonts w:ascii="Times New Roman" w:eastAsia="Times New Roman" w:hAnsi="Times New Roman" w:cs="Times New Roman"/>
          <w:color w:val="000000"/>
          <w:sz w:val="24"/>
          <w:szCs w:val="24"/>
        </w:rPr>
        <w:t>Inclusive education has become a crucial foundation for the transformation of modern education systems, emphasizing equity and accessibility for all learners. Within this framework, the principle of diversity is viewed not as a barrier but as a source of strength that enriches the learning experience</w:t>
      </w:r>
      <w:r>
        <w:rPr>
          <w:rFonts w:ascii="Times New Roman" w:eastAsia="Times New Roman" w:hAnsi="Times New Roman" w:cs="Times New Roman"/>
          <w:color w:val="000000"/>
          <w:sz w:val="24"/>
          <w:szCs w:val="24"/>
        </w:rPr>
        <w:t xml:space="preserve"> </w:t>
      </w:r>
      <w:r w:rsidRPr="0072453A">
        <w:rPr>
          <w:rFonts w:ascii="Times New Roman" w:eastAsia="Times New Roman" w:hAnsi="Times New Roman" w:cs="Times New Roman"/>
          <w:color w:val="000000"/>
          <w:sz w:val="24"/>
          <w:szCs w:val="24"/>
        </w:rPr>
        <w:fldChar w:fldCharType="begin"/>
      </w:r>
      <w:r w:rsidRPr="0072453A">
        <w:rPr>
          <w:rFonts w:ascii="Times New Roman" w:eastAsia="Times New Roman" w:hAnsi="Times New Roman" w:cs="Times New Roman"/>
          <w:color w:val="000000"/>
          <w:sz w:val="24"/>
          <w:szCs w:val="24"/>
        </w:rPr>
        <w:instrText xml:space="preserve"> ADDIN ZOTERO_ITEM CSL_CITATION {"citationID":"Rfm84JD1","properties":{"formattedCitation":"(Jardinez &amp; Natividad, 2024)","plainCitation":"(Jardinez &amp; Natividad, 2024)","noteIndex":0},"citationItems":[{"id":146,"uris":["http://zotero.org/users/local/zJdtKIUw/items/VNXAYVWD"],"itemData":{"id":146,"type":"article-journal","abstract":"Inclusive education is the process of integrating individuals with disabilities into a regular classroom, and it helps reflect the world's commitment to equal educational opportunities as outlined in UNCRPD. It emphasizes the importance of embracing diversity and promoting acceptance among students who are impaired. This paper examines why it is important to include learners with impairments into mainstream classes and the favorable attitudes towards inclusive education among teachers, administrators and students. Many barriers hinder its implementation such as lack of professional development for teachers, insufficient facilities for learning, difficulty in creating relationships between classmates, inadequate parent participation, and absence of legislations and policies that are aligned towards its practice. The role of several educational theories like social constructivism, humanistic approach and universal design for learning (UDL) have been discussed to show their relevance in addressing challenges found in inclusive learning. Social Constructivism shows how collaborative work can be used inside the classrooms so that peer rejection will be lessened. The approach that is humanistic stresses about the comprehensive growth all individuals while addressing the needs of learners with disabilities. UDL focuses on promoting an accessible learning environment and eliminating physical barriers to foster successful growth for all students. Moreover, this article underlines relevance of awareness on how children with impairments can be incorporated into conventional classrooms and benefits which inclusive education has for both disabled and non disabled students. In conclusion, this paper emphasized the transformative nature of inclusive education in fostering a learning atmosphere that promotes diversity, empathy, and acceptance, contributing to students' overall development.","container-title":"Shanlax International Journal of Education","ISSN":"2320-2653","issue":"2","language":"en","note":"publisher: Shanlax International Journals\nERIC Number: EJ1421555","page":"57-65","source":"ERIC","title":"The Advantages and Challenges of Inclusive Education: Striving for Equity in the Classroom","title-short":"The Advantages and Challenges of Inclusive Education","volume":"12","author":[{"family":"Jardinez","given":"Mayonel J."},{"family":"Natividad","given":"Lexter R."}],"issued":{"date-parts":[["2024",3]]}}}],"schema":"https://github.com/citation-style-language/schema/raw/master/csl-citation.json"} </w:instrText>
      </w:r>
      <w:r w:rsidRPr="0072453A">
        <w:rPr>
          <w:rFonts w:ascii="Times New Roman" w:eastAsia="Times New Roman" w:hAnsi="Times New Roman" w:cs="Times New Roman"/>
          <w:color w:val="000000"/>
          <w:sz w:val="24"/>
          <w:szCs w:val="24"/>
        </w:rPr>
        <w:fldChar w:fldCharType="separate"/>
      </w:r>
      <w:r w:rsidRPr="0072453A">
        <w:rPr>
          <w:rFonts w:ascii="Times New Roman" w:eastAsia="Times New Roman" w:hAnsi="Times New Roman" w:cs="Times New Roman"/>
          <w:color w:val="000000"/>
          <w:sz w:val="24"/>
          <w:szCs w:val="24"/>
        </w:rPr>
        <w:t>(Jardinez &amp; Natividad, 2024)</w:t>
      </w:r>
      <w:r w:rsidRPr="0072453A">
        <w:rPr>
          <w:rFonts w:ascii="Times New Roman" w:eastAsia="Times New Roman" w:hAnsi="Times New Roman" w:cs="Times New Roman"/>
          <w:color w:val="000000"/>
          <w:sz w:val="24"/>
          <w:szCs w:val="24"/>
        </w:rPr>
        <w:fldChar w:fldCharType="end"/>
      </w:r>
      <w:r>
        <w:rPr>
          <w:rFonts w:ascii="Times New Roman" w:eastAsia="Times New Roman" w:hAnsi="Times New Roman" w:cs="Times New Roman"/>
          <w:color w:val="000000"/>
          <w:sz w:val="24"/>
          <w:szCs w:val="24"/>
        </w:rPr>
        <w:t xml:space="preserve">. </w:t>
      </w:r>
      <w:r w:rsidRPr="0072453A">
        <w:rPr>
          <w:rFonts w:ascii="Times New Roman" w:eastAsia="Times New Roman" w:hAnsi="Times New Roman" w:cs="Times New Roman"/>
          <w:color w:val="000000"/>
          <w:sz w:val="24"/>
          <w:szCs w:val="24"/>
        </w:rPr>
        <w:t>This idea encourages a paradigm shift from a homogeneous approach to a more differential and adaptive approach, particularly in the context of learning in madrasas that are increasingly open to students with special needs.</w:t>
      </w:r>
    </w:p>
    <w:p w14:paraId="7BF8A7F2" w14:textId="7E5757AA" w:rsidR="0072453A" w:rsidRDefault="0072453A" w:rsidP="0072453A">
      <w:pPr>
        <w:spacing w:after="0" w:line="240" w:lineRule="auto"/>
        <w:ind w:firstLine="720"/>
        <w:jc w:val="both"/>
        <w:rPr>
          <w:rFonts w:ascii="Times New Roman" w:eastAsia="Times New Roman" w:hAnsi="Times New Roman" w:cs="Times New Roman"/>
          <w:color w:val="000000"/>
          <w:sz w:val="24"/>
          <w:szCs w:val="24"/>
        </w:rPr>
      </w:pPr>
      <w:r w:rsidRPr="0072453A">
        <w:rPr>
          <w:rFonts w:ascii="Times New Roman" w:eastAsia="Times New Roman" w:hAnsi="Times New Roman" w:cs="Times New Roman"/>
          <w:color w:val="000000"/>
          <w:sz w:val="24"/>
          <w:szCs w:val="24"/>
        </w:rPr>
        <w:t>The Indonesian government has responded to this need by establishing an inclusive education policy through various regulations, one of which is the Regulation of the Minister of National Education Number 70 of 2009</w:t>
      </w:r>
      <w:r>
        <w:rPr>
          <w:rFonts w:ascii="Times New Roman" w:eastAsia="Times New Roman" w:hAnsi="Times New Roman" w:cs="Times New Roman"/>
          <w:color w:val="000000"/>
          <w:sz w:val="24"/>
          <w:szCs w:val="24"/>
        </w:rPr>
        <w:t xml:space="preserve"> </w:t>
      </w:r>
      <w:r w:rsidRPr="0072453A">
        <w:rPr>
          <w:rFonts w:ascii="Times New Roman" w:eastAsia="Times New Roman" w:hAnsi="Times New Roman" w:cs="Times New Roman"/>
          <w:color w:val="000000"/>
          <w:sz w:val="24"/>
          <w:szCs w:val="24"/>
        </w:rPr>
        <w:fldChar w:fldCharType="begin"/>
      </w:r>
      <w:r w:rsidR="00066BCA">
        <w:rPr>
          <w:rFonts w:ascii="Times New Roman" w:eastAsia="Times New Roman" w:hAnsi="Times New Roman" w:cs="Times New Roman"/>
          <w:color w:val="000000"/>
          <w:sz w:val="24"/>
          <w:szCs w:val="24"/>
        </w:rPr>
        <w:instrText xml:space="preserve"> ADDIN ZOTERO_ITEM CSL_CITATION {"citationID":"6tidpDbS","properties":{"formattedCitation":"(Puspandari &amp; Sinaga, 2023)","plainCitation":"(Puspandari &amp; Sinaga, 2023)","noteIndex":0},"citationItems":[{"id":"eqbFgLeb/2GsTSFY0","uris":["http://zotero.org/users/local/HTLpg2la/items/FTBT5JDQ"],"itemData":{"id":480,"type":"article-journal","abstract":"Sistem pendidikan inklusif diharapkan mampu menjadi jawabannya karena dianggap dapat memberikan lebih banyak kesempatan kepada anak berkebutuhan khusus. Penelitian ini bertujuan untuk menganalisis regulasi yang secara khusus mengatur mengenai pendidikan inklusif di Indonesia serta dasar tanggung jawab negara dalam pemenuhan hak pendidikan inklusif di Indonesia. Penelitian ini menggunakan metode penelitian kualitatif, sehingga dapat memberikan gambaran atau uraian suatu keadaan pada objek yang diteliti. Hasil penelitian menunjukkan bahwa regulasi yang secara khusus mengatur mengenai pendidikan inklusif di Indonesia adalah Peraturan Menteri Pendidikan Nasional RI Nomor 70 Tahun 2009 tentang Pendidikan Inklusif bagi Peserta Didik yang memiliki Kelainan dan memiliki Potensi Kecerdasan dan/atau Bakat Istimewa. Dasar tanggung jawab negara dalam pemenuhan hak pendidikan inklusif di Indonesia adalah terdapat pada Pasal 4 ayat 1 dari Peraturan Menteri Pendidikan Nasional RI Nomor 70 Tahun 2009 tentang Pendidikan Inklusif bagi Peserta Didik yang memiliki Kelainan dan memiliki Potensi Kecerdasan dan/atau Bakat Istimewa diatur bahwa pendidikan diselenggarakan secara demokratis dan berkeadilan serta tidak diskriminatif dengan menjunjung tinggi hak asasi manusia, nilai keagamaan, nilai kultural, dan kemajemukan bangsa. Kemudian berlanjut di Pasal 5 ayat (1), (2) dan (4) yang mengatur bahwa setiap warga negara mempunyai hak yang sama untuk memperoleh pendidikan yang bermutu. Warga negara yang memiliki kelainan fisik, emosional, mental, intelektual, dan/atau sosial berhak memperoleh pendidikan khusus. Serta warga negara yang memiliki potensi kecerdasan dan bakat istimewa berhak memperoleh pendidikan khusus. Dari pengaturan tersebut, terlihat bahwa pendidikan inklusif merupakan bentuk tanggung jawab pemerintah sebagai bagian dalam memenuhi dan menghormati hak asasi manusia.","container-title":"Jurnal Ilmiah Publika","DOI":"10.33603/publika.v11i1.8269","ISSN":"2684-8295","issue":"1","language":"id","license":"Copyright (c) 2023 Jurnal Ilmiah Publika","note":"number: 1","page":"305-315","source":"www.ejournalugj.com","title":"TANGGUNG JAWAB NEGARA DALAM PEMENUHAN HAK PENDIDIKAN INKLUSIF DI INDONESIA","volume":"11","author":[{"family":"Puspandari","given":"Kartika"},{"family":"Sinaga","given":"Yunita"}],"issued":{"date-parts":[["2023",2,5]]}}}],"schema":"https://github.com/citation-style-language/schema/raw/master/csl-citation.json"} </w:instrText>
      </w:r>
      <w:r w:rsidRPr="0072453A">
        <w:rPr>
          <w:rFonts w:ascii="Times New Roman" w:eastAsia="Times New Roman" w:hAnsi="Times New Roman" w:cs="Times New Roman"/>
          <w:color w:val="000000"/>
          <w:sz w:val="24"/>
          <w:szCs w:val="24"/>
        </w:rPr>
        <w:fldChar w:fldCharType="separate"/>
      </w:r>
      <w:r w:rsidRPr="0072453A">
        <w:rPr>
          <w:rFonts w:ascii="Times New Roman" w:eastAsia="Times New Roman" w:hAnsi="Times New Roman" w:cs="Times New Roman"/>
          <w:color w:val="000000"/>
          <w:sz w:val="24"/>
          <w:szCs w:val="24"/>
        </w:rPr>
        <w:t>(Puspandari &amp; Sinaga, 2023)</w:t>
      </w:r>
      <w:r w:rsidRPr="0072453A">
        <w:rPr>
          <w:rFonts w:ascii="Times New Roman" w:eastAsia="Times New Roman" w:hAnsi="Times New Roman" w:cs="Times New Roman"/>
          <w:color w:val="000000"/>
          <w:sz w:val="24"/>
          <w:szCs w:val="24"/>
        </w:rPr>
        <w:fldChar w:fldCharType="end"/>
      </w:r>
      <w:r>
        <w:rPr>
          <w:rFonts w:ascii="Times New Roman" w:eastAsia="Times New Roman" w:hAnsi="Times New Roman" w:cs="Times New Roman"/>
          <w:color w:val="000000"/>
          <w:sz w:val="24"/>
          <w:szCs w:val="24"/>
        </w:rPr>
        <w:t xml:space="preserve">. </w:t>
      </w:r>
      <w:r w:rsidRPr="0072453A">
        <w:rPr>
          <w:rFonts w:ascii="Times New Roman" w:eastAsia="Times New Roman" w:hAnsi="Times New Roman" w:cs="Times New Roman"/>
          <w:color w:val="000000"/>
          <w:sz w:val="24"/>
          <w:szCs w:val="24"/>
        </w:rPr>
        <w:t>In this context, madrasas, as formal religious educational institutions, play a vital role in providing inclusive education. However, the implementation of inclusive education in madrasas has not been fully optimal. Various structural, cultural, and pedagogical obstacles remain major challenges</w:t>
      </w:r>
      <w:r>
        <w:rPr>
          <w:rFonts w:ascii="Times New Roman" w:eastAsia="Times New Roman" w:hAnsi="Times New Roman" w:cs="Times New Roman"/>
          <w:color w:val="000000"/>
          <w:sz w:val="24"/>
          <w:szCs w:val="24"/>
        </w:rPr>
        <w:t xml:space="preserve"> </w:t>
      </w:r>
      <w:r w:rsidRPr="0072453A">
        <w:rPr>
          <w:rFonts w:ascii="Times New Roman" w:eastAsia="Times New Roman" w:hAnsi="Times New Roman" w:cs="Times New Roman"/>
          <w:color w:val="000000"/>
          <w:sz w:val="24"/>
          <w:szCs w:val="24"/>
        </w:rPr>
        <w:fldChar w:fldCharType="begin"/>
      </w:r>
      <w:r w:rsidR="00066BCA">
        <w:rPr>
          <w:rFonts w:ascii="Times New Roman" w:eastAsia="Times New Roman" w:hAnsi="Times New Roman" w:cs="Times New Roman"/>
          <w:color w:val="000000"/>
          <w:sz w:val="24"/>
          <w:szCs w:val="24"/>
        </w:rPr>
        <w:instrText xml:space="preserve"> ADDIN ZOTERO_ITEM CSL_CITATION {"citationID":"ygMotrC4","properties":{"formattedCitation":"(Syaifudin, 2021)","plainCitation":"(Syaifudin, 2021)","noteIndex":0},"citationItems":[{"id":"eqbFgLeb/BFMPY75S","uris":["http://zotero.org/users/local/HTLpg2la/items/MCHBZLSU"],"itemData":{"id":482,"type":"article-journal","abstract":"Many madrasas provide inclusive education, but have not yet received formal legal recognition from the government. So that the operational process is not implemented optimally. Therefore, this study attempts to analyze the implementation of inclusive education in East Java with the locus of MI Badrus Salam Surabaya, MINU Miftahul Ulum 91 Plinggisan Kraton Pasuruan and MI Terpadu Ar-Roihan Malang. The three were chosen because they have received operational permits to provide inclusive education since 2016. The type of research used was qualitative-descriptive with data collection methods, namely participant observation, in-depth interviews and documentation. From this research, it can be concluded that: firstly, the implementation of inclusive education at MI Badrus Salam Surabaya, MINU Miftahul Ulum 91 Plinggisan Kraton Pasuruan and MI Terpadu Ar-Roihan Malang is very good in terms of learning curriculum and creating an inclusive friendly environment. In providing GPK with ABK ratio, only MI Terpadu Ar-Roihan Malang is ideal compared to 2 other madrasas. Second, inclusive education is very meaningful for stakeholders in the three institutions. This is evidenced by the maximum support from madrasa heads, teachers, the government (in this case the Ministry of Religion), the business world and the industrial world in implementing inclusion programs in madrasas.","container-title":"EL-BANAT: Jurnal Pemikiran dan Pendidikan Islam","DOI":"10.54180/elbanat.2021.11.2.184-200","ISSN":"2579-8995","issue":"2","language":"en","license":"Copyright (c) 2021 EL-BANAT: Jurnal Pemikiran dan Pendidikan Islam","note":"number: 2","page":"184-200","source":"ejournal.kopertais4.or.id","title":"Implementasi Pendidikan Inklusif di Madrasah Ibtidaiyah di Jawa Timur","volume":"11","author":[{"family":"Syaifudin","given":"Mochamad"}],"issued":{"date-parts":[["2021",12,31]]}}}],"schema":"https://github.com/citation-style-language/schema/raw/master/csl-citation.json"} </w:instrText>
      </w:r>
      <w:r w:rsidRPr="0072453A">
        <w:rPr>
          <w:rFonts w:ascii="Times New Roman" w:eastAsia="Times New Roman" w:hAnsi="Times New Roman" w:cs="Times New Roman"/>
          <w:color w:val="000000"/>
          <w:sz w:val="24"/>
          <w:szCs w:val="24"/>
        </w:rPr>
        <w:fldChar w:fldCharType="separate"/>
      </w:r>
      <w:r w:rsidRPr="0072453A">
        <w:rPr>
          <w:rFonts w:ascii="Times New Roman" w:eastAsia="Times New Roman" w:hAnsi="Times New Roman" w:cs="Times New Roman"/>
          <w:color w:val="000000"/>
          <w:sz w:val="24"/>
          <w:szCs w:val="24"/>
        </w:rPr>
        <w:t>(Syaifudin, 2021)</w:t>
      </w:r>
      <w:r w:rsidRPr="0072453A">
        <w:rPr>
          <w:rFonts w:ascii="Times New Roman" w:eastAsia="Times New Roman" w:hAnsi="Times New Roman" w:cs="Times New Roman"/>
          <w:color w:val="000000"/>
          <w:sz w:val="24"/>
          <w:szCs w:val="24"/>
        </w:rPr>
        <w:fldChar w:fldCharType="end"/>
      </w:r>
      <w:r w:rsidRPr="0072453A">
        <w:rPr>
          <w:rFonts w:ascii="Times New Roman" w:eastAsia="Times New Roman" w:hAnsi="Times New Roman" w:cs="Times New Roman"/>
          <w:color w:val="000000"/>
          <w:sz w:val="24"/>
          <w:szCs w:val="24"/>
        </w:rPr>
        <w:t>.</w:t>
      </w:r>
    </w:p>
    <w:p w14:paraId="6E729F9B" w14:textId="661AA91F" w:rsidR="0072453A" w:rsidRDefault="0072453A" w:rsidP="0072453A">
      <w:pPr>
        <w:spacing w:after="0" w:line="240" w:lineRule="auto"/>
        <w:ind w:firstLine="720"/>
        <w:jc w:val="both"/>
        <w:rPr>
          <w:rFonts w:ascii="Times New Roman" w:eastAsia="Times New Roman" w:hAnsi="Times New Roman" w:cs="Times New Roman"/>
          <w:color w:val="000000"/>
          <w:sz w:val="24"/>
          <w:szCs w:val="24"/>
        </w:rPr>
      </w:pPr>
      <w:r w:rsidRPr="0072453A">
        <w:rPr>
          <w:rFonts w:ascii="Times New Roman" w:eastAsia="Times New Roman" w:hAnsi="Times New Roman" w:cs="Times New Roman"/>
          <w:color w:val="000000"/>
          <w:sz w:val="24"/>
          <w:szCs w:val="24"/>
        </w:rPr>
        <w:t>One of the real obstacles faced in implementing inclusive education in madrasas is the unpreparedness of inclusive learning devices</w:t>
      </w:r>
      <w:r>
        <w:rPr>
          <w:rFonts w:ascii="Times New Roman" w:eastAsia="Times New Roman" w:hAnsi="Times New Roman" w:cs="Times New Roman"/>
          <w:color w:val="000000"/>
          <w:sz w:val="24"/>
          <w:szCs w:val="24"/>
        </w:rPr>
        <w:t xml:space="preserve"> </w:t>
      </w:r>
      <w:r w:rsidRPr="0072453A">
        <w:rPr>
          <w:rFonts w:ascii="Times New Roman" w:eastAsia="Times New Roman" w:hAnsi="Times New Roman" w:cs="Times New Roman"/>
          <w:color w:val="000000"/>
          <w:sz w:val="24"/>
          <w:szCs w:val="24"/>
        </w:rPr>
        <w:fldChar w:fldCharType="begin"/>
      </w:r>
      <w:r w:rsidR="00066BCA">
        <w:rPr>
          <w:rFonts w:ascii="Times New Roman" w:eastAsia="Times New Roman" w:hAnsi="Times New Roman" w:cs="Times New Roman"/>
          <w:color w:val="000000"/>
          <w:sz w:val="24"/>
          <w:szCs w:val="24"/>
        </w:rPr>
        <w:instrText xml:space="preserve"> ADDIN ZOTERO_ITEM CSL_CITATION {"citationID":"ZX7Mt3X2","properties":{"formattedCitation":"(Nurdin et al., 2024)","plainCitation":"(Nurdin et al., 2024)","noteIndex":0},"citationItems":[{"id":"eqbFgLeb/dRiIDeMS","uris":["http://zotero.org/users/local/HTLpg2la/items/HGGH5HIS"],"itemData":{"id":484,"type":"article-journal","abstract":"Purpose – This research aims to obtain information about the development and implementation of Islamic religious education curricula in inclusive schools or madrasas. An inclusive school or madrasah is an educational institution that provides opportunities for all students, including students with special needs, to study together with the help of accompanying teachers.\nDesign/methods/approach – This study used a systematic literature review of accredited articles from 2018-2023, data collected from Google Scholar, the Science and Technology Index of the Ministry of Education, Culture, Research and Technology of the Republic of Indonesia, and Scopus. Descriptive analysis techniques were used as data analysis techniques. The researcher obtained 120 articles, which further extracted and coded them using the NVivo application, and then found 25 articles that met the TAPUPAS criteria and were relevant to the research question.\nFindings – Based on the results of the analysis and literature review, some conclusions have been drawn. First, developing an inclusive Islamic religious education curriculum in schools or madrasas has been adjusted to the character of students with special needs and the simplification of subject matter. Meanwhile, the obstacle for Islamic teachers in developing the curriculum is the lack of knowledge to identify students with special needs and limited learning resources and media about it. Second, the implementation is in the form of the application of individual approaches, varied models and methods that have an impact on the effectiveness of learning, and visual media and assessment techniques based on basic abilities for students with special needs in inclusive schools or madrasas.\nResearch implications/limitations – The results of this study still have limitations in the number of articles analyzed and reviewed, especially those published in Sinta 1 accredited journals.\nOriginality/value – This study can be used as a reference for future research, which is expected to provide a more comprehensive study so that the research findings can be improved or perfect.","container-title":"Jurnal Pendidikan Agama Islam","DOI":"10.14421/jpai.v21i1.6907","ISSN":"2502-2075","issue":"1","language":"en","license":"Copyright (c) 2024 Arbain Nurdin, Hendra, Khozin, Abdul Haris, Nurul Zainab, Mohammad Zaini Yahaya","note":"number: 1","page":"94-110","source":"ejournal.uin-suka.ac.id","title":"Developing the Islamic Religious Education Curriculum in Inclusive Schools or Madrasah and Its Implementation: A Systematic Literature Review","title-short":"Developing the Islamic Religious Education Curriculum in Inclusive Schools or Madrasah and Its Implementation","volume":"21","author":[{"family":"Nurdin","given":"Arbain"},{"family":"Hendra","given":""},{"family":"Khozin","given":""},{"family":"Haris","given":"Abdul"},{"family":"Zainab","given":"Nurul"},{"family":"Yahaya","given":"Mohammad Zaini"}],"issued":{"date-parts":[["2024",6,30]]}}}],"schema":"https://github.com/citation-style-language/schema/raw/master/csl-citation.json"} </w:instrText>
      </w:r>
      <w:r w:rsidRPr="0072453A">
        <w:rPr>
          <w:rFonts w:ascii="Times New Roman" w:eastAsia="Times New Roman" w:hAnsi="Times New Roman" w:cs="Times New Roman"/>
          <w:color w:val="000000"/>
          <w:sz w:val="24"/>
          <w:szCs w:val="24"/>
        </w:rPr>
        <w:fldChar w:fldCharType="separate"/>
      </w:r>
      <w:r w:rsidRPr="0072453A">
        <w:rPr>
          <w:rFonts w:ascii="Times New Roman" w:eastAsia="Times New Roman" w:hAnsi="Times New Roman" w:cs="Times New Roman"/>
          <w:color w:val="000000"/>
          <w:sz w:val="24"/>
          <w:szCs w:val="24"/>
        </w:rPr>
        <w:t>(Nurdin et al., 2024)</w:t>
      </w:r>
      <w:r w:rsidRPr="0072453A">
        <w:rPr>
          <w:rFonts w:ascii="Times New Roman" w:eastAsia="Times New Roman" w:hAnsi="Times New Roman" w:cs="Times New Roman"/>
          <w:color w:val="000000"/>
          <w:sz w:val="24"/>
          <w:szCs w:val="24"/>
        </w:rPr>
        <w:fldChar w:fldCharType="end"/>
      </w:r>
      <w:r w:rsidRPr="0072453A">
        <w:rPr>
          <w:rFonts w:ascii="Times New Roman" w:eastAsia="Times New Roman" w:hAnsi="Times New Roman" w:cs="Times New Roman"/>
          <w:color w:val="000000"/>
          <w:sz w:val="24"/>
          <w:szCs w:val="24"/>
        </w:rPr>
        <w:t>, especially in Arabic language learning. This subject has quite complex linguistic characteristics, both in terms of grammatical structure and vocabulary</w:t>
      </w:r>
      <w:r>
        <w:rPr>
          <w:rFonts w:ascii="Times New Roman" w:eastAsia="Times New Roman" w:hAnsi="Times New Roman" w:cs="Times New Roman"/>
          <w:color w:val="000000"/>
          <w:sz w:val="24"/>
          <w:szCs w:val="24"/>
        </w:rPr>
        <w:t xml:space="preserve"> </w:t>
      </w:r>
      <w:r w:rsidRPr="0072453A">
        <w:rPr>
          <w:rFonts w:ascii="Times New Roman" w:eastAsia="Times New Roman" w:hAnsi="Times New Roman" w:cs="Times New Roman"/>
          <w:color w:val="000000"/>
          <w:sz w:val="24"/>
          <w:szCs w:val="24"/>
        </w:rPr>
        <w:fldChar w:fldCharType="begin"/>
      </w:r>
      <w:r w:rsidR="00066BCA">
        <w:rPr>
          <w:rFonts w:ascii="Times New Roman" w:eastAsia="Times New Roman" w:hAnsi="Times New Roman" w:cs="Times New Roman"/>
          <w:color w:val="000000"/>
          <w:sz w:val="24"/>
          <w:szCs w:val="24"/>
        </w:rPr>
        <w:instrText xml:space="preserve"> ADDIN ZOTERO_ITEM CSL_CITATION {"citationID":"3n8zPEZ1","properties":{"formattedCitation":"(Issa, 2023)","plainCitation":"(Issa, 2023)","noteIndex":0},"citationItems":[{"id":"eqbFgLeb/LpQKJQgn","uris":["http://zotero.org/users/local/HTLpg2la/items/DLNW253M"],"itemData":{"id":486,"type":"article-journal","abstract":"Spelling poses a challenge to Arabic-speaking learners due to the complexity of the morphological and orthographic systems in Arabic. Arabic morphology has been argued to play a critical role in spelling since its morphological operations are built on a system consisting of a root that is interlocking into different patterns of vowels to form different categories of words. This study made a detailed classification of spelling errors in a word dictation task, based on morphological structures, undertaken by 107 Typically-developing learners (TD) and learners with learning disabilities (LD) attending the same schools in Jordan. All participants ranged in age from 7 years, 3 months to 15 years, 2 months (grades 2 to 8). The spelling task was made up of 400 common words representing most morphological forms in different conjugations and grammatical classes. The results indicated that TD and LD learners follow a similar pattern of complexity even though the LD group produced more errors than the TD group. Both groups encountered more difficulties in passive voice forms followed by active voice forms. Furthermore, both groups spelled nouns, verbal nouns and derivations more accurately than verbal forms (active and passive voice). The results provide additional evidence for the nonlinear growth of morphological knowledge in spelling. In addition, spelling errors suggested that the spelling process goes in a hierarchical way where words can be accessed and processed either according to the root or according to the stem. Therefore, roots or stems are firstly accessed and attached to basic word patterns (the grapheme without diacritics and affixes). Thereafter, prefixes and, then, suffixes are attached to the word pattern and, finally, diacritics are accessed and attached to the word pattern.","container-title":"Journal of Psycholinguistic Research","DOI":"10.1007/s10936-022-09896-2","ISSN":"1573-6555","issue":"1","journalAbbreviation":"J Psycholinguist Res","language":"en","page":"331-357","source":"Springer Link","title":"Morphological Complexity in Arabic Spelling and Its Implication for Cognitive Processing","volume":"52","author":[{"family":"Issa","given":"Iyad"}],"issued":{"date-parts":[["2023",2,1]]}}}],"schema":"https://github.com/citation-style-language/schema/raw/master/csl-citation.json"} </w:instrText>
      </w:r>
      <w:r w:rsidRPr="0072453A">
        <w:rPr>
          <w:rFonts w:ascii="Times New Roman" w:eastAsia="Times New Roman" w:hAnsi="Times New Roman" w:cs="Times New Roman"/>
          <w:color w:val="000000"/>
          <w:sz w:val="24"/>
          <w:szCs w:val="24"/>
        </w:rPr>
        <w:fldChar w:fldCharType="separate"/>
      </w:r>
      <w:r w:rsidRPr="0072453A">
        <w:rPr>
          <w:rFonts w:ascii="Times New Roman" w:eastAsia="Times New Roman" w:hAnsi="Times New Roman" w:cs="Times New Roman"/>
          <w:color w:val="000000"/>
          <w:sz w:val="24"/>
          <w:szCs w:val="24"/>
        </w:rPr>
        <w:t>(Issa, 2023)</w:t>
      </w:r>
      <w:r w:rsidRPr="0072453A">
        <w:rPr>
          <w:rFonts w:ascii="Times New Roman" w:eastAsia="Times New Roman" w:hAnsi="Times New Roman" w:cs="Times New Roman"/>
          <w:color w:val="000000"/>
          <w:sz w:val="24"/>
          <w:szCs w:val="24"/>
        </w:rPr>
        <w:fldChar w:fldCharType="end"/>
      </w:r>
      <w:r>
        <w:rPr>
          <w:rFonts w:ascii="Times New Roman" w:eastAsia="Times New Roman" w:hAnsi="Times New Roman" w:cs="Times New Roman"/>
          <w:color w:val="000000"/>
          <w:sz w:val="24"/>
          <w:szCs w:val="24"/>
        </w:rPr>
        <w:t xml:space="preserve">. </w:t>
      </w:r>
      <w:r w:rsidRPr="0072453A">
        <w:rPr>
          <w:rFonts w:ascii="Times New Roman" w:eastAsia="Times New Roman" w:hAnsi="Times New Roman" w:cs="Times New Roman"/>
          <w:color w:val="000000"/>
          <w:sz w:val="24"/>
          <w:szCs w:val="24"/>
        </w:rPr>
        <w:t>This presents a unique challenge for students with special needs, especially those with cognitive, motor, or visual or hearing impairments.</w:t>
      </w:r>
    </w:p>
    <w:p w14:paraId="13823410" w14:textId="2F6276CC" w:rsidR="0072453A" w:rsidRDefault="0072453A" w:rsidP="0072453A">
      <w:pPr>
        <w:spacing w:after="0" w:line="240" w:lineRule="auto"/>
        <w:ind w:firstLine="720"/>
        <w:jc w:val="both"/>
        <w:rPr>
          <w:rFonts w:ascii="Times New Roman" w:eastAsia="Times New Roman" w:hAnsi="Times New Roman" w:cs="Times New Roman"/>
          <w:color w:val="000000"/>
          <w:sz w:val="24"/>
          <w:szCs w:val="24"/>
        </w:rPr>
      </w:pPr>
      <w:r w:rsidRPr="0072453A">
        <w:rPr>
          <w:rFonts w:ascii="Times New Roman" w:eastAsia="Times New Roman" w:hAnsi="Times New Roman" w:cs="Times New Roman"/>
          <w:color w:val="000000"/>
          <w:sz w:val="24"/>
          <w:szCs w:val="24"/>
        </w:rPr>
        <w:t>Ideally, teaching materials should be the main tool that is flexible and adaptive to differences in student abilities</w:t>
      </w:r>
      <w:r>
        <w:rPr>
          <w:rFonts w:ascii="Times New Roman" w:eastAsia="Times New Roman" w:hAnsi="Times New Roman" w:cs="Times New Roman"/>
          <w:color w:val="000000"/>
          <w:sz w:val="24"/>
          <w:szCs w:val="24"/>
        </w:rPr>
        <w:t xml:space="preserve"> </w:t>
      </w:r>
      <w:r w:rsidRPr="0072453A">
        <w:rPr>
          <w:rFonts w:ascii="Times New Roman" w:eastAsia="Times New Roman" w:hAnsi="Times New Roman" w:cs="Times New Roman"/>
          <w:color w:val="000000"/>
          <w:sz w:val="24"/>
          <w:szCs w:val="24"/>
        </w:rPr>
        <w:fldChar w:fldCharType="begin"/>
      </w:r>
      <w:r w:rsidR="00066BCA">
        <w:rPr>
          <w:rFonts w:ascii="Times New Roman" w:eastAsia="Times New Roman" w:hAnsi="Times New Roman" w:cs="Times New Roman"/>
          <w:color w:val="000000"/>
          <w:sz w:val="24"/>
          <w:szCs w:val="24"/>
        </w:rPr>
        <w:instrText xml:space="preserve"> ADDIN ZOTERO_ITEM CSL_CITATION {"citationID":"Tc3T8DGY","properties":{"formattedCitation":"(Isaeva et al., 2025)","plainCitation":"(Isaeva et al., 2025)","noteIndex":0},"citationItems":[{"id":"eqbFgLeb/QlYZIfRx","uris":["http://zotero.org/users/local/HTLpg2la/items/N5EIAAGA"],"itemData":{"id":487,"type":"article-journal","abstract":"The integration of adaptive learning platforms and emerging computer technologies has transformed education by personalizing learning experiences and increasing accessibility. However, challenges such as uneven access, inadequate teacher training, and technical limitations hinder their full potential. This study examines the impact of major educational platforms (Coursera, Khan Academy, edX) and adaptive technologies on the learning process, aiming to assess their effectiveness in diverse educational contexts. A mixed-methods approach was employed, combining qualitative content analysis of educational platforms such as Coursera, Khan Academy, and edX with quantitative assessment of their features, engagement levels, and effectiveness. The study analyzed data from educational institutions in Kyrgyzstan, Ukraine, and Azerbaijan, focusing on the role of analytics, interactive elements, and gamification in enhancing learning outcomes. Findings indicate that adaptive platforms enhance accessibility and flexibility in learning while offering real-time analytics for personalized feedback. Virtual labs, such as those utilizing the Quanser QNET DC Motor Control Board, demonstrated the feasibility of remote practical training. However, successful implementation depends on comprehensive planning, infrastructure readiness, and continuous professional development for educators. The study contributes to understanding the role of adaptive learning in addressing educational disparities. It highlights the necessity of institutional support and teacher training for the effective use of these technologies. Novel insights include the potential of integrating AI-driven analytics to optimize personalized learning experiences. Future research should explore long-term impacts on student engagement and academic performance, particularly in under-resourced educational settings.","container-title":"Jurnal Ilmiah Ilmu Terapan Universitas Jambi","DOI":"10.22437/jiituj.v9i1.37967","ISSN":"2580-2259","issue":"1","language":"en","license":"Copyright (c) 2025 Rapiia Isaeva, Nazgul Karasartova, Kalyibubu Dznunusnalieva, Kabira Mirzoeva, Mykola Mokliuk","note":"number: 1","page":"144-160","source":"online-journal.unja.ac.id","title":"ENHANCING LEARNING EFFECTIVENESS THROUGH ADAPTIVE LEARNING PLATFORMS AND EMERGING COMPUTER TECHNOLOGIES IN EDUCATION","volume":"9","author":[{"family":"Isaeva","given":"Rapiia"},{"family":"Karasartova","given":"Nazgul"},{"family":"Dznunusnalieva","given":"Kalyibubu"},{"family":"Mirzoeva","given":"Kabira"},{"family":"Mokliuk","given":"Mykola"}],"issued":{"date-parts":[["2025",2,16]]}}}],"schema":"https://github.com/citation-style-language/schema/raw/master/csl-citation.json"} </w:instrText>
      </w:r>
      <w:r w:rsidRPr="0072453A">
        <w:rPr>
          <w:rFonts w:ascii="Times New Roman" w:eastAsia="Times New Roman" w:hAnsi="Times New Roman" w:cs="Times New Roman"/>
          <w:color w:val="000000"/>
          <w:sz w:val="24"/>
          <w:szCs w:val="24"/>
        </w:rPr>
        <w:fldChar w:fldCharType="separate"/>
      </w:r>
      <w:r w:rsidRPr="0072453A">
        <w:rPr>
          <w:rFonts w:ascii="Times New Roman" w:eastAsia="Times New Roman" w:hAnsi="Times New Roman" w:cs="Times New Roman"/>
          <w:color w:val="000000"/>
          <w:sz w:val="24"/>
          <w:szCs w:val="24"/>
        </w:rPr>
        <w:t>(Isaeva et al., 2025)</w:t>
      </w:r>
      <w:r w:rsidRPr="0072453A">
        <w:rPr>
          <w:rFonts w:ascii="Times New Roman" w:eastAsia="Times New Roman" w:hAnsi="Times New Roman" w:cs="Times New Roman"/>
          <w:color w:val="000000"/>
          <w:sz w:val="24"/>
          <w:szCs w:val="24"/>
        </w:rPr>
        <w:fldChar w:fldCharType="end"/>
      </w:r>
      <w:r>
        <w:rPr>
          <w:rFonts w:ascii="Times New Roman" w:eastAsia="Times New Roman" w:hAnsi="Times New Roman" w:cs="Times New Roman"/>
          <w:color w:val="000000"/>
          <w:sz w:val="24"/>
          <w:szCs w:val="24"/>
        </w:rPr>
        <w:t xml:space="preserve">. </w:t>
      </w:r>
      <w:r w:rsidRPr="0072453A">
        <w:rPr>
          <w:rFonts w:ascii="Times New Roman" w:eastAsia="Times New Roman" w:hAnsi="Times New Roman" w:cs="Times New Roman"/>
          <w:color w:val="000000"/>
          <w:sz w:val="24"/>
          <w:szCs w:val="24"/>
        </w:rPr>
        <w:t>Adaptive teaching materials not only provide learning content, but also accommodate delivery strategies that are appropriate to the conditions and learning styles of students</w:t>
      </w:r>
      <w:r>
        <w:rPr>
          <w:rFonts w:ascii="Times New Roman" w:eastAsia="Times New Roman" w:hAnsi="Times New Roman" w:cs="Times New Roman"/>
          <w:color w:val="000000"/>
          <w:sz w:val="24"/>
          <w:szCs w:val="24"/>
        </w:rPr>
        <w:t xml:space="preserve"> </w:t>
      </w:r>
      <w:r w:rsidRPr="0072453A">
        <w:rPr>
          <w:rFonts w:ascii="Times New Roman" w:eastAsia="Times New Roman" w:hAnsi="Times New Roman" w:cs="Times New Roman"/>
          <w:color w:val="000000"/>
          <w:sz w:val="24"/>
          <w:szCs w:val="24"/>
        </w:rPr>
        <w:fldChar w:fldCharType="begin"/>
      </w:r>
      <w:r w:rsidR="00066BCA">
        <w:rPr>
          <w:rFonts w:ascii="Times New Roman" w:eastAsia="Times New Roman" w:hAnsi="Times New Roman" w:cs="Times New Roman"/>
          <w:color w:val="000000"/>
          <w:sz w:val="24"/>
          <w:szCs w:val="24"/>
        </w:rPr>
        <w:instrText xml:space="preserve"> ADDIN ZOTERO_ITEM CSL_CITATION {"citationID":"LYnrzJk4","properties":{"formattedCitation":"(El-Sabagh, 2021)","plainCitation":"(El-Sabagh, 2021)","noteIndex":0},"citationItems":[{"id":"eqbFgLeb/dScIZF3I","uris":["http://zotero.org/users/local/HTLpg2la/items/M49DXGSG"],"itemData":{"id":489,"type":"article-journal","abstract":"Adaptive e-learning is viewed as stimulation to support learning and improve student engagement, so designing appropriate adaptive e-learning environments contributes to personalizing instruction to reinforce learning outcomes. The purpose of this paper is to design an adaptive e-learning environment based on students' learning styles and study the impact of the adaptive e-learning environment on students’ engagement. This research attempts as well to outline and compare the proposed adaptive e-learning environment with a conventional e-learning approach. The paper is based on mixed research methods that were used to study the impact as follows: Development method is used in designing the adaptive e-learning environment, a quasi-experimental research design for conducting the research experiment. The student engagement scale is used to measure the following affective and behavioral factors of engagement (skills, participation/interaction, performance, emotional). The results revealed that the experimental group is statistically significantly higher than those in the control group. These experimental results imply the potential of an adaptive e-learning environment to engage students towards learning. Several practical recommendations forward from this paper: how to design a base for adaptive e-learning based on the learning styles and their implementation; how to increase the impact of adaptive e-learning in education; how to raise cost efficiency of education. The proposed adaptive e-learning approach and the results can help e-learning institutes in designing and developing more customized and adaptive e-learning environments to reinforce student engagement.","container-title":"International Journal of Educational Technology in Higher Education","DOI":"10.1186/s41239-021-00289-4","ISSN":"2365-9440","issue":"1","journalAbbreviation":"Int J Educ Technol High Educ","language":"en","page":"53","source":"Springer Link","title":"Adaptive e-learning environment based on learning styles and its impact on development students' engagement","volume":"18","author":[{"family":"El-Sabagh","given":"Hassan A."}],"issued":{"date-parts":[["2021",10,1]]}}}],"schema":"https://github.com/citation-style-language/schema/raw/master/csl-citation.json"} </w:instrText>
      </w:r>
      <w:r w:rsidRPr="0072453A">
        <w:rPr>
          <w:rFonts w:ascii="Times New Roman" w:eastAsia="Times New Roman" w:hAnsi="Times New Roman" w:cs="Times New Roman"/>
          <w:color w:val="000000"/>
          <w:sz w:val="24"/>
          <w:szCs w:val="24"/>
        </w:rPr>
        <w:fldChar w:fldCharType="separate"/>
      </w:r>
      <w:r w:rsidRPr="0072453A">
        <w:rPr>
          <w:rFonts w:ascii="Times New Roman" w:eastAsia="Times New Roman" w:hAnsi="Times New Roman" w:cs="Times New Roman"/>
          <w:color w:val="000000"/>
          <w:sz w:val="24"/>
          <w:szCs w:val="24"/>
        </w:rPr>
        <w:t>(El-Sabagh, 2021)</w:t>
      </w:r>
      <w:r w:rsidRPr="0072453A">
        <w:rPr>
          <w:rFonts w:ascii="Times New Roman" w:eastAsia="Times New Roman" w:hAnsi="Times New Roman" w:cs="Times New Roman"/>
          <w:color w:val="000000"/>
          <w:sz w:val="24"/>
          <w:szCs w:val="24"/>
        </w:rPr>
        <w:fldChar w:fldCharType="end"/>
      </w:r>
      <w:r>
        <w:rPr>
          <w:rFonts w:ascii="Times New Roman" w:eastAsia="Times New Roman" w:hAnsi="Times New Roman" w:cs="Times New Roman"/>
          <w:color w:val="000000"/>
          <w:sz w:val="24"/>
          <w:szCs w:val="24"/>
        </w:rPr>
        <w:t xml:space="preserve">. </w:t>
      </w:r>
      <w:r w:rsidRPr="0072453A">
        <w:rPr>
          <w:rFonts w:ascii="Times New Roman" w:eastAsia="Times New Roman" w:hAnsi="Times New Roman" w:cs="Times New Roman"/>
          <w:color w:val="000000"/>
          <w:sz w:val="24"/>
          <w:szCs w:val="24"/>
        </w:rPr>
        <w:t>Unfortunately, the reality on the ground shows that most Arabic language teaching materials used in madrasas are still one-dimensional, conventional, and designed without regard for the principle of inclusivity.</w:t>
      </w:r>
    </w:p>
    <w:p w14:paraId="6CC91276" w14:textId="77777777" w:rsidR="0072453A" w:rsidRDefault="0072453A" w:rsidP="0072453A">
      <w:pPr>
        <w:spacing w:after="0" w:line="240" w:lineRule="auto"/>
        <w:ind w:firstLine="720"/>
        <w:jc w:val="both"/>
        <w:rPr>
          <w:rFonts w:ascii="Times New Roman" w:eastAsia="Times New Roman" w:hAnsi="Times New Roman" w:cs="Times New Roman"/>
          <w:color w:val="000000"/>
          <w:sz w:val="24"/>
          <w:szCs w:val="24"/>
        </w:rPr>
      </w:pPr>
      <w:r w:rsidRPr="0072453A">
        <w:rPr>
          <w:rFonts w:ascii="Times New Roman" w:eastAsia="Times New Roman" w:hAnsi="Times New Roman" w:cs="Times New Roman"/>
          <w:color w:val="000000"/>
          <w:sz w:val="24"/>
          <w:szCs w:val="24"/>
        </w:rPr>
        <w:t>Madrasas, as educational institutions based on Islamic values, face a dual challenge: maintaining the integrity of the religious curriculum while addressing the demands of inclusive pedagogy. Implementing inclusive learning in madrasas is not simply about opening access, but also involves adapting materials, strategies, and teaching tools to suit the diverse needs of students. In this context, teaching materials play a key role as a bridge between curriculum objectives and classroom realities</w:t>
      </w:r>
      <w:r>
        <w:rPr>
          <w:rFonts w:ascii="Times New Roman" w:eastAsia="Times New Roman" w:hAnsi="Times New Roman" w:cs="Times New Roman"/>
          <w:color w:val="000000"/>
          <w:sz w:val="24"/>
          <w:szCs w:val="24"/>
        </w:rPr>
        <w:t xml:space="preserve"> </w:t>
      </w:r>
      <w:r w:rsidRPr="0072453A">
        <w:rPr>
          <w:rFonts w:ascii="Times New Roman" w:eastAsia="Times New Roman" w:hAnsi="Times New Roman" w:cs="Times New Roman"/>
          <w:color w:val="000000"/>
          <w:sz w:val="24"/>
          <w:szCs w:val="24"/>
        </w:rPr>
        <w:fldChar w:fldCharType="begin"/>
      </w:r>
      <w:r w:rsidRPr="0072453A">
        <w:rPr>
          <w:rFonts w:ascii="Times New Roman" w:eastAsia="Times New Roman" w:hAnsi="Times New Roman" w:cs="Times New Roman"/>
          <w:color w:val="000000"/>
          <w:sz w:val="24"/>
          <w:szCs w:val="24"/>
        </w:rPr>
        <w:instrText xml:space="preserve"> ADDIN ZOTERO_ITEM CSL_CITATION {"citationID":"kX3SUKoR","properties":{"formattedCitation":"(Shah &amp; Inamullah, 2025)","plainCitation":"(Shah &amp; Inamullah, 2025)","noteIndex":0},"citationItems":[{"id":148,"uris":["http://zotero.org/users/local/zJdtKIUw/items/2ARKGJ8Z"],"itemData":{"id":148,"type":"article-journal","abstract":"Madrassa education has long been a basis of Islamic learning, providing students with an inclusive understanding of Islamic principles, values, and practices. This study aimed to explore the multifaceted role of the Madrassa education system in fostering the moral sublimity of the students for societal development and social growth. The nature of this study was purely qualitative and a purposive sampling technique was used. The data was collected from the six respondents including two Muhtamim (Head of the Madrassa), two elementary and secondary school principals, and similarly two parents of those students who enrolled in Madrassas.&amp;nbsp; Two semi-structured interview guides were designed one for Madrassas Muhtamim (Heads of the Madrassas) and principals, and the rest for parents of the tribal district Mohmand, Khyber Pakhtunkhwa. The collected data from the participants was analyzed using a thematic analysis process. This study revealed that the collaboration of formal education and Islamic teachings provides an attractive lens to examine the complexities of moral growth and societal values in modern societies. This study recommends that the school of general and professional education should be given an opportunity to get training in madrassa education. Moral practices of Islam should be provided to students and the policymakers should formulate such types of policy to declare all types of immoralities as cognizable offenses in the light of Islamic teaching.","container-title":"Review Journal of Social Psychology &amp; Social Works","ISSN":"3006-4724","issue":"2","language":"en","license":"Copyright (c) 2025 Review Journal of Social Psychology &amp; Social Works","note":"number: 2","page":"63-72","source":"www.socialworksreview.com","title":"The Role of Madrassa Education in Cultivating Moral Excellence: A Qualitative Analysis","title-short":"The Role of Madrassa Education in Cultivating Moral Excellence","volume":"3","author":[{"family":"Shah","given":"Rambel"},{"family":"Inamullah","given":"Prof Dr Hafiz Muhammad"}],"issued":{"date-parts":[["2025",4,12]]}}}],"schema":"https://github.com/citation-style-language/schema/raw/master/csl-citation.json"} </w:instrText>
      </w:r>
      <w:r w:rsidRPr="0072453A">
        <w:rPr>
          <w:rFonts w:ascii="Times New Roman" w:eastAsia="Times New Roman" w:hAnsi="Times New Roman" w:cs="Times New Roman"/>
          <w:color w:val="000000"/>
          <w:sz w:val="24"/>
          <w:szCs w:val="24"/>
        </w:rPr>
        <w:fldChar w:fldCharType="separate"/>
      </w:r>
      <w:r w:rsidRPr="0072453A">
        <w:rPr>
          <w:rFonts w:ascii="Times New Roman" w:eastAsia="Times New Roman" w:hAnsi="Times New Roman" w:cs="Times New Roman"/>
          <w:color w:val="000000"/>
          <w:sz w:val="24"/>
          <w:szCs w:val="24"/>
        </w:rPr>
        <w:t>(Shah &amp; Inamullah, 2025)</w:t>
      </w:r>
      <w:r w:rsidRPr="0072453A">
        <w:rPr>
          <w:rFonts w:ascii="Times New Roman" w:eastAsia="Times New Roman" w:hAnsi="Times New Roman" w:cs="Times New Roman"/>
          <w:color w:val="000000"/>
          <w:sz w:val="24"/>
          <w:szCs w:val="24"/>
        </w:rPr>
        <w:fldChar w:fldCharType="end"/>
      </w:r>
      <w:r w:rsidRPr="0072453A">
        <w:rPr>
          <w:rFonts w:ascii="Times New Roman" w:eastAsia="Times New Roman" w:hAnsi="Times New Roman" w:cs="Times New Roman"/>
          <w:color w:val="000000"/>
          <w:sz w:val="24"/>
          <w:szCs w:val="24"/>
        </w:rPr>
        <w:t>.</w:t>
      </w:r>
    </w:p>
    <w:p w14:paraId="70CF6A18" w14:textId="0DC84DE7" w:rsidR="0072453A" w:rsidRDefault="0072453A" w:rsidP="0072453A">
      <w:pPr>
        <w:spacing w:after="0" w:line="240" w:lineRule="auto"/>
        <w:ind w:firstLine="720"/>
        <w:jc w:val="both"/>
        <w:rPr>
          <w:rFonts w:ascii="Times New Roman" w:eastAsia="Times New Roman" w:hAnsi="Times New Roman" w:cs="Times New Roman"/>
          <w:color w:val="000000"/>
          <w:sz w:val="24"/>
          <w:szCs w:val="24"/>
        </w:rPr>
      </w:pPr>
      <w:r w:rsidRPr="0072453A">
        <w:rPr>
          <w:rFonts w:ascii="Times New Roman" w:eastAsia="Times New Roman" w:hAnsi="Times New Roman" w:cs="Times New Roman"/>
          <w:color w:val="000000"/>
          <w:sz w:val="24"/>
          <w:szCs w:val="24"/>
        </w:rPr>
        <w:t>However, the reality on the ground shows that most available teaching materials, particularly in Arabic, are still uniform and lack adaptability. Arabic itself is known for its complex linguistic structure, across morphology, syntax, and semantics, posing unique challenges for regular students, let alone students with learning disabilities.</w:t>
      </w:r>
      <w:r w:rsidR="00020965">
        <w:rPr>
          <w:rFonts w:ascii="Times New Roman" w:eastAsia="Times New Roman" w:hAnsi="Times New Roman" w:cs="Times New Roman"/>
          <w:color w:val="000000"/>
          <w:sz w:val="24"/>
          <w:szCs w:val="24"/>
        </w:rPr>
        <w:t xml:space="preserve"> </w:t>
      </w:r>
      <w:r w:rsidR="00020965" w:rsidRPr="00020965">
        <w:rPr>
          <w:rFonts w:ascii="Times New Roman" w:eastAsia="Times New Roman" w:hAnsi="Times New Roman" w:cs="Times New Roman"/>
          <w:color w:val="000000"/>
          <w:sz w:val="24"/>
          <w:szCs w:val="24"/>
        </w:rPr>
        <w:t xml:space="preserve">Therefore, it is necessary to evaluate the Arabic language curriculum and instructional materials based on tracer studies </w:t>
      </w:r>
      <w:r w:rsidR="00F4557E" w:rsidRPr="00F4557E">
        <w:rPr>
          <w:rFonts w:ascii="Times New Roman" w:eastAsia="Times New Roman" w:hAnsi="Times New Roman" w:cs="Times New Roman"/>
          <w:color w:val="000000"/>
          <w:sz w:val="24"/>
          <w:szCs w:val="24"/>
        </w:rPr>
        <w:t>(Taufiq et al., 2024)</w:t>
      </w:r>
      <w:r w:rsidR="00F4557E">
        <w:rPr>
          <w:rFonts w:ascii="Times New Roman" w:eastAsia="Times New Roman" w:hAnsi="Times New Roman" w:cs="Times New Roman"/>
          <w:color w:val="000000"/>
          <w:sz w:val="24"/>
          <w:szCs w:val="24"/>
        </w:rPr>
        <w:t xml:space="preserve"> </w:t>
      </w:r>
      <w:r w:rsidR="00020965" w:rsidRPr="00020965">
        <w:rPr>
          <w:rFonts w:ascii="Times New Roman" w:eastAsia="Times New Roman" w:hAnsi="Times New Roman" w:cs="Times New Roman"/>
          <w:color w:val="000000"/>
          <w:sz w:val="24"/>
          <w:szCs w:val="24"/>
        </w:rPr>
        <w:t>and the needs of inclusive learners</w:t>
      </w:r>
      <w:r w:rsidR="00020965">
        <w:rPr>
          <w:rFonts w:ascii="Times New Roman" w:eastAsia="Times New Roman" w:hAnsi="Times New Roman" w:cs="Times New Roman"/>
          <w:color w:val="000000"/>
          <w:sz w:val="24"/>
          <w:szCs w:val="24"/>
        </w:rPr>
        <w:t>.</w:t>
      </w:r>
    </w:p>
    <w:p w14:paraId="511CDEAA" w14:textId="77777777" w:rsidR="0072453A" w:rsidRDefault="0072453A" w:rsidP="0072453A">
      <w:pPr>
        <w:spacing w:after="0" w:line="240" w:lineRule="auto"/>
        <w:ind w:firstLine="720"/>
        <w:jc w:val="both"/>
        <w:rPr>
          <w:rFonts w:ascii="Times New Roman" w:eastAsia="Times New Roman" w:hAnsi="Times New Roman" w:cs="Times New Roman"/>
          <w:color w:val="000000"/>
          <w:sz w:val="24"/>
          <w:szCs w:val="24"/>
        </w:rPr>
      </w:pPr>
      <w:r w:rsidRPr="0072453A">
        <w:rPr>
          <w:rFonts w:ascii="Times New Roman" w:eastAsia="Times New Roman" w:hAnsi="Times New Roman" w:cs="Times New Roman"/>
          <w:color w:val="000000"/>
          <w:sz w:val="24"/>
          <w:szCs w:val="24"/>
        </w:rPr>
        <w:lastRenderedPageBreak/>
        <w:t>Universal Design for Learning (UDL) theory, as described by CAST (2021), offers a relevant theoretical framework for designing instructional materials that are accessible to all students. UDL emphasizes three key principles: presenting information in a variety of formats, providing students with choices in how they express their learning, and fostering sustained motivation and engagement</w:t>
      </w:r>
      <w:r>
        <w:rPr>
          <w:rFonts w:ascii="Times New Roman" w:eastAsia="Times New Roman" w:hAnsi="Times New Roman" w:cs="Times New Roman"/>
          <w:color w:val="000000"/>
          <w:sz w:val="24"/>
          <w:szCs w:val="24"/>
        </w:rPr>
        <w:t xml:space="preserve"> </w:t>
      </w:r>
      <w:r w:rsidRPr="0072453A">
        <w:rPr>
          <w:rFonts w:ascii="Times New Roman" w:eastAsia="Times New Roman" w:hAnsi="Times New Roman" w:cs="Times New Roman"/>
          <w:color w:val="000000"/>
          <w:sz w:val="24"/>
          <w:szCs w:val="24"/>
        </w:rPr>
        <w:fldChar w:fldCharType="begin"/>
      </w:r>
      <w:r w:rsidRPr="0072453A">
        <w:rPr>
          <w:rFonts w:ascii="Times New Roman" w:eastAsia="Times New Roman" w:hAnsi="Times New Roman" w:cs="Times New Roman"/>
          <w:color w:val="000000"/>
          <w:sz w:val="24"/>
          <w:szCs w:val="24"/>
        </w:rPr>
        <w:instrText xml:space="preserve"> ADDIN ZOTERO_ITEM CSL_CITATION {"citationID":"XGBB2xBC","properties":{"formattedCitation":"(Boysen, 2024)","plainCitation":"(Boysen, 2024)","noteIndex":0},"citationItems":[{"id":150,"uris":["http://zotero.org/users/local/zJdtKIUw/items/Q2NNTWDD"],"itemData":{"id":150,"type":"article-journal","abstract":"Universal Design for Learning (UDL) is a highly influential source of educational policy. CAST, a nonprofit educational organization, created UDL guidelines that they claim have a basis in research on learning, cognitive psychology, and the brain. The purpose of the current research was to evaluate the empirical studies cited on CAST’s UDL website as support for its guidelines. This review sampled articles provided as evidence for three UDL guidelines and analyzed their relation to choice, learning, and brain function. Results indicated that the cited studies provided little evidence for claims about UDL. Most of the studies did not offer a choice to learners or measure learning. None of the studies were related to brain function. Rather than supporting CAST’s UDL guidelines about the choice of multiple means of learning, the studies mostly provided support for single, effective instructional techniques. Overall, this study suggests that the cited evidence behind CAST’s UDL guidelines is weak and both basic research and implementation research are needed to establish the framework’s validity and effectiveness.","container-title":"Policy Futures in Education","DOI":"10.1177/14782103241255428","ISSN":"1478-2103","issue":"7","language":"EN","note":"publisher: SAGE Publications","page":"1219-1238","source":"SAGE Journals","title":"A critical analysis of the research evidence behind CAST’s universal design for learning guidelines","volume":"22","author":[{"family":"Boysen","given":"Guy A"}],"issued":{"date-parts":[["2024",10,1]]}}}],"schema":"https://github.com/citation-style-language/schema/raw/master/csl-citation.json"} </w:instrText>
      </w:r>
      <w:r w:rsidRPr="0072453A">
        <w:rPr>
          <w:rFonts w:ascii="Times New Roman" w:eastAsia="Times New Roman" w:hAnsi="Times New Roman" w:cs="Times New Roman"/>
          <w:color w:val="000000"/>
          <w:sz w:val="24"/>
          <w:szCs w:val="24"/>
        </w:rPr>
        <w:fldChar w:fldCharType="separate"/>
      </w:r>
      <w:r w:rsidRPr="0072453A">
        <w:rPr>
          <w:rFonts w:ascii="Times New Roman" w:eastAsia="Times New Roman" w:hAnsi="Times New Roman" w:cs="Times New Roman"/>
          <w:color w:val="000000"/>
          <w:sz w:val="24"/>
          <w:szCs w:val="24"/>
        </w:rPr>
        <w:t>(Boysen, 2024)</w:t>
      </w:r>
      <w:r w:rsidRPr="0072453A">
        <w:rPr>
          <w:rFonts w:ascii="Times New Roman" w:eastAsia="Times New Roman" w:hAnsi="Times New Roman" w:cs="Times New Roman"/>
          <w:color w:val="000000"/>
          <w:sz w:val="24"/>
          <w:szCs w:val="24"/>
        </w:rPr>
        <w:fldChar w:fldCharType="end"/>
      </w:r>
      <w:r>
        <w:rPr>
          <w:rFonts w:ascii="Times New Roman" w:eastAsia="Times New Roman" w:hAnsi="Times New Roman" w:cs="Times New Roman"/>
          <w:color w:val="000000"/>
          <w:sz w:val="24"/>
          <w:szCs w:val="24"/>
        </w:rPr>
        <w:t xml:space="preserve">. </w:t>
      </w:r>
      <w:r w:rsidRPr="0072453A">
        <w:rPr>
          <w:rFonts w:ascii="Times New Roman" w:eastAsia="Times New Roman" w:hAnsi="Times New Roman" w:cs="Times New Roman"/>
          <w:color w:val="000000"/>
          <w:sz w:val="24"/>
          <w:szCs w:val="24"/>
        </w:rPr>
        <w:t>Unfortunately, the UDL principle has not been widely applied in the development of Arabic language teaching materials in Indonesian madrasas.</w:t>
      </w:r>
    </w:p>
    <w:p w14:paraId="51DAC31A" w14:textId="77777777" w:rsidR="0072453A" w:rsidRDefault="0072453A" w:rsidP="0072453A">
      <w:pPr>
        <w:spacing w:after="0" w:line="240" w:lineRule="auto"/>
        <w:ind w:firstLine="720"/>
        <w:jc w:val="both"/>
        <w:rPr>
          <w:rFonts w:ascii="Times New Roman" w:eastAsia="Times New Roman" w:hAnsi="Times New Roman" w:cs="Times New Roman"/>
          <w:color w:val="000000"/>
          <w:sz w:val="24"/>
          <w:szCs w:val="24"/>
        </w:rPr>
      </w:pPr>
      <w:r w:rsidRPr="0072453A">
        <w:rPr>
          <w:rFonts w:ascii="Times New Roman" w:eastAsia="Times New Roman" w:hAnsi="Times New Roman" w:cs="Times New Roman"/>
          <w:color w:val="000000"/>
          <w:sz w:val="24"/>
          <w:szCs w:val="24"/>
        </w:rPr>
        <w:t xml:space="preserve">In practice, teachers often bear the burden of learning innovation without adequate structural support. In many madrasas, including MTs </w:t>
      </w:r>
      <w:proofErr w:type="spellStart"/>
      <w:r w:rsidRPr="0072453A">
        <w:rPr>
          <w:rFonts w:ascii="Times New Roman" w:eastAsia="Times New Roman" w:hAnsi="Times New Roman" w:cs="Times New Roman"/>
          <w:color w:val="000000"/>
          <w:sz w:val="24"/>
          <w:szCs w:val="24"/>
        </w:rPr>
        <w:t>Miftahul</w:t>
      </w:r>
      <w:proofErr w:type="spellEnd"/>
      <w:r w:rsidRPr="0072453A">
        <w:rPr>
          <w:rFonts w:ascii="Times New Roman" w:eastAsia="Times New Roman" w:hAnsi="Times New Roman" w:cs="Times New Roman"/>
          <w:color w:val="000000"/>
          <w:sz w:val="24"/>
          <w:szCs w:val="24"/>
        </w:rPr>
        <w:t xml:space="preserve"> </w:t>
      </w:r>
      <w:proofErr w:type="spellStart"/>
      <w:r w:rsidRPr="0072453A">
        <w:rPr>
          <w:rFonts w:ascii="Times New Roman" w:eastAsia="Times New Roman" w:hAnsi="Times New Roman" w:cs="Times New Roman"/>
          <w:color w:val="000000"/>
          <w:sz w:val="24"/>
          <w:szCs w:val="24"/>
        </w:rPr>
        <w:t>Afkar</w:t>
      </w:r>
      <w:proofErr w:type="spellEnd"/>
      <w:r w:rsidRPr="0072453A">
        <w:rPr>
          <w:rFonts w:ascii="Times New Roman" w:eastAsia="Times New Roman" w:hAnsi="Times New Roman" w:cs="Times New Roman"/>
          <w:color w:val="000000"/>
          <w:sz w:val="24"/>
          <w:szCs w:val="24"/>
        </w:rPr>
        <w:t xml:space="preserve"> Kediri, teachers are required to develop materials independently and intuitively, without clear training or technical guidelines. As a result, teaching material development tends to be situational and not integrated into the broader learning system.</w:t>
      </w:r>
    </w:p>
    <w:p w14:paraId="7F1EF49E" w14:textId="77777777" w:rsidR="0072453A" w:rsidRDefault="0072453A" w:rsidP="0072453A">
      <w:pPr>
        <w:spacing w:after="0" w:line="240" w:lineRule="auto"/>
        <w:ind w:firstLine="720"/>
        <w:jc w:val="both"/>
        <w:rPr>
          <w:rFonts w:ascii="Times New Roman" w:eastAsia="Times New Roman" w:hAnsi="Times New Roman" w:cs="Times New Roman"/>
          <w:color w:val="000000"/>
          <w:sz w:val="24"/>
          <w:szCs w:val="24"/>
        </w:rPr>
      </w:pPr>
      <w:r w:rsidRPr="0072453A">
        <w:rPr>
          <w:rFonts w:ascii="Times New Roman" w:eastAsia="Times New Roman" w:hAnsi="Times New Roman" w:cs="Times New Roman"/>
          <w:color w:val="000000"/>
          <w:sz w:val="24"/>
          <w:szCs w:val="24"/>
        </w:rPr>
        <w:t xml:space="preserve">At MTs </w:t>
      </w:r>
      <w:proofErr w:type="spellStart"/>
      <w:r w:rsidRPr="0072453A">
        <w:rPr>
          <w:rFonts w:ascii="Times New Roman" w:eastAsia="Times New Roman" w:hAnsi="Times New Roman" w:cs="Times New Roman"/>
          <w:color w:val="000000"/>
          <w:sz w:val="24"/>
          <w:szCs w:val="24"/>
        </w:rPr>
        <w:t>Miftahul</w:t>
      </w:r>
      <w:proofErr w:type="spellEnd"/>
      <w:r w:rsidRPr="0072453A">
        <w:rPr>
          <w:rFonts w:ascii="Times New Roman" w:eastAsia="Times New Roman" w:hAnsi="Times New Roman" w:cs="Times New Roman"/>
          <w:color w:val="000000"/>
          <w:sz w:val="24"/>
          <w:szCs w:val="24"/>
        </w:rPr>
        <w:t xml:space="preserve"> </w:t>
      </w:r>
      <w:proofErr w:type="spellStart"/>
      <w:r w:rsidRPr="0072453A">
        <w:rPr>
          <w:rFonts w:ascii="Times New Roman" w:eastAsia="Times New Roman" w:hAnsi="Times New Roman" w:cs="Times New Roman"/>
          <w:color w:val="000000"/>
          <w:sz w:val="24"/>
          <w:szCs w:val="24"/>
        </w:rPr>
        <w:t>Afkar</w:t>
      </w:r>
      <w:proofErr w:type="spellEnd"/>
      <w:r w:rsidRPr="0072453A">
        <w:rPr>
          <w:rFonts w:ascii="Times New Roman" w:eastAsia="Times New Roman" w:hAnsi="Times New Roman" w:cs="Times New Roman"/>
          <w:color w:val="000000"/>
          <w:sz w:val="24"/>
          <w:szCs w:val="24"/>
        </w:rPr>
        <w:t xml:space="preserve"> Kediri, an institution that claims to provide inclusive education, the gap between expectations and reality is quite significant. While the school strives to accept students with special needs and provide equal access to education, its teaching resources, particularly Arabic language materials, remain limited in supporting individual learning needs.</w:t>
      </w:r>
    </w:p>
    <w:p w14:paraId="1A9E68C1" w14:textId="77777777" w:rsidR="0072453A" w:rsidRDefault="0072453A" w:rsidP="0072453A">
      <w:pPr>
        <w:spacing w:after="0" w:line="240" w:lineRule="auto"/>
        <w:ind w:firstLine="720"/>
        <w:jc w:val="both"/>
        <w:rPr>
          <w:rFonts w:ascii="Times New Roman" w:eastAsia="Times New Roman" w:hAnsi="Times New Roman" w:cs="Times New Roman"/>
          <w:color w:val="000000"/>
          <w:sz w:val="24"/>
          <w:szCs w:val="24"/>
        </w:rPr>
      </w:pPr>
      <w:r w:rsidRPr="0072453A">
        <w:rPr>
          <w:rFonts w:ascii="Times New Roman" w:eastAsia="Times New Roman" w:hAnsi="Times New Roman" w:cs="Times New Roman"/>
          <w:color w:val="000000"/>
          <w:sz w:val="24"/>
          <w:szCs w:val="24"/>
        </w:rPr>
        <w:t xml:space="preserve">Based on initial observations at MTs </w:t>
      </w:r>
      <w:proofErr w:type="spellStart"/>
      <w:r w:rsidRPr="0072453A">
        <w:rPr>
          <w:rFonts w:ascii="Times New Roman" w:eastAsia="Times New Roman" w:hAnsi="Times New Roman" w:cs="Times New Roman"/>
          <w:color w:val="000000"/>
          <w:sz w:val="24"/>
          <w:szCs w:val="24"/>
        </w:rPr>
        <w:t>Miftahul</w:t>
      </w:r>
      <w:proofErr w:type="spellEnd"/>
      <w:r w:rsidRPr="0072453A">
        <w:rPr>
          <w:rFonts w:ascii="Times New Roman" w:eastAsia="Times New Roman" w:hAnsi="Times New Roman" w:cs="Times New Roman"/>
          <w:color w:val="000000"/>
          <w:sz w:val="24"/>
          <w:szCs w:val="24"/>
        </w:rPr>
        <w:t xml:space="preserve"> </w:t>
      </w:r>
      <w:proofErr w:type="spellStart"/>
      <w:r w:rsidRPr="0072453A">
        <w:rPr>
          <w:rFonts w:ascii="Times New Roman" w:eastAsia="Times New Roman" w:hAnsi="Times New Roman" w:cs="Times New Roman"/>
          <w:color w:val="000000"/>
          <w:sz w:val="24"/>
          <w:szCs w:val="24"/>
        </w:rPr>
        <w:t>Afkar</w:t>
      </w:r>
      <w:proofErr w:type="spellEnd"/>
      <w:r w:rsidRPr="0072453A">
        <w:rPr>
          <w:rFonts w:ascii="Times New Roman" w:eastAsia="Times New Roman" w:hAnsi="Times New Roman" w:cs="Times New Roman"/>
          <w:color w:val="000000"/>
          <w:sz w:val="24"/>
          <w:szCs w:val="24"/>
        </w:rPr>
        <w:t>, it was found that some teachers had independently adapted teaching materials by simplifying text, using visual illustrations, and providing audio pronunciations. This practice reflects an intuitive effort aligned with UDL principles, although it has not yet been fully realized theoretically by the practitioners.</w:t>
      </w:r>
    </w:p>
    <w:p w14:paraId="31CC43C9" w14:textId="6982162E" w:rsidR="0072453A" w:rsidRDefault="0072453A" w:rsidP="0072453A">
      <w:pPr>
        <w:spacing w:after="0" w:line="240" w:lineRule="auto"/>
        <w:ind w:firstLine="720"/>
        <w:jc w:val="both"/>
        <w:rPr>
          <w:rFonts w:ascii="Times New Roman" w:eastAsia="Times New Roman" w:hAnsi="Times New Roman" w:cs="Times New Roman"/>
          <w:color w:val="000000"/>
          <w:sz w:val="24"/>
          <w:szCs w:val="24"/>
        </w:rPr>
      </w:pPr>
      <w:r w:rsidRPr="0072453A">
        <w:rPr>
          <w:rFonts w:ascii="Times New Roman" w:eastAsia="Times New Roman" w:hAnsi="Times New Roman" w:cs="Times New Roman"/>
          <w:color w:val="000000"/>
          <w:sz w:val="24"/>
          <w:szCs w:val="24"/>
        </w:rPr>
        <w:t>Using the same printed teaching materials for all students without modification actually becomes an obstacle to learning</w:t>
      </w:r>
      <w:r>
        <w:rPr>
          <w:rFonts w:ascii="Times New Roman" w:eastAsia="Times New Roman" w:hAnsi="Times New Roman" w:cs="Times New Roman"/>
          <w:color w:val="000000"/>
          <w:sz w:val="24"/>
          <w:szCs w:val="24"/>
        </w:rPr>
        <w:t xml:space="preserve"> </w:t>
      </w:r>
      <w:r w:rsidRPr="0072453A">
        <w:rPr>
          <w:rFonts w:ascii="Times New Roman" w:eastAsia="Times New Roman" w:hAnsi="Times New Roman" w:cs="Times New Roman"/>
          <w:color w:val="000000"/>
          <w:sz w:val="24"/>
          <w:szCs w:val="24"/>
        </w:rPr>
        <w:fldChar w:fldCharType="begin"/>
      </w:r>
      <w:r w:rsidR="00066BCA">
        <w:rPr>
          <w:rFonts w:ascii="Times New Roman" w:eastAsia="Times New Roman" w:hAnsi="Times New Roman" w:cs="Times New Roman"/>
          <w:color w:val="000000"/>
          <w:sz w:val="24"/>
          <w:szCs w:val="24"/>
        </w:rPr>
        <w:instrText xml:space="preserve"> ADDIN ZOTERO_ITEM CSL_CITATION {"citationID":"nGE53Hby","properties":{"formattedCitation":"(Hikam &amp; Baihaqi, 2024)","plainCitation":"(Hikam &amp; Baihaqi, 2024)","noteIndex":0},"citationItems":[{"id":"eqbFgLeb/U9uTzcdK","uris":["http://zotero.org/users/local/HTLpg2la/items/5J4FIPY9"],"itemData":{"id":541,"type":"article-journal","abstract":"This study aims to analyze the strategies and Arabic language learning system applied at Ummul Quro As-Suyuty Islamic Boarding School Plakpak Pegantenan Pamekasan Madura. This research uses a qualitative approach with a case study method to explore various aspects related to the implementation of Arabic language learning at the boarding school. The data were collected through in-depth interviews with pesantren managers, teachers, and students, as well as direct observation of the learning process. The results show that this boarding school implements a learning strategy that focuses on the use of communicative and contextual methods, which are designed to improve students' Arabic language skills in various contexts, both in the realm of religious and social sciences. The learning system implemented includes classical learning in class and direct interaction-based learning, which is supported by supporting facilities such as dictionaries, digital media, and reference books. In addition, the motivation and discipline of students also play an important role in the success of learning. This research provides recommendations for improving the quality of Arabic language learning by paying attention to human resource development.","container-title":"PROSIDING KONIPBSA: Konferensi Nasional Inovasi Pembelajaran Bahasa dan Sastra Arab","ISSN":"3026-1511","issue":"1","language":"en","license":"Copyright (c) 2024 Faris Syariful Hikam, M.Baihaqi, Agus Susilo","note":"number: 1","source":"conference.uin-suka.ac.id","title":"Arabic Language Learning Strategies and Systems in Islamic Boarding Schools","URL":"https://conference.uin-suka.ac.id/index.php/konipbsa/article/view/1564","volume":"4","author":[{"family":"Hikam","given":"Faris Syariful"},{"family":"Baihaqi","given":"M."}],"accessed":{"date-parts":[["2025",6,3]]},"issued":{"date-parts":[["2024"]]}}}],"schema":"https://github.com/citation-style-language/schema/raw/master/csl-citation.json"} </w:instrText>
      </w:r>
      <w:r w:rsidRPr="0072453A">
        <w:rPr>
          <w:rFonts w:ascii="Times New Roman" w:eastAsia="Times New Roman" w:hAnsi="Times New Roman" w:cs="Times New Roman"/>
          <w:color w:val="000000"/>
          <w:sz w:val="24"/>
          <w:szCs w:val="24"/>
        </w:rPr>
        <w:fldChar w:fldCharType="separate"/>
      </w:r>
      <w:r w:rsidRPr="0072453A">
        <w:rPr>
          <w:rFonts w:ascii="Times New Roman" w:eastAsia="Times New Roman" w:hAnsi="Times New Roman" w:cs="Times New Roman"/>
          <w:color w:val="000000"/>
          <w:sz w:val="24"/>
          <w:szCs w:val="24"/>
        </w:rPr>
        <w:t>(Hikam &amp; Baihaqi, 2024)</w:t>
      </w:r>
      <w:r w:rsidRPr="0072453A">
        <w:rPr>
          <w:rFonts w:ascii="Times New Roman" w:eastAsia="Times New Roman" w:hAnsi="Times New Roman" w:cs="Times New Roman"/>
          <w:color w:val="000000"/>
          <w:sz w:val="24"/>
          <w:szCs w:val="24"/>
        </w:rPr>
        <w:fldChar w:fldCharType="end"/>
      </w:r>
      <w:r>
        <w:rPr>
          <w:rFonts w:ascii="Times New Roman" w:eastAsia="Times New Roman" w:hAnsi="Times New Roman" w:cs="Times New Roman"/>
          <w:color w:val="000000"/>
          <w:sz w:val="24"/>
          <w:szCs w:val="24"/>
        </w:rPr>
        <w:t xml:space="preserve">. </w:t>
      </w:r>
      <w:r w:rsidRPr="0072453A">
        <w:rPr>
          <w:rFonts w:ascii="Times New Roman" w:eastAsia="Times New Roman" w:hAnsi="Times New Roman" w:cs="Times New Roman"/>
          <w:color w:val="000000"/>
          <w:sz w:val="24"/>
          <w:szCs w:val="24"/>
        </w:rPr>
        <w:t>This causes students with special needs to struggle to understand the material, feel marginalized in the classroom, and ultimately experience a decline in learning motivation. This fact highlights the need to develop Arabic language teaching materials that are adaptive and responsive to the needs of inclusive students.</w:t>
      </w:r>
    </w:p>
    <w:p w14:paraId="17A0B78B" w14:textId="6BB24BD2" w:rsidR="0072453A" w:rsidRDefault="0072453A" w:rsidP="0072453A">
      <w:pPr>
        <w:spacing w:after="0" w:line="240" w:lineRule="auto"/>
        <w:ind w:firstLine="720"/>
        <w:jc w:val="both"/>
        <w:rPr>
          <w:rFonts w:ascii="Times New Roman" w:eastAsia="Times New Roman" w:hAnsi="Times New Roman" w:cs="Times New Roman"/>
          <w:color w:val="000000"/>
          <w:sz w:val="24"/>
          <w:szCs w:val="24"/>
        </w:rPr>
      </w:pPr>
      <w:r w:rsidRPr="0072453A">
        <w:rPr>
          <w:rFonts w:ascii="Times New Roman" w:eastAsia="Times New Roman" w:hAnsi="Times New Roman" w:cs="Times New Roman"/>
          <w:color w:val="000000"/>
          <w:sz w:val="24"/>
          <w:szCs w:val="24"/>
        </w:rPr>
        <w:t>Adaptive teaching materials are innovative solutions designed with individual student characteristics in mind</w:t>
      </w:r>
      <w:r>
        <w:rPr>
          <w:rFonts w:ascii="Times New Roman" w:eastAsia="Times New Roman" w:hAnsi="Times New Roman" w:cs="Times New Roman"/>
          <w:color w:val="000000"/>
          <w:sz w:val="24"/>
          <w:szCs w:val="24"/>
        </w:rPr>
        <w:t xml:space="preserve"> </w:t>
      </w:r>
      <w:r w:rsidRPr="0072453A">
        <w:rPr>
          <w:rFonts w:ascii="Times New Roman" w:eastAsia="Times New Roman" w:hAnsi="Times New Roman" w:cs="Times New Roman"/>
          <w:color w:val="000000"/>
          <w:sz w:val="24"/>
          <w:szCs w:val="24"/>
        </w:rPr>
        <w:fldChar w:fldCharType="begin"/>
      </w:r>
      <w:r w:rsidR="00066BCA">
        <w:rPr>
          <w:rFonts w:ascii="Times New Roman" w:eastAsia="Times New Roman" w:hAnsi="Times New Roman" w:cs="Times New Roman"/>
          <w:color w:val="000000"/>
          <w:sz w:val="24"/>
          <w:szCs w:val="24"/>
        </w:rPr>
        <w:instrText xml:space="preserve"> ADDIN ZOTERO_ITEM CSL_CITATION {"citationID":"2CeK5dSl","properties":{"formattedCitation":"(Craig et al., 2022)","plainCitation":"(Craig et al., 2022)","noteIndex":0},"citationItems":[{"id":"eqbFgLeb/5MwHcB6H","uris":["http://zotero.org/users/local/HTLpg2la/items/VI7QUXUZ"],"itemData":{"id":491,"type":"article-journal","abstract":"Although the Universal Design for Learning (UDL) Framework has been effective in designing tools and lessons, implementation of the Framework to design entire learning environments possesses its own limitations in research. This paper describes a quasi-experimental study of the effects of a professional development program on teachers’ implementation of the UDL framework. The study examines a weeklong Summer Institute as the professional development intervention. The Summer Institute meets many criteria shown to make PD effective: (a) content-focused training, (b) active learning, (c) modelling of effective practices, (e) feedback and reflection and (g) sustained duration. Participants included teachers across all academic levels and roles who attended the Institute (n = 73) and teachers who had not attended the Institute (n = 70). Teachers were evaluated by building administrators using an annual Teacher Success Rubric observation, a measuring tool developed to measure teachers’ efficacy in UDL implementation. Those attending the Institute increased their implementation of UDL in the classroom more than those who did not attend the Institute, F(1, 141) = 4.87, p = .03., suggesting that the Institute positively affects participants’ UDL implementation. The authors conclude that the Institute models effective professional development for other districts implementing the UDL Framework.","container-title":"Professional Development in Education","DOI":"10.1080/19415257.2019.1685563","ISSN":"1941-5257","issue":"1","note":"publisher: Routledge\n_eprint: https://doi.org/10.1080/19415257.2019.1685563","page":"22-37","source":"Taylor and Francis+NEJM","title":"Professional development with universal design for learning: supporting teachers as learners to increase the implementation of UDL","title-short":"Professional development with universal design for learning","volume":"48","author":[{"family":"Craig","given":"Stephanie L."},{"family":"","given":"Smith ,Sean J."},{"family":"Frey","given":"Bruce B.","non-dropping-particle":"and"}],"issued":{"date-parts":[["2022",1,1]]}}}],"schema":"https://github.com/citation-style-language/schema/raw/master/csl-citation.json"} </w:instrText>
      </w:r>
      <w:r w:rsidRPr="0072453A">
        <w:rPr>
          <w:rFonts w:ascii="Times New Roman" w:eastAsia="Times New Roman" w:hAnsi="Times New Roman" w:cs="Times New Roman"/>
          <w:color w:val="000000"/>
          <w:sz w:val="24"/>
          <w:szCs w:val="24"/>
        </w:rPr>
        <w:fldChar w:fldCharType="separate"/>
      </w:r>
      <w:r w:rsidRPr="0072453A">
        <w:rPr>
          <w:rFonts w:ascii="Times New Roman" w:eastAsia="Times New Roman" w:hAnsi="Times New Roman" w:cs="Times New Roman"/>
          <w:color w:val="000000"/>
          <w:sz w:val="24"/>
          <w:szCs w:val="24"/>
        </w:rPr>
        <w:t>(Craig et al., 2022)</w:t>
      </w:r>
      <w:r w:rsidRPr="0072453A">
        <w:rPr>
          <w:rFonts w:ascii="Times New Roman" w:eastAsia="Times New Roman" w:hAnsi="Times New Roman" w:cs="Times New Roman"/>
          <w:color w:val="000000"/>
          <w:sz w:val="24"/>
          <w:szCs w:val="24"/>
        </w:rPr>
        <w:fldChar w:fldCharType="end"/>
      </w:r>
      <w:r>
        <w:rPr>
          <w:rFonts w:ascii="Times New Roman" w:eastAsia="Times New Roman" w:hAnsi="Times New Roman" w:cs="Times New Roman"/>
          <w:color w:val="000000"/>
          <w:sz w:val="24"/>
          <w:szCs w:val="24"/>
        </w:rPr>
        <w:t xml:space="preserve">. </w:t>
      </w:r>
      <w:r w:rsidRPr="0072453A">
        <w:rPr>
          <w:rFonts w:ascii="Times New Roman" w:eastAsia="Times New Roman" w:hAnsi="Times New Roman" w:cs="Times New Roman"/>
          <w:color w:val="000000"/>
          <w:sz w:val="24"/>
          <w:szCs w:val="24"/>
        </w:rPr>
        <w:t>Teaching materials that adhere to the principles of Universal Design for Learning (UDL) can expand access to learning and increase participation for all students. UDL encourages the presentation of materials in a variety of formats, provides alternative ways to demonstrate understanding, and fosters sustained student engagement.</w:t>
      </w:r>
    </w:p>
    <w:p w14:paraId="6F51A81B" w14:textId="77777777" w:rsidR="0072453A" w:rsidRDefault="0072453A" w:rsidP="0072453A">
      <w:pPr>
        <w:spacing w:after="0" w:line="240" w:lineRule="auto"/>
        <w:ind w:firstLine="720"/>
        <w:jc w:val="both"/>
        <w:rPr>
          <w:rFonts w:ascii="Times New Roman" w:eastAsia="Times New Roman" w:hAnsi="Times New Roman" w:cs="Times New Roman"/>
          <w:color w:val="000000"/>
          <w:sz w:val="24"/>
          <w:szCs w:val="24"/>
        </w:rPr>
      </w:pPr>
      <w:r w:rsidRPr="0072453A">
        <w:rPr>
          <w:rFonts w:ascii="Times New Roman" w:eastAsia="Times New Roman" w:hAnsi="Times New Roman" w:cs="Times New Roman"/>
          <w:color w:val="000000"/>
          <w:sz w:val="24"/>
          <w:szCs w:val="24"/>
        </w:rPr>
        <w:t>This adaptive approach has been shown to have positive impacts, particularly in increasing the engagement and motivation of students with special needs. Previously passive students began to show active participation when the material was presented visually and interactively. This finding supports the results of other research.</w:t>
      </w:r>
      <w:r w:rsidRPr="0072453A">
        <w:rPr>
          <w:rFonts w:ascii="Times New Roman" w:eastAsia="Times New Roman" w:hAnsi="Times New Roman" w:cs="Times New Roman"/>
          <w:color w:val="000000"/>
          <w:sz w:val="24"/>
          <w:szCs w:val="24"/>
        </w:rPr>
        <w:fldChar w:fldCharType="begin"/>
      </w:r>
      <w:r w:rsidRPr="0072453A">
        <w:rPr>
          <w:rFonts w:ascii="Times New Roman" w:eastAsia="Times New Roman" w:hAnsi="Times New Roman" w:cs="Times New Roman"/>
          <w:color w:val="000000"/>
          <w:sz w:val="24"/>
          <w:szCs w:val="24"/>
        </w:rPr>
        <w:instrText xml:space="preserve"> ADDIN ZOTERO_ITEM CSL_CITATION {"citationID":"27iIjnVD","properties":{"formattedCitation":"(Pinera, 2021)","plainCitation":"(Pinera, 2021)","noteIndex":0},"citationItems":[{"id":151,"uris":["http://zotero.org/users/local/zJdtKIUw/items/9PH8FFPF"],"itemData":{"id":151,"type":"article-journal","container-title":"FIU Electronic Theses and Dissertations","DOI":"10.25148/etd.FIDC010255","source":"COinS","title":"Adaptive Delivery as a Means to Increase Student Engagement and Learning Outcomes","URL":"https://digitalcommons.fiu.edu/etd/4727","author":[{"family":"Pinera","given":"Juan"}],"issued":{"date-parts":[["2021",6,25]]}}}],"schema":"https://github.com/citation-style-language/schema/raw/master/csl-citation.json"} </w:instrText>
      </w:r>
      <w:r w:rsidRPr="0072453A">
        <w:rPr>
          <w:rFonts w:ascii="Times New Roman" w:eastAsia="Times New Roman" w:hAnsi="Times New Roman" w:cs="Times New Roman"/>
          <w:color w:val="000000"/>
          <w:sz w:val="24"/>
          <w:szCs w:val="24"/>
        </w:rPr>
        <w:fldChar w:fldCharType="separate"/>
      </w:r>
      <w:r w:rsidRPr="0072453A">
        <w:rPr>
          <w:rFonts w:ascii="Times New Roman" w:eastAsia="Times New Roman" w:hAnsi="Times New Roman" w:cs="Times New Roman"/>
          <w:color w:val="000000"/>
          <w:sz w:val="24"/>
          <w:szCs w:val="24"/>
        </w:rPr>
        <w:t>(Pinera, 2021)</w:t>
      </w:r>
      <w:r w:rsidRPr="0072453A">
        <w:rPr>
          <w:rFonts w:ascii="Times New Roman" w:eastAsia="Times New Roman" w:hAnsi="Times New Roman" w:cs="Times New Roman"/>
          <w:color w:val="000000"/>
          <w:sz w:val="24"/>
          <w:szCs w:val="24"/>
        </w:rPr>
        <w:fldChar w:fldCharType="end"/>
      </w:r>
      <w:r w:rsidRPr="0072453A">
        <w:rPr>
          <w:rFonts w:ascii="Times New Roman" w:eastAsia="Times New Roman" w:hAnsi="Times New Roman" w:cs="Times New Roman"/>
          <w:color w:val="000000"/>
          <w:sz w:val="24"/>
          <w:szCs w:val="24"/>
        </w:rPr>
        <w:t>, which emphasizes the importance of multisensory media in second language learning.</w:t>
      </w:r>
    </w:p>
    <w:p w14:paraId="7475F3C6" w14:textId="20A8ED36" w:rsidR="0072453A" w:rsidRDefault="0072453A" w:rsidP="0072453A">
      <w:pPr>
        <w:spacing w:after="0" w:line="240" w:lineRule="auto"/>
        <w:ind w:firstLine="720"/>
        <w:jc w:val="both"/>
        <w:rPr>
          <w:rFonts w:ascii="Times New Roman" w:eastAsia="Times New Roman" w:hAnsi="Times New Roman" w:cs="Times New Roman"/>
          <w:color w:val="000000"/>
          <w:sz w:val="24"/>
          <w:szCs w:val="24"/>
        </w:rPr>
      </w:pPr>
      <w:r w:rsidRPr="0072453A">
        <w:rPr>
          <w:rFonts w:ascii="Times New Roman" w:eastAsia="Times New Roman" w:hAnsi="Times New Roman" w:cs="Times New Roman"/>
          <w:color w:val="000000"/>
          <w:sz w:val="24"/>
          <w:szCs w:val="24"/>
        </w:rPr>
        <w:t>However, the results of previous studies show that the application of UDL principles in the development of Arabic language teaching materials is still very limited. Research by</w:t>
      </w:r>
      <w:r>
        <w:rPr>
          <w:rFonts w:ascii="Times New Roman" w:eastAsia="Times New Roman" w:hAnsi="Times New Roman" w:cs="Times New Roman"/>
          <w:color w:val="000000"/>
          <w:sz w:val="24"/>
          <w:szCs w:val="24"/>
        </w:rPr>
        <w:t xml:space="preserve"> </w:t>
      </w:r>
      <w:r w:rsidRPr="0072453A">
        <w:rPr>
          <w:rFonts w:ascii="Times New Roman" w:eastAsia="Times New Roman" w:hAnsi="Times New Roman" w:cs="Times New Roman"/>
          <w:color w:val="000000"/>
          <w:sz w:val="24"/>
          <w:szCs w:val="24"/>
        </w:rPr>
        <w:fldChar w:fldCharType="begin"/>
      </w:r>
      <w:r w:rsidR="00066BCA">
        <w:rPr>
          <w:rFonts w:ascii="Times New Roman" w:eastAsia="Times New Roman" w:hAnsi="Times New Roman" w:cs="Times New Roman"/>
          <w:color w:val="000000"/>
          <w:sz w:val="24"/>
          <w:szCs w:val="24"/>
        </w:rPr>
        <w:instrText xml:space="preserve"> ADDIN ZOTERO_ITEM CSL_CITATION {"citationID":"QFyCBUAc","properties":{"formattedCitation":"(Nurfadillah &amp; Munawwir, 2023)","plainCitation":"(Nurfadillah &amp; Munawwir, 2023)","noteIndex":0},"citationItems":[{"id":"eqbFgLeb/sgdanKgo","uris":["http://zotero.org/users/local/HTLpg2la/items/N3EGW5V2"],"itemData":{"id":492,"type":"article-journal","abstract":"Penelitian ini bertujuan untuk mengetahui pengaruh penerapan model pembelajaran SAVI (Somatic, Auditory, Visualization, Intellectualy) terhadap hasil belajar Bahasa arab siswa kelas X Madrasah Aliyah Pesantren Muhammadiyah Tana Toraja. Masalah yang dikaji adalah apakah ada pengaruh penerapan model pembelajaran SAVI (Somatic, Auditory, Visualization, Intellectualy) terhadap hasil belajar Siswa kelas X Madrasah Aliyah Pesantren muhammadiyah Tana Toraja. Jenis penelitian yang digunakan adalah penelitian Kuantitatif Pra-eksperimen dengan penggunaan model pembelajaran SAVI terhadap hasil belajar siswa pada mata pelajaran Bahasa arab di MA Pesantren Pembangunan Muhammadiyah Tana Toraja, Kecamatan Mengkendek, Kabupaten Tana Toraja, Provinsi Sulawesi-Selatan. Populasi pada penelitian ini adalah seluruh peserta didik&amp;nbsp;&amp;nbsp; di MA Pesantren Pembangunan Muhammadiyah Tana Toraja. Sampel pada penelitian ini adalah kelas X MA dengan jumlah sampel 21 orang. Teknik analisis data adalah analisis data deskriptif dan uji hipotesis. Hasil penelitian eksperimen menggunakan model pembelajaran SAVI terhadap hasil belajar Bahasa arab diketahui bahwa model pembelajaran SAVI pada siswa kelas X Madrasah Aliyah PPM Tana Toraja lebih efektif terhadap hasil belajar bisa dilihat dari perolehan nilai rata-rata pretest 60 dan posttest 85 kemudian uji hipotesis yang dilakukan, t tabel dengan α =0,05 dan dk = (19-2) = 17 adalah 1,740. Karena t hitung &amp;gt; t tabel (1,776&amp;gt;1,740) maka dapat disimpulkan bahwa H0 ditolak, ini berarti bahwa terdapat perbedaan yang signifikan antara hasil belajar kelas X sebelum dan setelah penerapan Model Pembelajaran Somatic, Auditory, Visual, Intelektual (SAVI).","container-title":"Jurnal Konsepsi","ISSN":"2798-5121","issue":"4","language":"en","license":"Copyright (c) 2023","note":"number: 4","page":"507-516","source":"www.p3i.my.id","title":"Pengaruh penerapan model pembelajaran SAVI (Somatic, Auditory, Visualization, Intellectualy) Terhadap Hasil Belajar Bahasa Arab Siswa Kelas X Madrasah Aliyah Pesantren Muhammadiyah Tana Toraja","volume":"11","author":[{"family":"Nurfadillah","given":"Nurfadillah"},{"family":"Munawwir","given":"Ahmad"}],"issued":{"date-parts":[["2023",2,6]]}}}],"schema":"https://github.com/citation-style-language/schema/raw/master/csl-citation.json"} </w:instrText>
      </w:r>
      <w:r w:rsidRPr="0072453A">
        <w:rPr>
          <w:rFonts w:ascii="Times New Roman" w:eastAsia="Times New Roman" w:hAnsi="Times New Roman" w:cs="Times New Roman"/>
          <w:color w:val="000000"/>
          <w:sz w:val="24"/>
          <w:szCs w:val="24"/>
        </w:rPr>
        <w:fldChar w:fldCharType="separate"/>
      </w:r>
      <w:r w:rsidRPr="0072453A">
        <w:rPr>
          <w:rFonts w:ascii="Times New Roman" w:eastAsia="Times New Roman" w:hAnsi="Times New Roman" w:cs="Times New Roman"/>
          <w:color w:val="000000"/>
          <w:sz w:val="24"/>
          <w:szCs w:val="24"/>
        </w:rPr>
        <w:t>(Nurfadillah &amp; Munawwir, 2023)</w:t>
      </w:r>
      <w:r w:rsidRPr="0072453A">
        <w:rPr>
          <w:rFonts w:ascii="Times New Roman" w:eastAsia="Times New Roman" w:hAnsi="Times New Roman" w:cs="Times New Roman"/>
          <w:color w:val="000000"/>
          <w:sz w:val="24"/>
          <w:szCs w:val="24"/>
        </w:rPr>
        <w:fldChar w:fldCharType="end"/>
      </w:r>
      <w:r>
        <w:rPr>
          <w:rFonts w:ascii="Times New Roman" w:eastAsia="Times New Roman" w:hAnsi="Times New Roman" w:cs="Times New Roman"/>
          <w:color w:val="000000"/>
          <w:sz w:val="24"/>
          <w:szCs w:val="24"/>
        </w:rPr>
        <w:t xml:space="preserve">, </w:t>
      </w:r>
      <w:r w:rsidRPr="0072453A">
        <w:rPr>
          <w:rFonts w:ascii="Times New Roman" w:eastAsia="Times New Roman" w:hAnsi="Times New Roman" w:cs="Times New Roman"/>
          <w:color w:val="000000"/>
          <w:sz w:val="24"/>
          <w:szCs w:val="24"/>
        </w:rPr>
        <w:t>only highlights the integration of visual media in Arabic language learning without touching on the adaptation aspect for students with learning disabilities. Meanwhile, a study from</w:t>
      </w:r>
      <w:r>
        <w:rPr>
          <w:rFonts w:ascii="Times New Roman" w:eastAsia="Times New Roman" w:hAnsi="Times New Roman" w:cs="Times New Roman"/>
          <w:color w:val="000000"/>
          <w:sz w:val="24"/>
          <w:szCs w:val="24"/>
        </w:rPr>
        <w:t xml:space="preserve"> </w:t>
      </w:r>
      <w:r w:rsidRPr="0072453A">
        <w:rPr>
          <w:rFonts w:ascii="Times New Roman" w:eastAsia="Times New Roman" w:hAnsi="Times New Roman" w:cs="Times New Roman"/>
          <w:color w:val="000000"/>
          <w:sz w:val="24"/>
          <w:szCs w:val="24"/>
        </w:rPr>
        <w:fldChar w:fldCharType="begin"/>
      </w:r>
      <w:r w:rsidR="00066BCA">
        <w:rPr>
          <w:rFonts w:ascii="Times New Roman" w:eastAsia="Times New Roman" w:hAnsi="Times New Roman" w:cs="Times New Roman"/>
          <w:color w:val="000000"/>
          <w:sz w:val="24"/>
          <w:szCs w:val="24"/>
        </w:rPr>
        <w:instrText xml:space="preserve"> ADDIN ZOTERO_ITEM CSL_CITATION {"citationID":"eKk6TMts","properties":{"formattedCitation":"(Ahmad &amp; Setiawan, 2024)","plainCitation":"(Ahmad &amp; Setiawan, 2024)","noteIndex":0},"citationItems":[{"id":"eqbFgLeb/CyVbPmpt","uris":["http://zotero.org/users/local/HTLpg2la/items/WEBHTMHS"],"itemData":{"id":494,"type":"article-journal","abstract":"This research aims for two main purposes: firstly, to assess the average learning achievement of fourth-grade students at SD Maitreechit Wittayathan School before implementing the Index Card Match method, and secondly, to evaluate the changes in the average learning achievement after the implementation of the Index Card Match method. The research method employed is a classroom action research conducted in two cycles. The research findings indicate that the implementation of the Index Card Match Learning Method can enhance the Arabic language learning achievement of students. In Cycle I, the average student activity reached 54.99%, which then increased to 73.93% in Cycle II, showing an improvement of 18.94%. Additionally, the average student learning outcomes in Cycle I were 61.78%, increasing to 67.5% in Cycle II, with an improvement of 5.72%. Despite the improvement, the percentage of students achieving a score ≥75 still falls short of the desired target of 85%. Based on the research results, 12 students have achieved or exceeded the Minimum Mastery Criteria (KKM), while 2 students have not yet reached mastery. Therefore, further efforts are needed to increase the percentage of students achieving scores above KKM to meet the desired indicators.","container-title":"Jurnal Dirosah Islamiyah","DOI":"10.47467/jdi.v6i1.6127","ISSN":"2716-4683","issue":"1","language":"en","license":"Copyright (c) 2024 Jurnal Dirosah Islamiyah","note":"number: 1","page":"207-216","source":"journal.laaroiba.com","title":"Implementasi Metode Pembelajaran Aktif Index Card Match dalam Peningkatan Prestasi Belajar Bahasa Arab Siswa Kelas IV SD Maitreechit Wittayathan School Thailand","volume":"6","author":[{"family":"Ahmad","given":"Diva Sri Wahyuni"},{"family":"Setiawan","given":"Hasrian Rudi"}],"issued":{"date-parts":[["2024",1,20]]}}}],"schema":"https://github.com/citation-style-language/schema/raw/master/csl-citation.json"} </w:instrText>
      </w:r>
      <w:r w:rsidRPr="0072453A">
        <w:rPr>
          <w:rFonts w:ascii="Times New Roman" w:eastAsia="Times New Roman" w:hAnsi="Times New Roman" w:cs="Times New Roman"/>
          <w:color w:val="000000"/>
          <w:sz w:val="24"/>
          <w:szCs w:val="24"/>
        </w:rPr>
        <w:fldChar w:fldCharType="separate"/>
      </w:r>
      <w:r w:rsidRPr="0072453A">
        <w:rPr>
          <w:rFonts w:ascii="Times New Roman" w:eastAsia="Times New Roman" w:hAnsi="Times New Roman" w:cs="Times New Roman"/>
          <w:color w:val="000000"/>
          <w:sz w:val="24"/>
          <w:szCs w:val="24"/>
        </w:rPr>
        <w:t>(Ahmad &amp; Setiawan, 2024)</w:t>
      </w:r>
      <w:r w:rsidRPr="0072453A">
        <w:rPr>
          <w:rFonts w:ascii="Times New Roman" w:eastAsia="Times New Roman" w:hAnsi="Times New Roman" w:cs="Times New Roman"/>
          <w:color w:val="000000"/>
          <w:sz w:val="24"/>
          <w:szCs w:val="24"/>
        </w:rPr>
        <w:fldChar w:fldCharType="end"/>
      </w:r>
      <w:r>
        <w:rPr>
          <w:rFonts w:ascii="Times New Roman" w:eastAsia="Times New Roman" w:hAnsi="Times New Roman" w:cs="Times New Roman"/>
          <w:color w:val="000000"/>
          <w:sz w:val="24"/>
          <w:szCs w:val="24"/>
        </w:rPr>
        <w:t xml:space="preserve"> </w:t>
      </w:r>
      <w:r w:rsidRPr="0072453A">
        <w:rPr>
          <w:rFonts w:ascii="Times New Roman" w:eastAsia="Times New Roman" w:hAnsi="Times New Roman" w:cs="Times New Roman"/>
          <w:color w:val="000000"/>
          <w:sz w:val="24"/>
          <w:szCs w:val="24"/>
        </w:rPr>
        <w:t>more emphasis on active learning strategies in teaching Arabic, but has not yet touched on the issue of designing inclusive teaching materials.</w:t>
      </w:r>
    </w:p>
    <w:p w14:paraId="25A1BBB2" w14:textId="77777777" w:rsidR="0072453A" w:rsidRDefault="0072453A" w:rsidP="0072453A">
      <w:pPr>
        <w:spacing w:after="0" w:line="240" w:lineRule="auto"/>
        <w:ind w:firstLine="720"/>
        <w:jc w:val="both"/>
        <w:rPr>
          <w:rFonts w:ascii="Times New Roman" w:eastAsia="Times New Roman" w:hAnsi="Times New Roman" w:cs="Times New Roman"/>
          <w:color w:val="000000"/>
          <w:sz w:val="24"/>
          <w:szCs w:val="24"/>
        </w:rPr>
      </w:pPr>
      <w:r w:rsidRPr="0072453A">
        <w:rPr>
          <w:rFonts w:ascii="Times New Roman" w:eastAsia="Times New Roman" w:hAnsi="Times New Roman" w:cs="Times New Roman"/>
          <w:color w:val="000000"/>
          <w:sz w:val="24"/>
          <w:szCs w:val="24"/>
        </w:rPr>
        <w:lastRenderedPageBreak/>
        <w:t>However, limitations in institutional policies, teacher training, and systematic evaluation remain major obstacles. Developed teaching materials often lack a data-driven learning needs assessment process. Teachers develop materials based on personal experiences without reference to a measurable evaluation framework or success rubric. This results in inconsistencies in the quality of teaching materials across classes and academic years.</w:t>
      </w:r>
    </w:p>
    <w:p w14:paraId="1B446C8F" w14:textId="77777777" w:rsidR="0072453A" w:rsidRDefault="0072453A" w:rsidP="0072453A">
      <w:pPr>
        <w:spacing w:after="0" w:line="240" w:lineRule="auto"/>
        <w:ind w:firstLine="720"/>
        <w:jc w:val="both"/>
        <w:rPr>
          <w:rFonts w:ascii="Times New Roman" w:eastAsia="Times New Roman" w:hAnsi="Times New Roman" w:cs="Times New Roman"/>
          <w:color w:val="000000"/>
          <w:sz w:val="24"/>
          <w:szCs w:val="24"/>
        </w:rPr>
      </w:pPr>
      <w:r w:rsidRPr="0072453A">
        <w:rPr>
          <w:rFonts w:ascii="Times New Roman" w:eastAsia="Times New Roman" w:hAnsi="Times New Roman" w:cs="Times New Roman"/>
          <w:color w:val="000000"/>
          <w:sz w:val="24"/>
          <w:szCs w:val="24"/>
        </w:rPr>
        <w:t>Therefore, systematic efforts are needed that not only focus on developing teaching materials but also encompass evaluation, reflection, and collaboration between teachers, students, and policymakers. Evaluation of teaching materials cannot be separated from the context in which they are used, including the classroom atmosphere, student characteristics, and the dynamics of learning interactions</w:t>
      </w:r>
      <w:r>
        <w:rPr>
          <w:rFonts w:ascii="Times New Roman" w:eastAsia="Times New Roman" w:hAnsi="Times New Roman" w:cs="Times New Roman"/>
          <w:color w:val="000000"/>
          <w:sz w:val="24"/>
          <w:szCs w:val="24"/>
        </w:rPr>
        <w:t xml:space="preserve"> </w:t>
      </w:r>
      <w:r w:rsidRPr="0072453A">
        <w:rPr>
          <w:rFonts w:ascii="Times New Roman" w:eastAsia="Times New Roman" w:hAnsi="Times New Roman" w:cs="Times New Roman"/>
          <w:color w:val="000000"/>
          <w:sz w:val="24"/>
          <w:szCs w:val="24"/>
        </w:rPr>
        <w:fldChar w:fldCharType="begin"/>
      </w:r>
      <w:r w:rsidRPr="0072453A">
        <w:rPr>
          <w:rFonts w:ascii="Times New Roman" w:eastAsia="Times New Roman" w:hAnsi="Times New Roman" w:cs="Times New Roman"/>
          <w:color w:val="000000"/>
          <w:sz w:val="24"/>
          <w:szCs w:val="24"/>
        </w:rPr>
        <w:instrText xml:space="preserve"> ADDIN ZOTERO_ITEM CSL_CITATION {"citationID":"nmaHJEuL","properties":{"formattedCitation":"(Xiao et al., 2023)","plainCitation":"(Xiao et al., 2023)","noteIndex":0},"citationItems":[{"id":155,"uris":["http://zotero.org/users/local/zJdtKIUw/items/MIMW3XJI"],"itemData":{"id":155,"type":"article-journal","abstract":"The students’ classroom well-being of college students has been widely concerned in online education researches. In order to implement effectively online education in colleges and universities, based on person-context interaction theory, this study investigates a theoretical model of the impact of teacher-student interaction, sound richness, sound pleasure, perceived ease of use and perceived usefulness on students’ classroom well-being. By surveying 349 college students receiving online education, the research hypotheses are tested by the structural equation model approach. Research results show that: teacher-student interaction, sound richness, sound pleasure, perceived ease of use and perceived usefulness appreciably improve students’ classroom well-being, the sound richness and the students’ perceived ease of use can moderate the effect of teacher-student interaction on students’ classroom well-being. Finally some pedagogical implications are discussed.","container-title":"Education and Information Technologies","DOI":"10.1007/s10639-023-11681-0","ISSN":"1573-7608","issue":"11","journalAbbreviation":"Educ Inf Technol","language":"en","page":"14669-14691","source":"Springer Link","title":"Impact of teacher-student interaction on students’ classroom well-being under online education environment","volume":"28","author":[{"family":"Xiao","given":"Meng"},{"family":"Tian","given":"Zeyang"},{"family":"Xu","given":"Wei"}],"issued":{"date-parts":[["2023",11,1]]}}}],"schema":"https://github.com/citation-style-language/schema/raw/master/csl-citation.json"} </w:instrText>
      </w:r>
      <w:r w:rsidRPr="0072453A">
        <w:rPr>
          <w:rFonts w:ascii="Times New Roman" w:eastAsia="Times New Roman" w:hAnsi="Times New Roman" w:cs="Times New Roman"/>
          <w:color w:val="000000"/>
          <w:sz w:val="24"/>
          <w:szCs w:val="24"/>
        </w:rPr>
        <w:fldChar w:fldCharType="separate"/>
      </w:r>
      <w:r w:rsidRPr="0072453A">
        <w:rPr>
          <w:rFonts w:ascii="Times New Roman" w:eastAsia="Times New Roman" w:hAnsi="Times New Roman" w:cs="Times New Roman"/>
          <w:color w:val="000000"/>
          <w:sz w:val="24"/>
          <w:szCs w:val="24"/>
        </w:rPr>
        <w:t>(Xiao et al., 2023)</w:t>
      </w:r>
      <w:r w:rsidRPr="0072453A">
        <w:rPr>
          <w:rFonts w:ascii="Times New Roman" w:eastAsia="Times New Roman" w:hAnsi="Times New Roman" w:cs="Times New Roman"/>
          <w:color w:val="000000"/>
          <w:sz w:val="24"/>
          <w:szCs w:val="24"/>
        </w:rPr>
        <w:fldChar w:fldCharType="end"/>
      </w:r>
      <w:r w:rsidRPr="0072453A">
        <w:rPr>
          <w:rFonts w:ascii="Times New Roman" w:eastAsia="Times New Roman" w:hAnsi="Times New Roman" w:cs="Times New Roman"/>
          <w:color w:val="000000"/>
          <w:sz w:val="24"/>
          <w:szCs w:val="24"/>
        </w:rPr>
        <w:t>.</w:t>
      </w:r>
    </w:p>
    <w:p w14:paraId="775046C0" w14:textId="77777777" w:rsidR="0072453A" w:rsidRDefault="0072453A" w:rsidP="0072453A">
      <w:pPr>
        <w:spacing w:after="0" w:line="240" w:lineRule="auto"/>
        <w:ind w:firstLine="720"/>
        <w:jc w:val="both"/>
        <w:rPr>
          <w:rFonts w:ascii="Times New Roman" w:eastAsia="Times New Roman" w:hAnsi="Times New Roman" w:cs="Times New Roman"/>
          <w:color w:val="000000"/>
          <w:sz w:val="24"/>
          <w:szCs w:val="24"/>
        </w:rPr>
      </w:pPr>
      <w:r w:rsidRPr="0072453A">
        <w:rPr>
          <w:rFonts w:ascii="Times New Roman" w:eastAsia="Times New Roman" w:hAnsi="Times New Roman" w:cs="Times New Roman"/>
          <w:color w:val="000000"/>
          <w:sz w:val="24"/>
          <w:szCs w:val="24"/>
        </w:rPr>
        <w:t xml:space="preserve">Based on this background, this study seeks to in-depth evaluate the practice of developing adaptive Arabic language teaching materials applied in inclusive learning at MTs </w:t>
      </w:r>
      <w:proofErr w:type="spellStart"/>
      <w:r w:rsidRPr="0072453A">
        <w:rPr>
          <w:rFonts w:ascii="Times New Roman" w:eastAsia="Times New Roman" w:hAnsi="Times New Roman" w:cs="Times New Roman"/>
          <w:color w:val="000000"/>
          <w:sz w:val="24"/>
          <w:szCs w:val="24"/>
        </w:rPr>
        <w:t>Miftahul</w:t>
      </w:r>
      <w:proofErr w:type="spellEnd"/>
      <w:r w:rsidRPr="0072453A">
        <w:rPr>
          <w:rFonts w:ascii="Times New Roman" w:eastAsia="Times New Roman" w:hAnsi="Times New Roman" w:cs="Times New Roman"/>
          <w:color w:val="000000"/>
          <w:sz w:val="24"/>
          <w:szCs w:val="24"/>
        </w:rPr>
        <w:t xml:space="preserve"> </w:t>
      </w:r>
      <w:proofErr w:type="spellStart"/>
      <w:r w:rsidRPr="0072453A">
        <w:rPr>
          <w:rFonts w:ascii="Times New Roman" w:eastAsia="Times New Roman" w:hAnsi="Times New Roman" w:cs="Times New Roman"/>
          <w:color w:val="000000"/>
          <w:sz w:val="24"/>
          <w:szCs w:val="24"/>
        </w:rPr>
        <w:t>Afkar</w:t>
      </w:r>
      <w:proofErr w:type="spellEnd"/>
      <w:r w:rsidRPr="0072453A">
        <w:rPr>
          <w:rFonts w:ascii="Times New Roman" w:eastAsia="Times New Roman" w:hAnsi="Times New Roman" w:cs="Times New Roman"/>
          <w:color w:val="000000"/>
          <w:sz w:val="24"/>
          <w:szCs w:val="24"/>
        </w:rPr>
        <w:t xml:space="preserve"> Kediri. Using a qualitative approach and an evaluative design model based on the CIPP (Context, Input, Process, Product) model, this study aims to comprehensively capture the conceptual and practical aspects of the adaptive teaching materials used.</w:t>
      </w:r>
    </w:p>
    <w:p w14:paraId="06047D8D" w14:textId="77777777" w:rsidR="0072453A" w:rsidRDefault="0072453A" w:rsidP="0072453A">
      <w:pPr>
        <w:spacing w:after="0" w:line="240" w:lineRule="auto"/>
        <w:ind w:firstLine="720"/>
        <w:jc w:val="both"/>
        <w:rPr>
          <w:rFonts w:ascii="Times New Roman" w:eastAsia="Times New Roman" w:hAnsi="Times New Roman" w:cs="Times New Roman"/>
          <w:color w:val="000000"/>
          <w:sz w:val="24"/>
          <w:szCs w:val="24"/>
        </w:rPr>
      </w:pPr>
      <w:r w:rsidRPr="0072453A">
        <w:rPr>
          <w:rFonts w:ascii="Times New Roman" w:eastAsia="Times New Roman" w:hAnsi="Times New Roman" w:cs="Times New Roman"/>
          <w:color w:val="000000"/>
          <w:sz w:val="24"/>
          <w:szCs w:val="24"/>
        </w:rPr>
        <w:t xml:space="preserve">Specifically, this research aims to answer two main problem formulations: (1) How is the implementation of the development of adaptive Arabic language teaching materials in inclusive learning at MTs </w:t>
      </w:r>
      <w:proofErr w:type="spellStart"/>
      <w:r w:rsidRPr="0072453A">
        <w:rPr>
          <w:rFonts w:ascii="Times New Roman" w:eastAsia="Times New Roman" w:hAnsi="Times New Roman" w:cs="Times New Roman"/>
          <w:color w:val="000000"/>
          <w:sz w:val="24"/>
          <w:szCs w:val="24"/>
        </w:rPr>
        <w:t>Miftahul</w:t>
      </w:r>
      <w:proofErr w:type="spellEnd"/>
      <w:r w:rsidRPr="0072453A">
        <w:rPr>
          <w:rFonts w:ascii="Times New Roman" w:eastAsia="Times New Roman" w:hAnsi="Times New Roman" w:cs="Times New Roman"/>
          <w:color w:val="000000"/>
          <w:sz w:val="24"/>
          <w:szCs w:val="24"/>
        </w:rPr>
        <w:t xml:space="preserve"> </w:t>
      </w:r>
      <w:proofErr w:type="spellStart"/>
      <w:r w:rsidRPr="0072453A">
        <w:rPr>
          <w:rFonts w:ascii="Times New Roman" w:eastAsia="Times New Roman" w:hAnsi="Times New Roman" w:cs="Times New Roman"/>
          <w:color w:val="000000"/>
          <w:sz w:val="24"/>
          <w:szCs w:val="24"/>
        </w:rPr>
        <w:t>Afkar</w:t>
      </w:r>
      <w:proofErr w:type="spellEnd"/>
      <w:r w:rsidRPr="0072453A">
        <w:rPr>
          <w:rFonts w:ascii="Times New Roman" w:eastAsia="Times New Roman" w:hAnsi="Times New Roman" w:cs="Times New Roman"/>
          <w:color w:val="000000"/>
          <w:sz w:val="24"/>
          <w:szCs w:val="24"/>
        </w:rPr>
        <w:t xml:space="preserve"> Kediri? and (2) What are the students' perceptions and involvement in the use of these adaptive teaching materials in the context of Arabic language learning?</w:t>
      </w:r>
    </w:p>
    <w:p w14:paraId="06146436" w14:textId="77777777" w:rsidR="0072453A" w:rsidRDefault="0072453A" w:rsidP="0072453A">
      <w:pPr>
        <w:spacing w:after="0" w:line="240" w:lineRule="auto"/>
        <w:ind w:firstLine="720"/>
        <w:jc w:val="both"/>
        <w:rPr>
          <w:rFonts w:ascii="Times New Roman" w:eastAsia="Times New Roman" w:hAnsi="Times New Roman" w:cs="Times New Roman"/>
          <w:color w:val="000000"/>
          <w:sz w:val="24"/>
          <w:szCs w:val="24"/>
        </w:rPr>
      </w:pPr>
      <w:r w:rsidRPr="0072453A">
        <w:rPr>
          <w:rFonts w:ascii="Times New Roman" w:eastAsia="Times New Roman" w:hAnsi="Times New Roman" w:cs="Times New Roman"/>
          <w:color w:val="000000"/>
          <w:sz w:val="24"/>
          <w:szCs w:val="24"/>
        </w:rPr>
        <w:t>In line with the formulation of the problem, the objectives of this study are: (1) to describe the development and implementation patterns of adaptive Arabic language teaching materials that support inclusive learning, and (2) to analyze students' perceptions and participation in the use of these teaching materials.</w:t>
      </w:r>
    </w:p>
    <w:p w14:paraId="630A3B91" w14:textId="77777777" w:rsidR="0072453A" w:rsidRDefault="0072453A" w:rsidP="0072453A">
      <w:pPr>
        <w:spacing w:after="0" w:line="240" w:lineRule="auto"/>
        <w:ind w:firstLine="720"/>
        <w:jc w:val="both"/>
        <w:rPr>
          <w:rFonts w:ascii="Times New Roman" w:eastAsia="Times New Roman" w:hAnsi="Times New Roman" w:cs="Times New Roman"/>
          <w:color w:val="000000"/>
          <w:sz w:val="24"/>
          <w:szCs w:val="24"/>
        </w:rPr>
      </w:pPr>
      <w:r w:rsidRPr="0072453A">
        <w:rPr>
          <w:rFonts w:ascii="Times New Roman" w:eastAsia="Times New Roman" w:hAnsi="Times New Roman" w:cs="Times New Roman"/>
          <w:color w:val="000000"/>
          <w:sz w:val="24"/>
          <w:szCs w:val="24"/>
        </w:rPr>
        <w:t>These two objectives are aimed at contributing to the development of Arabic language learning theory based on inclusivity and pedagogical justice. Furthermore, in practice, the results of this study are expected to serve as a reference for teachers and curriculum developers in developing teaching materials that are more responsive to the learning needs of inclusive students.</w:t>
      </w:r>
    </w:p>
    <w:p w14:paraId="58D2BEC7" w14:textId="77777777" w:rsidR="0072453A" w:rsidRDefault="0072453A" w:rsidP="0072453A">
      <w:pPr>
        <w:spacing w:after="0" w:line="240" w:lineRule="auto"/>
        <w:ind w:firstLine="720"/>
        <w:jc w:val="both"/>
        <w:rPr>
          <w:rFonts w:ascii="Times New Roman" w:eastAsia="Times New Roman" w:hAnsi="Times New Roman" w:cs="Times New Roman"/>
          <w:color w:val="000000"/>
          <w:sz w:val="24"/>
          <w:szCs w:val="24"/>
        </w:rPr>
      </w:pPr>
      <w:r w:rsidRPr="0072453A">
        <w:rPr>
          <w:rFonts w:ascii="Times New Roman" w:eastAsia="Times New Roman" w:hAnsi="Times New Roman" w:cs="Times New Roman"/>
          <w:color w:val="000000"/>
          <w:sz w:val="24"/>
          <w:szCs w:val="24"/>
        </w:rPr>
        <w:t>The novelty of this research lies in three main aspects. First, it examines the development of adaptive Arabic language teaching materials specifically within the context of inclusive secondary madrasahs, a topic rarely explored in depth. Second, it examines not only the content aspects of the teaching materials but also how students with special needs experience, respond to, and participate in the learning process through these teaching materials. Third, it explicitly integrates UDL theory into its analytical framework, a theoretical approach that is still rarely applied in studies of Arabic language learning in Indonesia.</w:t>
      </w:r>
    </w:p>
    <w:p w14:paraId="1F0600EB" w14:textId="77777777" w:rsidR="0072453A" w:rsidRDefault="0072453A" w:rsidP="0072453A">
      <w:pPr>
        <w:spacing w:after="0" w:line="240" w:lineRule="auto"/>
        <w:ind w:firstLine="720"/>
        <w:jc w:val="both"/>
        <w:rPr>
          <w:rFonts w:ascii="Times New Roman" w:eastAsia="Times New Roman" w:hAnsi="Times New Roman" w:cs="Times New Roman"/>
          <w:color w:val="000000"/>
          <w:sz w:val="24"/>
          <w:szCs w:val="24"/>
        </w:rPr>
      </w:pPr>
      <w:r w:rsidRPr="0072453A">
        <w:rPr>
          <w:rFonts w:ascii="Times New Roman" w:eastAsia="Times New Roman" w:hAnsi="Times New Roman" w:cs="Times New Roman"/>
          <w:color w:val="000000"/>
          <w:sz w:val="24"/>
          <w:szCs w:val="24"/>
        </w:rPr>
        <w:t>This study also enriches academic discourse on the relationship between inclusive pedagogical theory and foreign language teaching practice by presenting evidence-based field practice and critical reflection. This approach aligns with the global direction of 21st-century education, which demands more participatory, humane, and diversity-adaptive learning</w:t>
      </w:r>
      <w:r>
        <w:rPr>
          <w:rFonts w:ascii="Times New Roman" w:eastAsia="Times New Roman" w:hAnsi="Times New Roman" w:cs="Times New Roman"/>
          <w:color w:val="000000"/>
          <w:sz w:val="24"/>
          <w:szCs w:val="24"/>
        </w:rPr>
        <w:t xml:space="preserve"> </w:t>
      </w:r>
      <w:r w:rsidRPr="0072453A">
        <w:rPr>
          <w:rFonts w:ascii="Times New Roman" w:eastAsia="Times New Roman" w:hAnsi="Times New Roman" w:cs="Times New Roman"/>
          <w:color w:val="000000"/>
          <w:sz w:val="24"/>
          <w:szCs w:val="24"/>
        </w:rPr>
        <w:fldChar w:fldCharType="begin"/>
      </w:r>
      <w:r w:rsidRPr="0072453A">
        <w:rPr>
          <w:rFonts w:ascii="Times New Roman" w:eastAsia="Times New Roman" w:hAnsi="Times New Roman" w:cs="Times New Roman"/>
          <w:color w:val="000000"/>
          <w:sz w:val="24"/>
          <w:szCs w:val="24"/>
        </w:rPr>
        <w:instrText xml:space="preserve"> ADDIN ZOTERO_ITEM CSL_CITATION {"citationID":"DAZzOA60","properties":{"formattedCitation":"(Muhammadjonova &amp; Akhmedova, 2025)","plainCitation":"(Muhammadjonova &amp; Akhmedova, 2025)","noteIndex":0},"citationItems":[{"id":156,"uris":["http://zotero.org/users/local/zJdtKIUw/items/4SPC3LPV"],"itemData":{"id":156,"type":"article-journal","abstract":"In the 21st century, education systems are undergoing profound transformation due to globalization, technological progress, shifting societal needs, and evolving theories of learning. The traditional models of education are no longer sufficient to meet the demands of an interconnected and rapidly changing world. This article explores the philosophical and theoretical foundations of modern education, recent innovations in pedagogy and technology, the integration of inclusive and lifelong learning principles, and the challenges posed by inequality, outdated curricula, and teacher shortages. Drawing from recent global reports and academic literature, the article offers a holistic view of current trends and suggests strategic directions for policymakers and educators to reimagine and improve educational practices worldwide. This article explores the multidimensional evolution of education through a comprehensive scientific lens. It investigates foundational learning theories, the rise of learner-centered and technology-enhanced pedagogies, and the growing emphasis on inclusive and competency-based models. In addition, it addresses persistent challenges such as educational inequality, outdated curricula, and teacher shortages. The article also presents future-oriented recommendations for policymakers, educators, and researchers, aimed at building equitable, flexible, and resilient education systems.By examining education from both theoretical and practical perspectives, this paper provides valuable insights into how global societies can harness the power of education to foster sustainable development, innovation, and social equity in the 21st century.","container-title":"Общественные науки в современном мире: теоретические и практические исследования","ISSN":"2181-2020","issue":"10","journalAbbreviation":"ZDIF","language":"en","license":"Copyright (c) 2025","note":"number: 10","page":"58-62","source":"inlibrary.uz","title":"THE TRANSFORMATION OF EDUCATION IN THE 21ST CENTURY: INNOVATIONS, CHALLENGES, AND FUTURE DIRECTIONS","title-short":"THE TRANSFORMATION OF EDUCATION IN THE 21ST CENTURY","volume":"4","author":[{"family":"Muhammadjonova","given":"Zebokhon"},{"family":"Akhmedova","given":"Muyassar"}],"issued":{"date-parts":[["2025",5,6]]}}}],"schema":"https://github.com/citation-style-language/schema/raw/master/csl-citation.json"} </w:instrText>
      </w:r>
      <w:r w:rsidRPr="0072453A">
        <w:rPr>
          <w:rFonts w:ascii="Times New Roman" w:eastAsia="Times New Roman" w:hAnsi="Times New Roman" w:cs="Times New Roman"/>
          <w:color w:val="000000"/>
          <w:sz w:val="24"/>
          <w:szCs w:val="24"/>
        </w:rPr>
        <w:fldChar w:fldCharType="separate"/>
      </w:r>
      <w:r w:rsidRPr="0072453A">
        <w:rPr>
          <w:rFonts w:ascii="Times New Roman" w:eastAsia="Times New Roman" w:hAnsi="Times New Roman" w:cs="Times New Roman"/>
          <w:color w:val="000000"/>
          <w:sz w:val="24"/>
          <w:szCs w:val="24"/>
        </w:rPr>
        <w:t>(Muhammadjonova &amp; Akhmedova, 2025)</w:t>
      </w:r>
      <w:r w:rsidRPr="0072453A">
        <w:rPr>
          <w:rFonts w:ascii="Times New Roman" w:eastAsia="Times New Roman" w:hAnsi="Times New Roman" w:cs="Times New Roman"/>
          <w:color w:val="000000"/>
          <w:sz w:val="24"/>
          <w:szCs w:val="24"/>
        </w:rPr>
        <w:fldChar w:fldCharType="end"/>
      </w:r>
      <w:r w:rsidRPr="0072453A">
        <w:rPr>
          <w:rFonts w:ascii="Times New Roman" w:eastAsia="Times New Roman" w:hAnsi="Times New Roman" w:cs="Times New Roman"/>
          <w:color w:val="000000"/>
          <w:sz w:val="24"/>
          <w:szCs w:val="24"/>
        </w:rPr>
        <w:t>.</w:t>
      </w:r>
    </w:p>
    <w:p w14:paraId="3E473091" w14:textId="77777777" w:rsidR="0072453A" w:rsidRDefault="0072453A" w:rsidP="0072453A">
      <w:pPr>
        <w:spacing w:after="0" w:line="240" w:lineRule="auto"/>
        <w:ind w:firstLine="720"/>
        <w:jc w:val="both"/>
        <w:rPr>
          <w:rFonts w:ascii="Times New Roman" w:eastAsia="Times New Roman" w:hAnsi="Times New Roman" w:cs="Times New Roman"/>
          <w:color w:val="000000"/>
          <w:sz w:val="24"/>
          <w:szCs w:val="24"/>
        </w:rPr>
      </w:pPr>
      <w:r w:rsidRPr="0072453A">
        <w:rPr>
          <w:rFonts w:ascii="Times New Roman" w:eastAsia="Times New Roman" w:hAnsi="Times New Roman" w:cs="Times New Roman"/>
          <w:color w:val="000000"/>
          <w:sz w:val="24"/>
          <w:szCs w:val="24"/>
        </w:rPr>
        <w:t xml:space="preserve">Through empirical findings obtained from classroom observations, in-depth interviews, and document studies, this research offers a model for developing contextual, applicable, and student-centered teaching materials. These findings not only provide </w:t>
      </w:r>
      <w:r w:rsidRPr="0072453A">
        <w:rPr>
          <w:rFonts w:ascii="Times New Roman" w:eastAsia="Times New Roman" w:hAnsi="Times New Roman" w:cs="Times New Roman"/>
          <w:color w:val="000000"/>
          <w:sz w:val="24"/>
          <w:szCs w:val="24"/>
        </w:rPr>
        <w:lastRenderedPageBreak/>
        <w:t>practical contributions but also highlight the importance of policy alignment toward inclusive education.</w:t>
      </w:r>
    </w:p>
    <w:p w14:paraId="56951D41" w14:textId="5D8FA707" w:rsidR="00900DBA" w:rsidRDefault="0072453A" w:rsidP="0072453A">
      <w:pPr>
        <w:spacing w:after="0" w:line="240" w:lineRule="auto"/>
        <w:ind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w:t>
      </w:r>
      <w:r w:rsidRPr="0072453A">
        <w:rPr>
          <w:rFonts w:ascii="Times New Roman" w:eastAsia="Times New Roman" w:hAnsi="Times New Roman" w:cs="Times New Roman"/>
          <w:color w:val="000000"/>
          <w:sz w:val="24"/>
          <w:szCs w:val="24"/>
        </w:rPr>
        <w:t>his research is not merely an academic report on Arabic language teaching materials, but can also serve as advocacy to encourage a more equitable and transformative transformation of the learning system. In the long term, the results are expected to serve as a reference for other madrasahs in developing meaningful and sustainable inclusive learning models.</w:t>
      </w:r>
    </w:p>
    <w:p w14:paraId="31903030" w14:textId="77777777" w:rsidR="00900DBA" w:rsidRDefault="00900DBA">
      <w:pPr>
        <w:spacing w:after="0" w:line="240" w:lineRule="auto"/>
        <w:jc w:val="both"/>
        <w:rPr>
          <w:rFonts w:ascii="Times New Roman" w:eastAsia="Times New Roman" w:hAnsi="Times New Roman" w:cs="Times New Roman"/>
          <w:color w:val="000000"/>
          <w:sz w:val="24"/>
          <w:szCs w:val="24"/>
        </w:rPr>
      </w:pPr>
    </w:p>
    <w:p w14:paraId="039578A8" w14:textId="7457083B" w:rsidR="00900DBA" w:rsidRDefault="006B646C">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 xml:space="preserve">METHOD </w:t>
      </w:r>
    </w:p>
    <w:p w14:paraId="4BF5198C" w14:textId="77777777" w:rsidR="000148D4" w:rsidRPr="000148D4" w:rsidRDefault="000148D4" w:rsidP="000148D4">
      <w:pPr>
        <w:spacing w:after="0" w:line="240" w:lineRule="auto"/>
        <w:jc w:val="both"/>
        <w:rPr>
          <w:rFonts w:ascii="Times New Roman" w:eastAsia="Times New Roman" w:hAnsi="Times New Roman" w:cs="Times New Roman"/>
          <w:b/>
          <w:bCs/>
          <w:sz w:val="24"/>
          <w:szCs w:val="24"/>
        </w:rPr>
      </w:pPr>
      <w:r w:rsidRPr="000148D4">
        <w:rPr>
          <w:rFonts w:ascii="Times New Roman" w:eastAsia="Times New Roman" w:hAnsi="Times New Roman" w:cs="Times New Roman"/>
          <w:b/>
          <w:bCs/>
          <w:sz w:val="24"/>
          <w:szCs w:val="24"/>
        </w:rPr>
        <w:t>Research Design</w:t>
      </w:r>
    </w:p>
    <w:p w14:paraId="14E1F0E5" w14:textId="77777777" w:rsidR="000148D4" w:rsidRPr="000148D4" w:rsidRDefault="000148D4" w:rsidP="000148D4">
      <w:pPr>
        <w:spacing w:after="0" w:line="240" w:lineRule="auto"/>
        <w:ind w:firstLine="720"/>
        <w:jc w:val="both"/>
        <w:rPr>
          <w:rFonts w:ascii="Times New Roman" w:eastAsia="Times New Roman" w:hAnsi="Times New Roman" w:cs="Times New Roman"/>
          <w:sz w:val="24"/>
          <w:szCs w:val="24"/>
        </w:rPr>
      </w:pPr>
      <w:r w:rsidRPr="000148D4">
        <w:rPr>
          <w:rFonts w:ascii="Times New Roman" w:eastAsia="Times New Roman" w:hAnsi="Times New Roman" w:cs="Times New Roman"/>
          <w:sz w:val="24"/>
          <w:szCs w:val="24"/>
        </w:rPr>
        <w:t xml:space="preserve">This study uses a qualitative approach with a descriptive evaluative type, which is directed to evaluate the development of adaptive Arabic language teaching materials within an inclusive learning framework at MTs </w:t>
      </w:r>
      <w:proofErr w:type="spellStart"/>
      <w:r w:rsidRPr="000148D4">
        <w:rPr>
          <w:rFonts w:ascii="Times New Roman" w:eastAsia="Times New Roman" w:hAnsi="Times New Roman" w:cs="Times New Roman"/>
          <w:sz w:val="24"/>
          <w:szCs w:val="24"/>
        </w:rPr>
        <w:t>Miftahul</w:t>
      </w:r>
      <w:proofErr w:type="spellEnd"/>
      <w:r w:rsidRPr="000148D4">
        <w:rPr>
          <w:rFonts w:ascii="Times New Roman" w:eastAsia="Times New Roman" w:hAnsi="Times New Roman" w:cs="Times New Roman"/>
          <w:sz w:val="24"/>
          <w:szCs w:val="24"/>
        </w:rPr>
        <w:t xml:space="preserve"> </w:t>
      </w:r>
      <w:proofErr w:type="spellStart"/>
      <w:r w:rsidRPr="000148D4">
        <w:rPr>
          <w:rFonts w:ascii="Times New Roman" w:eastAsia="Times New Roman" w:hAnsi="Times New Roman" w:cs="Times New Roman"/>
          <w:sz w:val="24"/>
          <w:szCs w:val="24"/>
        </w:rPr>
        <w:t>Afkar</w:t>
      </w:r>
      <w:proofErr w:type="spellEnd"/>
      <w:r w:rsidRPr="000148D4">
        <w:rPr>
          <w:rFonts w:ascii="Times New Roman" w:eastAsia="Times New Roman" w:hAnsi="Times New Roman" w:cs="Times New Roman"/>
          <w:sz w:val="24"/>
          <w:szCs w:val="24"/>
        </w:rPr>
        <w:t xml:space="preserve"> Kediri. This type of research was chosen because it is able to capture phenomena in depth, understanding the process and context of teaching material use in the learning reality involving students with diverse learning needs. The evaluation model used is CIPP (Context, Input, Process, Product), which allows for a comprehensive analysis starting from the background of development needs to the results of teaching material implementation in the classroom.</w:t>
      </w:r>
    </w:p>
    <w:p w14:paraId="3AE33D49" w14:textId="77777777" w:rsidR="000148D4" w:rsidRPr="000148D4" w:rsidRDefault="000148D4" w:rsidP="000148D4">
      <w:pPr>
        <w:spacing w:after="0" w:line="240" w:lineRule="auto"/>
        <w:jc w:val="both"/>
        <w:rPr>
          <w:rFonts w:ascii="Times New Roman" w:eastAsia="Times New Roman" w:hAnsi="Times New Roman" w:cs="Times New Roman"/>
          <w:b/>
          <w:bCs/>
          <w:sz w:val="24"/>
          <w:szCs w:val="24"/>
        </w:rPr>
      </w:pPr>
      <w:r w:rsidRPr="000148D4">
        <w:rPr>
          <w:rFonts w:ascii="Times New Roman" w:eastAsia="Times New Roman" w:hAnsi="Times New Roman" w:cs="Times New Roman"/>
          <w:b/>
          <w:bCs/>
          <w:sz w:val="24"/>
          <w:szCs w:val="24"/>
        </w:rPr>
        <w:t>Instruments</w:t>
      </w:r>
    </w:p>
    <w:p w14:paraId="3AB2E6EC" w14:textId="77777777" w:rsidR="000148D4" w:rsidRPr="000148D4" w:rsidRDefault="000148D4" w:rsidP="000148D4">
      <w:pPr>
        <w:spacing w:after="0" w:line="240" w:lineRule="auto"/>
        <w:ind w:firstLine="360"/>
        <w:jc w:val="both"/>
        <w:rPr>
          <w:rFonts w:ascii="Times New Roman" w:eastAsia="Times New Roman" w:hAnsi="Times New Roman" w:cs="Times New Roman"/>
          <w:sz w:val="24"/>
          <w:szCs w:val="24"/>
        </w:rPr>
      </w:pPr>
      <w:r w:rsidRPr="000148D4">
        <w:rPr>
          <w:rFonts w:ascii="Times New Roman" w:eastAsia="Times New Roman" w:hAnsi="Times New Roman" w:cs="Times New Roman"/>
          <w:sz w:val="24"/>
          <w:szCs w:val="24"/>
        </w:rPr>
        <w:t xml:space="preserve">The primary instrument in this study was the researcher herself (human instrument), as is customary in qualitative research. The researcher acted as the primary instrument, actively and reflectively designing, directing, and interpreting the data collection process. To support the accuracy and regularity of the process, the researcher also used </w:t>
      </w:r>
      <w:proofErr w:type="gramStart"/>
      <w:r w:rsidRPr="000148D4">
        <w:rPr>
          <w:rFonts w:ascii="Times New Roman" w:eastAsia="Times New Roman" w:hAnsi="Times New Roman" w:cs="Times New Roman"/>
          <w:sz w:val="24"/>
          <w:szCs w:val="24"/>
        </w:rPr>
        <w:t>supporting</w:t>
      </w:r>
      <w:proofErr w:type="gramEnd"/>
      <w:r w:rsidRPr="000148D4">
        <w:rPr>
          <w:rFonts w:ascii="Times New Roman" w:eastAsia="Times New Roman" w:hAnsi="Times New Roman" w:cs="Times New Roman"/>
          <w:sz w:val="24"/>
          <w:szCs w:val="24"/>
        </w:rPr>
        <w:t xml:space="preserve"> instruments, including:</w:t>
      </w:r>
    </w:p>
    <w:p w14:paraId="7C51B78F" w14:textId="77777777" w:rsidR="000148D4" w:rsidRPr="000148D4" w:rsidRDefault="000148D4" w:rsidP="000148D4">
      <w:pPr>
        <w:numPr>
          <w:ilvl w:val="0"/>
          <w:numId w:val="1"/>
        </w:numPr>
        <w:spacing w:after="0" w:line="240" w:lineRule="auto"/>
        <w:ind w:left="426"/>
        <w:jc w:val="both"/>
        <w:rPr>
          <w:rFonts w:ascii="Times New Roman" w:eastAsia="Times New Roman" w:hAnsi="Times New Roman" w:cs="Times New Roman"/>
          <w:sz w:val="24"/>
          <w:szCs w:val="24"/>
        </w:rPr>
      </w:pPr>
      <w:r w:rsidRPr="000148D4">
        <w:rPr>
          <w:rFonts w:ascii="Times New Roman" w:eastAsia="Times New Roman" w:hAnsi="Times New Roman" w:cs="Times New Roman"/>
          <w:sz w:val="24"/>
          <w:szCs w:val="24"/>
        </w:rPr>
        <w:t>Semi-structured interview guidelines, which were used to gather information from teachers, madrasah principals, and students with special needs regarding their perceptions and experiences of the developed teaching materials.</w:t>
      </w:r>
    </w:p>
    <w:p w14:paraId="65FBE242" w14:textId="77777777" w:rsidR="000148D4" w:rsidRPr="000148D4" w:rsidRDefault="000148D4" w:rsidP="000148D4">
      <w:pPr>
        <w:numPr>
          <w:ilvl w:val="0"/>
          <w:numId w:val="1"/>
        </w:numPr>
        <w:spacing w:after="0" w:line="240" w:lineRule="auto"/>
        <w:ind w:left="426"/>
        <w:jc w:val="both"/>
        <w:rPr>
          <w:rFonts w:ascii="Times New Roman" w:eastAsia="Times New Roman" w:hAnsi="Times New Roman" w:cs="Times New Roman"/>
          <w:sz w:val="24"/>
          <w:szCs w:val="24"/>
        </w:rPr>
      </w:pPr>
      <w:r w:rsidRPr="000148D4">
        <w:rPr>
          <w:rFonts w:ascii="Times New Roman" w:eastAsia="Times New Roman" w:hAnsi="Times New Roman" w:cs="Times New Roman"/>
          <w:sz w:val="24"/>
          <w:szCs w:val="24"/>
        </w:rPr>
        <w:t>Participatory observation sheets, designed to record learning activities, use of teaching materials, teacher-student interactions, and class dynamics during the process.</w:t>
      </w:r>
    </w:p>
    <w:p w14:paraId="0B23DAD1" w14:textId="77777777" w:rsidR="000148D4" w:rsidRPr="000148D4" w:rsidRDefault="000148D4" w:rsidP="000148D4">
      <w:pPr>
        <w:numPr>
          <w:ilvl w:val="0"/>
          <w:numId w:val="1"/>
        </w:numPr>
        <w:spacing w:after="0" w:line="240" w:lineRule="auto"/>
        <w:ind w:left="426"/>
        <w:jc w:val="both"/>
        <w:rPr>
          <w:rFonts w:ascii="Times New Roman" w:eastAsia="Times New Roman" w:hAnsi="Times New Roman" w:cs="Times New Roman"/>
          <w:sz w:val="24"/>
          <w:szCs w:val="24"/>
        </w:rPr>
      </w:pPr>
      <w:r w:rsidRPr="000148D4">
        <w:rPr>
          <w:rFonts w:ascii="Times New Roman" w:eastAsia="Times New Roman" w:hAnsi="Times New Roman" w:cs="Times New Roman"/>
          <w:sz w:val="24"/>
          <w:szCs w:val="24"/>
        </w:rPr>
        <w:t>Documentation study checklist, to analyze documents such as lesson plans, syllabi, printed and digital teaching materials, teacher notes, and reports on the implementation of inclusive learning.</w:t>
      </w:r>
    </w:p>
    <w:p w14:paraId="798E396C" w14:textId="77777777" w:rsidR="000148D4" w:rsidRPr="000148D4" w:rsidRDefault="000148D4" w:rsidP="000148D4">
      <w:pPr>
        <w:spacing w:after="0" w:line="240" w:lineRule="auto"/>
        <w:ind w:firstLine="360"/>
        <w:jc w:val="both"/>
        <w:rPr>
          <w:rFonts w:ascii="Times New Roman" w:eastAsia="Times New Roman" w:hAnsi="Times New Roman" w:cs="Times New Roman"/>
          <w:sz w:val="24"/>
          <w:szCs w:val="24"/>
        </w:rPr>
      </w:pPr>
      <w:r w:rsidRPr="000148D4">
        <w:rPr>
          <w:rFonts w:ascii="Times New Roman" w:eastAsia="Times New Roman" w:hAnsi="Times New Roman" w:cs="Times New Roman"/>
          <w:sz w:val="24"/>
          <w:szCs w:val="24"/>
        </w:rPr>
        <w:t>These instruments are designed based on the CIPP evaluation framework, so that all aspects from context to product can be recorded systematically.</w:t>
      </w:r>
    </w:p>
    <w:p w14:paraId="603DD899" w14:textId="77777777" w:rsidR="000148D4" w:rsidRPr="000148D4" w:rsidRDefault="000148D4" w:rsidP="000148D4">
      <w:pPr>
        <w:spacing w:after="0" w:line="240" w:lineRule="auto"/>
        <w:jc w:val="both"/>
        <w:rPr>
          <w:rFonts w:ascii="Times New Roman" w:eastAsia="Times New Roman" w:hAnsi="Times New Roman" w:cs="Times New Roman"/>
          <w:b/>
          <w:bCs/>
          <w:sz w:val="24"/>
          <w:szCs w:val="24"/>
        </w:rPr>
      </w:pPr>
      <w:r w:rsidRPr="000148D4">
        <w:rPr>
          <w:rFonts w:ascii="Times New Roman" w:eastAsia="Times New Roman" w:hAnsi="Times New Roman" w:cs="Times New Roman"/>
          <w:b/>
          <w:bCs/>
          <w:sz w:val="24"/>
          <w:szCs w:val="24"/>
        </w:rPr>
        <w:t>Procedures</w:t>
      </w:r>
    </w:p>
    <w:p w14:paraId="3FAB42DE" w14:textId="77777777" w:rsidR="000148D4" w:rsidRPr="000148D4" w:rsidRDefault="000148D4" w:rsidP="000148D4">
      <w:pPr>
        <w:spacing w:after="0" w:line="240" w:lineRule="auto"/>
        <w:ind w:firstLine="720"/>
        <w:jc w:val="both"/>
        <w:rPr>
          <w:rFonts w:ascii="Times New Roman" w:eastAsia="Times New Roman" w:hAnsi="Times New Roman" w:cs="Times New Roman"/>
          <w:b/>
          <w:bCs/>
          <w:sz w:val="24"/>
          <w:szCs w:val="24"/>
        </w:rPr>
      </w:pPr>
      <w:r w:rsidRPr="000148D4">
        <w:rPr>
          <w:rFonts w:ascii="Times New Roman" w:eastAsia="Times New Roman" w:hAnsi="Times New Roman" w:cs="Times New Roman"/>
          <w:sz w:val="24"/>
          <w:szCs w:val="24"/>
        </w:rPr>
        <w:t>The initial step in this research procedure was to identify the context through a preliminary study of inclusive policies in madrasas and the general conditions of students with special needs. Afterward, the researchers developed a data collection plan that included purposive selection of informants, namely those relevant to the field and those with direct experience in the development and implementation of adaptive teaching materials.</w:t>
      </w:r>
    </w:p>
    <w:p w14:paraId="28311DF6" w14:textId="77777777" w:rsidR="000148D4" w:rsidRPr="000148D4" w:rsidRDefault="000148D4" w:rsidP="000148D4">
      <w:pPr>
        <w:spacing w:after="0" w:line="240" w:lineRule="auto"/>
        <w:ind w:firstLine="360"/>
        <w:jc w:val="both"/>
        <w:rPr>
          <w:rFonts w:ascii="Times New Roman" w:eastAsia="Times New Roman" w:hAnsi="Times New Roman" w:cs="Times New Roman"/>
          <w:sz w:val="24"/>
          <w:szCs w:val="24"/>
        </w:rPr>
      </w:pPr>
      <w:r w:rsidRPr="000148D4">
        <w:rPr>
          <w:rFonts w:ascii="Times New Roman" w:eastAsia="Times New Roman" w:hAnsi="Times New Roman" w:cs="Times New Roman"/>
          <w:sz w:val="24"/>
          <w:szCs w:val="24"/>
        </w:rPr>
        <w:t>The stages of research implementation include:</w:t>
      </w:r>
    </w:p>
    <w:p w14:paraId="7F571BA3" w14:textId="77777777" w:rsidR="000148D4" w:rsidRPr="000148D4" w:rsidRDefault="000148D4" w:rsidP="000148D4">
      <w:pPr>
        <w:numPr>
          <w:ilvl w:val="0"/>
          <w:numId w:val="2"/>
        </w:numPr>
        <w:spacing w:after="0" w:line="240" w:lineRule="auto"/>
        <w:ind w:left="426"/>
        <w:jc w:val="both"/>
        <w:rPr>
          <w:rFonts w:ascii="Times New Roman" w:eastAsia="Times New Roman" w:hAnsi="Times New Roman" w:cs="Times New Roman"/>
          <w:sz w:val="24"/>
          <w:szCs w:val="24"/>
        </w:rPr>
      </w:pPr>
      <w:r w:rsidRPr="000148D4">
        <w:rPr>
          <w:rFonts w:ascii="Times New Roman" w:eastAsia="Times New Roman" w:hAnsi="Times New Roman" w:cs="Times New Roman"/>
          <w:sz w:val="24"/>
          <w:szCs w:val="24"/>
        </w:rPr>
        <w:t>Initial observations were carried out to understand the inclusive learning situation and environment and to identify the general characteristics of the teaching materials used.</w:t>
      </w:r>
    </w:p>
    <w:p w14:paraId="4BCC4209" w14:textId="77777777" w:rsidR="000148D4" w:rsidRPr="000148D4" w:rsidRDefault="000148D4" w:rsidP="000148D4">
      <w:pPr>
        <w:numPr>
          <w:ilvl w:val="0"/>
          <w:numId w:val="2"/>
        </w:numPr>
        <w:spacing w:after="0" w:line="240" w:lineRule="auto"/>
        <w:ind w:left="426"/>
        <w:jc w:val="both"/>
        <w:rPr>
          <w:rFonts w:ascii="Times New Roman" w:eastAsia="Times New Roman" w:hAnsi="Times New Roman" w:cs="Times New Roman"/>
          <w:sz w:val="24"/>
          <w:szCs w:val="24"/>
        </w:rPr>
      </w:pPr>
      <w:r w:rsidRPr="000148D4">
        <w:rPr>
          <w:rFonts w:ascii="Times New Roman" w:eastAsia="Times New Roman" w:hAnsi="Times New Roman" w:cs="Times New Roman"/>
          <w:sz w:val="24"/>
          <w:szCs w:val="24"/>
        </w:rPr>
        <w:lastRenderedPageBreak/>
        <w:t>In-depth interviews were conducted face-to-face with teachers, madrasah principals, and students with special needs to obtain reflective, narrative, and contextual information.</w:t>
      </w:r>
    </w:p>
    <w:p w14:paraId="760E3CFE" w14:textId="77777777" w:rsidR="000148D4" w:rsidRPr="000148D4" w:rsidRDefault="000148D4" w:rsidP="000148D4">
      <w:pPr>
        <w:numPr>
          <w:ilvl w:val="0"/>
          <w:numId w:val="2"/>
        </w:numPr>
        <w:spacing w:after="0" w:line="240" w:lineRule="auto"/>
        <w:ind w:left="426"/>
        <w:jc w:val="both"/>
        <w:rPr>
          <w:rFonts w:ascii="Times New Roman" w:eastAsia="Times New Roman" w:hAnsi="Times New Roman" w:cs="Times New Roman"/>
          <w:sz w:val="24"/>
          <w:szCs w:val="24"/>
        </w:rPr>
      </w:pPr>
      <w:r w:rsidRPr="000148D4">
        <w:rPr>
          <w:rFonts w:ascii="Times New Roman" w:eastAsia="Times New Roman" w:hAnsi="Times New Roman" w:cs="Times New Roman"/>
          <w:sz w:val="24"/>
          <w:szCs w:val="24"/>
        </w:rPr>
        <w:t>Class observations were conducted over several meetings, focusing on interactions in the use of teaching materials and active participation of students, especially those with special needs.</w:t>
      </w:r>
    </w:p>
    <w:p w14:paraId="1B46C16E" w14:textId="77777777" w:rsidR="000148D4" w:rsidRPr="000148D4" w:rsidRDefault="000148D4" w:rsidP="000148D4">
      <w:pPr>
        <w:numPr>
          <w:ilvl w:val="0"/>
          <w:numId w:val="2"/>
        </w:numPr>
        <w:spacing w:after="0" w:line="240" w:lineRule="auto"/>
        <w:ind w:left="426"/>
        <w:jc w:val="both"/>
        <w:rPr>
          <w:rFonts w:ascii="Times New Roman" w:eastAsia="Times New Roman" w:hAnsi="Times New Roman" w:cs="Times New Roman"/>
          <w:sz w:val="24"/>
          <w:szCs w:val="24"/>
        </w:rPr>
      </w:pPr>
      <w:r w:rsidRPr="000148D4">
        <w:rPr>
          <w:rFonts w:ascii="Times New Roman" w:eastAsia="Times New Roman" w:hAnsi="Times New Roman" w:cs="Times New Roman"/>
          <w:sz w:val="24"/>
          <w:szCs w:val="24"/>
        </w:rPr>
        <w:t>Collection of documents, including teaching materials used, teacher notes, and internal reports related to the implementation of inclusive learning.</w:t>
      </w:r>
    </w:p>
    <w:p w14:paraId="047754D5" w14:textId="77777777" w:rsidR="000148D4" w:rsidRPr="000148D4" w:rsidRDefault="000148D4" w:rsidP="000148D4">
      <w:pPr>
        <w:numPr>
          <w:ilvl w:val="0"/>
          <w:numId w:val="2"/>
        </w:numPr>
        <w:spacing w:after="0" w:line="240" w:lineRule="auto"/>
        <w:ind w:left="426"/>
        <w:jc w:val="both"/>
        <w:rPr>
          <w:rFonts w:ascii="Times New Roman" w:eastAsia="Times New Roman" w:hAnsi="Times New Roman" w:cs="Times New Roman"/>
          <w:sz w:val="24"/>
          <w:szCs w:val="24"/>
        </w:rPr>
      </w:pPr>
      <w:r w:rsidRPr="000148D4">
        <w:rPr>
          <w:rFonts w:ascii="Times New Roman" w:eastAsia="Times New Roman" w:hAnsi="Times New Roman" w:cs="Times New Roman"/>
          <w:sz w:val="24"/>
          <w:szCs w:val="24"/>
        </w:rPr>
        <w:t>Data triangulation, as a form of cross-verification between data from interviews, observations, and documents to increase the validity of findings.</w:t>
      </w:r>
    </w:p>
    <w:p w14:paraId="70FE27DF" w14:textId="77777777" w:rsidR="000148D4" w:rsidRPr="000148D4" w:rsidRDefault="000148D4" w:rsidP="000148D4">
      <w:pPr>
        <w:spacing w:after="0" w:line="240" w:lineRule="auto"/>
        <w:ind w:firstLine="66"/>
        <w:jc w:val="both"/>
        <w:rPr>
          <w:rFonts w:ascii="Times New Roman" w:eastAsia="Times New Roman" w:hAnsi="Times New Roman" w:cs="Times New Roman"/>
          <w:sz w:val="24"/>
          <w:szCs w:val="24"/>
        </w:rPr>
      </w:pPr>
      <w:r w:rsidRPr="000148D4">
        <w:rPr>
          <w:rFonts w:ascii="Times New Roman" w:eastAsia="Times New Roman" w:hAnsi="Times New Roman" w:cs="Times New Roman"/>
          <w:sz w:val="24"/>
          <w:szCs w:val="24"/>
        </w:rPr>
        <w:t>The entire process takes place in a naturalistic manner, without disrupting the students' learning rhythm, and is based on ethical principles, including informant consent and protection of personal data.</w:t>
      </w:r>
    </w:p>
    <w:p w14:paraId="614C9490" w14:textId="77777777" w:rsidR="000148D4" w:rsidRPr="000148D4" w:rsidRDefault="000148D4" w:rsidP="000148D4">
      <w:pPr>
        <w:spacing w:after="0" w:line="240" w:lineRule="auto"/>
        <w:jc w:val="both"/>
        <w:rPr>
          <w:rFonts w:ascii="Times New Roman" w:eastAsia="Times New Roman" w:hAnsi="Times New Roman" w:cs="Times New Roman"/>
          <w:b/>
          <w:bCs/>
          <w:sz w:val="24"/>
          <w:szCs w:val="24"/>
        </w:rPr>
      </w:pPr>
      <w:r w:rsidRPr="000148D4">
        <w:rPr>
          <w:rFonts w:ascii="Times New Roman" w:eastAsia="Times New Roman" w:hAnsi="Times New Roman" w:cs="Times New Roman"/>
          <w:b/>
          <w:bCs/>
          <w:sz w:val="24"/>
          <w:szCs w:val="24"/>
        </w:rPr>
        <w:t>Data Analysis</w:t>
      </w:r>
    </w:p>
    <w:p w14:paraId="20CE4284" w14:textId="77777777" w:rsidR="000148D4" w:rsidRDefault="000148D4" w:rsidP="000148D4">
      <w:pPr>
        <w:spacing w:after="0" w:line="240" w:lineRule="auto"/>
        <w:ind w:firstLine="360"/>
        <w:jc w:val="both"/>
        <w:rPr>
          <w:rFonts w:ascii="Times New Roman" w:eastAsia="Times New Roman" w:hAnsi="Times New Roman" w:cs="Times New Roman"/>
          <w:sz w:val="24"/>
          <w:szCs w:val="24"/>
        </w:rPr>
      </w:pPr>
      <w:r w:rsidRPr="000148D4">
        <w:rPr>
          <w:rFonts w:ascii="Times New Roman" w:eastAsia="Times New Roman" w:hAnsi="Times New Roman" w:cs="Times New Roman"/>
          <w:sz w:val="24"/>
          <w:szCs w:val="24"/>
        </w:rPr>
        <w:t>Data analysis in this study was carried out interactively and continuously using the Miles and Huberman model, which includes three main steps:</w:t>
      </w:r>
    </w:p>
    <w:p w14:paraId="2524F39A" w14:textId="77777777" w:rsidR="000148D4" w:rsidRDefault="000148D4" w:rsidP="000148D4">
      <w:pPr>
        <w:pStyle w:val="ListParagraph"/>
        <w:numPr>
          <w:ilvl w:val="0"/>
          <w:numId w:val="4"/>
        </w:numPr>
        <w:spacing w:after="0" w:line="240" w:lineRule="auto"/>
        <w:ind w:left="426"/>
        <w:jc w:val="both"/>
        <w:rPr>
          <w:rFonts w:ascii="Times New Roman" w:eastAsia="Times New Roman" w:hAnsi="Times New Roman" w:cs="Times New Roman"/>
          <w:sz w:val="24"/>
          <w:szCs w:val="24"/>
        </w:rPr>
      </w:pPr>
      <w:r w:rsidRPr="000148D4">
        <w:rPr>
          <w:rFonts w:ascii="Times New Roman" w:eastAsia="Times New Roman" w:hAnsi="Times New Roman" w:cs="Times New Roman"/>
          <w:sz w:val="24"/>
          <w:szCs w:val="24"/>
        </w:rPr>
        <w:t>Data Reduction</w:t>
      </w:r>
    </w:p>
    <w:p w14:paraId="1B13A81B" w14:textId="2EE86986" w:rsidR="000148D4" w:rsidRPr="000148D4" w:rsidRDefault="000148D4" w:rsidP="000148D4">
      <w:pPr>
        <w:pStyle w:val="ListParagraph"/>
        <w:spacing w:after="0" w:line="240" w:lineRule="auto"/>
        <w:ind w:left="426" w:firstLine="720"/>
        <w:jc w:val="both"/>
        <w:rPr>
          <w:rFonts w:ascii="Times New Roman" w:eastAsia="Times New Roman" w:hAnsi="Times New Roman" w:cs="Times New Roman"/>
          <w:sz w:val="24"/>
          <w:szCs w:val="24"/>
        </w:rPr>
      </w:pPr>
      <w:r w:rsidRPr="000148D4">
        <w:rPr>
          <w:rFonts w:ascii="Times New Roman" w:eastAsia="Times New Roman" w:hAnsi="Times New Roman" w:cs="Times New Roman"/>
          <w:sz w:val="24"/>
          <w:szCs w:val="24"/>
        </w:rPr>
        <w:t>Data from interviews, observations, and documents were analyzed thematically and sorted based on their relevance to the research focus. Irrelevant data was eliminated, while relevant data was categorized according to the CIPP evaluation components.</w:t>
      </w:r>
    </w:p>
    <w:p w14:paraId="419D10F7" w14:textId="77777777" w:rsidR="000148D4" w:rsidRDefault="000148D4" w:rsidP="000148D4">
      <w:pPr>
        <w:pStyle w:val="ListParagraph"/>
        <w:numPr>
          <w:ilvl w:val="0"/>
          <w:numId w:val="4"/>
        </w:numPr>
        <w:spacing w:after="0" w:line="240" w:lineRule="auto"/>
        <w:ind w:left="426"/>
        <w:jc w:val="both"/>
        <w:rPr>
          <w:rFonts w:ascii="Times New Roman" w:eastAsia="Times New Roman" w:hAnsi="Times New Roman" w:cs="Times New Roman"/>
          <w:sz w:val="24"/>
          <w:szCs w:val="24"/>
        </w:rPr>
      </w:pPr>
      <w:r w:rsidRPr="000148D4">
        <w:rPr>
          <w:rFonts w:ascii="Times New Roman" w:eastAsia="Times New Roman" w:hAnsi="Times New Roman" w:cs="Times New Roman"/>
          <w:sz w:val="24"/>
          <w:szCs w:val="24"/>
        </w:rPr>
        <w:t>Data Presentation</w:t>
      </w:r>
    </w:p>
    <w:p w14:paraId="0DCF6139" w14:textId="4FE28F37" w:rsidR="000148D4" w:rsidRPr="000148D4" w:rsidRDefault="000148D4" w:rsidP="000148D4">
      <w:pPr>
        <w:pStyle w:val="ListParagraph"/>
        <w:spacing w:after="0" w:line="240" w:lineRule="auto"/>
        <w:ind w:left="426" w:firstLine="720"/>
        <w:jc w:val="both"/>
        <w:rPr>
          <w:rFonts w:ascii="Times New Roman" w:eastAsia="Times New Roman" w:hAnsi="Times New Roman" w:cs="Times New Roman"/>
          <w:sz w:val="24"/>
          <w:szCs w:val="24"/>
        </w:rPr>
      </w:pPr>
      <w:r w:rsidRPr="000148D4">
        <w:rPr>
          <w:rFonts w:ascii="Times New Roman" w:eastAsia="Times New Roman" w:hAnsi="Times New Roman" w:cs="Times New Roman"/>
          <w:sz w:val="24"/>
          <w:szCs w:val="24"/>
        </w:rPr>
        <w:t>After data reduction, the data was organized into narratives, tables, and simple matrices to clarify the relationships between findings. This presentation facilitates the identification of patterns, trends, and deviations that emerge in the field.</w:t>
      </w:r>
    </w:p>
    <w:p w14:paraId="31B35DEB" w14:textId="77777777" w:rsidR="000148D4" w:rsidRDefault="000148D4" w:rsidP="000148D4">
      <w:pPr>
        <w:numPr>
          <w:ilvl w:val="0"/>
          <w:numId w:val="4"/>
        </w:numPr>
        <w:spacing w:after="0" w:line="240" w:lineRule="auto"/>
        <w:ind w:left="426"/>
        <w:jc w:val="both"/>
        <w:rPr>
          <w:rFonts w:ascii="Times New Roman" w:eastAsia="Times New Roman" w:hAnsi="Times New Roman" w:cs="Times New Roman"/>
          <w:sz w:val="24"/>
          <w:szCs w:val="24"/>
        </w:rPr>
      </w:pPr>
      <w:r w:rsidRPr="000148D4">
        <w:rPr>
          <w:rFonts w:ascii="Times New Roman" w:eastAsia="Times New Roman" w:hAnsi="Times New Roman" w:cs="Times New Roman"/>
          <w:sz w:val="24"/>
          <w:szCs w:val="24"/>
        </w:rPr>
        <w:t>Conclusion Drawing and Verification</w:t>
      </w:r>
    </w:p>
    <w:p w14:paraId="6D1BACF7" w14:textId="482E4254" w:rsidR="000148D4" w:rsidRPr="000148D4" w:rsidRDefault="000148D4" w:rsidP="000148D4">
      <w:pPr>
        <w:spacing w:after="0" w:line="240" w:lineRule="auto"/>
        <w:ind w:left="426" w:firstLine="720"/>
        <w:jc w:val="both"/>
        <w:rPr>
          <w:rFonts w:ascii="Times New Roman" w:eastAsia="Times New Roman" w:hAnsi="Times New Roman" w:cs="Times New Roman"/>
          <w:sz w:val="24"/>
          <w:szCs w:val="24"/>
        </w:rPr>
      </w:pPr>
      <w:r w:rsidRPr="000148D4">
        <w:rPr>
          <w:rFonts w:ascii="Times New Roman" w:eastAsia="Times New Roman" w:hAnsi="Times New Roman" w:cs="Times New Roman"/>
          <w:sz w:val="24"/>
          <w:szCs w:val="24"/>
        </w:rPr>
        <w:t>Initial conclusions drawn during the process were tested through triangulation of sources and techniques, as well as member checking with informants to ensure accuracy of meaning. Verification was carried out continuously to ensure that the conclusions drawn accurately represented the empirical reality in the field.</w:t>
      </w:r>
    </w:p>
    <w:p w14:paraId="184288FE" w14:textId="0F3421A6" w:rsidR="00900DBA" w:rsidRDefault="00900DBA">
      <w:pPr>
        <w:spacing w:after="0" w:line="240" w:lineRule="auto"/>
        <w:jc w:val="both"/>
        <w:rPr>
          <w:rFonts w:ascii="Times New Roman" w:eastAsia="Times New Roman" w:hAnsi="Times New Roman" w:cs="Times New Roman"/>
          <w:sz w:val="24"/>
          <w:szCs w:val="24"/>
        </w:rPr>
      </w:pPr>
    </w:p>
    <w:p w14:paraId="5D53330B" w14:textId="7793724C" w:rsidR="00900DBA" w:rsidRDefault="006B646C">
      <w:pPr>
        <w:spacing w:after="0" w:line="24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sz w:val="24"/>
          <w:szCs w:val="24"/>
        </w:rPr>
        <w:t>RESULTS AND DISCUSSION</w:t>
      </w:r>
    </w:p>
    <w:p w14:paraId="563E3CAF" w14:textId="77777777" w:rsidR="000148D4" w:rsidRPr="000148D4" w:rsidRDefault="000148D4" w:rsidP="000148D4">
      <w:pPr>
        <w:spacing w:after="0" w:line="240" w:lineRule="auto"/>
        <w:jc w:val="both"/>
        <w:rPr>
          <w:rFonts w:ascii="Times New Roman" w:eastAsia="Times New Roman" w:hAnsi="Times New Roman" w:cs="Times New Roman"/>
          <w:b/>
          <w:bCs/>
          <w:color w:val="000000"/>
          <w:sz w:val="24"/>
          <w:szCs w:val="24"/>
        </w:rPr>
      </w:pPr>
      <w:r w:rsidRPr="000148D4">
        <w:rPr>
          <w:rFonts w:ascii="Times New Roman" w:eastAsia="Times New Roman" w:hAnsi="Times New Roman" w:cs="Times New Roman"/>
          <w:b/>
          <w:bCs/>
          <w:color w:val="000000"/>
          <w:sz w:val="24"/>
          <w:szCs w:val="24"/>
        </w:rPr>
        <w:t xml:space="preserve">Implementation of Inclusive Learning at MTS </w:t>
      </w:r>
      <w:proofErr w:type="spellStart"/>
      <w:r w:rsidRPr="000148D4">
        <w:rPr>
          <w:rFonts w:ascii="Times New Roman" w:eastAsia="Times New Roman" w:hAnsi="Times New Roman" w:cs="Times New Roman"/>
          <w:b/>
          <w:bCs/>
          <w:color w:val="000000"/>
          <w:sz w:val="24"/>
          <w:szCs w:val="24"/>
        </w:rPr>
        <w:t>Miftahul</w:t>
      </w:r>
      <w:proofErr w:type="spellEnd"/>
      <w:r w:rsidRPr="000148D4">
        <w:rPr>
          <w:rFonts w:ascii="Times New Roman" w:eastAsia="Times New Roman" w:hAnsi="Times New Roman" w:cs="Times New Roman"/>
          <w:b/>
          <w:bCs/>
          <w:color w:val="000000"/>
          <w:sz w:val="24"/>
          <w:szCs w:val="24"/>
        </w:rPr>
        <w:t xml:space="preserve"> </w:t>
      </w:r>
      <w:proofErr w:type="spellStart"/>
      <w:r w:rsidRPr="000148D4">
        <w:rPr>
          <w:rFonts w:ascii="Times New Roman" w:eastAsia="Times New Roman" w:hAnsi="Times New Roman" w:cs="Times New Roman"/>
          <w:b/>
          <w:bCs/>
          <w:color w:val="000000"/>
          <w:sz w:val="24"/>
          <w:szCs w:val="24"/>
        </w:rPr>
        <w:t>Afkar</w:t>
      </w:r>
      <w:proofErr w:type="spellEnd"/>
    </w:p>
    <w:p w14:paraId="075F895F" w14:textId="7283BAAA" w:rsidR="000148D4" w:rsidRDefault="000148D4" w:rsidP="000148D4">
      <w:pPr>
        <w:spacing w:after="0" w:line="240" w:lineRule="auto"/>
        <w:ind w:firstLine="720"/>
        <w:jc w:val="both"/>
        <w:rPr>
          <w:rFonts w:ascii="Times New Roman" w:eastAsia="Times New Roman" w:hAnsi="Times New Roman" w:cs="Times New Roman"/>
          <w:bCs/>
          <w:color w:val="000000"/>
          <w:sz w:val="24"/>
          <w:szCs w:val="24"/>
        </w:rPr>
      </w:pPr>
      <w:r w:rsidRPr="000148D4">
        <w:rPr>
          <w:rFonts w:ascii="Times New Roman" w:eastAsia="Times New Roman" w:hAnsi="Times New Roman" w:cs="Times New Roman"/>
          <w:bCs/>
          <w:color w:val="000000"/>
          <w:sz w:val="24"/>
          <w:szCs w:val="24"/>
        </w:rPr>
        <w:t xml:space="preserve">The implementation of inclusive learning at MTs </w:t>
      </w:r>
      <w:proofErr w:type="spellStart"/>
      <w:r w:rsidRPr="000148D4">
        <w:rPr>
          <w:rFonts w:ascii="Times New Roman" w:eastAsia="Times New Roman" w:hAnsi="Times New Roman" w:cs="Times New Roman"/>
          <w:bCs/>
          <w:color w:val="000000"/>
          <w:sz w:val="24"/>
          <w:szCs w:val="24"/>
        </w:rPr>
        <w:t>Miftahul</w:t>
      </w:r>
      <w:proofErr w:type="spellEnd"/>
      <w:r w:rsidRPr="000148D4">
        <w:rPr>
          <w:rFonts w:ascii="Times New Roman" w:eastAsia="Times New Roman" w:hAnsi="Times New Roman" w:cs="Times New Roman"/>
          <w:bCs/>
          <w:color w:val="000000"/>
          <w:sz w:val="24"/>
          <w:szCs w:val="24"/>
        </w:rPr>
        <w:t xml:space="preserve"> </w:t>
      </w:r>
      <w:proofErr w:type="spellStart"/>
      <w:r w:rsidRPr="000148D4">
        <w:rPr>
          <w:rFonts w:ascii="Times New Roman" w:eastAsia="Times New Roman" w:hAnsi="Times New Roman" w:cs="Times New Roman"/>
          <w:bCs/>
          <w:color w:val="000000"/>
          <w:sz w:val="24"/>
          <w:szCs w:val="24"/>
        </w:rPr>
        <w:t>Afkar</w:t>
      </w:r>
      <w:proofErr w:type="spellEnd"/>
      <w:r w:rsidRPr="000148D4">
        <w:rPr>
          <w:rFonts w:ascii="Times New Roman" w:eastAsia="Times New Roman" w:hAnsi="Times New Roman" w:cs="Times New Roman"/>
          <w:bCs/>
          <w:color w:val="000000"/>
          <w:sz w:val="24"/>
          <w:szCs w:val="24"/>
        </w:rPr>
        <w:t xml:space="preserve"> Kediri represents a concrete effort to accommodate the diversity of students, especially those with special needs. For the past two years, the school has officially accepted students with varying learning needs, whether cognitive, social</w:t>
      </w:r>
      <w:r w:rsidR="00066BCA">
        <w:rPr>
          <w:rFonts w:ascii="Times New Roman" w:eastAsia="Times New Roman" w:hAnsi="Times New Roman" w:cs="Times New Roman"/>
          <w:bCs/>
          <w:color w:val="000000"/>
          <w:sz w:val="24"/>
          <w:szCs w:val="24"/>
        </w:rPr>
        <w:t xml:space="preserve"> </w:t>
      </w:r>
      <w:r w:rsidRPr="000148D4">
        <w:rPr>
          <w:rFonts w:ascii="Times New Roman" w:eastAsia="Times New Roman" w:hAnsi="Times New Roman" w:cs="Times New Roman"/>
          <w:bCs/>
          <w:color w:val="000000"/>
          <w:sz w:val="24"/>
          <w:szCs w:val="24"/>
        </w:rPr>
        <w:t>emotional, or physical. Although the system is not yet fully established, teachers have consistently strived to provide an equal learning environment for all students.</w:t>
      </w:r>
    </w:p>
    <w:p w14:paraId="3C34C7CE" w14:textId="0F2D61F3" w:rsidR="000148D4" w:rsidRDefault="000148D4" w:rsidP="000148D4">
      <w:pPr>
        <w:spacing w:after="0" w:line="240" w:lineRule="auto"/>
        <w:ind w:firstLine="720"/>
        <w:jc w:val="both"/>
        <w:rPr>
          <w:rFonts w:ascii="Times New Roman" w:eastAsia="Times New Roman" w:hAnsi="Times New Roman" w:cs="Times New Roman"/>
          <w:bCs/>
          <w:color w:val="000000"/>
          <w:sz w:val="24"/>
          <w:szCs w:val="24"/>
        </w:rPr>
      </w:pPr>
      <w:r w:rsidRPr="000148D4">
        <w:rPr>
          <w:rFonts w:ascii="Times New Roman" w:eastAsia="Times New Roman" w:hAnsi="Times New Roman" w:cs="Times New Roman"/>
          <w:bCs/>
          <w:color w:val="000000"/>
          <w:sz w:val="24"/>
          <w:szCs w:val="24"/>
        </w:rPr>
        <w:t xml:space="preserve">Direct observations during the </w:t>
      </w:r>
      <w:r w:rsidR="00812A51" w:rsidRPr="000148D4">
        <w:rPr>
          <w:rFonts w:ascii="Times New Roman" w:eastAsia="Times New Roman" w:hAnsi="Times New Roman" w:cs="Times New Roman"/>
          <w:bCs/>
          <w:color w:val="000000"/>
          <w:sz w:val="24"/>
          <w:szCs w:val="24"/>
        </w:rPr>
        <w:t>two</w:t>
      </w:r>
      <w:r w:rsidR="00812A51">
        <w:rPr>
          <w:rFonts w:ascii="Times New Roman" w:eastAsia="Times New Roman" w:hAnsi="Times New Roman" w:cs="Times New Roman"/>
          <w:bCs/>
          <w:color w:val="000000"/>
          <w:sz w:val="24"/>
          <w:szCs w:val="24"/>
        </w:rPr>
        <w:t>-month</w:t>
      </w:r>
      <w:r w:rsidRPr="000148D4">
        <w:rPr>
          <w:rFonts w:ascii="Times New Roman" w:eastAsia="Times New Roman" w:hAnsi="Times New Roman" w:cs="Times New Roman"/>
          <w:bCs/>
          <w:color w:val="000000"/>
          <w:sz w:val="24"/>
          <w:szCs w:val="24"/>
        </w:rPr>
        <w:t xml:space="preserve"> research period revealed that teachers were striving to implement a more responsive learning approach to students' learning needs. In Arabic classes, for example, teachers appeared to be adapting teaching methods and materials to accommodate students with varying learning speeds and styles. This included the addition of images, audio, and simple contextual dialogues to facilitate understanding of basic language structures.</w:t>
      </w:r>
    </w:p>
    <w:p w14:paraId="58951166" w14:textId="77777777" w:rsidR="000148D4" w:rsidRDefault="000148D4" w:rsidP="000148D4">
      <w:pPr>
        <w:spacing w:after="0" w:line="240" w:lineRule="auto"/>
        <w:ind w:firstLine="720"/>
        <w:jc w:val="both"/>
        <w:rPr>
          <w:rFonts w:ascii="Times New Roman" w:eastAsia="Times New Roman" w:hAnsi="Times New Roman" w:cs="Times New Roman"/>
          <w:bCs/>
          <w:color w:val="000000"/>
          <w:sz w:val="24"/>
          <w:szCs w:val="24"/>
        </w:rPr>
      </w:pPr>
      <w:r w:rsidRPr="000148D4">
        <w:rPr>
          <w:rFonts w:ascii="Times New Roman" w:eastAsia="Times New Roman" w:hAnsi="Times New Roman" w:cs="Times New Roman"/>
          <w:bCs/>
          <w:color w:val="000000"/>
          <w:sz w:val="24"/>
          <w:szCs w:val="24"/>
        </w:rPr>
        <w:t xml:space="preserve">This practice stems from teachers' awareness of the importance of humanistic and non-uniform learning. One Arabic teacher, Ms. Nur </w:t>
      </w:r>
      <w:proofErr w:type="spellStart"/>
      <w:r w:rsidRPr="000148D4">
        <w:rPr>
          <w:rFonts w:ascii="Times New Roman" w:eastAsia="Times New Roman" w:hAnsi="Times New Roman" w:cs="Times New Roman"/>
          <w:bCs/>
          <w:color w:val="000000"/>
          <w:sz w:val="24"/>
          <w:szCs w:val="24"/>
        </w:rPr>
        <w:t>Khasanah</w:t>
      </w:r>
      <w:proofErr w:type="spellEnd"/>
      <w:r w:rsidRPr="000148D4">
        <w:rPr>
          <w:rFonts w:ascii="Times New Roman" w:eastAsia="Times New Roman" w:hAnsi="Times New Roman" w:cs="Times New Roman"/>
          <w:bCs/>
          <w:color w:val="000000"/>
          <w:sz w:val="24"/>
          <w:szCs w:val="24"/>
        </w:rPr>
        <w:t xml:space="preserve">, explained that she began </w:t>
      </w:r>
      <w:r w:rsidRPr="000148D4">
        <w:rPr>
          <w:rFonts w:ascii="Times New Roman" w:eastAsia="Times New Roman" w:hAnsi="Times New Roman" w:cs="Times New Roman"/>
          <w:bCs/>
          <w:color w:val="000000"/>
          <w:sz w:val="24"/>
          <w:szCs w:val="24"/>
        </w:rPr>
        <w:lastRenderedPageBreak/>
        <w:t>designing adaptive teaching materials after discovering that some students with learning disabilities were having difficulty following Arabic language materials delivered conventionally. She implemented simple innovations by inserting supporting images, creating pronunciation audio, and providing worksheets with more explicit instructions.</w:t>
      </w:r>
    </w:p>
    <w:p w14:paraId="4B143815" w14:textId="1A993069" w:rsidR="000148D4" w:rsidRPr="000148D4" w:rsidRDefault="000148D4" w:rsidP="000148D4">
      <w:pPr>
        <w:spacing w:after="0" w:line="240" w:lineRule="auto"/>
        <w:ind w:firstLine="720"/>
        <w:jc w:val="both"/>
        <w:rPr>
          <w:rFonts w:ascii="Times New Roman" w:eastAsia="Times New Roman" w:hAnsi="Times New Roman" w:cs="Times New Roman"/>
          <w:bCs/>
          <w:color w:val="000000"/>
          <w:sz w:val="24"/>
          <w:szCs w:val="24"/>
        </w:rPr>
      </w:pPr>
      <w:r w:rsidRPr="000148D4">
        <w:rPr>
          <w:rFonts w:ascii="Times New Roman" w:eastAsia="Times New Roman" w:hAnsi="Times New Roman" w:cs="Times New Roman"/>
          <w:bCs/>
          <w:color w:val="000000"/>
          <w:sz w:val="24"/>
          <w:szCs w:val="24"/>
        </w:rPr>
        <w:t>The strategy implemented by this teacher is actually in line with the Universal Design for Learning (UDL) principles developed by CAST (Center for Applied Special Technology). UDL emphasizes the importance of providing multiple pathways for information representation so that all students, without exception, can access and understand the subject matter</w:t>
      </w:r>
      <w:r w:rsidR="00066BCA">
        <w:rPr>
          <w:rFonts w:ascii="Times New Roman" w:eastAsia="Times New Roman" w:hAnsi="Times New Roman" w:cs="Times New Roman"/>
          <w:bCs/>
          <w:color w:val="000000"/>
          <w:sz w:val="24"/>
          <w:szCs w:val="24"/>
        </w:rPr>
        <w:t xml:space="preserve"> </w:t>
      </w:r>
      <w:r w:rsidRPr="000148D4">
        <w:rPr>
          <w:rFonts w:ascii="Times New Roman" w:eastAsia="Times New Roman" w:hAnsi="Times New Roman" w:cs="Times New Roman"/>
          <w:bCs/>
          <w:color w:val="000000"/>
          <w:sz w:val="24"/>
          <w:szCs w:val="24"/>
        </w:rPr>
        <w:fldChar w:fldCharType="begin"/>
      </w:r>
      <w:r w:rsidR="00066BCA">
        <w:rPr>
          <w:rFonts w:ascii="Times New Roman" w:eastAsia="Times New Roman" w:hAnsi="Times New Roman" w:cs="Times New Roman"/>
          <w:bCs/>
          <w:color w:val="000000"/>
          <w:sz w:val="24"/>
          <w:szCs w:val="24"/>
        </w:rPr>
        <w:instrText xml:space="preserve"> ADDIN ZOTERO_ITEM CSL_CITATION {"citationID":"ze8Ifjz6","properties":{"formattedCitation":"(Baldwin, 2021)","plainCitation":"(Baldwin, 2021)","noteIndex":0},"citationItems":[{"id":"eqbFgLeb/L0V6cfN3","uris":["http://zotero.org/users/local/HTLpg2la/items/RZFL46VS"],"itemData":{"id":496,"type":"article-journal","abstract":"Whether it is an Instruction Services Librarian revising her one-shot lesson plan or a programming librarian designing computer classes for public library clientele, universal design for learning offers a great way to create an inclusive learning environment. Arising out of the field of architecture, UDL offers a variety of teaching methods to eliminate barriers to learning and give all users, students, and patrons the chance to gain new skills. To that end, Catherine Baldwin has selected a range of books, journals and websites that should go in your library’s professional development collection, and/or for the circulating collection of your institution.","container-title":"Reference &amp; User Services Quarterly","ISSN":"1094-9054","issue":"3/4","note":"publisher: American Library Association","page":"173-176","source":"JSTOR","title":"Universal Design for Learning","volume":"59","author":[{"family":"Baldwin","given":"Catherine A."}],"issued":{"date-parts":[["2021"]]}}}],"schema":"https://github.com/citation-style-language/schema/raw/master/csl-citation.json"} </w:instrText>
      </w:r>
      <w:r w:rsidRPr="000148D4">
        <w:rPr>
          <w:rFonts w:ascii="Times New Roman" w:eastAsia="Times New Roman" w:hAnsi="Times New Roman" w:cs="Times New Roman"/>
          <w:bCs/>
          <w:color w:val="000000"/>
          <w:sz w:val="24"/>
          <w:szCs w:val="24"/>
        </w:rPr>
        <w:fldChar w:fldCharType="separate"/>
      </w:r>
      <w:r w:rsidRPr="000148D4">
        <w:rPr>
          <w:rFonts w:ascii="Times New Roman" w:eastAsia="Times New Roman" w:hAnsi="Times New Roman" w:cs="Times New Roman"/>
          <w:bCs/>
          <w:color w:val="000000"/>
          <w:sz w:val="24"/>
          <w:szCs w:val="24"/>
        </w:rPr>
        <w:t>(Baldwin, 2021)</w:t>
      </w:r>
      <w:r w:rsidRPr="000148D4">
        <w:rPr>
          <w:rFonts w:ascii="Times New Roman" w:eastAsia="Times New Roman" w:hAnsi="Times New Roman" w:cs="Times New Roman"/>
          <w:bCs/>
          <w:color w:val="000000"/>
          <w:sz w:val="24"/>
          <w:szCs w:val="24"/>
        </w:rPr>
        <w:fldChar w:fldCharType="end"/>
      </w:r>
      <w:r w:rsidRPr="000148D4">
        <w:rPr>
          <w:rFonts w:ascii="Times New Roman" w:eastAsia="Times New Roman" w:hAnsi="Times New Roman" w:cs="Times New Roman"/>
          <w:bCs/>
          <w:color w:val="000000"/>
          <w:sz w:val="24"/>
          <w:szCs w:val="24"/>
        </w:rPr>
        <w:t xml:space="preserve">. The teacher's practice at MTs </w:t>
      </w:r>
      <w:proofErr w:type="spellStart"/>
      <w:r w:rsidRPr="000148D4">
        <w:rPr>
          <w:rFonts w:ascii="Times New Roman" w:eastAsia="Times New Roman" w:hAnsi="Times New Roman" w:cs="Times New Roman"/>
          <w:bCs/>
          <w:color w:val="000000"/>
          <w:sz w:val="24"/>
          <w:szCs w:val="24"/>
        </w:rPr>
        <w:t>Miftahul</w:t>
      </w:r>
      <w:proofErr w:type="spellEnd"/>
      <w:r w:rsidRPr="000148D4">
        <w:rPr>
          <w:rFonts w:ascii="Times New Roman" w:eastAsia="Times New Roman" w:hAnsi="Times New Roman" w:cs="Times New Roman"/>
          <w:bCs/>
          <w:color w:val="000000"/>
          <w:sz w:val="24"/>
          <w:szCs w:val="24"/>
        </w:rPr>
        <w:t xml:space="preserve"> </w:t>
      </w:r>
      <w:proofErr w:type="spellStart"/>
      <w:r w:rsidRPr="000148D4">
        <w:rPr>
          <w:rFonts w:ascii="Times New Roman" w:eastAsia="Times New Roman" w:hAnsi="Times New Roman" w:cs="Times New Roman"/>
          <w:bCs/>
          <w:color w:val="000000"/>
          <w:sz w:val="24"/>
          <w:szCs w:val="24"/>
        </w:rPr>
        <w:t>Afkar</w:t>
      </w:r>
      <w:proofErr w:type="spellEnd"/>
      <w:r w:rsidRPr="000148D4">
        <w:rPr>
          <w:rFonts w:ascii="Times New Roman" w:eastAsia="Times New Roman" w:hAnsi="Times New Roman" w:cs="Times New Roman"/>
          <w:bCs/>
          <w:color w:val="000000"/>
          <w:sz w:val="24"/>
          <w:szCs w:val="24"/>
        </w:rPr>
        <w:t>, even though it does not fully refer to UDL formally, has shown a similar direction of thinking: providing alternative media and ways to understand Arabic.</w:t>
      </w:r>
    </w:p>
    <w:p w14:paraId="61B84A47" w14:textId="40286354" w:rsidR="000148D4" w:rsidRPr="000148D4" w:rsidRDefault="000148D4" w:rsidP="000148D4">
      <w:pPr>
        <w:spacing w:after="0" w:line="240" w:lineRule="auto"/>
        <w:ind w:firstLine="720"/>
        <w:jc w:val="both"/>
        <w:rPr>
          <w:rFonts w:ascii="Times New Roman" w:eastAsia="Times New Roman" w:hAnsi="Times New Roman" w:cs="Times New Roman"/>
          <w:bCs/>
          <w:color w:val="000000"/>
          <w:sz w:val="24"/>
          <w:szCs w:val="24"/>
        </w:rPr>
      </w:pPr>
      <w:r w:rsidRPr="000148D4">
        <w:rPr>
          <w:rFonts w:ascii="Times New Roman" w:eastAsia="Times New Roman" w:hAnsi="Times New Roman" w:cs="Times New Roman"/>
          <w:bCs/>
          <w:color w:val="000000"/>
          <w:sz w:val="24"/>
          <w:szCs w:val="24"/>
        </w:rPr>
        <w:t>The use of adaptive teaching materials also has a positive effect on the learning process. Students with verbal comprehension difficulties, for example, find it easier to recognize vocabulary through images and audio pronunciation</w:t>
      </w:r>
      <w:r w:rsidR="00066BCA">
        <w:rPr>
          <w:rFonts w:ascii="Times New Roman" w:eastAsia="Times New Roman" w:hAnsi="Times New Roman" w:cs="Times New Roman"/>
          <w:bCs/>
          <w:color w:val="000000"/>
          <w:sz w:val="24"/>
          <w:szCs w:val="24"/>
        </w:rPr>
        <w:t xml:space="preserve"> </w:t>
      </w:r>
      <w:r w:rsidRPr="000148D4">
        <w:rPr>
          <w:rFonts w:ascii="Times New Roman" w:eastAsia="Times New Roman" w:hAnsi="Times New Roman" w:cs="Times New Roman"/>
          <w:bCs/>
          <w:color w:val="000000"/>
          <w:sz w:val="24"/>
          <w:szCs w:val="24"/>
        </w:rPr>
        <w:fldChar w:fldCharType="begin"/>
      </w:r>
      <w:r w:rsidR="00066BCA">
        <w:rPr>
          <w:rFonts w:ascii="Times New Roman" w:eastAsia="Times New Roman" w:hAnsi="Times New Roman" w:cs="Times New Roman"/>
          <w:bCs/>
          <w:color w:val="000000"/>
          <w:sz w:val="24"/>
          <w:szCs w:val="24"/>
        </w:rPr>
        <w:instrText xml:space="preserve"> ADDIN ZOTERO_ITEM CSL_CITATION {"citationID":"egCB8RJ9","properties":{"formattedCitation":"(Bharathi et al., 2024)","plainCitation":"(Bharathi et al., 2024)","noteIndex":0},"citationItems":[{"id":"eqbFgLeb/3NflyCS8","uris":["http://zotero.org/users/local/HTLpg2la/items/2U37E6N7"],"itemData":{"id":498,"type":"article-journal","abstract":"This study investigates how automated adaptable learning (BSG) may improve business simulating games (BSG) and its transformation possibilities. The rapid increase of information, combined with the intricate nature of today's company contexts, means that classic BSG education techniques frequently fail to adequately prepare students for the difficulties they will face in everyday life. This study provides a revolutionary architecture that continually evolves learning paths, responses, and testing situations based on specific student progress and desires. It does this by utilizing modern artificial intelligence methods, including machine learning. This technique seeks to maximize users' preservation of expertise, ability to make decisions, and capacity for creative thinking through tailoring their education. In summary, our study raises possibilities for better and more interesting educational opportunities throughout the modern age by adding to the continuing conversation about the relationship between AI, training, and corporate strategies.","container-title":"Entertainment Computing","DOI":"10.1016/j.entcom.2024.100699","ISSN":"1875-9521","journalAbbreviation":"Entertainment Computing","page":"100699","source":"ScienceDirect","title":"AI-driven adaptive learning for enhancing business intelligence simulation games","volume":"50","author":[{"family":"Bharathi","given":"G. P."},{"family":"Chandra","given":"I."},{"family":"Sanagana","given":"Durga Prasada Rao"},{"family":"Tummalachervu","given":"Chaitanya Kanth"},{"family":"Rao","given":"Vuda Sreenivasa"},{"family":"Neelima","given":"S."}],"issued":{"date-parts":[["2024",5,1]]}}}],"schema":"https://github.com/citation-style-language/schema/raw/master/csl-citation.json"} </w:instrText>
      </w:r>
      <w:r w:rsidRPr="000148D4">
        <w:rPr>
          <w:rFonts w:ascii="Times New Roman" w:eastAsia="Times New Roman" w:hAnsi="Times New Roman" w:cs="Times New Roman"/>
          <w:bCs/>
          <w:color w:val="000000"/>
          <w:sz w:val="24"/>
          <w:szCs w:val="24"/>
        </w:rPr>
        <w:fldChar w:fldCharType="separate"/>
      </w:r>
      <w:r w:rsidRPr="000148D4">
        <w:rPr>
          <w:rFonts w:ascii="Times New Roman" w:eastAsia="Times New Roman" w:hAnsi="Times New Roman" w:cs="Times New Roman"/>
          <w:bCs/>
          <w:color w:val="000000"/>
          <w:sz w:val="24"/>
          <w:szCs w:val="24"/>
        </w:rPr>
        <w:t>(Bharathi et al., 2024)</w:t>
      </w:r>
      <w:r w:rsidRPr="000148D4">
        <w:rPr>
          <w:rFonts w:ascii="Times New Roman" w:eastAsia="Times New Roman" w:hAnsi="Times New Roman" w:cs="Times New Roman"/>
          <w:bCs/>
          <w:color w:val="000000"/>
          <w:sz w:val="24"/>
          <w:szCs w:val="24"/>
        </w:rPr>
        <w:fldChar w:fldCharType="end"/>
      </w:r>
      <w:r w:rsidR="00066BCA">
        <w:rPr>
          <w:rFonts w:ascii="Times New Roman" w:eastAsia="Times New Roman" w:hAnsi="Times New Roman" w:cs="Times New Roman"/>
          <w:bCs/>
          <w:color w:val="000000"/>
          <w:sz w:val="24"/>
          <w:szCs w:val="24"/>
        </w:rPr>
        <w:t xml:space="preserve">. </w:t>
      </w:r>
      <w:r w:rsidRPr="000148D4">
        <w:rPr>
          <w:rFonts w:ascii="Times New Roman" w:eastAsia="Times New Roman" w:hAnsi="Times New Roman" w:cs="Times New Roman"/>
          <w:bCs/>
          <w:color w:val="000000"/>
          <w:sz w:val="24"/>
          <w:szCs w:val="24"/>
        </w:rPr>
        <w:t>This is reinforced by the findings of interviews with two inclusive students who admitted that they felt more "connected" when learning using visual and audio aids, compared to just reading text from a book.</w:t>
      </w:r>
    </w:p>
    <w:p w14:paraId="76067F06" w14:textId="3FE6E76B" w:rsidR="000148D4" w:rsidRPr="000148D4" w:rsidRDefault="000148D4" w:rsidP="000148D4">
      <w:pPr>
        <w:spacing w:after="0" w:line="240" w:lineRule="auto"/>
        <w:ind w:firstLine="720"/>
        <w:jc w:val="both"/>
        <w:rPr>
          <w:rFonts w:ascii="Times New Roman" w:eastAsia="Times New Roman" w:hAnsi="Times New Roman" w:cs="Times New Roman"/>
          <w:bCs/>
          <w:color w:val="000000"/>
          <w:sz w:val="24"/>
          <w:szCs w:val="24"/>
        </w:rPr>
      </w:pPr>
      <w:r w:rsidRPr="000148D4">
        <w:rPr>
          <w:rFonts w:ascii="Times New Roman" w:eastAsia="Times New Roman" w:hAnsi="Times New Roman" w:cs="Times New Roman"/>
          <w:bCs/>
          <w:color w:val="000000"/>
          <w:sz w:val="24"/>
          <w:szCs w:val="24"/>
        </w:rPr>
        <w:t>This approach not only benefits students with special needs but also benefits regular students. In group discussions, several students stated that learning became more engaging and easier to understand. In other words, inclusive learning complemented by adaptive teaching materials actually improves the overall quality of learning, not just compensatory learning</w:t>
      </w:r>
      <w:r w:rsidR="00066BCA">
        <w:rPr>
          <w:rFonts w:ascii="Times New Roman" w:eastAsia="Times New Roman" w:hAnsi="Times New Roman" w:cs="Times New Roman"/>
          <w:bCs/>
          <w:color w:val="000000"/>
          <w:sz w:val="24"/>
          <w:szCs w:val="24"/>
        </w:rPr>
        <w:t xml:space="preserve"> </w:t>
      </w:r>
      <w:r w:rsidRPr="000148D4">
        <w:rPr>
          <w:rFonts w:ascii="Times New Roman" w:eastAsia="Times New Roman" w:hAnsi="Times New Roman" w:cs="Times New Roman"/>
          <w:bCs/>
          <w:color w:val="000000"/>
          <w:sz w:val="24"/>
          <w:szCs w:val="24"/>
        </w:rPr>
        <w:fldChar w:fldCharType="begin"/>
      </w:r>
      <w:r w:rsidR="00066BCA">
        <w:rPr>
          <w:rFonts w:ascii="Times New Roman" w:eastAsia="Times New Roman" w:hAnsi="Times New Roman" w:cs="Times New Roman"/>
          <w:bCs/>
          <w:color w:val="000000"/>
          <w:sz w:val="24"/>
          <w:szCs w:val="24"/>
        </w:rPr>
        <w:instrText xml:space="preserve"> ADDIN ZOTERO_ITEM CSL_CITATION {"citationID":"rfatfH6z","properties":{"formattedCitation":"(Demchenko et al., 2021)","plainCitation":"(Demchenko et al., 2021)","noteIndex":0},"citationItems":[{"id":"eqbFgLeb/pInHaxFf","uris":["http://zotero.org/users/local/HTLpg2la/items/HGBDFB8M"],"itemData":{"id":475,"type":"article-journal","abstract":"According to the concept of developing inclusive education, the process of introducing inclusion in schools has been intensified. This is due to the training of physical education teachers to work with children with special educational needs during specially organized courses, whose fragmentation has not greatly increased the level of teachers' qualifications. The research aims to scientifically justify theoretical and methodological foundations, develop and experimentally verify the methodology of training future physical education teachers for professional activities under the conditions of inclusive education, taking into account the specifics of their psychological, theoretical and practical readiness for it. Pedagogical conditions for training future physical education teachers for professional activities under the conditions of inclusive education are defined as follows: prioritizing the content of programmes and teaching methodology; improving the content, forms, methods and means required to master normative, psychological, pedagogical and correctional theoretical and practical and scientific foundations of inclusive education, as well as didactic and correctional and developmental technologies during the classes dedicated to professional teaching methodologies; consolidating professional knowledge and practical skills of students based on the simulation modelling and reflection on pedagogical experience of future physical education teachers under the conditions of inclusive education with the relevant update of the content of teaching placements. The experimental work involved 444 students majoring in physical education and sport (222 students in the experimental and the control groups). Given the summarized data of final tests, it becomes clear that the students in the EG tend to have a high level of such readiness (at the ascertaining stage — 28.6%, at the formative stage — 47.0%, the difference being 18.4%). The results of the experiment prove the effectiveness of introducing the developed methodology of training future physical education teachers for professional activities under the conditions of inclusive education.","container-title":"BRAIN. Broad Research in Artificial Intelligence and Neuroscience","ISSN":"2067-3957","issue":"3","language":"en","license":"Copyright (c) 2021 BRAIN. Broad Research in Artificial Intelligence and Neuroscience","note":"number: 3","page":"191-213","source":"www.edusoft.ro","title":"Training Future Physical Education Teachers for Professional Activities under the Conditions of Inclusive Education","volume":"12","author":[{"family":"Demchenko","given":"Iryna"},{"family":"Maksymchuk","given":"Borys"},{"family":"Bilan","given":"Valentyna"},{"family":"Maksymchuk","given":"Iryna"},{"family":"Kalynovska","given":"Iryna"}],"issued":{"date-parts":[["2021",12,21]]}}}],"schema":"https://github.com/citation-style-language/schema/raw/master/csl-citation.json"} </w:instrText>
      </w:r>
      <w:r w:rsidRPr="000148D4">
        <w:rPr>
          <w:rFonts w:ascii="Times New Roman" w:eastAsia="Times New Roman" w:hAnsi="Times New Roman" w:cs="Times New Roman"/>
          <w:bCs/>
          <w:color w:val="000000"/>
          <w:sz w:val="24"/>
          <w:szCs w:val="24"/>
        </w:rPr>
        <w:fldChar w:fldCharType="separate"/>
      </w:r>
      <w:r w:rsidRPr="000148D4">
        <w:rPr>
          <w:rFonts w:ascii="Times New Roman" w:eastAsia="Times New Roman" w:hAnsi="Times New Roman" w:cs="Times New Roman"/>
          <w:bCs/>
          <w:color w:val="000000"/>
          <w:sz w:val="24"/>
          <w:szCs w:val="24"/>
        </w:rPr>
        <w:t>(Demchenko et al., 2021)</w:t>
      </w:r>
      <w:r w:rsidRPr="000148D4">
        <w:rPr>
          <w:rFonts w:ascii="Times New Roman" w:eastAsia="Times New Roman" w:hAnsi="Times New Roman" w:cs="Times New Roman"/>
          <w:bCs/>
          <w:color w:val="000000"/>
          <w:sz w:val="24"/>
          <w:szCs w:val="24"/>
        </w:rPr>
        <w:fldChar w:fldCharType="end"/>
      </w:r>
      <w:r w:rsidRPr="000148D4">
        <w:rPr>
          <w:rFonts w:ascii="Times New Roman" w:eastAsia="Times New Roman" w:hAnsi="Times New Roman" w:cs="Times New Roman"/>
          <w:bCs/>
          <w:color w:val="000000"/>
          <w:sz w:val="24"/>
          <w:szCs w:val="24"/>
        </w:rPr>
        <w:t>.</w:t>
      </w:r>
    </w:p>
    <w:p w14:paraId="72440555" w14:textId="381C791A" w:rsidR="000148D4" w:rsidRPr="000148D4" w:rsidRDefault="000148D4" w:rsidP="000148D4">
      <w:pPr>
        <w:spacing w:after="0" w:line="240" w:lineRule="auto"/>
        <w:ind w:firstLine="720"/>
        <w:jc w:val="both"/>
        <w:rPr>
          <w:rFonts w:ascii="Times New Roman" w:eastAsia="Times New Roman" w:hAnsi="Times New Roman" w:cs="Times New Roman"/>
          <w:bCs/>
          <w:color w:val="000000"/>
          <w:sz w:val="24"/>
          <w:szCs w:val="24"/>
        </w:rPr>
      </w:pPr>
      <w:r w:rsidRPr="000148D4">
        <w:rPr>
          <w:rFonts w:ascii="Times New Roman" w:eastAsia="Times New Roman" w:hAnsi="Times New Roman" w:cs="Times New Roman"/>
          <w:bCs/>
          <w:color w:val="000000"/>
          <w:sz w:val="24"/>
          <w:szCs w:val="24"/>
        </w:rPr>
        <w:t>This finding is in line with research conducted by</w:t>
      </w:r>
      <w:r w:rsidR="00066BCA">
        <w:rPr>
          <w:rFonts w:ascii="Times New Roman" w:eastAsia="Times New Roman" w:hAnsi="Times New Roman" w:cs="Times New Roman"/>
          <w:bCs/>
          <w:color w:val="000000"/>
          <w:sz w:val="24"/>
          <w:szCs w:val="24"/>
        </w:rPr>
        <w:t xml:space="preserve"> </w:t>
      </w:r>
      <w:r w:rsidRPr="000148D4">
        <w:rPr>
          <w:rFonts w:ascii="Times New Roman" w:eastAsia="Times New Roman" w:hAnsi="Times New Roman" w:cs="Times New Roman"/>
          <w:bCs/>
          <w:color w:val="000000"/>
          <w:sz w:val="24"/>
          <w:szCs w:val="24"/>
        </w:rPr>
        <w:fldChar w:fldCharType="begin"/>
      </w:r>
      <w:r w:rsidR="00066BCA">
        <w:rPr>
          <w:rFonts w:ascii="Times New Roman" w:eastAsia="Times New Roman" w:hAnsi="Times New Roman" w:cs="Times New Roman"/>
          <w:bCs/>
          <w:color w:val="000000"/>
          <w:sz w:val="24"/>
          <w:szCs w:val="24"/>
        </w:rPr>
        <w:instrText xml:space="preserve"> ADDIN ZOTERO_ITEM CSL_CITATION {"citationID":"7P43Evvq","properties":{"formattedCitation":"(Prayitno et al., 2024)","plainCitation":"(Prayitno et al., 2024)","noteIndex":0},"citationItems":[{"id":"eqbFgLeb/OlMrYcLe","uris":["http://zotero.org/users/local/HTLpg2la/items/K4AE3TQ9"],"itemData":{"id":504,"type":"article-journal","abstract":"Information technology has become essential in human life. Coping with this era requires a new literacy that leverages digital tools to enhance literacy skills. By acquiring digital literacy, it is hoped that students can become more critical and creative in selecting information. In education, digital literacy plays a vital role in developing learning materials that foster students curiosity and creativity. Learning media is indispensable for teachers in facilitating the learning process. Learning media plays a crucial role in helping teachers explain learning concepts effectively in the classroom. Learning the Indonesian language in elementary schools plays a significant role in developing language skills such as reading, writing, and listening. In this research, the researchers employed the classroom action research (CAR) method, aimed at addressing problem-solving or making improvements at SDN 02 Baleharjo, Pacitan. The study involved 20 fifth-grade students, comprising 10 male students and 10 female students. The research results indicate that the effectiveness of audiovisual learning media in improving digital literacy competence in Indonesian language learning can increase, resulting in better outcomes compared to learning without the use of audiovisual media.","container-title":"International Conference on Education for All","ISSN":"3025-9517","issue":"1","language":"en","license":"Copyright (c) 2024 Harun Joko Prayitno, Devinda Nur Fitriany, Eko Purnomo, Rhavida Anniza Andyani, Muhammad Syahriandi Adhantoro, Ganno Tribuana Kurniaji, Adi Jufriansah","note":"number: 1","page":"71-87","source":"proceedings.alptkptm.org","title":"The Use of Audiovisual Learning Media to Enhance Digital Literacy Competence in Indonesian Language Learning Among Fifth-Grade Students at SDN 02 Baleharjo","volume":"2","author":[{"family":"Prayitno","given":"Harun Joko"},{"family":"Fitriany","given":"Devinda Nur"},{"family":"Purnomo","given":"Eko"},{"family":"Andyani","given":"Rhavida Anniza"},{"family":"Adhantoro","given":"Muhammad Syahriandi"},{"family":"Kurniaji","given":"Ganno Tribuana"},{"family":"Jufriansah","given":"Adi"}],"issued":{"date-parts":[["2024",7,3]]}}}],"schema":"https://github.com/citation-style-language/schema/raw/master/csl-citation.json"} </w:instrText>
      </w:r>
      <w:r w:rsidRPr="000148D4">
        <w:rPr>
          <w:rFonts w:ascii="Times New Roman" w:eastAsia="Times New Roman" w:hAnsi="Times New Roman" w:cs="Times New Roman"/>
          <w:bCs/>
          <w:color w:val="000000"/>
          <w:sz w:val="24"/>
          <w:szCs w:val="24"/>
        </w:rPr>
        <w:fldChar w:fldCharType="separate"/>
      </w:r>
      <w:r w:rsidRPr="000148D4">
        <w:rPr>
          <w:rFonts w:ascii="Times New Roman" w:eastAsia="Times New Roman" w:hAnsi="Times New Roman" w:cs="Times New Roman"/>
          <w:bCs/>
          <w:color w:val="000000"/>
          <w:sz w:val="24"/>
          <w:szCs w:val="24"/>
        </w:rPr>
        <w:t>(Prayitno et al., 2024)</w:t>
      </w:r>
      <w:r w:rsidRPr="000148D4">
        <w:rPr>
          <w:rFonts w:ascii="Times New Roman" w:eastAsia="Times New Roman" w:hAnsi="Times New Roman" w:cs="Times New Roman"/>
          <w:bCs/>
          <w:color w:val="000000"/>
          <w:sz w:val="24"/>
          <w:szCs w:val="24"/>
        </w:rPr>
        <w:fldChar w:fldCharType="end"/>
      </w:r>
      <w:r w:rsidR="00066BCA">
        <w:rPr>
          <w:rFonts w:ascii="Times New Roman" w:eastAsia="Times New Roman" w:hAnsi="Times New Roman" w:cs="Times New Roman"/>
          <w:bCs/>
          <w:color w:val="000000"/>
          <w:sz w:val="24"/>
          <w:szCs w:val="24"/>
        </w:rPr>
        <w:t xml:space="preserve">, </w:t>
      </w:r>
      <w:r w:rsidRPr="000148D4">
        <w:rPr>
          <w:rFonts w:ascii="Times New Roman" w:eastAsia="Times New Roman" w:hAnsi="Times New Roman" w:cs="Times New Roman"/>
          <w:bCs/>
          <w:color w:val="000000"/>
          <w:sz w:val="24"/>
          <w:szCs w:val="24"/>
        </w:rPr>
        <w:t>which showed that integrating visual-audio-based learning media significantly improved students' understanding of foreign language material. Their research found that the use of images and audio recordings stimulated two main cognitive processing pathways: visual and auditory, contributing to improved student retention and comprehension.</w:t>
      </w:r>
    </w:p>
    <w:p w14:paraId="368D8D55" w14:textId="77777777" w:rsidR="000148D4" w:rsidRPr="000148D4" w:rsidRDefault="000148D4" w:rsidP="000148D4">
      <w:pPr>
        <w:spacing w:after="0" w:line="240" w:lineRule="auto"/>
        <w:ind w:firstLine="720"/>
        <w:jc w:val="both"/>
        <w:rPr>
          <w:rFonts w:ascii="Times New Roman" w:eastAsia="Times New Roman" w:hAnsi="Times New Roman" w:cs="Times New Roman"/>
          <w:bCs/>
          <w:color w:val="000000"/>
          <w:sz w:val="24"/>
          <w:szCs w:val="24"/>
        </w:rPr>
      </w:pPr>
      <w:r w:rsidRPr="000148D4">
        <w:rPr>
          <w:rFonts w:ascii="Times New Roman" w:eastAsia="Times New Roman" w:hAnsi="Times New Roman" w:cs="Times New Roman"/>
          <w:bCs/>
          <w:color w:val="000000"/>
          <w:sz w:val="24"/>
          <w:szCs w:val="24"/>
        </w:rPr>
        <w:t xml:space="preserve">However, the implementation of inclusive learning at MTs </w:t>
      </w:r>
      <w:proofErr w:type="spellStart"/>
      <w:r w:rsidRPr="000148D4">
        <w:rPr>
          <w:rFonts w:ascii="Times New Roman" w:eastAsia="Times New Roman" w:hAnsi="Times New Roman" w:cs="Times New Roman"/>
          <w:bCs/>
          <w:color w:val="000000"/>
          <w:sz w:val="24"/>
          <w:szCs w:val="24"/>
        </w:rPr>
        <w:t>Miftahul</w:t>
      </w:r>
      <w:proofErr w:type="spellEnd"/>
      <w:r w:rsidRPr="000148D4">
        <w:rPr>
          <w:rFonts w:ascii="Times New Roman" w:eastAsia="Times New Roman" w:hAnsi="Times New Roman" w:cs="Times New Roman"/>
          <w:bCs/>
          <w:color w:val="000000"/>
          <w:sz w:val="24"/>
          <w:szCs w:val="24"/>
        </w:rPr>
        <w:t xml:space="preserve"> </w:t>
      </w:r>
      <w:proofErr w:type="spellStart"/>
      <w:r w:rsidRPr="000148D4">
        <w:rPr>
          <w:rFonts w:ascii="Times New Roman" w:eastAsia="Times New Roman" w:hAnsi="Times New Roman" w:cs="Times New Roman"/>
          <w:bCs/>
          <w:color w:val="000000"/>
          <w:sz w:val="24"/>
          <w:szCs w:val="24"/>
        </w:rPr>
        <w:t>Afkar</w:t>
      </w:r>
      <w:proofErr w:type="spellEnd"/>
      <w:r w:rsidRPr="000148D4">
        <w:rPr>
          <w:rFonts w:ascii="Times New Roman" w:eastAsia="Times New Roman" w:hAnsi="Times New Roman" w:cs="Times New Roman"/>
          <w:bCs/>
          <w:color w:val="000000"/>
          <w:sz w:val="24"/>
          <w:szCs w:val="24"/>
        </w:rPr>
        <w:t xml:space="preserve"> is not entirely without obstacles. One of the main </w:t>
      </w:r>
      <w:proofErr w:type="gramStart"/>
      <w:r w:rsidRPr="000148D4">
        <w:rPr>
          <w:rFonts w:ascii="Times New Roman" w:eastAsia="Times New Roman" w:hAnsi="Times New Roman" w:cs="Times New Roman"/>
          <w:bCs/>
          <w:color w:val="000000"/>
          <w:sz w:val="24"/>
          <w:szCs w:val="24"/>
        </w:rPr>
        <w:t>obstacles</w:t>
      </w:r>
      <w:proofErr w:type="gramEnd"/>
      <w:r w:rsidRPr="000148D4">
        <w:rPr>
          <w:rFonts w:ascii="Times New Roman" w:eastAsia="Times New Roman" w:hAnsi="Times New Roman" w:cs="Times New Roman"/>
          <w:bCs/>
          <w:color w:val="000000"/>
          <w:sz w:val="24"/>
          <w:szCs w:val="24"/>
        </w:rPr>
        <w:t xml:space="preserve"> teachers face is limited resources, including technological devices, time, and specialized training. Teachers develop teaching materials independently outside of class hours, using whatever tools are available, and without formal support from the institution.</w:t>
      </w:r>
    </w:p>
    <w:p w14:paraId="6F73CEAB" w14:textId="77777777" w:rsidR="000148D4" w:rsidRPr="000148D4" w:rsidRDefault="000148D4" w:rsidP="000148D4">
      <w:pPr>
        <w:spacing w:after="0" w:line="240" w:lineRule="auto"/>
        <w:ind w:firstLine="720"/>
        <w:jc w:val="both"/>
        <w:rPr>
          <w:rFonts w:ascii="Times New Roman" w:eastAsia="Times New Roman" w:hAnsi="Times New Roman" w:cs="Times New Roman"/>
          <w:bCs/>
          <w:color w:val="000000"/>
          <w:sz w:val="24"/>
          <w:szCs w:val="24"/>
        </w:rPr>
      </w:pPr>
      <w:r w:rsidRPr="000148D4">
        <w:rPr>
          <w:rFonts w:ascii="Times New Roman" w:eastAsia="Times New Roman" w:hAnsi="Times New Roman" w:cs="Times New Roman"/>
          <w:bCs/>
          <w:color w:val="000000"/>
          <w:sz w:val="24"/>
          <w:szCs w:val="24"/>
        </w:rPr>
        <w:t>On the other hand, the absence of a written policy from the madrasah regarding standards for implementing inclusive learning makes teachers' efforts appear to be individual initiatives. This presents a weakness that, if left unchecked, could undermine the program's sustainability. An explicit and comprehensive madrasah policy is essential to support and reinforce good practices already implemented in the classroom.</w:t>
      </w:r>
    </w:p>
    <w:p w14:paraId="48CC5953" w14:textId="7768C794" w:rsidR="000148D4" w:rsidRPr="000148D4" w:rsidRDefault="000148D4" w:rsidP="000148D4">
      <w:pPr>
        <w:spacing w:after="0" w:line="240" w:lineRule="auto"/>
        <w:ind w:firstLine="720"/>
        <w:jc w:val="both"/>
        <w:rPr>
          <w:rFonts w:ascii="Times New Roman" w:eastAsia="Times New Roman" w:hAnsi="Times New Roman" w:cs="Times New Roman"/>
          <w:bCs/>
          <w:color w:val="000000"/>
          <w:sz w:val="24"/>
          <w:szCs w:val="24"/>
        </w:rPr>
      </w:pPr>
      <w:r w:rsidRPr="000148D4">
        <w:rPr>
          <w:rFonts w:ascii="Times New Roman" w:eastAsia="Times New Roman" w:hAnsi="Times New Roman" w:cs="Times New Roman"/>
          <w:bCs/>
          <w:color w:val="000000"/>
          <w:sz w:val="24"/>
          <w:szCs w:val="24"/>
        </w:rPr>
        <w:t>In terms of evaluation, teachers use a flexible and non-rigid assessment approach. Assessment focuses more on students' ability to understand the core material rather than simply answering written questions. This demonstrates that inclusive learning also requires innovation in assessment methods</w:t>
      </w:r>
      <w:r w:rsidR="00066BCA">
        <w:rPr>
          <w:rFonts w:ascii="Times New Roman" w:eastAsia="Times New Roman" w:hAnsi="Times New Roman" w:cs="Times New Roman"/>
          <w:bCs/>
          <w:color w:val="000000"/>
          <w:sz w:val="24"/>
          <w:szCs w:val="24"/>
        </w:rPr>
        <w:t xml:space="preserve"> </w:t>
      </w:r>
      <w:r w:rsidRPr="000148D4">
        <w:rPr>
          <w:rFonts w:ascii="Times New Roman" w:eastAsia="Times New Roman" w:hAnsi="Times New Roman" w:cs="Times New Roman"/>
          <w:bCs/>
          <w:color w:val="000000"/>
          <w:sz w:val="24"/>
          <w:szCs w:val="24"/>
        </w:rPr>
        <w:fldChar w:fldCharType="begin"/>
      </w:r>
      <w:r w:rsidR="00066BCA">
        <w:rPr>
          <w:rFonts w:ascii="Times New Roman" w:eastAsia="Times New Roman" w:hAnsi="Times New Roman" w:cs="Times New Roman"/>
          <w:bCs/>
          <w:color w:val="000000"/>
          <w:sz w:val="24"/>
          <w:szCs w:val="24"/>
        </w:rPr>
        <w:instrText xml:space="preserve"> ADDIN ZOTERO_ITEM CSL_CITATION {"citationID":"j4r1HAN2","properties":{"formattedCitation":"(Shutaleva et al., 2023)","plainCitation":"(Shutaleva et al., 2023)","noteIndex":0},"citationItems":[{"id":"eqbFgLeb/eVFpqtPY","uris":["http://zotero.org/users/local/HTLpg2la/items/PPGT9NA5"],"itemData":{"id":506,"type":"article-journal","abstract":"One of the significant factors in the sustainability of education is the development of inclusive education. An inclusive educational space implies openness and accessibility of education for students, regardless of their educational needs. Inclusive education also means a partnership between students and teachers. A teacher is a living person whose socio-emotional skills and professional abilities are the basis for the sustainability of education and student development. This article is devoted to studying teachers’ competence and psychological readiness at schools and higher educational institutions to work with students with special educational needs. This article includes the results of a sociological study conducted in September 2022 and is devoted to the readiness of schoolteachers and university professors for inclusive education (N = 125). The general statistical calculation was carried out based on information processing using the Vortex program version 10.0. Universities and schools are located in large administrative centers of Russian regions with a population of about a million. The relevance of this study is due to the relationship of sustainability with the ideas of inclusive education, manifested in its goal of achieving students’ educational levels established by the state and the humanistic concept of equality of opportunity in the process of professional implementation and self-determination of the individual.","container-title":"Sustainability","DOI":"10.3390/su15043011","ISSN":"2071-1050","issue":"4","language":"en","license":"http://creativecommons.org/licenses/by/3.0/","note":"number: 4\npublisher: Multidisciplinary Digital Publishing Institute","page":"3011","source":"www.mdpi.com","title":"Sustainability of Inclusive Education in Schools and Higher Education: Teachers and Students with Special Educational Needs","title-short":"Sustainability of Inclusive Education in Schools and Higher Education","volume":"15","author":[{"family":"Shutaleva","given":"Anna"},{"family":"Martyushev","given":"Nikita"},{"family":"Nikonova","given":"Zhanna"},{"family":"Savchenko","given":"Irina"},{"family":"Kukartsev","given":"Vladislav"},{"family":"Tynchenko","given":"Vadim"},{"family":"Tynchenko","given":"Yadviga"}],"issued":{"date-parts":[["2023",1]]}}}],"schema":"https://github.com/citation-style-language/schema/raw/master/csl-citation.json"} </w:instrText>
      </w:r>
      <w:r w:rsidRPr="000148D4">
        <w:rPr>
          <w:rFonts w:ascii="Times New Roman" w:eastAsia="Times New Roman" w:hAnsi="Times New Roman" w:cs="Times New Roman"/>
          <w:bCs/>
          <w:color w:val="000000"/>
          <w:sz w:val="24"/>
          <w:szCs w:val="24"/>
        </w:rPr>
        <w:fldChar w:fldCharType="separate"/>
      </w:r>
      <w:r w:rsidRPr="000148D4">
        <w:rPr>
          <w:rFonts w:ascii="Times New Roman" w:eastAsia="Times New Roman" w:hAnsi="Times New Roman" w:cs="Times New Roman"/>
          <w:bCs/>
          <w:color w:val="000000"/>
          <w:sz w:val="24"/>
          <w:szCs w:val="24"/>
        </w:rPr>
        <w:t>(Shutaleva et al., 2023)</w:t>
      </w:r>
      <w:r w:rsidRPr="000148D4">
        <w:rPr>
          <w:rFonts w:ascii="Times New Roman" w:eastAsia="Times New Roman" w:hAnsi="Times New Roman" w:cs="Times New Roman"/>
          <w:bCs/>
          <w:color w:val="000000"/>
          <w:sz w:val="24"/>
          <w:szCs w:val="24"/>
        </w:rPr>
        <w:fldChar w:fldCharType="end"/>
      </w:r>
      <w:r w:rsidR="00066BCA">
        <w:rPr>
          <w:rFonts w:ascii="Times New Roman" w:eastAsia="Times New Roman" w:hAnsi="Times New Roman" w:cs="Times New Roman"/>
          <w:bCs/>
          <w:color w:val="000000"/>
          <w:sz w:val="24"/>
          <w:szCs w:val="24"/>
        </w:rPr>
        <w:t xml:space="preserve">. </w:t>
      </w:r>
      <w:r w:rsidRPr="000148D4">
        <w:rPr>
          <w:rFonts w:ascii="Times New Roman" w:eastAsia="Times New Roman" w:hAnsi="Times New Roman" w:cs="Times New Roman"/>
          <w:bCs/>
          <w:color w:val="000000"/>
          <w:sz w:val="24"/>
          <w:szCs w:val="24"/>
        </w:rPr>
        <w:t>However, the lack of a specific assessment rubric tailored to the needs of inclusive students is an aspect that needs further development.</w:t>
      </w:r>
    </w:p>
    <w:p w14:paraId="628BB1DF" w14:textId="0336874C" w:rsidR="000148D4" w:rsidRPr="000148D4" w:rsidRDefault="000148D4" w:rsidP="000148D4">
      <w:pPr>
        <w:spacing w:after="0" w:line="240" w:lineRule="auto"/>
        <w:ind w:firstLine="720"/>
        <w:jc w:val="both"/>
        <w:rPr>
          <w:rFonts w:ascii="Times New Roman" w:eastAsia="Times New Roman" w:hAnsi="Times New Roman" w:cs="Times New Roman"/>
          <w:bCs/>
          <w:color w:val="000000"/>
          <w:sz w:val="24"/>
          <w:szCs w:val="24"/>
        </w:rPr>
      </w:pPr>
      <w:r w:rsidRPr="000148D4">
        <w:rPr>
          <w:rFonts w:ascii="Times New Roman" w:eastAsia="Times New Roman" w:hAnsi="Times New Roman" w:cs="Times New Roman"/>
          <w:bCs/>
          <w:color w:val="000000"/>
          <w:sz w:val="24"/>
          <w:szCs w:val="24"/>
        </w:rPr>
        <w:t>The implication of these findings for educational practice is that effective inclusive learning requires more than simply providing physical access for students with special needs. Adapting materials, methods, media, and assessments is also necessary to ensure learning is truly meaningful for all students</w:t>
      </w:r>
      <w:r w:rsidR="00066BCA">
        <w:rPr>
          <w:rFonts w:ascii="Times New Roman" w:eastAsia="Times New Roman" w:hAnsi="Times New Roman" w:cs="Times New Roman"/>
          <w:bCs/>
          <w:color w:val="000000"/>
          <w:sz w:val="24"/>
          <w:szCs w:val="24"/>
        </w:rPr>
        <w:t xml:space="preserve"> </w:t>
      </w:r>
      <w:r w:rsidRPr="000148D4">
        <w:rPr>
          <w:rFonts w:ascii="Times New Roman" w:eastAsia="Times New Roman" w:hAnsi="Times New Roman" w:cs="Times New Roman"/>
          <w:bCs/>
          <w:color w:val="000000"/>
          <w:sz w:val="24"/>
          <w:szCs w:val="24"/>
        </w:rPr>
        <w:fldChar w:fldCharType="begin"/>
      </w:r>
      <w:r w:rsidR="00066BCA">
        <w:rPr>
          <w:rFonts w:ascii="Times New Roman" w:eastAsia="Times New Roman" w:hAnsi="Times New Roman" w:cs="Times New Roman"/>
          <w:bCs/>
          <w:color w:val="000000"/>
          <w:sz w:val="24"/>
          <w:szCs w:val="24"/>
        </w:rPr>
        <w:instrText xml:space="preserve"> ADDIN ZOTERO_ITEM CSL_CITATION {"citationID":"eleULQZa","properties":{"formattedCitation":"(Molina Rold\\uc0\\u225{}n et al., 2021)","plainCitation":"(Molina Roldán et al., 2021)","noteIndex":0},"citationItems":[{"id":"eqbFgLeb/GUBOdHxx","uris":["http://zotero.org/users/local/HTLpg2la/items/UDI6BZTJ"],"itemData":{"id":508,"type":"article-journal","abstract":"Growing evidence in recent years has led to an agreement on the importance and benefits that inclusive education has for students with special educational needs (SEN). However, the extension and universalization of an inclusive approach will also be enhanced with more evidence on the benefits that inclusion has for all students, including those without SEN. Based on the existing knowledge that learning interactions among diverse students are a key component of educational inclusion, the aim of this study is to identify the impact on students without SEN of being educated with students with SEN in shared, inclusive, interactive learning environments. Data were collected in three schools using a qualitative approach with a communicative orientation. Semistructured interviews were held with teachers as well as community volunteers participating in the schools. Further, focus groups were conducted with students and teachers. The results show that students without SEN benefit from participating in interactive learning activities with peers with SEN in different ways: (1) they learn to respect others, accept differences, and acknowledge different abilities, thereby creating opportunities for new friendships to develop; (2) they learn about abilities related to helping others participate and learn, to be patient and to gain the satisfaction in helping others learn and behave better; and (3) they benefit from the cognitive effort required to explain themselves and from the contributions of peers with SEN from which they can learn.","container-title":"Frontiers in Psychology","DOI":"10.3389/fpsyg.2021.661427","ISSN":"1664-1078","journalAbbreviation":"Front. Psychol.","language":"English","note":"publisher: Frontiers","source":"Frontiers","title":"How Inclusive Interactive Learning Environments Benefit Students Without Special Needs","URL":"https://www.frontiersin.org/journals/psychology/articles/10.3389/fpsyg.2021.661427/full","volume":"12","author":[{"family":"Molina Roldán","given":"Silvia"},{"family":"Marauri","given":"Jesús"},{"family":"Aubert","given":"Adriana"},{"family":"Flecha","given":"Ramon"}],"accessed":{"date-parts":[["2025",6,3]]},"issued":{"date-parts":[["2021",4,29]]}}}],"schema":"https://github.com/citation-style-language/schema/raw/master/csl-citation.json"} </w:instrText>
      </w:r>
      <w:r w:rsidRPr="000148D4">
        <w:rPr>
          <w:rFonts w:ascii="Times New Roman" w:eastAsia="Times New Roman" w:hAnsi="Times New Roman" w:cs="Times New Roman"/>
          <w:bCs/>
          <w:color w:val="000000"/>
          <w:sz w:val="24"/>
          <w:szCs w:val="24"/>
        </w:rPr>
        <w:fldChar w:fldCharType="separate"/>
      </w:r>
      <w:r w:rsidRPr="000148D4">
        <w:rPr>
          <w:rFonts w:ascii="Times New Roman" w:eastAsia="Times New Roman" w:hAnsi="Times New Roman" w:cs="Times New Roman"/>
          <w:bCs/>
          <w:color w:val="000000"/>
          <w:sz w:val="24"/>
          <w:szCs w:val="24"/>
        </w:rPr>
        <w:t>(Molina Roldán et al., 2021)</w:t>
      </w:r>
      <w:r w:rsidRPr="000148D4">
        <w:rPr>
          <w:rFonts w:ascii="Times New Roman" w:eastAsia="Times New Roman" w:hAnsi="Times New Roman" w:cs="Times New Roman"/>
          <w:bCs/>
          <w:color w:val="000000"/>
          <w:sz w:val="24"/>
          <w:szCs w:val="24"/>
        </w:rPr>
        <w:fldChar w:fldCharType="end"/>
      </w:r>
      <w:r w:rsidRPr="000148D4">
        <w:rPr>
          <w:rFonts w:ascii="Times New Roman" w:eastAsia="Times New Roman" w:hAnsi="Times New Roman" w:cs="Times New Roman"/>
          <w:bCs/>
          <w:color w:val="000000"/>
          <w:sz w:val="24"/>
          <w:szCs w:val="24"/>
        </w:rPr>
        <w:t xml:space="preserve">. Adaptive </w:t>
      </w:r>
      <w:r w:rsidRPr="000148D4">
        <w:rPr>
          <w:rFonts w:ascii="Times New Roman" w:eastAsia="Times New Roman" w:hAnsi="Times New Roman" w:cs="Times New Roman"/>
          <w:bCs/>
          <w:color w:val="000000"/>
          <w:sz w:val="24"/>
          <w:szCs w:val="24"/>
        </w:rPr>
        <w:lastRenderedPageBreak/>
        <w:t>teaching material innovation is one of the important keys that can bridge the diversity of learning needs in the classroom</w:t>
      </w:r>
      <w:r w:rsidR="00066BCA">
        <w:rPr>
          <w:rFonts w:ascii="Times New Roman" w:eastAsia="Times New Roman" w:hAnsi="Times New Roman" w:cs="Times New Roman"/>
          <w:bCs/>
          <w:color w:val="000000"/>
          <w:sz w:val="24"/>
          <w:szCs w:val="24"/>
        </w:rPr>
        <w:t xml:space="preserve"> </w:t>
      </w:r>
      <w:r w:rsidRPr="000148D4">
        <w:rPr>
          <w:rFonts w:ascii="Times New Roman" w:eastAsia="Times New Roman" w:hAnsi="Times New Roman" w:cs="Times New Roman"/>
          <w:bCs/>
          <w:color w:val="000000"/>
          <w:sz w:val="24"/>
          <w:szCs w:val="24"/>
        </w:rPr>
        <w:fldChar w:fldCharType="begin"/>
      </w:r>
      <w:r w:rsidR="00066BCA">
        <w:rPr>
          <w:rFonts w:ascii="Times New Roman" w:eastAsia="Times New Roman" w:hAnsi="Times New Roman" w:cs="Times New Roman"/>
          <w:bCs/>
          <w:color w:val="000000"/>
          <w:sz w:val="24"/>
          <w:szCs w:val="24"/>
        </w:rPr>
        <w:instrText xml:space="preserve"> ADDIN ZOTERO_ITEM CSL_CITATION {"citationID":"5vzMWj76","properties":{"formattedCitation":"(Morze et al., 2021)","plainCitation":"(Morze et al., 2021)","noteIndex":0},"citationItems":[{"id":"eqbFgLeb/v8iop9Hl","uris":["http://zotero.org/users/local/HTLpg2la/items/AXMHM6RK"],"itemData":{"id":510,"type":"article-journal","abstract":"E-learning courses have become popular means of delivering knowledge to students in higher education institutions. Most participants of learning process note that they benefit from the possibility to gain knowledge regardless of time, location and device they use. Among other advantages possibility to return to learnt material several times, divide material into parts, consume information through different types of educational materials (video, infographics, presentations, text, quizzes etc.) are mentioned. At the same time most of the surveyed students chose that they lack personalization both of materials and studying process, limited in terms of fulfillment and would like to have a choice of the level of study. The educational trend that is able to put into practice the above mentioned requirements is blended learning as it has a range of advantages such as usability, consideration of individual abilities, additional materials introduction, activities monitoring. Although it combines offline and online learning, effectiveness of e-learning courses designed for its implementation play a crucial role. To make a learning process correspondent to the students’ needs adaptive learning can be introduced in higher education institutions. Adaptive learning is a methodology that allows to identify level of students’ knowledge and their learning styles and transform materials, tasks and ways of their delivery according to the needs of learning process participants. LMS Moodle offers different solutions for adaptive learning. They provide administrators and teachers with tools to vary all stages of a learning process starting with delivery of information and ending with assessment.","container-title":"Journal of Physics: Conference Series","DOI":"10.1088/1742-6596/1840/1/012062","ISSN":"1742-6596","issue":"1","journalAbbreviation":"J. Phys.: Conf. Ser.","language":"en","note":"publisher: IOP Publishing","page":"012062","source":"Institute of Physics","title":"Implementation of adaptive learning at higher education institutions by means of Moodle LMS","volume":"1840","author":[{"family":"Morze","given":"N"},{"family":"Varchenko-Trotsenko","given":"L"},{"family":"Terletska","given":"T"},{"family":"Smyrnova-Trybulska","given":"E"}],"issued":{"date-parts":[["2021",3]]}}}],"schema":"https://github.com/citation-style-language/schema/raw/master/csl-citation.json"} </w:instrText>
      </w:r>
      <w:r w:rsidRPr="000148D4">
        <w:rPr>
          <w:rFonts w:ascii="Times New Roman" w:eastAsia="Times New Roman" w:hAnsi="Times New Roman" w:cs="Times New Roman"/>
          <w:bCs/>
          <w:color w:val="000000"/>
          <w:sz w:val="24"/>
          <w:szCs w:val="24"/>
        </w:rPr>
        <w:fldChar w:fldCharType="separate"/>
      </w:r>
      <w:r w:rsidRPr="000148D4">
        <w:rPr>
          <w:rFonts w:ascii="Times New Roman" w:eastAsia="Times New Roman" w:hAnsi="Times New Roman" w:cs="Times New Roman"/>
          <w:bCs/>
          <w:color w:val="000000"/>
          <w:sz w:val="24"/>
          <w:szCs w:val="24"/>
        </w:rPr>
        <w:t>(Morze et al., 2021)</w:t>
      </w:r>
      <w:r w:rsidRPr="000148D4">
        <w:rPr>
          <w:rFonts w:ascii="Times New Roman" w:eastAsia="Times New Roman" w:hAnsi="Times New Roman" w:cs="Times New Roman"/>
          <w:bCs/>
          <w:color w:val="000000"/>
          <w:sz w:val="24"/>
          <w:szCs w:val="24"/>
        </w:rPr>
        <w:fldChar w:fldCharType="end"/>
      </w:r>
      <w:r w:rsidRPr="000148D4">
        <w:rPr>
          <w:rFonts w:ascii="Times New Roman" w:eastAsia="Times New Roman" w:hAnsi="Times New Roman" w:cs="Times New Roman"/>
          <w:bCs/>
          <w:color w:val="000000"/>
          <w:sz w:val="24"/>
          <w:szCs w:val="24"/>
        </w:rPr>
        <w:t>.</w:t>
      </w:r>
    </w:p>
    <w:p w14:paraId="2433A75B" w14:textId="2EBFF9FC" w:rsidR="000148D4" w:rsidRPr="000148D4" w:rsidRDefault="000148D4" w:rsidP="000148D4">
      <w:pPr>
        <w:spacing w:after="0" w:line="240" w:lineRule="auto"/>
        <w:ind w:firstLine="720"/>
        <w:jc w:val="both"/>
        <w:rPr>
          <w:rFonts w:ascii="Times New Roman" w:eastAsia="Times New Roman" w:hAnsi="Times New Roman" w:cs="Times New Roman"/>
          <w:bCs/>
          <w:color w:val="000000"/>
          <w:sz w:val="24"/>
          <w:szCs w:val="24"/>
        </w:rPr>
      </w:pPr>
      <w:r w:rsidRPr="000148D4">
        <w:rPr>
          <w:rFonts w:ascii="Times New Roman" w:eastAsia="Times New Roman" w:hAnsi="Times New Roman" w:cs="Times New Roman"/>
          <w:bCs/>
          <w:color w:val="000000"/>
          <w:sz w:val="24"/>
          <w:szCs w:val="24"/>
        </w:rPr>
        <w:t>Furthermore, these findings underscore the importance of teacher training in inclusive education. Teachers need more than just empathy or intuition; they also need to be equipped with structured pedagogical knowledge</w:t>
      </w:r>
      <w:r w:rsidR="00066BCA">
        <w:rPr>
          <w:rFonts w:ascii="Times New Roman" w:eastAsia="Times New Roman" w:hAnsi="Times New Roman" w:cs="Times New Roman"/>
          <w:bCs/>
          <w:color w:val="000000"/>
          <w:sz w:val="24"/>
          <w:szCs w:val="24"/>
        </w:rPr>
        <w:t xml:space="preserve"> </w:t>
      </w:r>
      <w:r w:rsidRPr="000148D4">
        <w:rPr>
          <w:rFonts w:ascii="Times New Roman" w:eastAsia="Times New Roman" w:hAnsi="Times New Roman" w:cs="Times New Roman"/>
          <w:bCs/>
          <w:color w:val="000000"/>
          <w:sz w:val="24"/>
          <w:szCs w:val="24"/>
        </w:rPr>
        <w:fldChar w:fldCharType="begin"/>
      </w:r>
      <w:r w:rsidR="00066BCA">
        <w:rPr>
          <w:rFonts w:ascii="Times New Roman" w:eastAsia="Times New Roman" w:hAnsi="Times New Roman" w:cs="Times New Roman"/>
          <w:bCs/>
          <w:color w:val="000000"/>
          <w:sz w:val="24"/>
          <w:szCs w:val="24"/>
        </w:rPr>
        <w:instrText xml:space="preserve"> ADDIN ZOTERO_ITEM CSL_CITATION {"citationID":"jhLJe1KE","properties":{"formattedCitation":"(Hasim et al., 2025)","plainCitation":"(Hasim et al., 2025)","noteIndex":0},"citationItems":[{"id":"eqbFgLeb/A4FBgcN6","uris":["http://zotero.org/users/local/HTLpg2la/items/HWN9M8AG"],"itemData":{"id":542,"type":"article-journal","abstract":"This study aims to determine the psychological impact on Uinsa students in mastering academic Arabic. This study was conducted by interviewing 10 postgraduate students of the Arabic Language Education Study Program, semester 1, at the State Islamic University of Sunan Ampel, Surabaya. The research method used in this study is qualitative research, namely descriptive analysis. We selected the research subjects using the purposive sampling method. Data collection was carried out by interviewing research subjects using structured interviews and unstructured interviews. The research found that 1) 80% of respondents said learning Arabic on campus can affect their mental health. 20% of the respondents indicated that the process of mastering Arabic on campus does not influence their mentality.does not influence their mentality. 2) 100% of respondents believe that readiness to be serious is something that must be present in every student in the process of mastering Arabic. 3) 50% of respondents answered that difficulty in vocabulary or mufrodat is an obstacle in the process of mastering Arabic. Meanwhile, 20% of other respondents revealed difficulties in pronunciation style or lahjah. And the remaining 30% of respondents revealed a lack of mastery of Qowaid or Arabic grammar. 4) 80% of respondents answered that refreshing is the right way to stabilize emotions and mentality in every student. Meanwhile, 20% of the respondents stated that they maintain their emotional and mental stability by persistently learning and striving until they achieve their goals.","container-title":"Al Mi'yar: Jurnal Ilmiah Pembelajaran Bahasa Arab dan Kebahasaaraban","DOI":"10.35931/am.v8i1.4337","ISSN":"2620-6536","issue":"1","language":"en","license":"Copyright (c) 2025 Al Mi'yar: Jurnal Ilmiah Pembelajaran Bahasa Arab dan Kebahasaaraban","note":"number: 1","page":"11-16","source":"jurnal.stiq-amuntai.ac.id","title":"Psychological Impact Of UIN Sunan Ampel Surabaya Students On Academic Arabic Language Mastery","volume":"8","author":[{"family":"Hasim","given":"Muhamad Fuad"},{"family":"Taufiq","given":"Mirwan Akhmad"},{"family":"Baihaqi","given":"M."},{"family":"Amaliyah","given":"Nurul"},{"family":"Rachmawati","given":"Emilia"}],"issued":{"date-parts":[["2025",4,1]]}}}],"schema":"https://github.com/citation-style-language/schema/raw/master/csl-citation.json"} </w:instrText>
      </w:r>
      <w:r w:rsidRPr="000148D4">
        <w:rPr>
          <w:rFonts w:ascii="Times New Roman" w:eastAsia="Times New Roman" w:hAnsi="Times New Roman" w:cs="Times New Roman"/>
          <w:bCs/>
          <w:color w:val="000000"/>
          <w:sz w:val="24"/>
          <w:szCs w:val="24"/>
        </w:rPr>
        <w:fldChar w:fldCharType="separate"/>
      </w:r>
      <w:r w:rsidRPr="000148D4">
        <w:rPr>
          <w:rFonts w:ascii="Times New Roman" w:eastAsia="Times New Roman" w:hAnsi="Times New Roman" w:cs="Times New Roman"/>
          <w:bCs/>
          <w:color w:val="000000"/>
          <w:sz w:val="24"/>
          <w:szCs w:val="24"/>
        </w:rPr>
        <w:t>(Hasim et al., 2025)</w:t>
      </w:r>
      <w:r w:rsidRPr="000148D4">
        <w:rPr>
          <w:rFonts w:ascii="Times New Roman" w:eastAsia="Times New Roman" w:hAnsi="Times New Roman" w:cs="Times New Roman"/>
          <w:bCs/>
          <w:color w:val="000000"/>
          <w:sz w:val="24"/>
          <w:szCs w:val="24"/>
        </w:rPr>
        <w:fldChar w:fldCharType="end"/>
      </w:r>
      <w:r w:rsidRPr="000148D4">
        <w:rPr>
          <w:rFonts w:ascii="Times New Roman" w:eastAsia="Times New Roman" w:hAnsi="Times New Roman" w:cs="Times New Roman"/>
          <w:bCs/>
          <w:color w:val="000000"/>
          <w:sz w:val="24"/>
          <w:szCs w:val="24"/>
        </w:rPr>
        <w:t>. A targeted, sustainable, and practice-based training program will greatly help improve teachers' competency in designing and implementing inclusive and adaptive learning</w:t>
      </w:r>
      <w:r w:rsidR="00066BCA">
        <w:rPr>
          <w:rFonts w:ascii="Times New Roman" w:eastAsia="Times New Roman" w:hAnsi="Times New Roman" w:cs="Times New Roman"/>
          <w:bCs/>
          <w:color w:val="000000"/>
          <w:sz w:val="24"/>
          <w:szCs w:val="24"/>
        </w:rPr>
        <w:t xml:space="preserve"> </w:t>
      </w:r>
      <w:r w:rsidRPr="000148D4">
        <w:rPr>
          <w:rFonts w:ascii="Times New Roman" w:eastAsia="Times New Roman" w:hAnsi="Times New Roman" w:cs="Times New Roman"/>
          <w:bCs/>
          <w:color w:val="000000"/>
          <w:sz w:val="24"/>
          <w:szCs w:val="24"/>
        </w:rPr>
        <w:fldChar w:fldCharType="begin"/>
      </w:r>
      <w:r w:rsidR="00066BCA">
        <w:rPr>
          <w:rFonts w:ascii="Times New Roman" w:eastAsia="Times New Roman" w:hAnsi="Times New Roman" w:cs="Times New Roman"/>
          <w:bCs/>
          <w:color w:val="000000"/>
          <w:sz w:val="24"/>
          <w:szCs w:val="24"/>
        </w:rPr>
        <w:instrText xml:space="preserve"> ADDIN ZOTERO_ITEM CSL_CITATION {"citationID":"jy0FQkF9","properties":{"formattedCitation":"(Baihaqi et al., 2025)","plainCitation":"(Baihaqi et al., 2025)","noteIndex":0},"citationItems":[{"id":"eqbFgLeb/Tu2KKE0i","uris":["http://zotero.org/users/local/HTLpg2la/items/38UIIYKW"],"itemData":{"id":544,"type":"article-journal","abstract":"This study aims to evaluate the effectiveness of the \"Becoming a Translation Practitioner\" program organized by the Lisan Arabi Centre for Translation in improving translation competencies among higher education students. The program was designed with a project-based approach to address the gap between academic training and the demands of the translation industry. Involving 60 students from UIN Sunan Ampel Surabaya and UIN Raden Fatah Palembang. this research employed a mixed-method approach, including interviews, observations, and document analysis. The findings revealed a significant improvement in participants' translation competencies, as indicated by an increase in the average scores from 67.2 (pre-test) to 82.4 (post-test). The program enabled participants to produce final products in the form of ISBN-standard books, demonstrating their practical translation skills. The challenges, such as limited vocabulary and time constraints, were identified; however, participants generally provided positive feedback regarding the program's impact on their career readiness as professional translators. The study concludes that a project-based approach, supported by integrating technology and guidance from experienced practitioners, can effectively enhance translation competencies. These findings serve as an essential reference for developing similar training programs in other institutions to meet the evolving needs of the translation industry. This research contributes to developing innovative training models in higher education by integrating practical approaches and technology to enhance the relevance and competitiveness of graduates in the job market.","container-title":"Ijaz Arabi Journal of Arabic Learning","DOI":"10.18860/ijazarabi.v8i1.31642","ISSN":"2620-5947","issue":"1","language":"id","license":"Copyright (c) 2025 M Baihaqi","note":"number: 1","source":"ejournal.uin-malang.ac.id","title":"Enhancing Arabic Translation Competency In Higher Education: An Evaluation Of The Becoming A Translation Practitioner' Program/ </w:instrText>
      </w:r>
      <w:r w:rsidR="00066BCA">
        <w:rPr>
          <w:rFonts w:ascii="Times New Roman" w:eastAsia="Times New Roman" w:hAnsi="Times New Roman" w:cs="Times New Roman"/>
          <w:bCs/>
          <w:color w:val="000000"/>
          <w:sz w:val="24"/>
          <w:szCs w:val="24"/>
          <w:rtl/>
        </w:rPr>
        <w:instrText>تعزيز مهارات الترجمة للغة العربية في التعليم العالي: تقييم برنامج أن تصبح ممارسًا للترجمة</w:instrText>
      </w:r>
      <w:r w:rsidR="00066BCA">
        <w:rPr>
          <w:rFonts w:ascii="Times New Roman" w:eastAsia="Times New Roman" w:hAnsi="Times New Roman" w:cs="Times New Roman"/>
          <w:bCs/>
          <w:color w:val="000000"/>
          <w:sz w:val="24"/>
          <w:szCs w:val="24"/>
        </w:rPr>
        <w:instrText xml:space="preserve">","title-short":"Enhancing Arabic Translation Competency In Higher Education","URL":"https://ejournal.uin-malang.ac.id/index.php/ijazarabi/article/view/31642","volume":"8","author":[{"family":"Baihaqi","given":"M."},{"family":"Syarifah","given":"Ainun"},{"family":"Arif","given":"Muthahir"}],"accessed":{"date-parts":[["2025",6,3]]},"issued":{"date-parts":[["2025",2,7]]}}}],"schema":"https://github.com/citation-style-language/schema/raw/master/csl-citation.json"} </w:instrText>
      </w:r>
      <w:r w:rsidRPr="000148D4">
        <w:rPr>
          <w:rFonts w:ascii="Times New Roman" w:eastAsia="Times New Roman" w:hAnsi="Times New Roman" w:cs="Times New Roman"/>
          <w:bCs/>
          <w:color w:val="000000"/>
          <w:sz w:val="24"/>
          <w:szCs w:val="24"/>
        </w:rPr>
        <w:fldChar w:fldCharType="separate"/>
      </w:r>
      <w:r w:rsidRPr="000148D4">
        <w:rPr>
          <w:rFonts w:ascii="Times New Roman" w:eastAsia="Times New Roman" w:hAnsi="Times New Roman" w:cs="Times New Roman"/>
          <w:bCs/>
          <w:color w:val="000000"/>
          <w:sz w:val="24"/>
          <w:szCs w:val="24"/>
        </w:rPr>
        <w:t>(Baihaqi et al., 2025)</w:t>
      </w:r>
      <w:r w:rsidRPr="000148D4">
        <w:rPr>
          <w:rFonts w:ascii="Times New Roman" w:eastAsia="Times New Roman" w:hAnsi="Times New Roman" w:cs="Times New Roman"/>
          <w:bCs/>
          <w:color w:val="000000"/>
          <w:sz w:val="24"/>
          <w:szCs w:val="24"/>
        </w:rPr>
        <w:fldChar w:fldCharType="end"/>
      </w:r>
      <w:r w:rsidRPr="000148D4">
        <w:rPr>
          <w:rFonts w:ascii="Times New Roman" w:eastAsia="Times New Roman" w:hAnsi="Times New Roman" w:cs="Times New Roman"/>
          <w:bCs/>
          <w:color w:val="000000"/>
          <w:sz w:val="24"/>
          <w:szCs w:val="24"/>
        </w:rPr>
        <w:t>.</w:t>
      </w:r>
    </w:p>
    <w:p w14:paraId="6CA824C0" w14:textId="77777777" w:rsidR="000148D4" w:rsidRPr="000148D4" w:rsidRDefault="000148D4" w:rsidP="000148D4">
      <w:pPr>
        <w:spacing w:after="0" w:line="240" w:lineRule="auto"/>
        <w:ind w:firstLine="720"/>
        <w:jc w:val="both"/>
        <w:rPr>
          <w:rFonts w:ascii="Times New Roman" w:eastAsia="Times New Roman" w:hAnsi="Times New Roman" w:cs="Times New Roman"/>
          <w:bCs/>
          <w:color w:val="000000"/>
          <w:sz w:val="24"/>
          <w:szCs w:val="24"/>
        </w:rPr>
      </w:pPr>
      <w:r w:rsidRPr="000148D4">
        <w:rPr>
          <w:rFonts w:ascii="Times New Roman" w:eastAsia="Times New Roman" w:hAnsi="Times New Roman" w:cs="Times New Roman"/>
          <w:bCs/>
          <w:color w:val="000000"/>
          <w:sz w:val="24"/>
          <w:szCs w:val="24"/>
        </w:rPr>
        <w:t>From a policy perspective, it is crucial for madrasas and related institutions to issue technical guidelines on inclusive learning, including the development of adaptive teaching materials. These guidelines should not only explain general principles but also provide concrete examples of their implementation in the classroom. The availability of such documents will provide direction and legitimacy for teachers seeking innovation.</w:t>
      </w:r>
    </w:p>
    <w:p w14:paraId="0996B9A9" w14:textId="77777777" w:rsidR="000148D4" w:rsidRPr="000148D4" w:rsidRDefault="000148D4" w:rsidP="000148D4">
      <w:pPr>
        <w:spacing w:after="0" w:line="240" w:lineRule="auto"/>
        <w:ind w:firstLine="720"/>
        <w:jc w:val="both"/>
        <w:rPr>
          <w:rFonts w:ascii="Times New Roman" w:eastAsia="Times New Roman" w:hAnsi="Times New Roman" w:cs="Times New Roman"/>
          <w:bCs/>
          <w:color w:val="000000"/>
          <w:sz w:val="24"/>
          <w:szCs w:val="24"/>
        </w:rPr>
      </w:pPr>
      <w:r w:rsidRPr="000148D4">
        <w:rPr>
          <w:rFonts w:ascii="Times New Roman" w:eastAsia="Times New Roman" w:hAnsi="Times New Roman" w:cs="Times New Roman"/>
          <w:bCs/>
          <w:color w:val="000000"/>
          <w:sz w:val="24"/>
          <w:szCs w:val="24"/>
        </w:rPr>
        <w:t>Furthermore, a dedicated budget allocation to support the development of adaptive teaching materials is also an urgent need. Currently, teachers still rely on personal resources to print, duplicate, or create learning materials. If madrasas truly want to create an inclusive environment, logistical support must be part of a sustainable strategic policy.</w:t>
      </w:r>
    </w:p>
    <w:p w14:paraId="765D4F0D" w14:textId="77777777" w:rsidR="000148D4" w:rsidRPr="000148D4" w:rsidRDefault="000148D4" w:rsidP="000148D4">
      <w:pPr>
        <w:spacing w:after="0" w:line="240" w:lineRule="auto"/>
        <w:ind w:firstLine="720"/>
        <w:jc w:val="both"/>
        <w:rPr>
          <w:rFonts w:ascii="Times New Roman" w:eastAsia="Times New Roman" w:hAnsi="Times New Roman" w:cs="Times New Roman"/>
          <w:bCs/>
          <w:color w:val="000000"/>
          <w:sz w:val="24"/>
          <w:szCs w:val="24"/>
        </w:rPr>
      </w:pPr>
      <w:r w:rsidRPr="000148D4">
        <w:rPr>
          <w:rFonts w:ascii="Times New Roman" w:eastAsia="Times New Roman" w:hAnsi="Times New Roman" w:cs="Times New Roman"/>
          <w:bCs/>
          <w:color w:val="000000"/>
          <w:sz w:val="24"/>
          <w:szCs w:val="24"/>
        </w:rPr>
        <w:t>Ultimately, these findings demonstrate that Arabic language learning can be an effective practice for implementing inclusive education. Language, often considered a difficult subject, can actually be a vehicle for fostering togetherness and empowerment when delivered through an appropriate and humane approach.</w:t>
      </w:r>
    </w:p>
    <w:p w14:paraId="74AE8A93" w14:textId="77777777" w:rsidR="000148D4" w:rsidRPr="000148D4" w:rsidRDefault="000148D4" w:rsidP="000148D4">
      <w:pPr>
        <w:spacing w:after="0" w:line="240" w:lineRule="auto"/>
        <w:ind w:firstLine="720"/>
        <w:jc w:val="both"/>
        <w:rPr>
          <w:rFonts w:ascii="Times New Roman" w:eastAsia="Times New Roman" w:hAnsi="Times New Roman" w:cs="Times New Roman"/>
          <w:bCs/>
          <w:color w:val="000000"/>
          <w:sz w:val="24"/>
          <w:szCs w:val="24"/>
        </w:rPr>
      </w:pPr>
      <w:r w:rsidRPr="000148D4">
        <w:rPr>
          <w:rFonts w:ascii="Times New Roman" w:eastAsia="Times New Roman" w:hAnsi="Times New Roman" w:cs="Times New Roman"/>
          <w:bCs/>
          <w:color w:val="000000"/>
          <w:sz w:val="24"/>
          <w:szCs w:val="24"/>
        </w:rPr>
        <w:t xml:space="preserve">Thus, the inclusive learning practices at MTs </w:t>
      </w:r>
      <w:proofErr w:type="spellStart"/>
      <w:r w:rsidRPr="000148D4">
        <w:rPr>
          <w:rFonts w:ascii="Times New Roman" w:eastAsia="Times New Roman" w:hAnsi="Times New Roman" w:cs="Times New Roman"/>
          <w:bCs/>
          <w:color w:val="000000"/>
          <w:sz w:val="24"/>
          <w:szCs w:val="24"/>
        </w:rPr>
        <w:t>Miftahul</w:t>
      </w:r>
      <w:proofErr w:type="spellEnd"/>
      <w:r w:rsidRPr="000148D4">
        <w:rPr>
          <w:rFonts w:ascii="Times New Roman" w:eastAsia="Times New Roman" w:hAnsi="Times New Roman" w:cs="Times New Roman"/>
          <w:bCs/>
          <w:color w:val="000000"/>
          <w:sz w:val="24"/>
          <w:szCs w:val="24"/>
        </w:rPr>
        <w:t xml:space="preserve"> </w:t>
      </w:r>
      <w:proofErr w:type="spellStart"/>
      <w:r w:rsidRPr="000148D4">
        <w:rPr>
          <w:rFonts w:ascii="Times New Roman" w:eastAsia="Times New Roman" w:hAnsi="Times New Roman" w:cs="Times New Roman"/>
          <w:bCs/>
          <w:color w:val="000000"/>
          <w:sz w:val="24"/>
          <w:szCs w:val="24"/>
        </w:rPr>
        <w:t>Afkar</w:t>
      </w:r>
      <w:proofErr w:type="spellEnd"/>
      <w:r w:rsidRPr="000148D4">
        <w:rPr>
          <w:rFonts w:ascii="Times New Roman" w:eastAsia="Times New Roman" w:hAnsi="Times New Roman" w:cs="Times New Roman"/>
          <w:bCs/>
          <w:color w:val="000000"/>
          <w:sz w:val="24"/>
          <w:szCs w:val="24"/>
        </w:rPr>
        <w:t>, while not yet perfect, have shown a positive direction for transformation. This experience can serve as a starting point for other madrasas seeking to develop similar strategies. However, to establish a robust and sustainable system, broader structural support is needed, ranging from madrasah policies to the active involvement of local governments.</w:t>
      </w:r>
    </w:p>
    <w:p w14:paraId="6707161F" w14:textId="77777777" w:rsidR="000148D4" w:rsidRPr="000148D4" w:rsidRDefault="000148D4" w:rsidP="000148D4">
      <w:pPr>
        <w:spacing w:after="0" w:line="240" w:lineRule="auto"/>
        <w:jc w:val="both"/>
        <w:rPr>
          <w:rFonts w:ascii="Times New Roman" w:eastAsia="Times New Roman" w:hAnsi="Times New Roman" w:cs="Times New Roman"/>
          <w:b/>
          <w:bCs/>
          <w:color w:val="000000"/>
          <w:sz w:val="24"/>
          <w:szCs w:val="24"/>
        </w:rPr>
      </w:pPr>
      <w:r w:rsidRPr="000148D4">
        <w:rPr>
          <w:rFonts w:ascii="Times New Roman" w:eastAsia="Times New Roman" w:hAnsi="Times New Roman" w:cs="Times New Roman"/>
          <w:b/>
          <w:bCs/>
          <w:color w:val="000000"/>
          <w:sz w:val="24"/>
          <w:szCs w:val="24"/>
        </w:rPr>
        <w:t>Adaptation Patterns for Arabic Language Teaching Materials</w:t>
      </w:r>
    </w:p>
    <w:p w14:paraId="15E892AF" w14:textId="77777777" w:rsidR="000148D4" w:rsidRPr="000148D4" w:rsidRDefault="000148D4" w:rsidP="000148D4">
      <w:pPr>
        <w:spacing w:after="0" w:line="240" w:lineRule="auto"/>
        <w:ind w:firstLine="720"/>
        <w:jc w:val="both"/>
        <w:rPr>
          <w:rFonts w:ascii="Times New Roman" w:eastAsia="Times New Roman" w:hAnsi="Times New Roman" w:cs="Times New Roman"/>
          <w:bCs/>
          <w:color w:val="000000"/>
          <w:sz w:val="24"/>
          <w:szCs w:val="24"/>
        </w:rPr>
      </w:pPr>
      <w:r w:rsidRPr="000148D4">
        <w:rPr>
          <w:rFonts w:ascii="Times New Roman" w:eastAsia="Times New Roman" w:hAnsi="Times New Roman" w:cs="Times New Roman"/>
          <w:bCs/>
          <w:color w:val="000000"/>
          <w:sz w:val="24"/>
          <w:szCs w:val="24"/>
        </w:rPr>
        <w:t xml:space="preserve">In the context of inclusive learning, teaching materials are a crucial component in determining the extent to which the learning process is equally enjoyed by all students. Research conducted at MTs </w:t>
      </w:r>
      <w:proofErr w:type="spellStart"/>
      <w:r w:rsidRPr="000148D4">
        <w:rPr>
          <w:rFonts w:ascii="Times New Roman" w:eastAsia="Times New Roman" w:hAnsi="Times New Roman" w:cs="Times New Roman"/>
          <w:bCs/>
          <w:color w:val="000000"/>
          <w:sz w:val="24"/>
          <w:szCs w:val="24"/>
        </w:rPr>
        <w:t>Miftahul</w:t>
      </w:r>
      <w:proofErr w:type="spellEnd"/>
      <w:r w:rsidRPr="000148D4">
        <w:rPr>
          <w:rFonts w:ascii="Times New Roman" w:eastAsia="Times New Roman" w:hAnsi="Times New Roman" w:cs="Times New Roman"/>
          <w:bCs/>
          <w:color w:val="000000"/>
          <w:sz w:val="24"/>
          <w:szCs w:val="24"/>
        </w:rPr>
        <w:t xml:space="preserve"> </w:t>
      </w:r>
      <w:proofErr w:type="spellStart"/>
      <w:r w:rsidRPr="000148D4">
        <w:rPr>
          <w:rFonts w:ascii="Times New Roman" w:eastAsia="Times New Roman" w:hAnsi="Times New Roman" w:cs="Times New Roman"/>
          <w:bCs/>
          <w:color w:val="000000"/>
          <w:sz w:val="24"/>
          <w:szCs w:val="24"/>
        </w:rPr>
        <w:t>Afkar</w:t>
      </w:r>
      <w:proofErr w:type="spellEnd"/>
      <w:r w:rsidRPr="000148D4">
        <w:rPr>
          <w:rFonts w:ascii="Times New Roman" w:eastAsia="Times New Roman" w:hAnsi="Times New Roman" w:cs="Times New Roman"/>
          <w:bCs/>
          <w:color w:val="000000"/>
          <w:sz w:val="24"/>
          <w:szCs w:val="24"/>
        </w:rPr>
        <w:t xml:space="preserve"> found that the process of adapting Arabic teaching materials is both creative and responsive to heterogeneous classroom dynamics.</w:t>
      </w:r>
    </w:p>
    <w:p w14:paraId="164FFAE0" w14:textId="77777777" w:rsidR="000148D4" w:rsidRPr="000148D4" w:rsidRDefault="000148D4" w:rsidP="000148D4">
      <w:pPr>
        <w:spacing w:after="0" w:line="240" w:lineRule="auto"/>
        <w:ind w:firstLine="720"/>
        <w:jc w:val="both"/>
        <w:rPr>
          <w:rFonts w:ascii="Times New Roman" w:eastAsia="Times New Roman" w:hAnsi="Times New Roman" w:cs="Times New Roman"/>
          <w:bCs/>
          <w:color w:val="000000"/>
          <w:sz w:val="24"/>
          <w:szCs w:val="24"/>
        </w:rPr>
      </w:pPr>
      <w:r w:rsidRPr="000148D4">
        <w:rPr>
          <w:rFonts w:ascii="Times New Roman" w:eastAsia="Times New Roman" w:hAnsi="Times New Roman" w:cs="Times New Roman"/>
          <w:bCs/>
          <w:color w:val="000000"/>
          <w:sz w:val="24"/>
          <w:szCs w:val="24"/>
        </w:rPr>
        <w:t>Arabic language teachers at the madrasah developed teaching materials based on the principles of flexibility and accessibility, considering the presence of several students with learning disabilities. Adaptations were made not only to the content but also to the presentation methods, supporting media, and practice activities provided. The teachers visibly strived to ensure that the teaching materials met the needs of students with varying ability levels.</w:t>
      </w:r>
    </w:p>
    <w:p w14:paraId="155818CD" w14:textId="77777777" w:rsidR="000148D4" w:rsidRPr="000148D4" w:rsidRDefault="000148D4" w:rsidP="000148D4">
      <w:pPr>
        <w:spacing w:after="0" w:line="240" w:lineRule="auto"/>
        <w:ind w:firstLine="720"/>
        <w:jc w:val="both"/>
        <w:rPr>
          <w:rFonts w:ascii="Times New Roman" w:eastAsia="Times New Roman" w:hAnsi="Times New Roman" w:cs="Times New Roman"/>
          <w:bCs/>
          <w:color w:val="000000"/>
          <w:sz w:val="24"/>
          <w:szCs w:val="24"/>
        </w:rPr>
      </w:pPr>
      <w:r w:rsidRPr="000148D4">
        <w:rPr>
          <w:rFonts w:ascii="Times New Roman" w:eastAsia="Times New Roman" w:hAnsi="Times New Roman" w:cs="Times New Roman"/>
          <w:bCs/>
          <w:color w:val="000000"/>
          <w:sz w:val="24"/>
          <w:szCs w:val="24"/>
        </w:rPr>
        <w:t>One of the most prominent forms of adaptation is the simplification of sentence structure in teaching materials. Teachers deliberately choose familiar vocabulary, avoiding overly technical or rarely used terms. The goal is to enable students to understand the main message of Arabic texts without being overly overwhelmed by the complexity of linguistic structures.</w:t>
      </w:r>
    </w:p>
    <w:p w14:paraId="6FBC3781" w14:textId="77777777" w:rsidR="000148D4" w:rsidRPr="000148D4" w:rsidRDefault="000148D4" w:rsidP="000148D4">
      <w:pPr>
        <w:spacing w:after="0" w:line="240" w:lineRule="auto"/>
        <w:ind w:firstLine="720"/>
        <w:jc w:val="both"/>
        <w:rPr>
          <w:rFonts w:ascii="Times New Roman" w:eastAsia="Times New Roman" w:hAnsi="Times New Roman" w:cs="Times New Roman"/>
          <w:bCs/>
          <w:color w:val="000000"/>
          <w:sz w:val="24"/>
          <w:szCs w:val="24"/>
        </w:rPr>
      </w:pPr>
      <w:r w:rsidRPr="000148D4">
        <w:rPr>
          <w:rFonts w:ascii="Times New Roman" w:eastAsia="Times New Roman" w:hAnsi="Times New Roman" w:cs="Times New Roman"/>
          <w:bCs/>
          <w:color w:val="000000"/>
          <w:sz w:val="24"/>
          <w:szCs w:val="24"/>
        </w:rPr>
        <w:t>In addition to simplifying the text, the teacher also added a simple glossary at the bottom of the page containing Indonesian equivalents. This was intended to help students with limited memory, eliminating the need to consult a dictionary constantly. This approach has proven effective in increasing student engagement during the learning process, as evidenced by observations and interviews.</w:t>
      </w:r>
    </w:p>
    <w:p w14:paraId="22AA3132" w14:textId="68D952AF" w:rsidR="000148D4" w:rsidRPr="000148D4" w:rsidRDefault="000148D4" w:rsidP="000148D4">
      <w:pPr>
        <w:spacing w:after="0" w:line="240" w:lineRule="auto"/>
        <w:ind w:firstLine="720"/>
        <w:jc w:val="both"/>
        <w:rPr>
          <w:rFonts w:ascii="Times New Roman" w:eastAsia="Times New Roman" w:hAnsi="Times New Roman" w:cs="Times New Roman"/>
          <w:bCs/>
          <w:color w:val="000000"/>
          <w:sz w:val="24"/>
          <w:szCs w:val="24"/>
        </w:rPr>
      </w:pPr>
      <w:r w:rsidRPr="000148D4">
        <w:rPr>
          <w:rFonts w:ascii="Times New Roman" w:eastAsia="Times New Roman" w:hAnsi="Times New Roman" w:cs="Times New Roman"/>
          <w:bCs/>
          <w:color w:val="000000"/>
          <w:sz w:val="24"/>
          <w:szCs w:val="24"/>
        </w:rPr>
        <w:lastRenderedPageBreak/>
        <w:t>Adaptation of teaching materials also includes the use of visual illustrations to support vocabulary understanding</w:t>
      </w:r>
      <w:r w:rsidR="00066BCA">
        <w:rPr>
          <w:rFonts w:ascii="Times New Roman" w:eastAsia="Times New Roman" w:hAnsi="Times New Roman" w:cs="Times New Roman"/>
          <w:bCs/>
          <w:color w:val="000000"/>
          <w:sz w:val="24"/>
          <w:szCs w:val="24"/>
        </w:rPr>
        <w:t xml:space="preserve"> </w:t>
      </w:r>
      <w:r w:rsidRPr="000148D4">
        <w:rPr>
          <w:rFonts w:ascii="Times New Roman" w:eastAsia="Times New Roman" w:hAnsi="Times New Roman" w:cs="Times New Roman"/>
          <w:bCs/>
          <w:color w:val="000000"/>
          <w:sz w:val="24"/>
          <w:szCs w:val="24"/>
        </w:rPr>
        <w:fldChar w:fldCharType="begin"/>
      </w:r>
      <w:r w:rsidR="00066BCA">
        <w:rPr>
          <w:rFonts w:ascii="Times New Roman" w:eastAsia="Times New Roman" w:hAnsi="Times New Roman" w:cs="Times New Roman"/>
          <w:bCs/>
          <w:color w:val="000000"/>
          <w:sz w:val="24"/>
          <w:szCs w:val="24"/>
        </w:rPr>
        <w:instrText xml:space="preserve"> ADDIN ZOTERO_ITEM CSL_CITATION {"citationID":"f9j5rPkD","properties":{"formattedCitation":"(Birinci &amp; Saricoban, 2021)","plainCitation":"(Birinci &amp; Saricoban, 2021)","noteIndex":0},"citationItems":[{"id":"eqbFgLeb/7BZTP96S","uris":["http://zotero.org/users/local/HTLpg2la/items/7MHIIIGJ"],"itemData":{"id":512,"type":"article-journal","abstract":"This study aims to investigate the effectiveness of using visual materials in teaching\n         vocabulary to deaf students of EFL. For this purpose, 80 deaf students from a state\n         special education vocational high school in Turkey contributed to this study. All\n         students had first English classes in their lives and they are at the starter level\n         of English, thus pre-test for their English proficiency was not given. The students\n         were randomly divided into two groups to form the experimental group and the control\n         group. 10 vocabulary items per week were taught to the students, and 50 target vocabulary\n         items in total were taught during the whole study. To the experimental group, the\n         vocabulary items were taught via visual materials together with the sign language.\n         The control group was not presented with any visual items during the teaching process\n         of the experiment, only sign language instruction was used for them. After the treatment,\n         a vocabulary test was given to each group as an immediate post-test to measure the\n         impact on learning. Six weeks after the immediate tests, delayed post-test was given\n         to the groups to test long term retention. The results of the two post-tests were\n         analyzed through Independent Samples t-test and Paired Samples t-test calculations\n         to investigate the effectiveness of visual materials. According to the results of\n         the study, visual materials were found to be more effective than using only the sign\n         language that does not contain any visual items in teaching vocabulary items to deaf\n         learners who learn English as a foreign language.","container-title":"Journal of Language and Linguistic Studies","DOI":"10.3316/informit.221335398012476","issue":"1","note":"publisher: Hacettepe University","page":"628-645","source":"search.informit.org (Atypon)","title":"The effectiveness of visual materials in teaching vocabulary to deaf students of EFL","volume":"17","author":[{"family":"Birinci","given":"Fatma Gulengul"},{"family":"Saricoban","given":"Arif"}],"issued":{"date-parts":[["2021",3]]}}}],"schema":"https://github.com/citation-style-language/schema/raw/master/csl-citation.json"} </w:instrText>
      </w:r>
      <w:r w:rsidRPr="000148D4">
        <w:rPr>
          <w:rFonts w:ascii="Times New Roman" w:eastAsia="Times New Roman" w:hAnsi="Times New Roman" w:cs="Times New Roman"/>
          <w:bCs/>
          <w:color w:val="000000"/>
          <w:sz w:val="24"/>
          <w:szCs w:val="24"/>
        </w:rPr>
        <w:fldChar w:fldCharType="separate"/>
      </w:r>
      <w:r w:rsidRPr="000148D4">
        <w:rPr>
          <w:rFonts w:ascii="Times New Roman" w:eastAsia="Times New Roman" w:hAnsi="Times New Roman" w:cs="Times New Roman"/>
          <w:bCs/>
          <w:color w:val="000000"/>
          <w:sz w:val="24"/>
          <w:szCs w:val="24"/>
        </w:rPr>
        <w:t>(Birinci &amp; Saricoban, 2021)</w:t>
      </w:r>
      <w:r w:rsidRPr="000148D4">
        <w:rPr>
          <w:rFonts w:ascii="Times New Roman" w:eastAsia="Times New Roman" w:hAnsi="Times New Roman" w:cs="Times New Roman"/>
          <w:bCs/>
          <w:color w:val="000000"/>
          <w:sz w:val="24"/>
          <w:szCs w:val="24"/>
        </w:rPr>
        <w:fldChar w:fldCharType="end"/>
      </w:r>
      <w:r w:rsidR="00066BCA">
        <w:rPr>
          <w:rFonts w:ascii="Times New Roman" w:eastAsia="Times New Roman" w:hAnsi="Times New Roman" w:cs="Times New Roman"/>
          <w:bCs/>
          <w:color w:val="000000"/>
          <w:sz w:val="24"/>
          <w:szCs w:val="24"/>
        </w:rPr>
        <w:t xml:space="preserve">. </w:t>
      </w:r>
      <w:r w:rsidRPr="000148D4">
        <w:rPr>
          <w:rFonts w:ascii="Times New Roman" w:eastAsia="Times New Roman" w:hAnsi="Times New Roman" w:cs="Times New Roman"/>
          <w:bCs/>
          <w:color w:val="000000"/>
          <w:sz w:val="24"/>
          <w:szCs w:val="24"/>
        </w:rPr>
        <w:t>For example, when introducing vocabulary about daily activities, teachers might include pictures of children eating, sleeping, or playing. These pictures serve not only as decoration but also as important aids to understanding for students who struggle with abstract thinking.</w:t>
      </w:r>
    </w:p>
    <w:p w14:paraId="762E2334" w14:textId="77777777" w:rsidR="000148D4" w:rsidRPr="000148D4" w:rsidRDefault="000148D4" w:rsidP="000148D4">
      <w:pPr>
        <w:spacing w:after="0" w:line="240" w:lineRule="auto"/>
        <w:ind w:firstLine="720"/>
        <w:jc w:val="both"/>
        <w:rPr>
          <w:rFonts w:ascii="Times New Roman" w:eastAsia="Times New Roman" w:hAnsi="Times New Roman" w:cs="Times New Roman"/>
          <w:bCs/>
          <w:color w:val="000000"/>
          <w:sz w:val="24"/>
          <w:szCs w:val="24"/>
        </w:rPr>
      </w:pPr>
      <w:r w:rsidRPr="000148D4">
        <w:rPr>
          <w:rFonts w:ascii="Times New Roman" w:eastAsia="Times New Roman" w:hAnsi="Times New Roman" w:cs="Times New Roman"/>
          <w:bCs/>
          <w:color w:val="000000"/>
          <w:sz w:val="24"/>
          <w:szCs w:val="24"/>
        </w:rPr>
        <w:t>In addition to visuals, teachers also use audio recordings of Arabic pronunciations and short dialogues. These audio recordings are played before reading practice begins to provide students with a model for correct pronunciation. This approach is particularly helpful for students with reading difficulties and those with concentration problems, as they find it easier to follow audio than written text.</w:t>
      </w:r>
    </w:p>
    <w:p w14:paraId="63096C23" w14:textId="75AF61CA" w:rsidR="000148D4" w:rsidRPr="000148D4" w:rsidRDefault="000148D4" w:rsidP="000148D4">
      <w:pPr>
        <w:spacing w:after="0" w:line="240" w:lineRule="auto"/>
        <w:ind w:firstLine="720"/>
        <w:jc w:val="both"/>
        <w:rPr>
          <w:rFonts w:ascii="Times New Roman" w:eastAsia="Times New Roman" w:hAnsi="Times New Roman" w:cs="Times New Roman"/>
          <w:bCs/>
          <w:color w:val="000000"/>
          <w:sz w:val="24"/>
          <w:szCs w:val="24"/>
        </w:rPr>
      </w:pPr>
      <w:r w:rsidRPr="000148D4">
        <w:rPr>
          <w:rFonts w:ascii="Times New Roman" w:eastAsia="Times New Roman" w:hAnsi="Times New Roman" w:cs="Times New Roman"/>
          <w:bCs/>
          <w:color w:val="000000"/>
          <w:sz w:val="24"/>
          <w:szCs w:val="24"/>
        </w:rPr>
        <w:t>The adaptation patterns carried out by teachers reflect the principles of differential learning design suggested in inclusive education studies. According to</w:t>
      </w:r>
      <w:r w:rsidR="00066BCA">
        <w:rPr>
          <w:rFonts w:ascii="Times New Roman" w:eastAsia="Times New Roman" w:hAnsi="Times New Roman" w:cs="Times New Roman"/>
          <w:bCs/>
          <w:color w:val="000000"/>
          <w:sz w:val="24"/>
          <w:szCs w:val="24"/>
        </w:rPr>
        <w:t xml:space="preserve"> </w:t>
      </w:r>
      <w:r w:rsidRPr="000148D4">
        <w:rPr>
          <w:rFonts w:ascii="Times New Roman" w:eastAsia="Times New Roman" w:hAnsi="Times New Roman" w:cs="Times New Roman"/>
          <w:bCs/>
          <w:color w:val="000000"/>
          <w:sz w:val="24"/>
          <w:szCs w:val="24"/>
        </w:rPr>
        <w:fldChar w:fldCharType="begin"/>
      </w:r>
      <w:r w:rsidR="00066BCA">
        <w:rPr>
          <w:rFonts w:ascii="Times New Roman" w:eastAsia="Times New Roman" w:hAnsi="Times New Roman" w:cs="Times New Roman"/>
          <w:bCs/>
          <w:color w:val="000000"/>
          <w:sz w:val="24"/>
          <w:szCs w:val="24"/>
        </w:rPr>
        <w:instrText xml:space="preserve"> ADDIN ZOTERO_ITEM CSL_CITATION {"citationID":"R9Zhb1F3","properties":{"formattedCitation":"(Gheyssens et al., 2022)","plainCitation":"(Gheyssens et al., 2022)","noteIndex":0},"citationItems":[{"id":"eqbFgLeb/Mjilyoz4","uris":["http://zotero.org/users/local/HTLpg2la/items/HQTYGXE8"],"itemData":{"id":514,"type":"article-journal","abstract":"Differentiated instruction (DI) addresses academic diversity in order to maximise learning. Although it is theorised as both a philosophy and as a praxis of teaching, it is rarely measured as such. This study examines teacher profiles on differentiated instruction relating to their philosophy and self-reported praxis. The data stem from an exploratory study on differentiated instruction, which served the purpose of creating a valid instrument to measure teachers’ philosophy and teaching approaches relating to academic differences in interests, readiness and learning profiles, namely the DI-Quest instrument. The results reveal three teacher profiles based on five DI-related factors. The patterns are almost identical in primary and in secondary education. Interestingly, if more frequent adaptations to students’ differences in interests, readiness and learning profile are what differentiated instruction aims for, both philosophical factors (namely growth mindset and ethical compass oriented to students) need to be present. Lacking one of these factors, will have less adaptations as a consequence. This study displays the predictive power of teachers’ philosophy about Differentiated Instruction for their daily classroom practices. Consequences for future research, professional development and teacher education are discussed in detail.","container-title":"International Journal of Inclusive Education","DOI":"10.1080/13603116.2020.1812739","ISSN":"1360-3116","issue":"14","note":"publisher: Routledge\n_eprint: https://doi.org/10.1080/13603116.2020.1812739","page":"1383-1400","source":"Taylor and Francis+NEJM","title":"Differentiated instruction: the diversity of teachers’ philosophy and praxis to adapt teaching to students’ interests, readiness and learning profiles","title-short":"Differentiated instruction","volume":"26","author":[{"family":"Gheyssens","given":"Esther"},{"family":"","given":"Coubergs ,Catherine"},{"family":"","given":"Griful-Freixenet ,Júlia"},{"family":"","given":"Engels ,Nadine"},{"family":"Struyven","given":"Katrien","non-dropping-particle":"and"}],"issued":{"date-parts":[["2022",12,6]]}}}],"schema":"https://github.com/citation-style-language/schema/raw/master/csl-citation.json"} </w:instrText>
      </w:r>
      <w:r w:rsidRPr="000148D4">
        <w:rPr>
          <w:rFonts w:ascii="Times New Roman" w:eastAsia="Times New Roman" w:hAnsi="Times New Roman" w:cs="Times New Roman"/>
          <w:bCs/>
          <w:color w:val="000000"/>
          <w:sz w:val="24"/>
          <w:szCs w:val="24"/>
        </w:rPr>
        <w:fldChar w:fldCharType="separate"/>
      </w:r>
      <w:r w:rsidRPr="000148D4">
        <w:rPr>
          <w:rFonts w:ascii="Times New Roman" w:eastAsia="Times New Roman" w:hAnsi="Times New Roman" w:cs="Times New Roman"/>
          <w:bCs/>
          <w:color w:val="000000"/>
          <w:sz w:val="24"/>
          <w:szCs w:val="24"/>
        </w:rPr>
        <w:t>(Gheyssens et al., 2022)</w:t>
      </w:r>
      <w:r w:rsidRPr="000148D4">
        <w:rPr>
          <w:rFonts w:ascii="Times New Roman" w:eastAsia="Times New Roman" w:hAnsi="Times New Roman" w:cs="Times New Roman"/>
          <w:bCs/>
          <w:color w:val="000000"/>
          <w:sz w:val="24"/>
          <w:szCs w:val="24"/>
        </w:rPr>
        <w:fldChar w:fldCharType="end"/>
      </w:r>
      <w:r w:rsidR="00066BCA">
        <w:rPr>
          <w:rFonts w:ascii="Times New Roman" w:eastAsia="Times New Roman" w:hAnsi="Times New Roman" w:cs="Times New Roman"/>
          <w:bCs/>
          <w:color w:val="000000"/>
          <w:sz w:val="24"/>
          <w:szCs w:val="24"/>
        </w:rPr>
        <w:t xml:space="preserve"> </w:t>
      </w:r>
      <w:r w:rsidRPr="000148D4">
        <w:rPr>
          <w:rFonts w:ascii="Times New Roman" w:eastAsia="Times New Roman" w:hAnsi="Times New Roman" w:cs="Times New Roman"/>
          <w:bCs/>
          <w:color w:val="000000"/>
          <w:sz w:val="24"/>
          <w:szCs w:val="24"/>
        </w:rPr>
        <w:t xml:space="preserve">Differential learning requires teachers to modify content, processes, and learning products to suit students' learning needs. Practices at MTs </w:t>
      </w:r>
      <w:proofErr w:type="spellStart"/>
      <w:r w:rsidRPr="000148D4">
        <w:rPr>
          <w:rFonts w:ascii="Times New Roman" w:eastAsia="Times New Roman" w:hAnsi="Times New Roman" w:cs="Times New Roman"/>
          <w:bCs/>
          <w:color w:val="000000"/>
          <w:sz w:val="24"/>
          <w:szCs w:val="24"/>
        </w:rPr>
        <w:t>Miftahul</w:t>
      </w:r>
      <w:proofErr w:type="spellEnd"/>
      <w:r w:rsidRPr="000148D4">
        <w:rPr>
          <w:rFonts w:ascii="Times New Roman" w:eastAsia="Times New Roman" w:hAnsi="Times New Roman" w:cs="Times New Roman"/>
          <w:bCs/>
          <w:color w:val="000000"/>
          <w:sz w:val="24"/>
          <w:szCs w:val="24"/>
        </w:rPr>
        <w:t xml:space="preserve"> </w:t>
      </w:r>
      <w:proofErr w:type="spellStart"/>
      <w:r w:rsidRPr="000148D4">
        <w:rPr>
          <w:rFonts w:ascii="Times New Roman" w:eastAsia="Times New Roman" w:hAnsi="Times New Roman" w:cs="Times New Roman"/>
          <w:bCs/>
          <w:color w:val="000000"/>
          <w:sz w:val="24"/>
          <w:szCs w:val="24"/>
        </w:rPr>
        <w:t>Afkar</w:t>
      </w:r>
      <w:proofErr w:type="spellEnd"/>
      <w:r w:rsidRPr="000148D4">
        <w:rPr>
          <w:rFonts w:ascii="Times New Roman" w:eastAsia="Times New Roman" w:hAnsi="Times New Roman" w:cs="Times New Roman"/>
          <w:bCs/>
          <w:color w:val="000000"/>
          <w:sz w:val="24"/>
          <w:szCs w:val="24"/>
        </w:rPr>
        <w:t xml:space="preserve"> demonstrate that teachers have applied this principle intuitively and contextually.</w:t>
      </w:r>
    </w:p>
    <w:p w14:paraId="7B866A6E" w14:textId="77777777" w:rsidR="000148D4" w:rsidRPr="000148D4" w:rsidRDefault="000148D4" w:rsidP="000148D4">
      <w:pPr>
        <w:spacing w:after="0" w:line="240" w:lineRule="auto"/>
        <w:ind w:firstLine="720"/>
        <w:jc w:val="both"/>
        <w:rPr>
          <w:rFonts w:ascii="Times New Roman" w:eastAsia="Times New Roman" w:hAnsi="Times New Roman" w:cs="Times New Roman"/>
          <w:bCs/>
          <w:color w:val="000000"/>
          <w:sz w:val="24"/>
          <w:szCs w:val="24"/>
        </w:rPr>
      </w:pPr>
      <w:r w:rsidRPr="000148D4">
        <w:rPr>
          <w:rFonts w:ascii="Times New Roman" w:eastAsia="Times New Roman" w:hAnsi="Times New Roman" w:cs="Times New Roman"/>
          <w:bCs/>
          <w:color w:val="000000"/>
          <w:sz w:val="24"/>
          <w:szCs w:val="24"/>
        </w:rPr>
        <w:t>Teachers also developed two versions of the learning materials, each with varying levels of difficulty. Students with faster comprehension were given a version containing longer texts and exercises based on sentence structure analysis. Meanwhile, students with special learning needs were given a simpler version focusing on mastering basic vocabulary and sentence patterns. While different, both were aimed at achieving the same core competencies.</w:t>
      </w:r>
    </w:p>
    <w:p w14:paraId="6EADF77E" w14:textId="77777777" w:rsidR="000148D4" w:rsidRPr="000148D4" w:rsidRDefault="000148D4" w:rsidP="000148D4">
      <w:pPr>
        <w:spacing w:after="0" w:line="240" w:lineRule="auto"/>
        <w:ind w:firstLine="720"/>
        <w:jc w:val="both"/>
        <w:rPr>
          <w:rFonts w:ascii="Times New Roman" w:eastAsia="Times New Roman" w:hAnsi="Times New Roman" w:cs="Times New Roman"/>
          <w:bCs/>
          <w:color w:val="000000"/>
          <w:sz w:val="24"/>
          <w:szCs w:val="24"/>
        </w:rPr>
      </w:pPr>
      <w:r w:rsidRPr="000148D4">
        <w:rPr>
          <w:rFonts w:ascii="Times New Roman" w:eastAsia="Times New Roman" w:hAnsi="Times New Roman" w:cs="Times New Roman"/>
          <w:bCs/>
          <w:color w:val="000000"/>
          <w:sz w:val="24"/>
          <w:szCs w:val="24"/>
        </w:rPr>
        <w:t>Adjustments were also made to the assignment format. Teachers not only assigned multiple-choice questions but also included drawing assignments, vocabulary flashcards, and interactive language games. This provided space for students with kinesthetic and visual-spatial learning styles to actively engage in learning. Collaborative assignments were also facilitated to encourage interaction between students, including inclusive students.</w:t>
      </w:r>
    </w:p>
    <w:p w14:paraId="22FC8E97" w14:textId="77777777" w:rsidR="000148D4" w:rsidRPr="000148D4" w:rsidRDefault="000148D4" w:rsidP="000148D4">
      <w:pPr>
        <w:spacing w:after="0" w:line="240" w:lineRule="auto"/>
        <w:ind w:firstLine="720"/>
        <w:jc w:val="both"/>
        <w:rPr>
          <w:rFonts w:ascii="Times New Roman" w:eastAsia="Times New Roman" w:hAnsi="Times New Roman" w:cs="Times New Roman"/>
          <w:bCs/>
          <w:color w:val="000000"/>
          <w:sz w:val="24"/>
          <w:szCs w:val="24"/>
        </w:rPr>
      </w:pPr>
      <w:r w:rsidRPr="000148D4">
        <w:rPr>
          <w:rFonts w:ascii="Times New Roman" w:eastAsia="Times New Roman" w:hAnsi="Times New Roman" w:cs="Times New Roman"/>
          <w:bCs/>
          <w:color w:val="000000"/>
          <w:sz w:val="24"/>
          <w:szCs w:val="24"/>
        </w:rPr>
        <w:t>In terms of time, adaptation is also evident in the policy of flexible assignment times. Students who require more time are tolerated without pressure. Teachers avoid creating a highly competitive atmosphere to ensure students feel comfortable and confident. This aligns with the principle of inclusivity, which emphasizes that each child learns at their own pace and in their own way.</w:t>
      </w:r>
    </w:p>
    <w:p w14:paraId="4DF70D66" w14:textId="2E2A579B" w:rsidR="000148D4" w:rsidRPr="000148D4" w:rsidRDefault="000148D4" w:rsidP="000148D4">
      <w:pPr>
        <w:spacing w:after="0" w:line="240" w:lineRule="auto"/>
        <w:ind w:firstLine="720"/>
        <w:jc w:val="both"/>
        <w:rPr>
          <w:rFonts w:ascii="Times New Roman" w:eastAsia="Times New Roman" w:hAnsi="Times New Roman" w:cs="Times New Roman"/>
          <w:bCs/>
          <w:color w:val="000000"/>
          <w:sz w:val="24"/>
          <w:szCs w:val="24"/>
        </w:rPr>
      </w:pPr>
      <w:r w:rsidRPr="000148D4">
        <w:rPr>
          <w:rFonts w:ascii="Times New Roman" w:eastAsia="Times New Roman" w:hAnsi="Times New Roman" w:cs="Times New Roman"/>
          <w:bCs/>
          <w:color w:val="000000"/>
          <w:sz w:val="24"/>
          <w:szCs w:val="24"/>
        </w:rPr>
        <w:t>This adaptation process is not yet standardized in an official guide, but it arises from teachers' awareness of the real-world conditions they face. Although not systematically designed with an explicit theoretical framework, teachers appear to have implemented what is known in the literature as responsive teaching. That is, learning is adjusted based on direct observation of students' needs and responses</w:t>
      </w:r>
      <w:r w:rsidR="00066BCA">
        <w:rPr>
          <w:rFonts w:ascii="Times New Roman" w:eastAsia="Times New Roman" w:hAnsi="Times New Roman" w:cs="Times New Roman"/>
          <w:bCs/>
          <w:color w:val="000000"/>
          <w:sz w:val="24"/>
          <w:szCs w:val="24"/>
        </w:rPr>
        <w:t xml:space="preserve"> </w:t>
      </w:r>
      <w:r w:rsidRPr="000148D4">
        <w:rPr>
          <w:rFonts w:ascii="Times New Roman" w:eastAsia="Times New Roman" w:hAnsi="Times New Roman" w:cs="Times New Roman"/>
          <w:bCs/>
          <w:color w:val="000000"/>
          <w:sz w:val="24"/>
          <w:szCs w:val="24"/>
        </w:rPr>
        <w:fldChar w:fldCharType="begin"/>
      </w:r>
      <w:r w:rsidR="00066BCA">
        <w:rPr>
          <w:rFonts w:ascii="Times New Roman" w:eastAsia="Times New Roman" w:hAnsi="Times New Roman" w:cs="Times New Roman"/>
          <w:bCs/>
          <w:color w:val="000000"/>
          <w:sz w:val="24"/>
          <w:szCs w:val="24"/>
        </w:rPr>
        <w:instrText xml:space="preserve"> ADDIN ZOTERO_ITEM CSL_CITATION {"citationID":"yWduzvo6","properties":{"formattedCitation":"(D. Lee &amp; Yeo, 2022)","plainCitation":"(D. Lee &amp; Yeo, 2022)","noteIndex":0},"citationItems":[{"id":"eqbFgLeb/qU1PFMAq","uris":["http://zotero.org/users/local/HTLpg2la/items/PXB776UQ"],"itemData":{"id":515,"type":"article-journal","abstract":"Responsive teaching promotes students' mathematical reasoning and positive attitudes toward mathematics. Due to the complexity of the work of teaching, preservice teachers (PSTs) have been provided with approximated opportunities to practice responsive teaching skills in teacher education programs. Although increasing demand for adaptive learning reinforces the need for research on artificial intelligence (AI) in education, there have been few approaches that engaged learners in meaningful interactions. Our goal was to develop an AI-based chatbot that engaged PSTs in an authentic, meaningful, and open-ended teaching situation to enhance PSTs' responsive teaching skills, specifically questioning skills through approximations of practice. The chatbot was designed to act as a virtual student who displayed misconceptions on the topic of fractions. By employing design-based research, we examined 1) design features and structure of the chatbot, 2) coverage of users' input, 3) PSTs' questioning patterns, and 4) users' experiences. Two iterations of design, implementation and evaluation took place in an elementary mathematics education methods course. To build the chatbot we qualitatively analyzed the training data, categorized them into the smallest meaningful intents of users, and prepared corresponding responses to each intent. At the final iteration, the refined chatbot adequately covered PSTs’ questions and provided realistic responses. We found a pattern of PSTs asking similar questions repeatedly in the conversation data. Through multiple iterations, certain design features could lead to improved questioning patterns and user perceptions, including sequential responses, informing responses, and personification. Implications, design features, and limitations are discussed.","container-title":"Computers &amp; Education","DOI":"10.1016/j.compedu.2022.104646","ISSN":"0360-1315","journalAbbreviation":"Computers &amp; Education","page":"104646","source":"ScienceDirect","title":"Developing an AI-based chatbot for practicing responsive teaching in mathematics","volume":"191","author":[{"family":"Lee","given":"Dabae"},{"family":"Yeo","given":"Sheunghyun"}],"issued":{"date-parts":[["2022",12,1]]}}}],"schema":"https://github.com/citation-style-language/schema/raw/master/csl-citation.json"} </w:instrText>
      </w:r>
      <w:r w:rsidRPr="000148D4">
        <w:rPr>
          <w:rFonts w:ascii="Times New Roman" w:eastAsia="Times New Roman" w:hAnsi="Times New Roman" w:cs="Times New Roman"/>
          <w:bCs/>
          <w:color w:val="000000"/>
          <w:sz w:val="24"/>
          <w:szCs w:val="24"/>
        </w:rPr>
        <w:fldChar w:fldCharType="separate"/>
      </w:r>
      <w:r w:rsidRPr="000148D4">
        <w:rPr>
          <w:rFonts w:ascii="Times New Roman" w:eastAsia="Times New Roman" w:hAnsi="Times New Roman" w:cs="Times New Roman"/>
          <w:bCs/>
          <w:color w:val="000000"/>
          <w:sz w:val="24"/>
          <w:szCs w:val="24"/>
        </w:rPr>
        <w:t>(D. Lee &amp; Yeo, 2022)</w:t>
      </w:r>
      <w:r w:rsidRPr="000148D4">
        <w:rPr>
          <w:rFonts w:ascii="Times New Roman" w:eastAsia="Times New Roman" w:hAnsi="Times New Roman" w:cs="Times New Roman"/>
          <w:bCs/>
          <w:color w:val="000000"/>
          <w:sz w:val="24"/>
          <w:szCs w:val="24"/>
        </w:rPr>
        <w:fldChar w:fldCharType="end"/>
      </w:r>
      <w:r w:rsidRPr="000148D4">
        <w:rPr>
          <w:rFonts w:ascii="Times New Roman" w:eastAsia="Times New Roman" w:hAnsi="Times New Roman" w:cs="Times New Roman"/>
          <w:bCs/>
          <w:color w:val="000000"/>
          <w:sz w:val="24"/>
          <w:szCs w:val="24"/>
        </w:rPr>
        <w:t>.</w:t>
      </w:r>
    </w:p>
    <w:p w14:paraId="19C9D407" w14:textId="03BC396F" w:rsidR="000148D4" w:rsidRPr="000148D4" w:rsidRDefault="000148D4" w:rsidP="000148D4">
      <w:pPr>
        <w:spacing w:after="0" w:line="240" w:lineRule="auto"/>
        <w:ind w:firstLine="720"/>
        <w:jc w:val="both"/>
        <w:rPr>
          <w:rFonts w:ascii="Times New Roman" w:eastAsia="Times New Roman" w:hAnsi="Times New Roman" w:cs="Times New Roman"/>
          <w:bCs/>
          <w:color w:val="000000"/>
          <w:sz w:val="24"/>
          <w:szCs w:val="24"/>
        </w:rPr>
      </w:pPr>
      <w:r w:rsidRPr="000148D4">
        <w:rPr>
          <w:rFonts w:ascii="Times New Roman" w:eastAsia="Times New Roman" w:hAnsi="Times New Roman" w:cs="Times New Roman"/>
          <w:bCs/>
          <w:color w:val="000000"/>
          <w:sz w:val="24"/>
          <w:szCs w:val="24"/>
        </w:rPr>
        <w:t>Research by Bashir et al. (2020) supports the importance of this approach. They found that adaptive learning materials designed based on students' learning profiles contributed to increased learning engagement and motivation, particularly in the context of foreign language learning</w:t>
      </w:r>
      <w:r w:rsidR="00066BCA">
        <w:rPr>
          <w:rFonts w:ascii="Times New Roman" w:eastAsia="Times New Roman" w:hAnsi="Times New Roman" w:cs="Times New Roman"/>
          <w:bCs/>
          <w:color w:val="000000"/>
          <w:sz w:val="24"/>
          <w:szCs w:val="24"/>
        </w:rPr>
        <w:t xml:space="preserve"> </w:t>
      </w:r>
      <w:r w:rsidRPr="000148D4">
        <w:rPr>
          <w:rFonts w:ascii="Times New Roman" w:eastAsia="Times New Roman" w:hAnsi="Times New Roman" w:cs="Times New Roman"/>
          <w:bCs/>
          <w:color w:val="000000"/>
          <w:sz w:val="24"/>
          <w:szCs w:val="24"/>
        </w:rPr>
        <w:fldChar w:fldCharType="begin"/>
      </w:r>
      <w:r w:rsidR="00066BCA">
        <w:rPr>
          <w:rFonts w:ascii="Times New Roman" w:eastAsia="Times New Roman" w:hAnsi="Times New Roman" w:cs="Times New Roman"/>
          <w:bCs/>
          <w:color w:val="000000"/>
          <w:sz w:val="24"/>
          <w:szCs w:val="24"/>
        </w:rPr>
        <w:instrText xml:space="preserve"> ADDIN ZOTERO_ITEM CSL_CITATION {"citationID":"61LMyKs6","properties":{"formattedCitation":"(Rashov, 2024)","plainCitation":"(Rashov, 2024)","noteIndex":0},"citationItems":[{"id":"eqbFgLeb/8tuf4Bf4","uris":["http://zotero.org/users/local/HTLpg2la/items/YJCFZ8PJ"],"itemData":{"id":517,"type":"article-journal","abstract":"This article explores modern methods of teaching foreign languages, highlighting approaches such as Communicative Language Teaching, Task-Based Language Teaching, and Content and Language Integrated Learning. Emphasizing active student engagement and practical communication skills, these methods leverage technology and authentic materials to enhance language acquisition. The study examines the effectiveness of these approaches, noting improvements in student proficiency and motivation. However, challenges such as classroom management and equitable access to technology are also addressed. Ultimately, the article advocates for ongoing teacher training and adaptation of methodologies to create inclusive and dynamic language learning environments in a globalized context.","container-title":"International Scientific and Current Research Conferences","language":"en","license":"Copyright (c) 2024 Oybek Rashov","page":"158-164","source":"orientalpublication.com","title":"MODERN METHODS OF TEACHING FOREIGN LANGUAGES","author":[{"family":"Rashov","given":"Oybek"}],"issued":{"date-parts":[["2024",8,30]]}}}],"schema":"https://github.com/citation-style-language/schema/raw/master/csl-citation.json"} </w:instrText>
      </w:r>
      <w:r w:rsidRPr="000148D4">
        <w:rPr>
          <w:rFonts w:ascii="Times New Roman" w:eastAsia="Times New Roman" w:hAnsi="Times New Roman" w:cs="Times New Roman"/>
          <w:bCs/>
          <w:color w:val="000000"/>
          <w:sz w:val="24"/>
          <w:szCs w:val="24"/>
        </w:rPr>
        <w:fldChar w:fldCharType="separate"/>
      </w:r>
      <w:r w:rsidRPr="000148D4">
        <w:rPr>
          <w:rFonts w:ascii="Times New Roman" w:eastAsia="Times New Roman" w:hAnsi="Times New Roman" w:cs="Times New Roman"/>
          <w:bCs/>
          <w:color w:val="000000"/>
          <w:sz w:val="24"/>
          <w:szCs w:val="24"/>
        </w:rPr>
        <w:t>(Rashov, 2024)</w:t>
      </w:r>
      <w:r w:rsidRPr="000148D4">
        <w:rPr>
          <w:rFonts w:ascii="Times New Roman" w:eastAsia="Times New Roman" w:hAnsi="Times New Roman" w:cs="Times New Roman"/>
          <w:bCs/>
          <w:color w:val="000000"/>
          <w:sz w:val="24"/>
          <w:szCs w:val="24"/>
        </w:rPr>
        <w:fldChar w:fldCharType="end"/>
      </w:r>
      <w:r w:rsidRPr="000148D4">
        <w:rPr>
          <w:rFonts w:ascii="Times New Roman" w:eastAsia="Times New Roman" w:hAnsi="Times New Roman" w:cs="Times New Roman"/>
          <w:bCs/>
          <w:color w:val="000000"/>
          <w:sz w:val="24"/>
          <w:szCs w:val="24"/>
        </w:rPr>
        <w:t xml:space="preserve">This shows that teacher practice at MTs </w:t>
      </w:r>
      <w:proofErr w:type="spellStart"/>
      <w:r w:rsidRPr="000148D4">
        <w:rPr>
          <w:rFonts w:ascii="Times New Roman" w:eastAsia="Times New Roman" w:hAnsi="Times New Roman" w:cs="Times New Roman"/>
          <w:bCs/>
          <w:color w:val="000000"/>
          <w:sz w:val="24"/>
          <w:szCs w:val="24"/>
        </w:rPr>
        <w:t>Miftahul</w:t>
      </w:r>
      <w:proofErr w:type="spellEnd"/>
      <w:r w:rsidRPr="000148D4">
        <w:rPr>
          <w:rFonts w:ascii="Times New Roman" w:eastAsia="Times New Roman" w:hAnsi="Times New Roman" w:cs="Times New Roman"/>
          <w:bCs/>
          <w:color w:val="000000"/>
          <w:sz w:val="24"/>
          <w:szCs w:val="24"/>
        </w:rPr>
        <w:t xml:space="preserve"> </w:t>
      </w:r>
      <w:proofErr w:type="spellStart"/>
      <w:r w:rsidRPr="000148D4">
        <w:rPr>
          <w:rFonts w:ascii="Times New Roman" w:eastAsia="Times New Roman" w:hAnsi="Times New Roman" w:cs="Times New Roman"/>
          <w:bCs/>
          <w:color w:val="000000"/>
          <w:sz w:val="24"/>
          <w:szCs w:val="24"/>
        </w:rPr>
        <w:t>Afkar</w:t>
      </w:r>
      <w:proofErr w:type="spellEnd"/>
      <w:r w:rsidRPr="000148D4">
        <w:rPr>
          <w:rFonts w:ascii="Times New Roman" w:eastAsia="Times New Roman" w:hAnsi="Times New Roman" w:cs="Times New Roman"/>
          <w:bCs/>
          <w:color w:val="000000"/>
          <w:sz w:val="24"/>
          <w:szCs w:val="24"/>
        </w:rPr>
        <w:t xml:space="preserve"> has strong theoretical relevance.</w:t>
      </w:r>
    </w:p>
    <w:p w14:paraId="6ED7DF71" w14:textId="77777777" w:rsidR="000148D4" w:rsidRPr="000148D4" w:rsidRDefault="000148D4" w:rsidP="000148D4">
      <w:pPr>
        <w:spacing w:after="0" w:line="240" w:lineRule="auto"/>
        <w:ind w:firstLine="720"/>
        <w:jc w:val="both"/>
        <w:rPr>
          <w:rFonts w:ascii="Times New Roman" w:eastAsia="Times New Roman" w:hAnsi="Times New Roman" w:cs="Times New Roman"/>
          <w:bCs/>
          <w:color w:val="000000"/>
          <w:sz w:val="24"/>
          <w:szCs w:val="24"/>
        </w:rPr>
      </w:pPr>
      <w:r w:rsidRPr="000148D4">
        <w:rPr>
          <w:rFonts w:ascii="Times New Roman" w:eastAsia="Times New Roman" w:hAnsi="Times New Roman" w:cs="Times New Roman"/>
          <w:bCs/>
          <w:color w:val="000000"/>
          <w:sz w:val="24"/>
          <w:szCs w:val="24"/>
        </w:rPr>
        <w:t>However, the process of adapting these teaching materials still faces challenges. Teachers often struggle to balance their time between teaching and preparing adapted materials. The lack of a support team or cross-subject collaboration also means the burden of innovation is borne solely by individuals. This, of course, risks compromising the program's sustainability if institutional intervention is not addressed.</w:t>
      </w:r>
    </w:p>
    <w:p w14:paraId="6AA3D627" w14:textId="77777777" w:rsidR="000148D4" w:rsidRPr="000148D4" w:rsidRDefault="000148D4" w:rsidP="000148D4">
      <w:pPr>
        <w:spacing w:after="0" w:line="240" w:lineRule="auto"/>
        <w:ind w:firstLine="720"/>
        <w:jc w:val="both"/>
        <w:rPr>
          <w:rFonts w:ascii="Times New Roman" w:eastAsia="Times New Roman" w:hAnsi="Times New Roman" w:cs="Times New Roman"/>
          <w:bCs/>
          <w:color w:val="000000"/>
          <w:sz w:val="24"/>
          <w:szCs w:val="24"/>
        </w:rPr>
      </w:pPr>
      <w:r w:rsidRPr="000148D4">
        <w:rPr>
          <w:rFonts w:ascii="Times New Roman" w:eastAsia="Times New Roman" w:hAnsi="Times New Roman" w:cs="Times New Roman"/>
          <w:bCs/>
          <w:color w:val="000000"/>
          <w:sz w:val="24"/>
          <w:szCs w:val="24"/>
        </w:rPr>
        <w:lastRenderedPageBreak/>
        <w:t>The implication of these findings is the need for school policies that specifically regulate and support the development of adaptive teaching materials. Schools can form teaching materials development teams comprised of teachers tasked with developing, evaluating, and periodically revising teaching materials. This will ease the burden on teachers while ensuring inclusive standardization.</w:t>
      </w:r>
    </w:p>
    <w:p w14:paraId="2A5B89C9" w14:textId="77777777" w:rsidR="000148D4" w:rsidRPr="000148D4" w:rsidRDefault="000148D4" w:rsidP="000148D4">
      <w:pPr>
        <w:spacing w:after="0" w:line="240" w:lineRule="auto"/>
        <w:ind w:firstLine="720"/>
        <w:jc w:val="both"/>
        <w:rPr>
          <w:rFonts w:ascii="Times New Roman" w:eastAsia="Times New Roman" w:hAnsi="Times New Roman" w:cs="Times New Roman"/>
          <w:bCs/>
          <w:color w:val="000000"/>
          <w:sz w:val="24"/>
          <w:szCs w:val="24"/>
        </w:rPr>
      </w:pPr>
      <w:r w:rsidRPr="000148D4">
        <w:rPr>
          <w:rFonts w:ascii="Times New Roman" w:eastAsia="Times New Roman" w:hAnsi="Times New Roman" w:cs="Times New Roman"/>
          <w:bCs/>
          <w:color w:val="000000"/>
          <w:sz w:val="24"/>
          <w:szCs w:val="24"/>
        </w:rPr>
        <w:t>Furthermore, madrasas need to provide specialized training on teaching material adaptation techniques, including the use of simple technology to create visual and audio learning media. With this training, teachers can optimize their potential and create more engaging and effective teaching materials.</w:t>
      </w:r>
    </w:p>
    <w:p w14:paraId="14C1A1EA" w14:textId="77777777" w:rsidR="000148D4" w:rsidRPr="000148D4" w:rsidRDefault="000148D4" w:rsidP="000148D4">
      <w:pPr>
        <w:spacing w:after="0" w:line="240" w:lineRule="auto"/>
        <w:ind w:firstLine="720"/>
        <w:jc w:val="both"/>
        <w:rPr>
          <w:rFonts w:ascii="Times New Roman" w:eastAsia="Times New Roman" w:hAnsi="Times New Roman" w:cs="Times New Roman"/>
          <w:bCs/>
          <w:color w:val="000000"/>
          <w:sz w:val="24"/>
          <w:szCs w:val="24"/>
        </w:rPr>
      </w:pPr>
      <w:r w:rsidRPr="000148D4">
        <w:rPr>
          <w:rFonts w:ascii="Times New Roman" w:eastAsia="Times New Roman" w:hAnsi="Times New Roman" w:cs="Times New Roman"/>
          <w:bCs/>
          <w:color w:val="000000"/>
          <w:sz w:val="24"/>
          <w:szCs w:val="24"/>
        </w:rPr>
        <w:t>At a higher level, these findings can serve as reference material for developing national guidelines on the development of inclusive Arabic language teaching materials. Currently, curriculum documents tend to be general and lack concrete examples of how learning materials should be adapted for students with special needs.</w:t>
      </w:r>
    </w:p>
    <w:p w14:paraId="636D42D5" w14:textId="77777777" w:rsidR="000148D4" w:rsidRPr="000148D4" w:rsidRDefault="000148D4" w:rsidP="000148D4">
      <w:pPr>
        <w:spacing w:after="0" w:line="240" w:lineRule="auto"/>
        <w:ind w:firstLine="720"/>
        <w:jc w:val="both"/>
        <w:rPr>
          <w:rFonts w:ascii="Times New Roman" w:eastAsia="Times New Roman" w:hAnsi="Times New Roman" w:cs="Times New Roman"/>
          <w:bCs/>
          <w:color w:val="000000"/>
          <w:sz w:val="24"/>
          <w:szCs w:val="24"/>
        </w:rPr>
      </w:pPr>
      <w:r w:rsidRPr="000148D4">
        <w:rPr>
          <w:rFonts w:ascii="Times New Roman" w:eastAsia="Times New Roman" w:hAnsi="Times New Roman" w:cs="Times New Roman"/>
          <w:bCs/>
          <w:color w:val="000000"/>
          <w:sz w:val="24"/>
          <w:szCs w:val="24"/>
        </w:rPr>
        <w:t xml:space="preserve">By developing a model for adapting field-tested teaching materials, such as at MTs </w:t>
      </w:r>
      <w:proofErr w:type="spellStart"/>
      <w:r w:rsidRPr="000148D4">
        <w:rPr>
          <w:rFonts w:ascii="Times New Roman" w:eastAsia="Times New Roman" w:hAnsi="Times New Roman" w:cs="Times New Roman"/>
          <w:bCs/>
          <w:color w:val="000000"/>
          <w:sz w:val="24"/>
          <w:szCs w:val="24"/>
        </w:rPr>
        <w:t>Miftahul</w:t>
      </w:r>
      <w:proofErr w:type="spellEnd"/>
      <w:r w:rsidRPr="000148D4">
        <w:rPr>
          <w:rFonts w:ascii="Times New Roman" w:eastAsia="Times New Roman" w:hAnsi="Times New Roman" w:cs="Times New Roman"/>
          <w:bCs/>
          <w:color w:val="000000"/>
          <w:sz w:val="24"/>
          <w:szCs w:val="24"/>
        </w:rPr>
        <w:t xml:space="preserve"> </w:t>
      </w:r>
      <w:proofErr w:type="spellStart"/>
      <w:r w:rsidRPr="000148D4">
        <w:rPr>
          <w:rFonts w:ascii="Times New Roman" w:eastAsia="Times New Roman" w:hAnsi="Times New Roman" w:cs="Times New Roman"/>
          <w:bCs/>
          <w:color w:val="000000"/>
          <w:sz w:val="24"/>
          <w:szCs w:val="24"/>
        </w:rPr>
        <w:t>Afkar</w:t>
      </w:r>
      <w:proofErr w:type="spellEnd"/>
      <w:r w:rsidRPr="000148D4">
        <w:rPr>
          <w:rFonts w:ascii="Times New Roman" w:eastAsia="Times New Roman" w:hAnsi="Times New Roman" w:cs="Times New Roman"/>
          <w:bCs/>
          <w:color w:val="000000"/>
          <w:sz w:val="24"/>
          <w:szCs w:val="24"/>
        </w:rPr>
        <w:t>, other madrasas will have a baseline that can serve as inspiration for implementing similar policies. This will pave the way for a more inclusive, equitable, and humane education ecosystem.</w:t>
      </w:r>
    </w:p>
    <w:p w14:paraId="71A9C163" w14:textId="35689CF4" w:rsidR="000148D4" w:rsidRPr="000148D4" w:rsidRDefault="000148D4" w:rsidP="000148D4">
      <w:pPr>
        <w:spacing w:after="0" w:line="240" w:lineRule="auto"/>
        <w:ind w:firstLine="720"/>
        <w:jc w:val="both"/>
        <w:rPr>
          <w:rFonts w:ascii="Times New Roman" w:eastAsia="Times New Roman" w:hAnsi="Times New Roman" w:cs="Times New Roman"/>
          <w:bCs/>
          <w:color w:val="000000"/>
          <w:sz w:val="24"/>
          <w:szCs w:val="24"/>
        </w:rPr>
      </w:pPr>
      <w:r w:rsidRPr="000148D4">
        <w:rPr>
          <w:rFonts w:ascii="Times New Roman" w:eastAsia="Times New Roman" w:hAnsi="Times New Roman" w:cs="Times New Roman"/>
          <w:bCs/>
          <w:color w:val="000000"/>
          <w:sz w:val="24"/>
          <w:szCs w:val="24"/>
        </w:rPr>
        <w:t>Finally, the success of this teaching material adaptation pattern is not only measured by quantitative student learning outcomes, but also by changes in the classroom atmosphere to become more positive and participatory</w:t>
      </w:r>
      <w:r w:rsidR="00066BCA">
        <w:rPr>
          <w:rFonts w:ascii="Times New Roman" w:eastAsia="Times New Roman" w:hAnsi="Times New Roman" w:cs="Times New Roman"/>
          <w:bCs/>
          <w:color w:val="000000"/>
          <w:sz w:val="24"/>
          <w:szCs w:val="24"/>
        </w:rPr>
        <w:t xml:space="preserve"> </w:t>
      </w:r>
      <w:r w:rsidRPr="000148D4">
        <w:rPr>
          <w:rFonts w:ascii="Times New Roman" w:eastAsia="Times New Roman" w:hAnsi="Times New Roman" w:cs="Times New Roman"/>
          <w:bCs/>
          <w:color w:val="000000"/>
          <w:sz w:val="24"/>
          <w:szCs w:val="24"/>
        </w:rPr>
        <w:fldChar w:fldCharType="begin"/>
      </w:r>
      <w:r w:rsidR="00066BCA">
        <w:rPr>
          <w:rFonts w:ascii="Times New Roman" w:eastAsia="Times New Roman" w:hAnsi="Times New Roman" w:cs="Times New Roman"/>
          <w:bCs/>
          <w:color w:val="000000"/>
          <w:sz w:val="24"/>
          <w:szCs w:val="24"/>
        </w:rPr>
        <w:instrText xml:space="preserve"> ADDIN ZOTERO_ITEM CSL_CITATION {"citationID":"bEGpvwhT","properties":{"formattedCitation":"(Flores et al., 2022)","plainCitation":"(Flores et al., 2022)","noteIndex":0},"citationItems":[{"id":"eqbFgLeb/cUlwTZJq","uris":["http://zotero.org/users/local/HTLpg2la/items/PRUTPPLQ"],"itemData":{"id":519,"type":"article-journal","abstract":"The COVID-19 pandemic brought about a global crisis affecting all sectors of society. Higher education is no exception. The closure of higher education institutions has dictated a sudden and unexpected transition from face-to-face to remote teaching to mitigate the spread of the SARS-CoV-2. This paper draws upon a wider piece of research which aimed to understand how higher education students adapted to the closure of their institution and how they looked at their experience of online teaching and learning. In total, 2718 students from different Portuguese higher education institutions participated in the study. Findings showed that both personal and contextual factors explained students’ positive or negative adaptation to online teaching and learning as a result of the closure of higher education institutions. Institutional and pedagogical responses, individual self-regulatory and socio-emotional competencies and adequate resources were factors that led to either a more positive or negative student experience of online teaching and learning in times of COVID-19.","container-title":"Higher Education","DOI":"10.1007/s10734-021-00748-x","ISSN":"1573-174X","issue":"6","journalAbbreviation":"High Educ","language":"en","page":"1389-1408","source":"Springer Link","title":"Portuguese higher education students’ adaptation to online teaching and learning in times of the COVID-19 pandemic: personal and contextual factors","title-short":"Portuguese higher education students’ adaptation to online teaching and learning in times of the COVID-19 pandemic","volume":"83","author":[{"family":"Flores","given":"Maria Assunção"},{"family":"Barros","given":"Alexandra"},{"family":"Simão","given":"Ana Margarida Veiga"},{"family":"Pereira","given":"Diana"},{"family":"Flores","given":"Paulo"},{"family":"Fernandes","given":"Eva"},{"family":"Costa","given":"Luís"},{"family":"Ferreira","given":"Paula Costa"}],"issued":{"date-parts":[["2022",6,1]]}}}],"schema":"https://github.com/citation-style-language/schema/raw/master/csl-citation.json"} </w:instrText>
      </w:r>
      <w:r w:rsidRPr="000148D4">
        <w:rPr>
          <w:rFonts w:ascii="Times New Roman" w:eastAsia="Times New Roman" w:hAnsi="Times New Roman" w:cs="Times New Roman"/>
          <w:bCs/>
          <w:color w:val="000000"/>
          <w:sz w:val="24"/>
          <w:szCs w:val="24"/>
        </w:rPr>
        <w:fldChar w:fldCharType="separate"/>
      </w:r>
      <w:r w:rsidRPr="000148D4">
        <w:rPr>
          <w:rFonts w:ascii="Times New Roman" w:eastAsia="Times New Roman" w:hAnsi="Times New Roman" w:cs="Times New Roman"/>
          <w:bCs/>
          <w:color w:val="000000"/>
          <w:sz w:val="24"/>
          <w:szCs w:val="24"/>
        </w:rPr>
        <w:t>(Flores et al., 2022)</w:t>
      </w:r>
      <w:r w:rsidRPr="000148D4">
        <w:rPr>
          <w:rFonts w:ascii="Times New Roman" w:eastAsia="Times New Roman" w:hAnsi="Times New Roman" w:cs="Times New Roman"/>
          <w:bCs/>
          <w:color w:val="000000"/>
          <w:sz w:val="24"/>
          <w:szCs w:val="24"/>
        </w:rPr>
        <w:fldChar w:fldCharType="end"/>
      </w:r>
      <w:r w:rsidR="00066BCA">
        <w:rPr>
          <w:rFonts w:ascii="Times New Roman" w:eastAsia="Times New Roman" w:hAnsi="Times New Roman" w:cs="Times New Roman"/>
          <w:bCs/>
          <w:color w:val="000000"/>
          <w:sz w:val="24"/>
          <w:szCs w:val="24"/>
        </w:rPr>
        <w:t xml:space="preserve">. </w:t>
      </w:r>
      <w:r w:rsidRPr="000148D4">
        <w:rPr>
          <w:rFonts w:ascii="Times New Roman" w:eastAsia="Times New Roman" w:hAnsi="Times New Roman" w:cs="Times New Roman"/>
          <w:bCs/>
          <w:color w:val="000000"/>
          <w:sz w:val="24"/>
          <w:szCs w:val="24"/>
        </w:rPr>
        <w:t>Students feel valued, heard, and involved in the learning process. This is an important foundation for developing healthy long-term learning attitudes</w:t>
      </w:r>
      <w:r w:rsidR="00066BCA">
        <w:rPr>
          <w:rFonts w:ascii="Times New Roman" w:eastAsia="Times New Roman" w:hAnsi="Times New Roman" w:cs="Times New Roman"/>
          <w:bCs/>
          <w:color w:val="000000"/>
          <w:sz w:val="24"/>
          <w:szCs w:val="24"/>
        </w:rPr>
        <w:t xml:space="preserve"> </w:t>
      </w:r>
      <w:r w:rsidRPr="000148D4">
        <w:rPr>
          <w:rFonts w:ascii="Times New Roman" w:eastAsia="Times New Roman" w:hAnsi="Times New Roman" w:cs="Times New Roman"/>
          <w:bCs/>
          <w:color w:val="000000"/>
          <w:sz w:val="24"/>
          <w:szCs w:val="24"/>
        </w:rPr>
        <w:fldChar w:fldCharType="begin"/>
      </w:r>
      <w:r w:rsidR="00066BCA">
        <w:rPr>
          <w:rFonts w:ascii="Times New Roman" w:eastAsia="Times New Roman" w:hAnsi="Times New Roman" w:cs="Times New Roman"/>
          <w:bCs/>
          <w:color w:val="000000"/>
          <w:sz w:val="24"/>
          <w:szCs w:val="24"/>
        </w:rPr>
        <w:instrText xml:space="preserve"> ADDIN ZOTERO_ITEM CSL_CITATION {"citationID":"N6mx8Z5S","properties":{"formattedCitation":"(Y.-F. Lee et al., 2022)","plainCitation":"(Y.-F. Lee et al., 2022)","noteIndex":0},"citationItems":[{"id":"eqbFgLeb/LuJ1SjTw","uris":["http://zotero.org/users/local/HTLpg2la/items/LEDK2V8G"],"itemData":{"id":521,"type":"article-journal","abstract":"Review strategies after learning new knowledge are essential for students to consolidate the key points, understand the subject content, analyze aspects of the learning topics, and summarize the knowledge content of learning while mastering new knowledge. However, educators have found that students generally have difficulties seeking help when they encounter learning problems. This could significantly affect their after-class review performances. To cope with this problem, an after-class review approach with an AI (Artificial Intelligence)-based chatbot is proposed in this study to provide students with immediate and quality feedback during the learning process. Moreover, a quasi-experiment was conducted to explore students’ learning motivation, attitude, and academic performance when using the AI-based chatbot. Participants were two classes of students from a university in Taiwan. One class with 18 students was the experimental group and the other with 20 students was the control group. The experimental group used the AI-based chatbot in the after-class review, while the control group used the conventional after-class review approach. Research results showed that the application of AI-based chatbots in the review process of public health courses could improve students’ academic performance, self-efficacy, learning attitude, and motivation. In other words, chatbots could help students become more active in the learning process. It is noted that after students asked questions, providing them with sufficient feedback during the review process could make them feel recognized and help to establish a relaxing and friendly interaction, thereby improving their academic performance.","container-title":"Educational technology research and development","DOI":"10.1007/s11423-022-10142-8","ISSN":"1556-6501","issue":"5","journalAbbreviation":"Education Tech Research Dev","language":"en","page":"1843-1865","source":"Springer Link","title":"Impacts of an AI-based chabot on college students’ after-class review, academic performance, self-efficacy, learning attitude, and motivation","volume":"70","author":[{"family":"Lee","given":"Yen-Fen"},{"family":"Hwang","given":"Gwo-Jen"},{"family":"Chen","given":"Pei-Ying"}],"issued":{"date-parts":[["2022",10,1]]}}}],"schema":"https://github.com/citation-style-language/schema/raw/master/csl-citation.json"} </w:instrText>
      </w:r>
      <w:r w:rsidRPr="000148D4">
        <w:rPr>
          <w:rFonts w:ascii="Times New Roman" w:eastAsia="Times New Roman" w:hAnsi="Times New Roman" w:cs="Times New Roman"/>
          <w:bCs/>
          <w:color w:val="000000"/>
          <w:sz w:val="24"/>
          <w:szCs w:val="24"/>
        </w:rPr>
        <w:fldChar w:fldCharType="separate"/>
      </w:r>
      <w:r w:rsidRPr="000148D4">
        <w:rPr>
          <w:rFonts w:ascii="Times New Roman" w:eastAsia="Times New Roman" w:hAnsi="Times New Roman" w:cs="Times New Roman"/>
          <w:bCs/>
          <w:color w:val="000000"/>
          <w:sz w:val="24"/>
          <w:szCs w:val="24"/>
        </w:rPr>
        <w:t>(Y.-F. Lee et al., 2022)</w:t>
      </w:r>
      <w:r w:rsidRPr="000148D4">
        <w:rPr>
          <w:rFonts w:ascii="Times New Roman" w:eastAsia="Times New Roman" w:hAnsi="Times New Roman" w:cs="Times New Roman"/>
          <w:bCs/>
          <w:color w:val="000000"/>
          <w:sz w:val="24"/>
          <w:szCs w:val="24"/>
        </w:rPr>
        <w:fldChar w:fldCharType="end"/>
      </w:r>
      <w:r w:rsidRPr="000148D4">
        <w:rPr>
          <w:rFonts w:ascii="Times New Roman" w:eastAsia="Times New Roman" w:hAnsi="Times New Roman" w:cs="Times New Roman"/>
          <w:bCs/>
          <w:color w:val="000000"/>
          <w:sz w:val="24"/>
          <w:szCs w:val="24"/>
        </w:rPr>
        <w:t>.</w:t>
      </w:r>
    </w:p>
    <w:p w14:paraId="186CF545" w14:textId="77777777" w:rsidR="000148D4" w:rsidRPr="000148D4" w:rsidRDefault="000148D4" w:rsidP="000148D4">
      <w:pPr>
        <w:spacing w:after="0" w:line="240" w:lineRule="auto"/>
        <w:ind w:firstLine="720"/>
        <w:jc w:val="both"/>
        <w:rPr>
          <w:rFonts w:ascii="Times New Roman" w:eastAsia="Times New Roman" w:hAnsi="Times New Roman" w:cs="Times New Roman"/>
          <w:bCs/>
          <w:color w:val="000000"/>
          <w:sz w:val="24"/>
          <w:szCs w:val="24"/>
        </w:rPr>
      </w:pPr>
      <w:r w:rsidRPr="000148D4">
        <w:rPr>
          <w:rFonts w:ascii="Times New Roman" w:eastAsia="Times New Roman" w:hAnsi="Times New Roman" w:cs="Times New Roman"/>
          <w:bCs/>
          <w:color w:val="000000"/>
          <w:sz w:val="24"/>
          <w:szCs w:val="24"/>
        </w:rPr>
        <w:t xml:space="preserve">Thus, the adaptation of Arabic language teaching materials at MTs </w:t>
      </w:r>
      <w:proofErr w:type="spellStart"/>
      <w:r w:rsidRPr="000148D4">
        <w:rPr>
          <w:rFonts w:ascii="Times New Roman" w:eastAsia="Times New Roman" w:hAnsi="Times New Roman" w:cs="Times New Roman"/>
          <w:bCs/>
          <w:color w:val="000000"/>
          <w:sz w:val="24"/>
          <w:szCs w:val="24"/>
        </w:rPr>
        <w:t>Miftahul</w:t>
      </w:r>
      <w:proofErr w:type="spellEnd"/>
      <w:r w:rsidRPr="000148D4">
        <w:rPr>
          <w:rFonts w:ascii="Times New Roman" w:eastAsia="Times New Roman" w:hAnsi="Times New Roman" w:cs="Times New Roman"/>
          <w:bCs/>
          <w:color w:val="000000"/>
          <w:sz w:val="24"/>
          <w:szCs w:val="24"/>
        </w:rPr>
        <w:t xml:space="preserve"> </w:t>
      </w:r>
      <w:proofErr w:type="spellStart"/>
      <w:r w:rsidRPr="000148D4">
        <w:rPr>
          <w:rFonts w:ascii="Times New Roman" w:eastAsia="Times New Roman" w:hAnsi="Times New Roman" w:cs="Times New Roman"/>
          <w:bCs/>
          <w:color w:val="000000"/>
          <w:sz w:val="24"/>
          <w:szCs w:val="24"/>
        </w:rPr>
        <w:t>Afkar</w:t>
      </w:r>
      <w:proofErr w:type="spellEnd"/>
      <w:r w:rsidRPr="000148D4">
        <w:rPr>
          <w:rFonts w:ascii="Times New Roman" w:eastAsia="Times New Roman" w:hAnsi="Times New Roman" w:cs="Times New Roman"/>
          <w:bCs/>
          <w:color w:val="000000"/>
          <w:sz w:val="24"/>
          <w:szCs w:val="24"/>
        </w:rPr>
        <w:t xml:space="preserve"> represents an innovative practice that stems from a sensitivity to diversity. This practice holds strategic value for further development as a contextual and applicable inclusive learning model.</w:t>
      </w:r>
    </w:p>
    <w:p w14:paraId="270A06C0" w14:textId="77777777" w:rsidR="000148D4" w:rsidRPr="000148D4" w:rsidRDefault="000148D4" w:rsidP="000148D4">
      <w:pPr>
        <w:spacing w:after="0" w:line="240" w:lineRule="auto"/>
        <w:jc w:val="both"/>
        <w:rPr>
          <w:rFonts w:ascii="Times New Roman" w:eastAsia="Times New Roman" w:hAnsi="Times New Roman" w:cs="Times New Roman"/>
          <w:b/>
          <w:bCs/>
          <w:color w:val="000000"/>
          <w:sz w:val="24"/>
          <w:szCs w:val="24"/>
        </w:rPr>
      </w:pPr>
      <w:r w:rsidRPr="000148D4">
        <w:rPr>
          <w:rFonts w:ascii="Times New Roman" w:eastAsia="Times New Roman" w:hAnsi="Times New Roman" w:cs="Times New Roman"/>
          <w:b/>
          <w:bCs/>
          <w:color w:val="000000"/>
          <w:sz w:val="24"/>
          <w:szCs w:val="24"/>
        </w:rPr>
        <w:t>Student Engagement and Perception</w:t>
      </w:r>
    </w:p>
    <w:p w14:paraId="46B1AD72" w14:textId="77777777" w:rsidR="000148D4" w:rsidRPr="000148D4" w:rsidRDefault="000148D4" w:rsidP="000148D4">
      <w:pPr>
        <w:spacing w:after="0" w:line="240" w:lineRule="auto"/>
        <w:ind w:firstLine="720"/>
        <w:jc w:val="both"/>
        <w:rPr>
          <w:rFonts w:ascii="Times New Roman" w:eastAsia="Times New Roman" w:hAnsi="Times New Roman" w:cs="Times New Roman"/>
          <w:bCs/>
          <w:color w:val="000000"/>
          <w:sz w:val="24"/>
          <w:szCs w:val="24"/>
        </w:rPr>
      </w:pPr>
      <w:r w:rsidRPr="000148D4">
        <w:rPr>
          <w:rFonts w:ascii="Times New Roman" w:eastAsia="Times New Roman" w:hAnsi="Times New Roman" w:cs="Times New Roman"/>
          <w:bCs/>
          <w:color w:val="000000"/>
          <w:sz w:val="24"/>
          <w:szCs w:val="24"/>
        </w:rPr>
        <w:t xml:space="preserve">Student engagement in the learning process is a crucial indicator for measuring the effectiveness of an inclusive curriculum. In the context of Arabic language learning at MTs </w:t>
      </w:r>
      <w:proofErr w:type="spellStart"/>
      <w:r w:rsidRPr="000148D4">
        <w:rPr>
          <w:rFonts w:ascii="Times New Roman" w:eastAsia="Times New Roman" w:hAnsi="Times New Roman" w:cs="Times New Roman"/>
          <w:bCs/>
          <w:color w:val="000000"/>
          <w:sz w:val="24"/>
          <w:szCs w:val="24"/>
        </w:rPr>
        <w:t>Miftahul</w:t>
      </w:r>
      <w:proofErr w:type="spellEnd"/>
      <w:r w:rsidRPr="000148D4">
        <w:rPr>
          <w:rFonts w:ascii="Times New Roman" w:eastAsia="Times New Roman" w:hAnsi="Times New Roman" w:cs="Times New Roman"/>
          <w:bCs/>
          <w:color w:val="000000"/>
          <w:sz w:val="24"/>
          <w:szCs w:val="24"/>
        </w:rPr>
        <w:t xml:space="preserve"> </w:t>
      </w:r>
      <w:proofErr w:type="spellStart"/>
      <w:r w:rsidRPr="000148D4">
        <w:rPr>
          <w:rFonts w:ascii="Times New Roman" w:eastAsia="Times New Roman" w:hAnsi="Times New Roman" w:cs="Times New Roman"/>
          <w:bCs/>
          <w:color w:val="000000"/>
          <w:sz w:val="24"/>
          <w:szCs w:val="24"/>
        </w:rPr>
        <w:t>Afkar</w:t>
      </w:r>
      <w:proofErr w:type="spellEnd"/>
      <w:r w:rsidRPr="000148D4">
        <w:rPr>
          <w:rFonts w:ascii="Times New Roman" w:eastAsia="Times New Roman" w:hAnsi="Times New Roman" w:cs="Times New Roman"/>
          <w:bCs/>
          <w:color w:val="000000"/>
          <w:sz w:val="24"/>
          <w:szCs w:val="24"/>
        </w:rPr>
        <w:t>, student engagement appears to increase with the implementation of adaptive teaching materials tailored to the needs and abilities of each individual. Based on observations and in-depth interviews with students from various learning backgrounds, it was found that the majority of students responded positively to the teacher's learning approach.</w:t>
      </w:r>
    </w:p>
    <w:p w14:paraId="2957C303" w14:textId="77777777" w:rsidR="000148D4" w:rsidRPr="000148D4" w:rsidRDefault="000148D4" w:rsidP="000148D4">
      <w:pPr>
        <w:spacing w:after="0" w:line="240" w:lineRule="auto"/>
        <w:ind w:firstLine="720"/>
        <w:jc w:val="both"/>
        <w:rPr>
          <w:rFonts w:ascii="Times New Roman" w:eastAsia="Times New Roman" w:hAnsi="Times New Roman" w:cs="Times New Roman"/>
          <w:bCs/>
          <w:color w:val="000000"/>
          <w:sz w:val="24"/>
          <w:szCs w:val="24"/>
        </w:rPr>
      </w:pPr>
      <w:r w:rsidRPr="000148D4">
        <w:rPr>
          <w:rFonts w:ascii="Times New Roman" w:eastAsia="Times New Roman" w:hAnsi="Times New Roman" w:cs="Times New Roman"/>
          <w:bCs/>
          <w:color w:val="000000"/>
          <w:sz w:val="24"/>
          <w:szCs w:val="24"/>
        </w:rPr>
        <w:t>One indicator of student engagement is active participation in class activities, both verbally and non-verbally. During observations, it was apparent that students with special needs, who previously tended to be passive and isolated in regular learning, were now beginning to demonstrate active participation, especially when the material was presented using engaging visual and audio media. This demonstrates that the success of adaptive learning materials lies not only in the content but also in how it is communicated through multisensory means.</w:t>
      </w:r>
    </w:p>
    <w:p w14:paraId="26E10057" w14:textId="77777777" w:rsidR="000148D4" w:rsidRPr="000148D4" w:rsidRDefault="000148D4" w:rsidP="000148D4">
      <w:pPr>
        <w:spacing w:after="0" w:line="240" w:lineRule="auto"/>
        <w:ind w:firstLine="720"/>
        <w:jc w:val="both"/>
        <w:rPr>
          <w:rFonts w:ascii="Times New Roman" w:eastAsia="Times New Roman" w:hAnsi="Times New Roman" w:cs="Times New Roman"/>
          <w:bCs/>
          <w:color w:val="000000"/>
          <w:sz w:val="24"/>
          <w:szCs w:val="24"/>
        </w:rPr>
      </w:pPr>
      <w:r w:rsidRPr="000148D4">
        <w:rPr>
          <w:rFonts w:ascii="Times New Roman" w:eastAsia="Times New Roman" w:hAnsi="Times New Roman" w:cs="Times New Roman"/>
          <w:bCs/>
          <w:color w:val="000000"/>
          <w:sz w:val="24"/>
          <w:szCs w:val="24"/>
        </w:rPr>
        <w:t xml:space="preserve">An interview with </w:t>
      </w:r>
      <w:proofErr w:type="spellStart"/>
      <w:r w:rsidRPr="000148D4">
        <w:rPr>
          <w:rFonts w:ascii="Times New Roman" w:eastAsia="Times New Roman" w:hAnsi="Times New Roman" w:cs="Times New Roman"/>
          <w:bCs/>
          <w:color w:val="000000"/>
          <w:sz w:val="24"/>
          <w:szCs w:val="24"/>
        </w:rPr>
        <w:t>Fikri</w:t>
      </w:r>
      <w:proofErr w:type="spellEnd"/>
      <w:r w:rsidRPr="000148D4">
        <w:rPr>
          <w:rFonts w:ascii="Times New Roman" w:eastAsia="Times New Roman" w:hAnsi="Times New Roman" w:cs="Times New Roman"/>
          <w:bCs/>
          <w:color w:val="000000"/>
          <w:sz w:val="24"/>
          <w:szCs w:val="24"/>
        </w:rPr>
        <w:t xml:space="preserve">, an eighth-grade student with reading difficulties, revealed that he feels more confident because the assignments no longer make him feel left behind. According to </w:t>
      </w:r>
      <w:proofErr w:type="spellStart"/>
      <w:r w:rsidRPr="000148D4">
        <w:rPr>
          <w:rFonts w:ascii="Times New Roman" w:eastAsia="Times New Roman" w:hAnsi="Times New Roman" w:cs="Times New Roman"/>
          <w:bCs/>
          <w:color w:val="000000"/>
          <w:sz w:val="24"/>
          <w:szCs w:val="24"/>
        </w:rPr>
        <w:t>Fikri</w:t>
      </w:r>
      <w:proofErr w:type="spellEnd"/>
      <w:r w:rsidRPr="000148D4">
        <w:rPr>
          <w:rFonts w:ascii="Times New Roman" w:eastAsia="Times New Roman" w:hAnsi="Times New Roman" w:cs="Times New Roman"/>
          <w:bCs/>
          <w:color w:val="000000"/>
          <w:sz w:val="24"/>
          <w:szCs w:val="24"/>
        </w:rPr>
        <w:t>, the use of images, colors, and audio in the textbooks makes it easier to understand the meaning of Arabic words, although he still struggles with writing Arabic letters correctly.</w:t>
      </w:r>
    </w:p>
    <w:p w14:paraId="20D6D091" w14:textId="77777777" w:rsidR="000148D4" w:rsidRPr="000148D4" w:rsidRDefault="000148D4" w:rsidP="000148D4">
      <w:pPr>
        <w:spacing w:after="0" w:line="240" w:lineRule="auto"/>
        <w:ind w:firstLine="720"/>
        <w:jc w:val="both"/>
        <w:rPr>
          <w:rFonts w:ascii="Times New Roman" w:eastAsia="Times New Roman" w:hAnsi="Times New Roman" w:cs="Times New Roman"/>
          <w:bCs/>
          <w:color w:val="000000"/>
          <w:sz w:val="24"/>
          <w:szCs w:val="24"/>
        </w:rPr>
      </w:pPr>
      <w:r w:rsidRPr="000148D4">
        <w:rPr>
          <w:rFonts w:ascii="Times New Roman" w:eastAsia="Times New Roman" w:hAnsi="Times New Roman" w:cs="Times New Roman"/>
          <w:bCs/>
          <w:color w:val="000000"/>
          <w:sz w:val="24"/>
          <w:szCs w:val="24"/>
        </w:rPr>
        <w:t xml:space="preserve">Another student, Siti </w:t>
      </w:r>
      <w:proofErr w:type="spellStart"/>
      <w:r w:rsidRPr="000148D4">
        <w:rPr>
          <w:rFonts w:ascii="Times New Roman" w:eastAsia="Times New Roman" w:hAnsi="Times New Roman" w:cs="Times New Roman"/>
          <w:bCs/>
          <w:color w:val="000000"/>
          <w:sz w:val="24"/>
          <w:szCs w:val="24"/>
        </w:rPr>
        <w:t>Nurhaliza</w:t>
      </w:r>
      <w:proofErr w:type="spellEnd"/>
      <w:r w:rsidRPr="000148D4">
        <w:rPr>
          <w:rFonts w:ascii="Times New Roman" w:eastAsia="Times New Roman" w:hAnsi="Times New Roman" w:cs="Times New Roman"/>
          <w:bCs/>
          <w:color w:val="000000"/>
          <w:sz w:val="24"/>
          <w:szCs w:val="24"/>
        </w:rPr>
        <w:t xml:space="preserve">, said the collaborative approach in her Arabic class made her feel more motivated to learn. She explained that her study group consisted </w:t>
      </w:r>
      <w:r w:rsidRPr="000148D4">
        <w:rPr>
          <w:rFonts w:ascii="Times New Roman" w:eastAsia="Times New Roman" w:hAnsi="Times New Roman" w:cs="Times New Roman"/>
          <w:bCs/>
          <w:color w:val="000000"/>
          <w:sz w:val="24"/>
          <w:szCs w:val="24"/>
        </w:rPr>
        <w:lastRenderedPageBreak/>
        <w:t>of students with diverse abilities, and in each assignment, each member was assigned a role based on their individual strengths. She said this model encouraged mutual support among students, without making anyone feel inferior or superior.</w:t>
      </w:r>
    </w:p>
    <w:p w14:paraId="6C0BFEAC" w14:textId="697E9FA5" w:rsidR="000148D4" w:rsidRPr="000148D4" w:rsidRDefault="000148D4" w:rsidP="000148D4">
      <w:pPr>
        <w:spacing w:after="0" w:line="240" w:lineRule="auto"/>
        <w:ind w:firstLine="720"/>
        <w:jc w:val="both"/>
        <w:rPr>
          <w:rFonts w:ascii="Times New Roman" w:eastAsia="Times New Roman" w:hAnsi="Times New Roman" w:cs="Times New Roman"/>
          <w:bCs/>
          <w:color w:val="000000"/>
          <w:sz w:val="24"/>
          <w:szCs w:val="24"/>
        </w:rPr>
      </w:pPr>
      <w:r w:rsidRPr="000148D4">
        <w:rPr>
          <w:rFonts w:ascii="Times New Roman" w:eastAsia="Times New Roman" w:hAnsi="Times New Roman" w:cs="Times New Roman"/>
          <w:bCs/>
          <w:color w:val="000000"/>
          <w:sz w:val="24"/>
          <w:szCs w:val="24"/>
        </w:rPr>
        <w:t>Overall, students' perceptions of adaptive learning materials were very positive. They felt that the Arabic textbooks they used were not only user-friendly for those experiencing difficulties but also remained challenging for those with higher abilities. This reinforces the importance of the principle of universal design for learning (UDL), which emphasizes the need to design learning materials that are flexible and accessible to all students without the need for major modifications</w:t>
      </w:r>
      <w:r w:rsidR="00066BCA">
        <w:rPr>
          <w:rFonts w:ascii="Times New Roman" w:eastAsia="Times New Roman" w:hAnsi="Times New Roman" w:cs="Times New Roman"/>
          <w:bCs/>
          <w:color w:val="000000"/>
          <w:sz w:val="24"/>
          <w:szCs w:val="24"/>
        </w:rPr>
        <w:t xml:space="preserve"> </w:t>
      </w:r>
      <w:r w:rsidRPr="000148D4">
        <w:rPr>
          <w:rFonts w:ascii="Times New Roman" w:eastAsia="Times New Roman" w:hAnsi="Times New Roman" w:cs="Times New Roman"/>
          <w:bCs/>
          <w:color w:val="000000"/>
          <w:sz w:val="24"/>
          <w:szCs w:val="24"/>
        </w:rPr>
        <w:fldChar w:fldCharType="begin"/>
      </w:r>
      <w:r w:rsidR="00066BCA">
        <w:rPr>
          <w:rFonts w:ascii="Times New Roman" w:eastAsia="Times New Roman" w:hAnsi="Times New Roman" w:cs="Times New Roman"/>
          <w:bCs/>
          <w:color w:val="000000"/>
          <w:sz w:val="24"/>
          <w:szCs w:val="24"/>
        </w:rPr>
        <w:instrText xml:space="preserve"> ADDIN ZOTERO_ITEM CSL_CITATION {"citationID":"LPMAiNqX","properties":{"formattedCitation":"(Levey, 2023)","plainCitation":"(Levey, 2023)","noteIndex":0},"citationItems":[{"id":"eqbFgLeb/Ekf30nqw","uris":["http://zotero.org/users/local/HTLpg2la/items/EYR9FW3Q"],"itemData":{"id":525,"type":"article-journal","abstract":"This review presents the Universal Design Learning (UDL) approach to education. Classrooms have become increasingly diverse, with second language learners, students with disabilities, and students with differences in their perception and understanding information. Some students learn best through listening, while others learn best when presented with visual information. Given the increased number of new language learners across the world, the UDL approach allows successful learning for all students. UDL has allowed students to acquire information more effectively. UDL provides guidance to educators that is especially valuable for the diversity of classrooms and the diversity in modalities in learning,","container-title":"Journal of Education","DOI":"10.1177/00220574211031954","ISSN":"0022-0574","issue":"2","language":"EN","note":"publisher: SAGE Publications Inc","page":"479-487","source":"SAGE Journals","title":"Universal Design for Learning","volume":"203","author":[{"family":"Levey","given":"Sandra"}],"issued":{"date-parts":[["2023",4,1]]}}}],"schema":"https://github.com/citation-style-language/schema/raw/master/csl-citation.json"} </w:instrText>
      </w:r>
      <w:r w:rsidRPr="000148D4">
        <w:rPr>
          <w:rFonts w:ascii="Times New Roman" w:eastAsia="Times New Roman" w:hAnsi="Times New Roman" w:cs="Times New Roman"/>
          <w:bCs/>
          <w:color w:val="000000"/>
          <w:sz w:val="24"/>
          <w:szCs w:val="24"/>
        </w:rPr>
        <w:fldChar w:fldCharType="separate"/>
      </w:r>
      <w:r w:rsidRPr="000148D4">
        <w:rPr>
          <w:rFonts w:ascii="Times New Roman" w:eastAsia="Times New Roman" w:hAnsi="Times New Roman" w:cs="Times New Roman"/>
          <w:bCs/>
          <w:color w:val="000000"/>
          <w:sz w:val="24"/>
          <w:szCs w:val="24"/>
        </w:rPr>
        <w:t>(Levey, 2023)</w:t>
      </w:r>
      <w:r w:rsidRPr="000148D4">
        <w:rPr>
          <w:rFonts w:ascii="Times New Roman" w:eastAsia="Times New Roman" w:hAnsi="Times New Roman" w:cs="Times New Roman"/>
          <w:bCs/>
          <w:color w:val="000000"/>
          <w:sz w:val="24"/>
          <w:szCs w:val="24"/>
        </w:rPr>
        <w:fldChar w:fldCharType="end"/>
      </w:r>
      <w:r w:rsidRPr="000148D4">
        <w:rPr>
          <w:rFonts w:ascii="Times New Roman" w:eastAsia="Times New Roman" w:hAnsi="Times New Roman" w:cs="Times New Roman"/>
          <w:bCs/>
          <w:color w:val="000000"/>
          <w:sz w:val="24"/>
          <w:szCs w:val="24"/>
        </w:rPr>
        <w:t>.</w:t>
      </w:r>
    </w:p>
    <w:p w14:paraId="23360EF0" w14:textId="77777777" w:rsidR="000148D4" w:rsidRPr="000148D4" w:rsidRDefault="000148D4" w:rsidP="000148D4">
      <w:pPr>
        <w:spacing w:after="0" w:line="240" w:lineRule="auto"/>
        <w:ind w:firstLine="720"/>
        <w:jc w:val="both"/>
        <w:rPr>
          <w:rFonts w:ascii="Times New Roman" w:eastAsia="Times New Roman" w:hAnsi="Times New Roman" w:cs="Times New Roman"/>
          <w:bCs/>
          <w:color w:val="000000"/>
          <w:sz w:val="24"/>
          <w:szCs w:val="24"/>
        </w:rPr>
      </w:pPr>
      <w:r w:rsidRPr="000148D4">
        <w:rPr>
          <w:rFonts w:ascii="Times New Roman" w:eastAsia="Times New Roman" w:hAnsi="Times New Roman" w:cs="Times New Roman"/>
          <w:bCs/>
          <w:color w:val="000000"/>
          <w:sz w:val="24"/>
          <w:szCs w:val="24"/>
        </w:rPr>
        <w:t>Student engagement can also be seen in the enthusiasm with which they participate in interactive exercises. Exercises such as matching pictures and words, role-playing using Arabic dialogues, and playing vocabulary cards are highly popular. Observations have shown that even students who were previously considered "problematic" academically have become more active when these methods are used.</w:t>
      </w:r>
    </w:p>
    <w:p w14:paraId="6BE7C9CD" w14:textId="77777777" w:rsidR="000148D4" w:rsidRPr="000148D4" w:rsidRDefault="000148D4" w:rsidP="000148D4">
      <w:pPr>
        <w:spacing w:after="0" w:line="240" w:lineRule="auto"/>
        <w:ind w:firstLine="720"/>
        <w:jc w:val="both"/>
        <w:rPr>
          <w:rFonts w:ascii="Times New Roman" w:eastAsia="Times New Roman" w:hAnsi="Times New Roman" w:cs="Times New Roman"/>
          <w:bCs/>
          <w:color w:val="000000"/>
          <w:sz w:val="24"/>
          <w:szCs w:val="24"/>
        </w:rPr>
      </w:pPr>
      <w:r w:rsidRPr="000148D4">
        <w:rPr>
          <w:rFonts w:ascii="Times New Roman" w:eastAsia="Times New Roman" w:hAnsi="Times New Roman" w:cs="Times New Roman"/>
          <w:bCs/>
          <w:color w:val="000000"/>
          <w:sz w:val="24"/>
          <w:szCs w:val="24"/>
        </w:rPr>
        <w:t>However, not all students demonstrated the same level of engagement. In an interview with a teacher, it was explained that some students were still having difficulty adapting to the new, more open-ended and reflective format of assignments. Some of them, especially those accustomed to standard lectures and written assignments, felt confused and needed more time to understand the new expectations.</w:t>
      </w:r>
    </w:p>
    <w:p w14:paraId="3635BBA7" w14:textId="77777777" w:rsidR="000148D4" w:rsidRPr="000148D4" w:rsidRDefault="000148D4" w:rsidP="000148D4">
      <w:pPr>
        <w:spacing w:after="0" w:line="240" w:lineRule="auto"/>
        <w:ind w:firstLine="720"/>
        <w:jc w:val="both"/>
        <w:rPr>
          <w:rFonts w:ascii="Times New Roman" w:eastAsia="Times New Roman" w:hAnsi="Times New Roman" w:cs="Times New Roman"/>
          <w:bCs/>
          <w:color w:val="000000"/>
          <w:sz w:val="24"/>
          <w:szCs w:val="24"/>
        </w:rPr>
      </w:pPr>
      <w:r w:rsidRPr="000148D4">
        <w:rPr>
          <w:rFonts w:ascii="Times New Roman" w:eastAsia="Times New Roman" w:hAnsi="Times New Roman" w:cs="Times New Roman"/>
          <w:bCs/>
          <w:color w:val="000000"/>
          <w:sz w:val="24"/>
          <w:szCs w:val="24"/>
        </w:rPr>
        <w:t>These differences indicate that student engagement is influenced by prior learning background and their ability to adapt to changing learning methods. Therefore, teachers need to patiently guide this transition, provide additional explanations, and consistently build students' confidence in their own abilities.</w:t>
      </w:r>
    </w:p>
    <w:p w14:paraId="466CCB03" w14:textId="77777777" w:rsidR="000148D4" w:rsidRPr="000148D4" w:rsidRDefault="000148D4" w:rsidP="000148D4">
      <w:pPr>
        <w:spacing w:after="0" w:line="240" w:lineRule="auto"/>
        <w:ind w:firstLine="720"/>
        <w:jc w:val="both"/>
        <w:rPr>
          <w:rFonts w:ascii="Times New Roman" w:eastAsia="Times New Roman" w:hAnsi="Times New Roman" w:cs="Times New Roman"/>
          <w:bCs/>
          <w:color w:val="000000"/>
          <w:sz w:val="24"/>
          <w:szCs w:val="24"/>
        </w:rPr>
      </w:pPr>
      <w:r w:rsidRPr="000148D4">
        <w:rPr>
          <w:rFonts w:ascii="Times New Roman" w:eastAsia="Times New Roman" w:hAnsi="Times New Roman" w:cs="Times New Roman"/>
          <w:bCs/>
          <w:color w:val="000000"/>
          <w:sz w:val="24"/>
          <w:szCs w:val="24"/>
        </w:rPr>
        <w:t xml:space="preserve">From a motivational perspective, the use of adaptive teaching materials has been shown to increase student interest in learning Arabic. Most students feel that Arabic lessons have become </w:t>
      </w:r>
      <w:proofErr w:type="gramStart"/>
      <w:r w:rsidRPr="000148D4">
        <w:rPr>
          <w:rFonts w:ascii="Times New Roman" w:eastAsia="Times New Roman" w:hAnsi="Times New Roman" w:cs="Times New Roman"/>
          <w:bCs/>
          <w:color w:val="000000"/>
          <w:sz w:val="24"/>
          <w:szCs w:val="24"/>
        </w:rPr>
        <w:t>more "lively"</w:t>
      </w:r>
      <w:proofErr w:type="gramEnd"/>
      <w:r w:rsidRPr="000148D4">
        <w:rPr>
          <w:rFonts w:ascii="Times New Roman" w:eastAsia="Times New Roman" w:hAnsi="Times New Roman" w:cs="Times New Roman"/>
          <w:bCs/>
          <w:color w:val="000000"/>
          <w:sz w:val="24"/>
          <w:szCs w:val="24"/>
        </w:rPr>
        <w:t xml:space="preserve"> and less intimidating. They attribute this change to the more communicative and contextual presentation of the material, making Arabic less of a foreign or exclusive subject.</w:t>
      </w:r>
    </w:p>
    <w:p w14:paraId="56B507A8" w14:textId="77777777" w:rsidR="000148D4" w:rsidRPr="000148D4" w:rsidRDefault="000148D4" w:rsidP="000148D4">
      <w:pPr>
        <w:spacing w:after="0" w:line="240" w:lineRule="auto"/>
        <w:ind w:firstLine="720"/>
        <w:jc w:val="both"/>
        <w:rPr>
          <w:rFonts w:ascii="Times New Roman" w:eastAsia="Times New Roman" w:hAnsi="Times New Roman" w:cs="Times New Roman"/>
          <w:bCs/>
          <w:color w:val="000000"/>
          <w:sz w:val="24"/>
          <w:szCs w:val="24"/>
        </w:rPr>
      </w:pPr>
      <w:r w:rsidRPr="000148D4">
        <w:rPr>
          <w:rFonts w:ascii="Times New Roman" w:eastAsia="Times New Roman" w:hAnsi="Times New Roman" w:cs="Times New Roman"/>
          <w:bCs/>
          <w:color w:val="000000"/>
          <w:sz w:val="24"/>
          <w:szCs w:val="24"/>
        </w:rPr>
        <w:t>Students' affective engagement also increased. This was evident in their emotional responses to teacher feedback. Students felt valued when teachers commented positively on their participation in discussions or group work. According to an interview with a student named Zahra, this feedback made her feel that her efforts were being recognized, even if the results were not yet perfect.</w:t>
      </w:r>
    </w:p>
    <w:p w14:paraId="79F3A280" w14:textId="7016CDA1" w:rsidR="000148D4" w:rsidRPr="000148D4" w:rsidRDefault="000148D4" w:rsidP="000148D4">
      <w:pPr>
        <w:spacing w:after="0" w:line="240" w:lineRule="auto"/>
        <w:ind w:firstLine="720"/>
        <w:jc w:val="both"/>
        <w:rPr>
          <w:rFonts w:ascii="Times New Roman" w:eastAsia="Times New Roman" w:hAnsi="Times New Roman" w:cs="Times New Roman"/>
          <w:bCs/>
          <w:color w:val="000000"/>
          <w:sz w:val="24"/>
          <w:szCs w:val="24"/>
        </w:rPr>
      </w:pPr>
      <w:r w:rsidRPr="000148D4">
        <w:rPr>
          <w:rFonts w:ascii="Times New Roman" w:eastAsia="Times New Roman" w:hAnsi="Times New Roman" w:cs="Times New Roman"/>
          <w:bCs/>
          <w:color w:val="000000"/>
          <w:sz w:val="24"/>
          <w:szCs w:val="24"/>
        </w:rPr>
        <w:t>High student engagement is closely related to increased academic achievement and learning satisfaction</w:t>
      </w:r>
      <w:r w:rsidR="00066BCA">
        <w:rPr>
          <w:rFonts w:ascii="Times New Roman" w:eastAsia="Times New Roman" w:hAnsi="Times New Roman" w:cs="Times New Roman"/>
          <w:bCs/>
          <w:color w:val="000000"/>
          <w:sz w:val="24"/>
          <w:szCs w:val="24"/>
        </w:rPr>
        <w:t xml:space="preserve"> </w:t>
      </w:r>
      <w:r w:rsidRPr="000148D4">
        <w:rPr>
          <w:rFonts w:ascii="Times New Roman" w:eastAsia="Times New Roman" w:hAnsi="Times New Roman" w:cs="Times New Roman"/>
          <w:bCs/>
          <w:color w:val="000000"/>
          <w:sz w:val="24"/>
          <w:szCs w:val="24"/>
        </w:rPr>
        <w:fldChar w:fldCharType="begin"/>
      </w:r>
      <w:r w:rsidR="00066BCA">
        <w:rPr>
          <w:rFonts w:ascii="Times New Roman" w:eastAsia="Times New Roman" w:hAnsi="Times New Roman" w:cs="Times New Roman"/>
          <w:bCs/>
          <w:color w:val="000000"/>
          <w:sz w:val="24"/>
          <w:szCs w:val="24"/>
        </w:rPr>
        <w:instrText xml:space="preserve"> ADDIN ZOTERO_ITEM CSL_CITATION {"citationID":"yinlTQ80","properties":{"formattedCitation":"(Levey, 2023)","plainCitation":"(Levey, 2023)","noteIndex":0},"citationItems":[{"id":"eqbFgLeb/Ekf30nqw","uris":["http://zotero.org/users/local/HTLpg2la/items/EYR9FW3Q"],"itemData":{"id":525,"type":"article-journal","abstract":"This review presents the Universal Design Learning (UDL) approach to education. Classrooms have become increasingly diverse, with second language learners, students with disabilities, and students with differences in their perception and understanding information. Some students learn best through listening, while others learn best when presented with visual information. Given the increased number of new language learners across the world, the UDL approach allows successful learning for all students. UDL has allowed students to acquire information more effectively. UDL provides guidance to educators that is especially valuable for the diversity of classrooms and the diversity in modalities in learning,","container-title":"Journal of Education","DOI":"10.1177/00220574211031954","ISSN":"0022-0574","issue":"2","language":"EN","note":"publisher: SAGE Publications Inc","page":"479-487","source":"SAGE Journals","title":"Universal Design for Learning","volume":"203","author":[{"family":"Levey","given":"Sandra"}],"issued":{"date-parts":[["2023",4,1]]}}}],"schema":"https://github.com/citation-style-language/schema/raw/master/csl-citation.json"} </w:instrText>
      </w:r>
      <w:r w:rsidRPr="000148D4">
        <w:rPr>
          <w:rFonts w:ascii="Times New Roman" w:eastAsia="Times New Roman" w:hAnsi="Times New Roman" w:cs="Times New Roman"/>
          <w:bCs/>
          <w:color w:val="000000"/>
          <w:sz w:val="24"/>
          <w:szCs w:val="24"/>
        </w:rPr>
        <w:fldChar w:fldCharType="separate"/>
      </w:r>
      <w:r w:rsidRPr="000148D4">
        <w:rPr>
          <w:rFonts w:ascii="Times New Roman" w:eastAsia="Times New Roman" w:hAnsi="Times New Roman" w:cs="Times New Roman"/>
          <w:bCs/>
          <w:color w:val="000000"/>
          <w:sz w:val="24"/>
          <w:szCs w:val="24"/>
        </w:rPr>
        <w:t>(Levey, 2023)</w:t>
      </w:r>
      <w:r w:rsidRPr="000148D4">
        <w:rPr>
          <w:rFonts w:ascii="Times New Roman" w:eastAsia="Times New Roman" w:hAnsi="Times New Roman" w:cs="Times New Roman"/>
          <w:bCs/>
          <w:color w:val="000000"/>
          <w:sz w:val="24"/>
          <w:szCs w:val="24"/>
        </w:rPr>
        <w:fldChar w:fldCharType="end"/>
      </w:r>
      <w:r w:rsidRPr="000148D4">
        <w:rPr>
          <w:rFonts w:ascii="Times New Roman" w:eastAsia="Times New Roman" w:hAnsi="Times New Roman" w:cs="Times New Roman"/>
          <w:bCs/>
          <w:color w:val="000000"/>
          <w:sz w:val="24"/>
          <w:szCs w:val="24"/>
        </w:rPr>
        <w:t xml:space="preserve">. Thus, the pattern of student engagement found at MTs </w:t>
      </w:r>
      <w:proofErr w:type="spellStart"/>
      <w:r w:rsidRPr="000148D4">
        <w:rPr>
          <w:rFonts w:ascii="Times New Roman" w:eastAsia="Times New Roman" w:hAnsi="Times New Roman" w:cs="Times New Roman"/>
          <w:bCs/>
          <w:color w:val="000000"/>
          <w:sz w:val="24"/>
          <w:szCs w:val="24"/>
        </w:rPr>
        <w:t>Miftahul</w:t>
      </w:r>
      <w:proofErr w:type="spellEnd"/>
      <w:r w:rsidRPr="000148D4">
        <w:rPr>
          <w:rFonts w:ascii="Times New Roman" w:eastAsia="Times New Roman" w:hAnsi="Times New Roman" w:cs="Times New Roman"/>
          <w:bCs/>
          <w:color w:val="000000"/>
          <w:sz w:val="24"/>
          <w:szCs w:val="24"/>
        </w:rPr>
        <w:t xml:space="preserve"> </w:t>
      </w:r>
      <w:proofErr w:type="spellStart"/>
      <w:r w:rsidRPr="000148D4">
        <w:rPr>
          <w:rFonts w:ascii="Times New Roman" w:eastAsia="Times New Roman" w:hAnsi="Times New Roman" w:cs="Times New Roman"/>
          <w:bCs/>
          <w:color w:val="000000"/>
          <w:sz w:val="24"/>
          <w:szCs w:val="24"/>
        </w:rPr>
        <w:t>Afkar</w:t>
      </w:r>
      <w:proofErr w:type="spellEnd"/>
      <w:r w:rsidRPr="000148D4">
        <w:rPr>
          <w:rFonts w:ascii="Times New Roman" w:eastAsia="Times New Roman" w:hAnsi="Times New Roman" w:cs="Times New Roman"/>
          <w:bCs/>
          <w:color w:val="000000"/>
          <w:sz w:val="24"/>
          <w:szCs w:val="24"/>
        </w:rPr>
        <w:t xml:space="preserve"> shows that the adaptive approach to teaching materials has an impact that is not only pedagogical, but also psychosocial.</w:t>
      </w:r>
    </w:p>
    <w:p w14:paraId="12AE0CFA" w14:textId="32B21E64" w:rsidR="000148D4" w:rsidRPr="000148D4" w:rsidRDefault="000148D4" w:rsidP="000148D4">
      <w:pPr>
        <w:spacing w:after="0" w:line="240" w:lineRule="auto"/>
        <w:ind w:firstLine="720"/>
        <w:jc w:val="both"/>
        <w:rPr>
          <w:rFonts w:ascii="Times New Roman" w:eastAsia="Times New Roman" w:hAnsi="Times New Roman" w:cs="Times New Roman"/>
          <w:bCs/>
          <w:color w:val="000000"/>
          <w:sz w:val="24"/>
          <w:szCs w:val="24"/>
        </w:rPr>
      </w:pPr>
      <w:r w:rsidRPr="000148D4">
        <w:rPr>
          <w:rFonts w:ascii="Times New Roman" w:eastAsia="Times New Roman" w:hAnsi="Times New Roman" w:cs="Times New Roman"/>
          <w:bCs/>
          <w:color w:val="000000"/>
          <w:sz w:val="24"/>
          <w:szCs w:val="24"/>
        </w:rPr>
        <w:t>From these findings, it can be concluded that student engagement and perceptions of adaptive Arabic language learning materials are important indicators of the success of inclusive learning. This also demonstrates that a teaching approach that respects students' diverse backgrounds can build a healthy learning environment and encourage active participation from all students</w:t>
      </w:r>
      <w:r w:rsidR="00066BCA">
        <w:rPr>
          <w:rFonts w:ascii="Times New Roman" w:eastAsia="Times New Roman" w:hAnsi="Times New Roman" w:cs="Times New Roman"/>
          <w:bCs/>
          <w:color w:val="000000"/>
          <w:sz w:val="24"/>
          <w:szCs w:val="24"/>
        </w:rPr>
        <w:t xml:space="preserve"> </w:t>
      </w:r>
      <w:r w:rsidRPr="000148D4">
        <w:rPr>
          <w:rFonts w:ascii="Times New Roman" w:eastAsia="Times New Roman" w:hAnsi="Times New Roman" w:cs="Times New Roman"/>
          <w:bCs/>
          <w:color w:val="000000"/>
          <w:sz w:val="24"/>
          <w:szCs w:val="24"/>
        </w:rPr>
        <w:fldChar w:fldCharType="begin"/>
      </w:r>
      <w:r w:rsidR="00066BCA">
        <w:rPr>
          <w:rFonts w:ascii="Times New Roman" w:eastAsia="Times New Roman" w:hAnsi="Times New Roman" w:cs="Times New Roman"/>
          <w:bCs/>
          <w:color w:val="000000"/>
          <w:sz w:val="24"/>
          <w:szCs w:val="24"/>
        </w:rPr>
        <w:instrText xml:space="preserve"> ADDIN ZOTERO_ITEM CSL_CITATION {"citationID":"ReyvGpnX","properties":{"formattedCitation":"(Aderibigbe et al., 2023)","plainCitation":"(Aderibigbe et al., 2023)","noteIndex":0},"citationItems":[{"id":"eqbFgLeb/9HTox5Qr","uris":["http://zotero.org/users/local/HTLpg2la/items/BK6UBCJZ"],"itemData":{"id":526,"type":"article-journal","abstract":"Societies are getting more diverse, with social issues increasing, necessitating the need to intensify efforts to promote tolerance and respect for diversity. In this study, we report the approach employed to redesign and evaluate a general education course to enhance students’ knowledge of tolerance and respect for diversity, drawing on Islamic values in the United Arab Emirates. In collecting and analyzing data for the study, we adopted a qualitative approach to explore students’ nuanced and reflective understanding and application of the key concepts taught in the course. We retrieved and thematically analyzed 40 transcripts from sixty-nine students’ reflective assignments. Our results indicate that students see the education process based on Islamic principles as a socialization means for shaping human life, caring for others, demonstrating compassion, and sharing knowledge, as essential to fostering tolerance. Drawing on our findings, we recommend carefully redesigning courses to strengthen students’ knowledge of tolerance and respect for diversity using the authentic learning approach. This includes engaging them in activities to link class tasks to real-life contexts, providing them with safe learning spaces, and encouraging them to learn with peers from different backgrounds.","container-title":"Religions","DOI":"10.3390/rel14020212","ISSN":"2077-1444","issue":"2","language":"en","license":"http://creativecommons.org/licenses/by/3.0/","note":"number: 2\npublisher: Multidisciplinary Digital Publishing Institute","page":"212","source":"www.mdpi.com","title":"Fostering Tolerance and Respect for Diversity through the Fundamentals of Islamic Education","volume":"14","author":[{"family":"Aderibigbe","given":"Semiyu Adejare"},{"family":"Idriz","given":"Mesut"},{"family":"Alzouebi","given":"Khadeegha"},{"family":"AlOthman","given":"Hussain"},{"family":"Hamdi","given":"Wafa Barhoumi"},{"family":"Companioni","given":"Assad Asil"}],"issued":{"date-parts":[["2023",2]]}}}],"schema":"https://github.com/citation-style-language/schema/raw/master/csl-citation.json"} </w:instrText>
      </w:r>
      <w:r w:rsidRPr="000148D4">
        <w:rPr>
          <w:rFonts w:ascii="Times New Roman" w:eastAsia="Times New Roman" w:hAnsi="Times New Roman" w:cs="Times New Roman"/>
          <w:bCs/>
          <w:color w:val="000000"/>
          <w:sz w:val="24"/>
          <w:szCs w:val="24"/>
        </w:rPr>
        <w:fldChar w:fldCharType="separate"/>
      </w:r>
      <w:r w:rsidRPr="000148D4">
        <w:rPr>
          <w:rFonts w:ascii="Times New Roman" w:eastAsia="Times New Roman" w:hAnsi="Times New Roman" w:cs="Times New Roman"/>
          <w:bCs/>
          <w:color w:val="000000"/>
          <w:sz w:val="24"/>
          <w:szCs w:val="24"/>
        </w:rPr>
        <w:t>(Aderibigbe et al., 2023)</w:t>
      </w:r>
      <w:r w:rsidRPr="000148D4">
        <w:rPr>
          <w:rFonts w:ascii="Times New Roman" w:eastAsia="Times New Roman" w:hAnsi="Times New Roman" w:cs="Times New Roman"/>
          <w:bCs/>
          <w:color w:val="000000"/>
          <w:sz w:val="24"/>
          <w:szCs w:val="24"/>
        </w:rPr>
        <w:fldChar w:fldCharType="end"/>
      </w:r>
      <w:r w:rsidRPr="000148D4">
        <w:rPr>
          <w:rFonts w:ascii="Times New Roman" w:eastAsia="Times New Roman" w:hAnsi="Times New Roman" w:cs="Times New Roman"/>
          <w:bCs/>
          <w:color w:val="000000"/>
          <w:sz w:val="24"/>
          <w:szCs w:val="24"/>
        </w:rPr>
        <w:t>.</w:t>
      </w:r>
    </w:p>
    <w:p w14:paraId="3A348BB1" w14:textId="77777777" w:rsidR="000148D4" w:rsidRPr="000148D4" w:rsidRDefault="000148D4" w:rsidP="000148D4">
      <w:pPr>
        <w:spacing w:after="0" w:line="240" w:lineRule="auto"/>
        <w:ind w:firstLine="720"/>
        <w:jc w:val="both"/>
        <w:rPr>
          <w:rFonts w:ascii="Times New Roman" w:eastAsia="Times New Roman" w:hAnsi="Times New Roman" w:cs="Times New Roman"/>
          <w:bCs/>
          <w:color w:val="000000"/>
          <w:sz w:val="24"/>
          <w:szCs w:val="24"/>
        </w:rPr>
      </w:pPr>
      <w:r w:rsidRPr="000148D4">
        <w:rPr>
          <w:rFonts w:ascii="Times New Roman" w:eastAsia="Times New Roman" w:hAnsi="Times New Roman" w:cs="Times New Roman"/>
          <w:bCs/>
          <w:color w:val="000000"/>
          <w:sz w:val="24"/>
          <w:szCs w:val="24"/>
        </w:rPr>
        <w:t>The implication for educational practice is the need for ongoing evaluation of student perceptions in every curriculum intervention. Student perceptions are not merely supplementary data, but rather a crucial source of information for adapting learning methods, media, and evaluations in a more humane and meaningful way.</w:t>
      </w:r>
    </w:p>
    <w:p w14:paraId="6B0767AF" w14:textId="77777777" w:rsidR="00020965" w:rsidRDefault="00020965" w:rsidP="000148D4">
      <w:pPr>
        <w:spacing w:after="0" w:line="240" w:lineRule="auto"/>
        <w:jc w:val="both"/>
        <w:rPr>
          <w:rFonts w:ascii="Times New Roman" w:eastAsia="Times New Roman" w:hAnsi="Times New Roman" w:cs="Times New Roman"/>
          <w:b/>
          <w:bCs/>
          <w:color w:val="000000"/>
          <w:sz w:val="24"/>
          <w:szCs w:val="24"/>
        </w:rPr>
      </w:pPr>
    </w:p>
    <w:p w14:paraId="20B31AF6" w14:textId="77777777" w:rsidR="00020965" w:rsidRDefault="00020965" w:rsidP="000148D4">
      <w:pPr>
        <w:spacing w:after="0" w:line="240" w:lineRule="auto"/>
        <w:jc w:val="both"/>
        <w:rPr>
          <w:rFonts w:ascii="Times New Roman" w:eastAsia="Times New Roman" w:hAnsi="Times New Roman" w:cs="Times New Roman"/>
          <w:b/>
          <w:bCs/>
          <w:color w:val="000000"/>
          <w:sz w:val="24"/>
          <w:szCs w:val="24"/>
        </w:rPr>
      </w:pPr>
    </w:p>
    <w:p w14:paraId="0CDFD9F9" w14:textId="1621908C" w:rsidR="000148D4" w:rsidRPr="000148D4" w:rsidRDefault="000148D4" w:rsidP="000148D4">
      <w:pPr>
        <w:spacing w:after="0" w:line="240" w:lineRule="auto"/>
        <w:jc w:val="both"/>
        <w:rPr>
          <w:rFonts w:ascii="Times New Roman" w:eastAsia="Times New Roman" w:hAnsi="Times New Roman" w:cs="Times New Roman"/>
          <w:b/>
          <w:bCs/>
          <w:color w:val="000000"/>
          <w:sz w:val="24"/>
          <w:szCs w:val="24"/>
        </w:rPr>
      </w:pPr>
      <w:r w:rsidRPr="000148D4">
        <w:rPr>
          <w:rFonts w:ascii="Times New Roman" w:eastAsia="Times New Roman" w:hAnsi="Times New Roman" w:cs="Times New Roman"/>
          <w:b/>
          <w:bCs/>
          <w:color w:val="000000"/>
          <w:sz w:val="24"/>
          <w:szCs w:val="24"/>
        </w:rPr>
        <w:lastRenderedPageBreak/>
        <w:t>Teacher Role and Implementation Strategy</w:t>
      </w:r>
    </w:p>
    <w:p w14:paraId="02B9E2AD" w14:textId="77777777" w:rsidR="000148D4" w:rsidRPr="000148D4" w:rsidRDefault="000148D4" w:rsidP="000148D4">
      <w:pPr>
        <w:spacing w:after="0" w:line="240" w:lineRule="auto"/>
        <w:ind w:firstLine="720"/>
        <w:jc w:val="both"/>
        <w:rPr>
          <w:rFonts w:ascii="Times New Roman" w:eastAsia="Times New Roman" w:hAnsi="Times New Roman" w:cs="Times New Roman"/>
          <w:bCs/>
          <w:color w:val="000000"/>
          <w:sz w:val="24"/>
          <w:szCs w:val="24"/>
        </w:rPr>
      </w:pPr>
      <w:r w:rsidRPr="000148D4">
        <w:rPr>
          <w:rFonts w:ascii="Times New Roman" w:eastAsia="Times New Roman" w:hAnsi="Times New Roman" w:cs="Times New Roman"/>
          <w:bCs/>
          <w:color w:val="000000"/>
          <w:sz w:val="24"/>
          <w:szCs w:val="24"/>
        </w:rPr>
        <w:t xml:space="preserve">In the process of developing and implementing adaptive teaching materials for inclusive Arabic language learning at MTs </w:t>
      </w:r>
      <w:proofErr w:type="spellStart"/>
      <w:r w:rsidRPr="000148D4">
        <w:rPr>
          <w:rFonts w:ascii="Times New Roman" w:eastAsia="Times New Roman" w:hAnsi="Times New Roman" w:cs="Times New Roman"/>
          <w:bCs/>
          <w:color w:val="000000"/>
          <w:sz w:val="24"/>
          <w:szCs w:val="24"/>
        </w:rPr>
        <w:t>Miftahul</w:t>
      </w:r>
      <w:proofErr w:type="spellEnd"/>
      <w:r w:rsidRPr="000148D4">
        <w:rPr>
          <w:rFonts w:ascii="Times New Roman" w:eastAsia="Times New Roman" w:hAnsi="Times New Roman" w:cs="Times New Roman"/>
          <w:bCs/>
          <w:color w:val="000000"/>
          <w:sz w:val="24"/>
          <w:szCs w:val="24"/>
        </w:rPr>
        <w:t xml:space="preserve"> </w:t>
      </w:r>
      <w:proofErr w:type="spellStart"/>
      <w:r w:rsidRPr="000148D4">
        <w:rPr>
          <w:rFonts w:ascii="Times New Roman" w:eastAsia="Times New Roman" w:hAnsi="Times New Roman" w:cs="Times New Roman"/>
          <w:bCs/>
          <w:color w:val="000000"/>
          <w:sz w:val="24"/>
          <w:szCs w:val="24"/>
        </w:rPr>
        <w:t>Afkar</w:t>
      </w:r>
      <w:proofErr w:type="spellEnd"/>
      <w:r w:rsidRPr="000148D4">
        <w:rPr>
          <w:rFonts w:ascii="Times New Roman" w:eastAsia="Times New Roman" w:hAnsi="Times New Roman" w:cs="Times New Roman"/>
          <w:bCs/>
          <w:color w:val="000000"/>
          <w:sz w:val="24"/>
          <w:szCs w:val="24"/>
        </w:rPr>
        <w:t>, the role of teachers is central. They act not only as learning facilitators but also as strategy designers who adapt the material to the individual abilities, needs, and characteristics of students. Interviews with several Arabic language teachers revealed that awareness of the importance of inclusivity has encouraged them to transform their traditional one-way approach into a more participatory and responsive one.</w:t>
      </w:r>
    </w:p>
    <w:p w14:paraId="3039C9AF" w14:textId="53AE15F1" w:rsidR="000148D4" w:rsidRPr="000148D4" w:rsidRDefault="000148D4" w:rsidP="000148D4">
      <w:pPr>
        <w:spacing w:after="0" w:line="240" w:lineRule="auto"/>
        <w:ind w:firstLine="720"/>
        <w:jc w:val="both"/>
        <w:rPr>
          <w:rFonts w:ascii="Times New Roman" w:eastAsia="Times New Roman" w:hAnsi="Times New Roman" w:cs="Times New Roman"/>
          <w:bCs/>
          <w:color w:val="000000"/>
          <w:sz w:val="24"/>
          <w:szCs w:val="24"/>
        </w:rPr>
      </w:pPr>
      <w:r w:rsidRPr="000148D4">
        <w:rPr>
          <w:rFonts w:ascii="Times New Roman" w:eastAsia="Times New Roman" w:hAnsi="Times New Roman" w:cs="Times New Roman"/>
          <w:bCs/>
          <w:color w:val="000000"/>
          <w:sz w:val="24"/>
          <w:szCs w:val="24"/>
        </w:rPr>
        <w:t xml:space="preserve">One Arabic teacher, </w:t>
      </w:r>
      <w:proofErr w:type="spellStart"/>
      <w:r w:rsidRPr="000148D4">
        <w:rPr>
          <w:rFonts w:ascii="Times New Roman" w:eastAsia="Times New Roman" w:hAnsi="Times New Roman" w:cs="Times New Roman"/>
          <w:bCs/>
          <w:color w:val="000000"/>
          <w:sz w:val="24"/>
          <w:szCs w:val="24"/>
        </w:rPr>
        <w:t>Ustadzah</w:t>
      </w:r>
      <w:proofErr w:type="spellEnd"/>
      <w:r w:rsidRPr="000148D4">
        <w:rPr>
          <w:rFonts w:ascii="Times New Roman" w:eastAsia="Times New Roman" w:hAnsi="Times New Roman" w:cs="Times New Roman"/>
          <w:bCs/>
          <w:color w:val="000000"/>
          <w:sz w:val="24"/>
          <w:szCs w:val="24"/>
        </w:rPr>
        <w:t xml:space="preserve"> </w:t>
      </w:r>
      <w:proofErr w:type="spellStart"/>
      <w:r w:rsidRPr="000148D4">
        <w:rPr>
          <w:rFonts w:ascii="Times New Roman" w:eastAsia="Times New Roman" w:hAnsi="Times New Roman" w:cs="Times New Roman"/>
          <w:bCs/>
          <w:color w:val="000000"/>
          <w:sz w:val="24"/>
          <w:szCs w:val="24"/>
        </w:rPr>
        <w:t>Kholifah</w:t>
      </w:r>
      <w:proofErr w:type="spellEnd"/>
      <w:r w:rsidRPr="000148D4">
        <w:rPr>
          <w:rFonts w:ascii="Times New Roman" w:eastAsia="Times New Roman" w:hAnsi="Times New Roman" w:cs="Times New Roman"/>
          <w:bCs/>
          <w:color w:val="000000"/>
          <w:sz w:val="24"/>
          <w:szCs w:val="24"/>
        </w:rPr>
        <w:t>, stated that she no longer uses one textbook for all her students. She now divides students into several learning categories based on initial assessments of their reading, writing, and vocabulary comprehension skills. Each group is given modified teaching materials, both in terms of complexity, visual presentation, and activity options. This strategy is known in the pedagogical approach as differentiated instruction, which adapts teaching to the diversity of students</w:t>
      </w:r>
      <w:r w:rsidR="00066BCA">
        <w:rPr>
          <w:rFonts w:ascii="Times New Roman" w:eastAsia="Times New Roman" w:hAnsi="Times New Roman" w:cs="Times New Roman"/>
          <w:bCs/>
          <w:color w:val="000000"/>
          <w:sz w:val="24"/>
          <w:szCs w:val="24"/>
        </w:rPr>
        <w:t xml:space="preserve"> </w:t>
      </w:r>
      <w:r w:rsidRPr="000148D4">
        <w:rPr>
          <w:rFonts w:ascii="Times New Roman" w:eastAsia="Times New Roman" w:hAnsi="Times New Roman" w:cs="Times New Roman"/>
          <w:bCs/>
          <w:color w:val="000000"/>
          <w:sz w:val="24"/>
          <w:szCs w:val="24"/>
        </w:rPr>
        <w:fldChar w:fldCharType="begin"/>
      </w:r>
      <w:r w:rsidR="00066BCA">
        <w:rPr>
          <w:rFonts w:ascii="Times New Roman" w:eastAsia="Times New Roman" w:hAnsi="Times New Roman" w:cs="Times New Roman"/>
          <w:bCs/>
          <w:color w:val="000000"/>
          <w:sz w:val="24"/>
          <w:szCs w:val="24"/>
        </w:rPr>
        <w:instrText xml:space="preserve"> ADDIN ZOTERO_ITEM CSL_CITATION {"citationID":"YMQscLQr","properties":{"formattedCitation":"(Gheyssens et al., 2022)","plainCitation":"(Gheyssens et al., 2022)","noteIndex":0},"citationItems":[{"id":"eqbFgLeb/Mjilyoz4","uris":["http://zotero.org/users/local/HTLpg2la/items/HQTYGXE8"],"itemData":{"id":514,"type":"article-journal","abstract":"Differentiated instruction (DI) addresses academic diversity in order to maximise learning. Although it is theorised as both a philosophy and as a praxis of teaching, it is rarely measured as such. This study examines teacher profiles on differentiated instruction relating to their philosophy and self-reported praxis. The data stem from an exploratory study on differentiated instruction, which served the purpose of creating a valid instrument to measure teachers’ philosophy and teaching approaches relating to academic differences in interests, readiness and learning profiles, namely the DI-Quest instrument. The results reveal three teacher profiles based on five DI-related factors. The patterns are almost identical in primary and in secondary education. Interestingly, if more frequent adaptations to students’ differences in interests, readiness and learning profile are what differentiated instruction aims for, both philosophical factors (namely growth mindset and ethical compass oriented to students) need to be present. Lacking one of these factors, will have less adaptations as a consequence. This study displays the predictive power of teachers’ philosophy about Differentiated Instruction for their daily classroom practices. Consequences for future research, professional development and teacher education are discussed in detail.","container-title":"International Journal of Inclusive Education","DOI":"10.1080/13603116.2020.1812739","ISSN":"1360-3116","issue":"14","note":"publisher: Routledge\n_eprint: https://doi.org/10.1080/13603116.2020.1812739","page":"1383-1400","source":"Taylor and Francis+NEJM","title":"Differentiated instruction: the diversity of teachers’ philosophy and praxis to adapt teaching to students’ interests, readiness and learning profiles","title-short":"Differentiated instruction","volume":"26","author":[{"family":"Gheyssens","given":"Esther"},{"family":"","given":"Coubergs ,Catherine"},{"family":"","given":"Griful-Freixenet ,Júlia"},{"family":"","given":"Engels ,Nadine"},{"family":"Struyven","given":"Katrien","non-dropping-particle":"and"}],"issued":{"date-parts":[["2022",12,6]]}}}],"schema":"https://github.com/citation-style-language/schema/raw/master/csl-citation.json"} </w:instrText>
      </w:r>
      <w:r w:rsidRPr="000148D4">
        <w:rPr>
          <w:rFonts w:ascii="Times New Roman" w:eastAsia="Times New Roman" w:hAnsi="Times New Roman" w:cs="Times New Roman"/>
          <w:bCs/>
          <w:color w:val="000000"/>
          <w:sz w:val="24"/>
          <w:szCs w:val="24"/>
        </w:rPr>
        <w:fldChar w:fldCharType="separate"/>
      </w:r>
      <w:r w:rsidRPr="000148D4">
        <w:rPr>
          <w:rFonts w:ascii="Times New Roman" w:eastAsia="Times New Roman" w:hAnsi="Times New Roman" w:cs="Times New Roman"/>
          <w:bCs/>
          <w:color w:val="000000"/>
          <w:sz w:val="24"/>
          <w:szCs w:val="24"/>
        </w:rPr>
        <w:t>(Gheyssens et al., 2022)</w:t>
      </w:r>
      <w:r w:rsidRPr="000148D4">
        <w:rPr>
          <w:rFonts w:ascii="Times New Roman" w:eastAsia="Times New Roman" w:hAnsi="Times New Roman" w:cs="Times New Roman"/>
          <w:bCs/>
          <w:color w:val="000000"/>
          <w:sz w:val="24"/>
          <w:szCs w:val="24"/>
        </w:rPr>
        <w:fldChar w:fldCharType="end"/>
      </w:r>
      <w:r w:rsidRPr="000148D4">
        <w:rPr>
          <w:rFonts w:ascii="Times New Roman" w:eastAsia="Times New Roman" w:hAnsi="Times New Roman" w:cs="Times New Roman"/>
          <w:bCs/>
          <w:color w:val="000000"/>
          <w:sz w:val="24"/>
          <w:szCs w:val="24"/>
        </w:rPr>
        <w:t>.</w:t>
      </w:r>
    </w:p>
    <w:p w14:paraId="33FB1951" w14:textId="7AAFBF03" w:rsidR="000148D4" w:rsidRPr="000148D4" w:rsidRDefault="000148D4" w:rsidP="000148D4">
      <w:pPr>
        <w:spacing w:after="0" w:line="240" w:lineRule="auto"/>
        <w:ind w:firstLine="720"/>
        <w:jc w:val="both"/>
        <w:rPr>
          <w:rFonts w:ascii="Times New Roman" w:eastAsia="Times New Roman" w:hAnsi="Times New Roman" w:cs="Times New Roman"/>
          <w:bCs/>
          <w:color w:val="000000"/>
          <w:sz w:val="24"/>
          <w:szCs w:val="24"/>
        </w:rPr>
      </w:pPr>
      <w:r w:rsidRPr="000148D4">
        <w:rPr>
          <w:rFonts w:ascii="Times New Roman" w:eastAsia="Times New Roman" w:hAnsi="Times New Roman" w:cs="Times New Roman"/>
          <w:bCs/>
          <w:color w:val="000000"/>
          <w:sz w:val="24"/>
          <w:szCs w:val="24"/>
        </w:rPr>
        <w:t>Teachers also play a role as mediators who bridge the gap between the learning objectives that have been set and the reality of students' limitations</w:t>
      </w:r>
      <w:r w:rsidR="00066BCA">
        <w:rPr>
          <w:rFonts w:ascii="Times New Roman" w:eastAsia="Times New Roman" w:hAnsi="Times New Roman" w:cs="Times New Roman"/>
          <w:bCs/>
          <w:color w:val="000000"/>
          <w:sz w:val="24"/>
          <w:szCs w:val="24"/>
        </w:rPr>
        <w:t xml:space="preserve"> </w:t>
      </w:r>
      <w:r w:rsidRPr="000148D4">
        <w:rPr>
          <w:rFonts w:ascii="Times New Roman" w:eastAsia="Times New Roman" w:hAnsi="Times New Roman" w:cs="Times New Roman"/>
          <w:bCs/>
          <w:color w:val="000000"/>
          <w:sz w:val="24"/>
          <w:szCs w:val="24"/>
        </w:rPr>
        <w:fldChar w:fldCharType="begin"/>
      </w:r>
      <w:r w:rsidR="00066BCA">
        <w:rPr>
          <w:rFonts w:ascii="Times New Roman" w:eastAsia="Times New Roman" w:hAnsi="Times New Roman" w:cs="Times New Roman"/>
          <w:bCs/>
          <w:color w:val="000000"/>
          <w:sz w:val="24"/>
          <w:szCs w:val="24"/>
        </w:rPr>
        <w:instrText xml:space="preserve"> ADDIN ZOTERO_ITEM CSL_CITATION {"citationID":"hzp8RCOb","properties":{"formattedCitation":"(Leow et al., 2022)","plainCitation":"(Leow et al., 2022)","noteIndex":0},"citationItems":[{"id":"eqbFgLeb/kpI6Ew3X","uris":["http://zotero.org/users/local/HTLpg2la/items/3IZQH4Q9"],"itemData":{"id":528,"type":"article-journal","abstract":"This study investigated the researcher–teacher interface issue by exploring second language (L2) teachers’ experiences of being involved in a large instructed second language acquisition empirical study aimed at curricular changes. The study addressed two goals. First, by involving the entire teaching staff at all levels of the multisection language teaching program in the administration of the empirical study, it examined the interface at the individual and the professional level. Second, by involving the teachers in every aspect of the study, it investigated the interface at the curricular level. Participants were 27 L2 teachers of Spanish at a private research university in the United States comprising graduate students of all disciplines and full-time and adjunct faculty. The interface data were obtained via a survey with questions related to teachers’ academic backgrounds, pedagogical beliefs, experiences with academic journals, beliefs regarding the present study, overall experience, and their involvement in the research project. Two teachers also participated in in-depth personal reflections. The results showed that the active participation by the teachers raised their level of awareness of the researcher–teacher and research–curriculum interfaces and also increased their overall personal and professional development as informed teachers who employ theoretically driven and empirically supported activities in their lesson plans.","container-title":"The Modern Language Journal","DOI":"10.1111/modl.12799","ISSN":"1540-4781","issue":"3","language":"en","license":"© National Federation of Modern Language Teachers Associations.","note":"_eprint: https://onlinelibrary.wiley.com/doi/pdf/10.1111/modl.12799","page":"564-582","source":"Wiley Online Library","title":"Bridging the Gap Between Researchers and Teachers: A Curricular Perspective","title-short":"Bridging the Gap Between Researchers and Teachers","volume":"106","author":[{"family":"Leow","given":"Ronald P."},{"family":"Thinglum","given":"Anne"},{"family":"Havenne","given":"Maude"},{"family":"Tseng","given":"Rina"}],"issued":{"date-parts":[["2022"]]}}}],"schema":"https://github.com/citation-style-language/schema/raw/master/csl-citation.json"} </w:instrText>
      </w:r>
      <w:r w:rsidRPr="000148D4">
        <w:rPr>
          <w:rFonts w:ascii="Times New Roman" w:eastAsia="Times New Roman" w:hAnsi="Times New Roman" w:cs="Times New Roman"/>
          <w:bCs/>
          <w:color w:val="000000"/>
          <w:sz w:val="24"/>
          <w:szCs w:val="24"/>
        </w:rPr>
        <w:fldChar w:fldCharType="separate"/>
      </w:r>
      <w:r w:rsidRPr="000148D4">
        <w:rPr>
          <w:rFonts w:ascii="Times New Roman" w:eastAsia="Times New Roman" w:hAnsi="Times New Roman" w:cs="Times New Roman"/>
          <w:bCs/>
          <w:color w:val="000000"/>
          <w:sz w:val="24"/>
          <w:szCs w:val="24"/>
        </w:rPr>
        <w:t>(Leow et al., 2022)</w:t>
      </w:r>
      <w:r w:rsidRPr="000148D4">
        <w:rPr>
          <w:rFonts w:ascii="Times New Roman" w:eastAsia="Times New Roman" w:hAnsi="Times New Roman" w:cs="Times New Roman"/>
          <w:bCs/>
          <w:color w:val="000000"/>
          <w:sz w:val="24"/>
          <w:szCs w:val="24"/>
        </w:rPr>
        <w:fldChar w:fldCharType="end"/>
      </w:r>
      <w:r w:rsidR="00066BCA">
        <w:rPr>
          <w:rFonts w:ascii="Times New Roman" w:eastAsia="Times New Roman" w:hAnsi="Times New Roman" w:cs="Times New Roman"/>
          <w:bCs/>
          <w:color w:val="000000"/>
          <w:sz w:val="24"/>
          <w:szCs w:val="24"/>
        </w:rPr>
        <w:t xml:space="preserve">. </w:t>
      </w:r>
      <w:r w:rsidRPr="000148D4">
        <w:rPr>
          <w:rFonts w:ascii="Times New Roman" w:eastAsia="Times New Roman" w:hAnsi="Times New Roman" w:cs="Times New Roman"/>
          <w:bCs/>
          <w:color w:val="000000"/>
          <w:sz w:val="24"/>
          <w:szCs w:val="24"/>
        </w:rPr>
        <w:t>This is demonstrated through the adaptation of teaching techniques such as the use of visual storytelling, game-based learning, and the integration of simple technologies like interactive videos. These strategies have proven effective in increasing student attention and strengthening their understanding of Arabic vocabulary previously considered abstract and difficult for students with special needs to access.</w:t>
      </w:r>
    </w:p>
    <w:p w14:paraId="430701A2" w14:textId="6891B4A6" w:rsidR="000148D4" w:rsidRPr="000148D4" w:rsidRDefault="000148D4" w:rsidP="000148D4">
      <w:pPr>
        <w:spacing w:after="0" w:line="240" w:lineRule="auto"/>
        <w:ind w:firstLine="720"/>
        <w:jc w:val="both"/>
        <w:rPr>
          <w:rFonts w:ascii="Times New Roman" w:eastAsia="Times New Roman" w:hAnsi="Times New Roman" w:cs="Times New Roman"/>
          <w:bCs/>
          <w:color w:val="000000"/>
          <w:sz w:val="24"/>
          <w:szCs w:val="24"/>
        </w:rPr>
      </w:pPr>
      <w:r w:rsidRPr="000148D4">
        <w:rPr>
          <w:rFonts w:ascii="Times New Roman" w:eastAsia="Times New Roman" w:hAnsi="Times New Roman" w:cs="Times New Roman"/>
          <w:bCs/>
          <w:color w:val="000000"/>
          <w:sz w:val="24"/>
          <w:szCs w:val="24"/>
        </w:rPr>
        <w:t>Furthermore, teachers play an active role in creating a socially and emotionally inclusive classroom environment</w:t>
      </w:r>
      <w:r w:rsidR="00066BCA">
        <w:rPr>
          <w:rFonts w:ascii="Times New Roman" w:eastAsia="Times New Roman" w:hAnsi="Times New Roman" w:cs="Times New Roman"/>
          <w:bCs/>
          <w:color w:val="000000"/>
          <w:sz w:val="24"/>
          <w:szCs w:val="24"/>
        </w:rPr>
        <w:t xml:space="preserve"> </w:t>
      </w:r>
      <w:r w:rsidRPr="000148D4">
        <w:rPr>
          <w:rFonts w:ascii="Times New Roman" w:eastAsia="Times New Roman" w:hAnsi="Times New Roman" w:cs="Times New Roman"/>
          <w:bCs/>
          <w:color w:val="000000"/>
          <w:sz w:val="24"/>
          <w:szCs w:val="24"/>
        </w:rPr>
        <w:fldChar w:fldCharType="begin"/>
      </w:r>
      <w:r w:rsidR="00066BCA">
        <w:rPr>
          <w:rFonts w:ascii="Times New Roman" w:eastAsia="Times New Roman" w:hAnsi="Times New Roman" w:cs="Times New Roman"/>
          <w:bCs/>
          <w:color w:val="000000"/>
          <w:sz w:val="24"/>
          <w:szCs w:val="24"/>
        </w:rPr>
        <w:instrText xml:space="preserve"> ADDIN ZOTERO_ITEM CSL_CITATION {"citationID":"Yt1IJsT7","properties":{"formattedCitation":"(Ibarra, 2022)","plainCitation":"(Ibarra, 2022)","noteIndex":0},"citationItems":[{"id":"eqbFgLeb/VdASt4Dx","uris":["http://zotero.org/users/local/HTLpg2la/items/69XL8IPK"],"itemData":{"id":530,"type":"article-journal","abstract":"This inquiry examines the benefits of utilizing social-emotional learning in today’s classrooms to address students’ academic and social-emotional needs. Now, more than ever, as teachers have transitioned from remote instruction to face-to-face or blended learning, particular emphasis must be placed on addressing students’ social and emotional needs (Fagell, 2021) while addressing learning loss. Social-emotional learning (SEL) may have been in place in school systems before the COVID-19 pandemic; however, understanding SEL and the instructional practices that contribute to developing a learning environment that nourishes students’ sense of belonging is necessary to inform teacher pedagogical practices post-pandemic. Teachers play a critical role in establishing a learning environment suitable for nurturing students’ sense of belonging (Jennings &amp;amp; Greenberg, 2009). As teachers attempt to provide a sense of normalcy in the classroom, they must skillfully balance designing instruction, creating an inviting classroom community, and helping students “feel” safe and supported.","container-title":"Current Issues in Education","DOI":"10.14507/cie.vol23iss2.2049","ISSN":"1099-839X","issue":"2","language":"en","license":"Copyright (c) 2022 Blanca N. Ibarra","note":"number: 2","source":"cie.asu.edu","title":"Understanding SEL to Create a Sense of Belonging: The Role Teachers Play in Addressing Students’ Social and Emotional Well-Being","title-short":"Understanding SEL to Create a Sense of Belonging","URL":"https://cie.asu.edu/ojs/index.php/cieatasu/article/view/2049","volume":"23","author":[{"family":"Ibarra","given":"Blanca N."}],"accessed":{"date-parts":[["2025",6,3]]},"issued":{"date-parts":[["2022",10,21]]}}}],"schema":"https://github.com/citation-style-language/schema/raw/master/csl-citation.json"} </w:instrText>
      </w:r>
      <w:r w:rsidRPr="000148D4">
        <w:rPr>
          <w:rFonts w:ascii="Times New Roman" w:eastAsia="Times New Roman" w:hAnsi="Times New Roman" w:cs="Times New Roman"/>
          <w:bCs/>
          <w:color w:val="000000"/>
          <w:sz w:val="24"/>
          <w:szCs w:val="24"/>
        </w:rPr>
        <w:fldChar w:fldCharType="separate"/>
      </w:r>
      <w:r w:rsidRPr="000148D4">
        <w:rPr>
          <w:rFonts w:ascii="Times New Roman" w:eastAsia="Times New Roman" w:hAnsi="Times New Roman" w:cs="Times New Roman"/>
          <w:bCs/>
          <w:color w:val="000000"/>
          <w:sz w:val="24"/>
          <w:szCs w:val="24"/>
        </w:rPr>
        <w:t>(Ibarra, 2022)</w:t>
      </w:r>
      <w:r w:rsidRPr="000148D4">
        <w:rPr>
          <w:rFonts w:ascii="Times New Roman" w:eastAsia="Times New Roman" w:hAnsi="Times New Roman" w:cs="Times New Roman"/>
          <w:bCs/>
          <w:color w:val="000000"/>
          <w:sz w:val="24"/>
          <w:szCs w:val="24"/>
        </w:rPr>
        <w:fldChar w:fldCharType="end"/>
      </w:r>
      <w:r w:rsidR="00066BCA">
        <w:rPr>
          <w:rFonts w:ascii="Times New Roman" w:eastAsia="Times New Roman" w:hAnsi="Times New Roman" w:cs="Times New Roman"/>
          <w:bCs/>
          <w:color w:val="000000"/>
          <w:sz w:val="24"/>
          <w:szCs w:val="24"/>
        </w:rPr>
        <w:t xml:space="preserve">. </w:t>
      </w:r>
      <w:r w:rsidRPr="000148D4">
        <w:rPr>
          <w:rFonts w:ascii="Times New Roman" w:eastAsia="Times New Roman" w:hAnsi="Times New Roman" w:cs="Times New Roman"/>
          <w:bCs/>
          <w:color w:val="000000"/>
          <w:sz w:val="24"/>
          <w:szCs w:val="24"/>
        </w:rPr>
        <w:t>They structure their classes to allow for collaboration between more capable students and those who need support, through the formation of learning pairs or small groups. This practice is based on Vygotsky's theory of the zone of proximal development, where students can reach their learning potential through the assistance of others who are more competent</w:t>
      </w:r>
      <w:r w:rsidR="00066BCA">
        <w:rPr>
          <w:rFonts w:ascii="Times New Roman" w:eastAsia="Times New Roman" w:hAnsi="Times New Roman" w:cs="Times New Roman"/>
          <w:bCs/>
          <w:color w:val="000000"/>
          <w:sz w:val="24"/>
          <w:szCs w:val="24"/>
        </w:rPr>
        <w:t xml:space="preserve"> </w:t>
      </w:r>
      <w:r w:rsidRPr="000148D4">
        <w:rPr>
          <w:rFonts w:ascii="Times New Roman" w:eastAsia="Times New Roman" w:hAnsi="Times New Roman" w:cs="Times New Roman"/>
          <w:bCs/>
          <w:color w:val="000000"/>
          <w:sz w:val="24"/>
          <w:szCs w:val="24"/>
        </w:rPr>
        <w:fldChar w:fldCharType="begin"/>
      </w:r>
      <w:r w:rsidR="00066BCA">
        <w:rPr>
          <w:rFonts w:ascii="Times New Roman" w:eastAsia="Times New Roman" w:hAnsi="Times New Roman" w:cs="Times New Roman"/>
          <w:bCs/>
          <w:color w:val="000000"/>
          <w:sz w:val="24"/>
          <w:szCs w:val="24"/>
        </w:rPr>
        <w:instrText xml:space="preserve"> ADDIN ZOTERO_ITEM CSL_CITATION {"citationID":"E35ILdBs","properties":{"formattedCitation":"(Hamdani &amp; Yousif, 2025)","plainCitation":"(Hamdani &amp; Yousif, 2025)","noteIndex":0},"citationItems":[{"id":"eqbFgLeb/fMcrL5UL","uris":["http://zotero.org/users/local/HTLpg2la/items/SVUZWM6R"],"itemData":{"id":532,"type":"article-journal","abstract":"Artificial Intelligence has the potential to revolutionize modern education by providing personalized learning experiences, automating administrative tasks, facilitating communication between educators and students, and enabling new forms of assessment. This paper illustrates the integration of Vygotsky's Zone of Proximal Development (ZPD) with modern education methods, integrating human instruction and artificial intelligence (AI). The ZPD model describes the terrain between what a learner can accomplish independently and what they can be taught with the assistance of an instructor. The learner is at the center of this model, whose learning trajectory is directed by the instructor and modern AI tools. The convergence of these forces within the ZPD creates a highly efficient learning process where support is adaptive and tailored to the individual. Scaffolding, the key construct in ZPD, is provided via expert instructor instruction and AI-generated personal feedback. While the instructor provides pedagogical expertise and emotional support, AI platforms provide data-informed, real-time feedback tailored to personal learning needs. This hybrid support structure facilitates incremental skill acquisition and confidence build-up, resulting in measurable progress in learning. The outcome is a transition toward self-directed learning, which is a key proof of education advancement and mental development. By incorporating the technologies into the traditional teacher-student model, the suggested model identifies the future of learner-centered instruction. It aligns teaching approaches with individualized, technology-driven learning to enable sustainable academic achievement. The model also reaffirms the role of teachers as learning facilitators, leveraging AI to optimize learning paths.","container-title":"Applied Computing Journal","DOI":"10.52098/acj.20255239","ISSN":"2788-9688","language":"en","license":"Copyright (c) 2025 Author(s) and ACAA permit unrestricted use, distribution, and reproduction in any medium, provided the original work with proper citation. This work is open access and licensed under Creative Commons Attribution International License (CC BY 4.0).","page":"386-398","source":"testojs.acaa-p.com","title":"Artificial Intelligence Revolution for Enhancing Modern Education Using Zone of Proximal Development Approach","author":[{"family":"Hamdani","given":"Dawood Al"},{"family":"Yousif","given":"Jabar H."}],"issued":{"date-parts":[["2025",3,30]]}}}],"schema":"https://github.com/citation-style-language/schema/raw/master/csl-citation.json"} </w:instrText>
      </w:r>
      <w:r w:rsidRPr="000148D4">
        <w:rPr>
          <w:rFonts w:ascii="Times New Roman" w:eastAsia="Times New Roman" w:hAnsi="Times New Roman" w:cs="Times New Roman"/>
          <w:bCs/>
          <w:color w:val="000000"/>
          <w:sz w:val="24"/>
          <w:szCs w:val="24"/>
        </w:rPr>
        <w:fldChar w:fldCharType="separate"/>
      </w:r>
      <w:r w:rsidRPr="000148D4">
        <w:rPr>
          <w:rFonts w:ascii="Times New Roman" w:eastAsia="Times New Roman" w:hAnsi="Times New Roman" w:cs="Times New Roman"/>
          <w:bCs/>
          <w:color w:val="000000"/>
          <w:sz w:val="24"/>
          <w:szCs w:val="24"/>
        </w:rPr>
        <w:t>(Hamdani &amp; Yousif, 2025)</w:t>
      </w:r>
      <w:r w:rsidRPr="000148D4">
        <w:rPr>
          <w:rFonts w:ascii="Times New Roman" w:eastAsia="Times New Roman" w:hAnsi="Times New Roman" w:cs="Times New Roman"/>
          <w:bCs/>
          <w:color w:val="000000"/>
          <w:sz w:val="24"/>
          <w:szCs w:val="24"/>
        </w:rPr>
        <w:fldChar w:fldCharType="end"/>
      </w:r>
      <w:r w:rsidRPr="000148D4">
        <w:rPr>
          <w:rFonts w:ascii="Times New Roman" w:eastAsia="Times New Roman" w:hAnsi="Times New Roman" w:cs="Times New Roman"/>
          <w:bCs/>
          <w:color w:val="000000"/>
          <w:sz w:val="24"/>
          <w:szCs w:val="24"/>
        </w:rPr>
        <w:t>.</w:t>
      </w:r>
    </w:p>
    <w:p w14:paraId="7ED66915" w14:textId="77777777" w:rsidR="000148D4" w:rsidRPr="000148D4" w:rsidRDefault="000148D4" w:rsidP="000148D4">
      <w:pPr>
        <w:spacing w:after="0" w:line="240" w:lineRule="auto"/>
        <w:ind w:firstLine="720"/>
        <w:jc w:val="both"/>
        <w:rPr>
          <w:rFonts w:ascii="Times New Roman" w:eastAsia="Times New Roman" w:hAnsi="Times New Roman" w:cs="Times New Roman"/>
          <w:bCs/>
          <w:color w:val="000000"/>
          <w:sz w:val="24"/>
          <w:szCs w:val="24"/>
        </w:rPr>
      </w:pPr>
      <w:r w:rsidRPr="000148D4">
        <w:rPr>
          <w:rFonts w:ascii="Times New Roman" w:eastAsia="Times New Roman" w:hAnsi="Times New Roman" w:cs="Times New Roman"/>
          <w:bCs/>
          <w:color w:val="000000"/>
          <w:sz w:val="24"/>
          <w:szCs w:val="24"/>
        </w:rPr>
        <w:t>However, implementing this strategy is not without challenges. Teachers face obstacles such as increased workloads, a lack of specific training on inclusive education, and limited time to develop comprehensively tailored teaching materials. Despite this, teachers demonstrate a strong desire to continue innovating, recognizing that this more humane approach to learning positively impacts students' learning motivation.</w:t>
      </w:r>
    </w:p>
    <w:p w14:paraId="028A448B" w14:textId="6AF36ED8" w:rsidR="000148D4" w:rsidRPr="000148D4" w:rsidRDefault="000148D4" w:rsidP="000148D4">
      <w:pPr>
        <w:spacing w:after="0" w:line="240" w:lineRule="auto"/>
        <w:ind w:firstLine="720"/>
        <w:jc w:val="both"/>
        <w:rPr>
          <w:rFonts w:ascii="Times New Roman" w:eastAsia="Times New Roman" w:hAnsi="Times New Roman" w:cs="Times New Roman"/>
          <w:bCs/>
          <w:color w:val="000000"/>
          <w:sz w:val="24"/>
          <w:szCs w:val="24"/>
        </w:rPr>
      </w:pPr>
      <w:r w:rsidRPr="000148D4">
        <w:rPr>
          <w:rFonts w:ascii="Times New Roman" w:eastAsia="Times New Roman" w:hAnsi="Times New Roman" w:cs="Times New Roman"/>
          <w:bCs/>
          <w:color w:val="000000"/>
          <w:sz w:val="24"/>
          <w:szCs w:val="24"/>
        </w:rPr>
        <w:t>To address these challenges, collective strategies were developed. One concrete effort was the initiative to form small teams of Arabic language teachers to share learning resources, discuss student needs, and collaboratively develop adaptive teaching materials. This type of collaboration supports the professional learning community (PLC) model, which has been proven to increase learning effectiveness across various educational contexts</w:t>
      </w:r>
      <w:r w:rsidR="00066BCA">
        <w:rPr>
          <w:rFonts w:ascii="Times New Roman" w:eastAsia="Times New Roman" w:hAnsi="Times New Roman" w:cs="Times New Roman"/>
          <w:bCs/>
          <w:color w:val="000000"/>
          <w:sz w:val="24"/>
          <w:szCs w:val="24"/>
        </w:rPr>
        <w:t xml:space="preserve"> </w:t>
      </w:r>
      <w:r w:rsidRPr="000148D4">
        <w:rPr>
          <w:rFonts w:ascii="Times New Roman" w:eastAsia="Times New Roman" w:hAnsi="Times New Roman" w:cs="Times New Roman"/>
          <w:bCs/>
          <w:color w:val="000000"/>
          <w:sz w:val="24"/>
          <w:szCs w:val="24"/>
        </w:rPr>
        <w:fldChar w:fldCharType="begin"/>
      </w:r>
      <w:r w:rsidR="00066BCA">
        <w:rPr>
          <w:rFonts w:ascii="Times New Roman" w:eastAsia="Times New Roman" w:hAnsi="Times New Roman" w:cs="Times New Roman"/>
          <w:bCs/>
          <w:color w:val="000000"/>
          <w:sz w:val="24"/>
          <w:szCs w:val="24"/>
        </w:rPr>
        <w:instrText xml:space="preserve"> ADDIN ZOTERO_ITEM CSL_CITATION {"citationID":"D14Li2Sw","properties":{"formattedCitation":"(Johnson &amp; and Voelkel, 2021)","plainCitation":"(Johnson &amp; and Voelkel, 2021)","dontUpdate":true,"noteIndex":0},"citationItems":[{"id":"eqbFgLeb/KI0iPZs7","uris":["http://zotero.org/users/local/HTLpg2la/items/YT3RFE8S"],"itemData":{"id":534,"type":"article-journal","abstract":"Increasingly, research suggests that successful professional learning communities (PLCs) worldwide need effective principals to strengthen pedagogy and develop skills that facilitate team planning to increase student achievement. Using immersive simulations to help teachers build skills and increase self-efficacy is also supported in research. Few studies, however, address using immersive simulations as a pedagogical tool to build skills and increase self-efficacy for educational leaders at the state, national, or international levels. This study examined the application of immersive simulations to increase leader capacity and self-efficacy for 46 K-12 school and district leaders in Georgia, USA. Leaders identified improvement in three critical skill areas all leaders need to build and support highly engaged PLC teams: conscious communications, active listening, and authentic engagement.","container-title":"International Journal of Leadership in Education","DOI":"10.1080/13603124.2019.1600039","ISSN":"1360-3124","issue":"3","note":"publisher: Routledge\n_eprint: https://doi.org/10.1080/13603124.2019.1600039","page":"313-332","source":"Taylor and Francis+NEJM","title":"Developing increased leader capacity to support effective professional learning community teams","volume":"24","author":[{"family":"Johnson","given":"Christie W."},{"family":"Voelkel","given":"Robert H.","non-dropping-particle":"and"}],"issued":{"date-parts":[["2021",5,4]]}}}],"schema":"https://github.com/citation-style-language/schema/raw/master/csl-citation.json"} </w:instrText>
      </w:r>
      <w:r w:rsidRPr="000148D4">
        <w:rPr>
          <w:rFonts w:ascii="Times New Roman" w:eastAsia="Times New Roman" w:hAnsi="Times New Roman" w:cs="Times New Roman"/>
          <w:bCs/>
          <w:color w:val="000000"/>
          <w:sz w:val="24"/>
          <w:szCs w:val="24"/>
        </w:rPr>
        <w:fldChar w:fldCharType="separate"/>
      </w:r>
      <w:r w:rsidRPr="000148D4">
        <w:rPr>
          <w:rFonts w:ascii="Times New Roman" w:eastAsia="Times New Roman" w:hAnsi="Times New Roman" w:cs="Times New Roman"/>
          <w:bCs/>
          <w:color w:val="000000"/>
          <w:sz w:val="24"/>
          <w:szCs w:val="24"/>
        </w:rPr>
        <w:t>(Johnson &amp; Voelkel, 2021)</w:t>
      </w:r>
      <w:r w:rsidRPr="000148D4">
        <w:rPr>
          <w:rFonts w:ascii="Times New Roman" w:eastAsia="Times New Roman" w:hAnsi="Times New Roman" w:cs="Times New Roman"/>
          <w:bCs/>
          <w:color w:val="000000"/>
          <w:sz w:val="24"/>
          <w:szCs w:val="24"/>
        </w:rPr>
        <w:fldChar w:fldCharType="end"/>
      </w:r>
      <w:r w:rsidRPr="000148D4">
        <w:rPr>
          <w:rFonts w:ascii="Times New Roman" w:eastAsia="Times New Roman" w:hAnsi="Times New Roman" w:cs="Times New Roman"/>
          <w:bCs/>
          <w:color w:val="000000"/>
          <w:sz w:val="24"/>
          <w:szCs w:val="24"/>
        </w:rPr>
        <w:t>.</w:t>
      </w:r>
    </w:p>
    <w:p w14:paraId="0D7429FE" w14:textId="77777777" w:rsidR="000148D4" w:rsidRPr="000148D4" w:rsidRDefault="000148D4" w:rsidP="000148D4">
      <w:pPr>
        <w:spacing w:after="0" w:line="240" w:lineRule="auto"/>
        <w:ind w:firstLine="720"/>
        <w:jc w:val="both"/>
        <w:rPr>
          <w:rFonts w:ascii="Times New Roman" w:eastAsia="Times New Roman" w:hAnsi="Times New Roman" w:cs="Times New Roman"/>
          <w:bCs/>
          <w:color w:val="000000"/>
          <w:sz w:val="24"/>
          <w:szCs w:val="24"/>
        </w:rPr>
      </w:pPr>
      <w:r w:rsidRPr="000148D4">
        <w:rPr>
          <w:rFonts w:ascii="Times New Roman" w:eastAsia="Times New Roman" w:hAnsi="Times New Roman" w:cs="Times New Roman"/>
          <w:bCs/>
          <w:color w:val="000000"/>
          <w:sz w:val="24"/>
          <w:szCs w:val="24"/>
        </w:rPr>
        <w:t>Other findings indicate that implementation strategies also impact the realm of learning evaluation. Teachers are beginning to implement more flexible formative assessments, such as portfolios, reflective journals, and project-based assessments, replacing the dominance of conventional written tests. This is intended to ensure that assessments better reflect students' learning processes, rather than merely static end results.</w:t>
      </w:r>
    </w:p>
    <w:p w14:paraId="3C7BB02C" w14:textId="77777777" w:rsidR="000148D4" w:rsidRPr="000148D4" w:rsidRDefault="000148D4" w:rsidP="000148D4">
      <w:pPr>
        <w:spacing w:after="0" w:line="240" w:lineRule="auto"/>
        <w:ind w:firstLine="720"/>
        <w:jc w:val="both"/>
        <w:rPr>
          <w:rFonts w:ascii="Times New Roman" w:eastAsia="Times New Roman" w:hAnsi="Times New Roman" w:cs="Times New Roman"/>
          <w:bCs/>
          <w:color w:val="000000"/>
          <w:sz w:val="24"/>
          <w:szCs w:val="24"/>
        </w:rPr>
      </w:pPr>
      <w:r w:rsidRPr="000148D4">
        <w:rPr>
          <w:rFonts w:ascii="Times New Roman" w:eastAsia="Times New Roman" w:hAnsi="Times New Roman" w:cs="Times New Roman"/>
          <w:bCs/>
          <w:color w:val="000000"/>
          <w:sz w:val="24"/>
          <w:szCs w:val="24"/>
        </w:rPr>
        <w:t xml:space="preserve">Furthermore, the teaching approach used by teachers tends toward contextual methods, where Arabic language material is linked to students' daily activities. For example, in vocabulary material about food, students are encouraged to identify the </w:t>
      </w:r>
      <w:r w:rsidRPr="000148D4">
        <w:rPr>
          <w:rFonts w:ascii="Times New Roman" w:eastAsia="Times New Roman" w:hAnsi="Times New Roman" w:cs="Times New Roman"/>
          <w:bCs/>
          <w:color w:val="000000"/>
          <w:sz w:val="24"/>
          <w:szCs w:val="24"/>
        </w:rPr>
        <w:lastRenderedPageBreak/>
        <w:t>names of foods they consume at home and then write them in Arabic. This type of activity is not only linguistically relevant but also fosters emotional engagement with the material.</w:t>
      </w:r>
    </w:p>
    <w:p w14:paraId="7022499E" w14:textId="77777777" w:rsidR="000148D4" w:rsidRPr="000148D4" w:rsidRDefault="000148D4" w:rsidP="000148D4">
      <w:pPr>
        <w:spacing w:after="0" w:line="240" w:lineRule="auto"/>
        <w:ind w:firstLine="720"/>
        <w:jc w:val="both"/>
        <w:rPr>
          <w:rFonts w:ascii="Times New Roman" w:eastAsia="Times New Roman" w:hAnsi="Times New Roman" w:cs="Times New Roman"/>
          <w:bCs/>
          <w:color w:val="000000"/>
          <w:sz w:val="24"/>
          <w:szCs w:val="24"/>
        </w:rPr>
      </w:pPr>
      <w:r w:rsidRPr="000148D4">
        <w:rPr>
          <w:rFonts w:ascii="Times New Roman" w:eastAsia="Times New Roman" w:hAnsi="Times New Roman" w:cs="Times New Roman"/>
          <w:bCs/>
          <w:color w:val="000000"/>
          <w:sz w:val="24"/>
          <w:szCs w:val="24"/>
        </w:rPr>
        <w:t>The teacher's role in assisting students individually is also a crucial aspect of the implementation strategy. Teachers provide dedicated time for students who need additional support, both outside of class hours and through informal communication. This demonstrates that the implementation strategy extends beyond the classroom to more intimate and supportive interpersonal spaces.</w:t>
      </w:r>
    </w:p>
    <w:p w14:paraId="6E6F3718" w14:textId="77777777" w:rsidR="000148D4" w:rsidRPr="000148D4" w:rsidRDefault="000148D4" w:rsidP="000148D4">
      <w:pPr>
        <w:spacing w:after="0" w:line="240" w:lineRule="auto"/>
        <w:ind w:firstLine="720"/>
        <w:jc w:val="both"/>
        <w:rPr>
          <w:rFonts w:ascii="Times New Roman" w:eastAsia="Times New Roman" w:hAnsi="Times New Roman" w:cs="Times New Roman"/>
          <w:bCs/>
          <w:color w:val="000000"/>
          <w:sz w:val="24"/>
          <w:szCs w:val="24"/>
        </w:rPr>
      </w:pPr>
      <w:r w:rsidRPr="000148D4">
        <w:rPr>
          <w:rFonts w:ascii="Times New Roman" w:eastAsia="Times New Roman" w:hAnsi="Times New Roman" w:cs="Times New Roman"/>
          <w:bCs/>
          <w:color w:val="000000"/>
          <w:sz w:val="24"/>
          <w:szCs w:val="24"/>
        </w:rPr>
        <w:t>Regarding school policies, teachers also play a role in voicing the need for a stronger support system. They actively submit regular reports to the principal regarding student progress and suggestions for improving learning facilities, including the need for reprinting adaptive teaching materials, procuring visual aids, and regular teacher training.</w:t>
      </w:r>
    </w:p>
    <w:p w14:paraId="3BA187EF" w14:textId="6EC333FC" w:rsidR="000148D4" w:rsidRPr="000148D4" w:rsidRDefault="000148D4" w:rsidP="000148D4">
      <w:pPr>
        <w:spacing w:after="0" w:line="240" w:lineRule="auto"/>
        <w:ind w:firstLine="720"/>
        <w:jc w:val="both"/>
        <w:rPr>
          <w:rFonts w:ascii="Times New Roman" w:eastAsia="Times New Roman" w:hAnsi="Times New Roman" w:cs="Times New Roman"/>
          <w:bCs/>
          <w:color w:val="000000"/>
          <w:sz w:val="24"/>
          <w:szCs w:val="24"/>
        </w:rPr>
      </w:pPr>
      <w:r w:rsidRPr="000148D4">
        <w:rPr>
          <w:rFonts w:ascii="Times New Roman" w:eastAsia="Times New Roman" w:hAnsi="Times New Roman" w:cs="Times New Roman"/>
          <w:bCs/>
          <w:color w:val="000000"/>
          <w:sz w:val="24"/>
          <w:szCs w:val="24"/>
        </w:rPr>
        <w:t>This finding is in line with the research results from</w:t>
      </w:r>
      <w:r w:rsidR="00066BCA">
        <w:rPr>
          <w:rFonts w:ascii="Times New Roman" w:eastAsia="Times New Roman" w:hAnsi="Times New Roman" w:cs="Times New Roman"/>
          <w:bCs/>
          <w:color w:val="000000"/>
          <w:sz w:val="24"/>
          <w:szCs w:val="24"/>
        </w:rPr>
        <w:t xml:space="preserve"> </w:t>
      </w:r>
      <w:r w:rsidRPr="000148D4">
        <w:rPr>
          <w:rFonts w:ascii="Times New Roman" w:eastAsia="Times New Roman" w:hAnsi="Times New Roman" w:cs="Times New Roman"/>
          <w:bCs/>
          <w:color w:val="000000"/>
          <w:sz w:val="24"/>
          <w:szCs w:val="24"/>
        </w:rPr>
        <w:fldChar w:fldCharType="begin"/>
      </w:r>
      <w:r w:rsidR="00066BCA">
        <w:rPr>
          <w:rFonts w:ascii="Times New Roman" w:eastAsia="Times New Roman" w:hAnsi="Times New Roman" w:cs="Times New Roman"/>
          <w:bCs/>
          <w:color w:val="000000"/>
          <w:sz w:val="24"/>
          <w:szCs w:val="24"/>
        </w:rPr>
        <w:instrText xml:space="preserve"> ADDIN ZOTERO_ITEM CSL_CITATION {"citationID":"nWly4IYX","properties":{"formattedCitation":"(L\\uc0\\u252{}bke et al., 2021)","plainCitation":"(Lübke et al., 2021)","noteIndex":0},"citationItems":[{"id":"eqbFgLeb/RPCQRLyO","uris":["http://zotero.org/users/local/HTLpg2la/items/MZED237R"],"itemData":{"id":535,"type":"article-journal","abstract":"This study focused on associations between teachers’ flexibility and their use of evidence-based strategies in inclusive education in a sample of N = 119 teachers. Flexibility showed direct effects on teachers’ attitudes towards the achievement of mainstream students and students with learning difficulties, attitudes towards social benefits of inclusion for students with emotional and behavioral disturbances, and on teachers’ self-efficacy regarding the support of students’ social skills. Furthermore, indirect effects of flexibility on intentions and behavior regarding the support of social skills were found. The findings emphasize the importance of teachers’ flexibility in the realization of inclusive education.","container-title":"Sustainability","DOI":"10.3390/su13084452","ISSN":"2071-1050","issue":"8","language":"en","license":"http://creativecommons.org/licenses/by/3.0/","note":"number: 8\npublisher: Multidisciplinary Digital Publishing Institute","page":"4452","source":"www.mdpi.com","title":"The Role of Flexibility in the Realization of Inclusive Education","volume":"13","author":[{"family":"Lübke","given":"Laura"},{"family":"Pinquart","given":"Martin"},{"family":"Schwinger","given":"Malte"}],"issued":{"date-parts":[["2021",1]]}}}],"schema":"https://github.com/citation-style-language/schema/raw/master/csl-citation.json"} </w:instrText>
      </w:r>
      <w:r w:rsidRPr="000148D4">
        <w:rPr>
          <w:rFonts w:ascii="Times New Roman" w:eastAsia="Times New Roman" w:hAnsi="Times New Roman" w:cs="Times New Roman"/>
          <w:bCs/>
          <w:color w:val="000000"/>
          <w:sz w:val="24"/>
          <w:szCs w:val="24"/>
        </w:rPr>
        <w:fldChar w:fldCharType="separate"/>
      </w:r>
      <w:r w:rsidRPr="000148D4">
        <w:rPr>
          <w:rFonts w:ascii="Times New Roman" w:eastAsia="Times New Roman" w:hAnsi="Times New Roman" w:cs="Times New Roman"/>
          <w:bCs/>
          <w:color w:val="000000"/>
          <w:sz w:val="24"/>
          <w:szCs w:val="24"/>
        </w:rPr>
        <w:t>(Lübke et al., 2021)</w:t>
      </w:r>
      <w:r w:rsidRPr="000148D4">
        <w:rPr>
          <w:rFonts w:ascii="Times New Roman" w:eastAsia="Times New Roman" w:hAnsi="Times New Roman" w:cs="Times New Roman"/>
          <w:bCs/>
          <w:color w:val="000000"/>
          <w:sz w:val="24"/>
          <w:szCs w:val="24"/>
        </w:rPr>
        <w:fldChar w:fldCharType="end"/>
      </w:r>
      <w:r w:rsidRPr="000148D4">
        <w:rPr>
          <w:rFonts w:ascii="Times New Roman" w:eastAsia="Times New Roman" w:hAnsi="Times New Roman" w:cs="Times New Roman"/>
          <w:bCs/>
          <w:color w:val="000000"/>
          <w:sz w:val="24"/>
          <w:szCs w:val="24"/>
        </w:rPr>
        <w:t xml:space="preserve">, which emphasizes that the success of inclusive education depends heavily on teachers' readiness and flexibility in responding to students' needs. Therefore, the implementation strategies employed by teachers at MTs </w:t>
      </w:r>
      <w:proofErr w:type="spellStart"/>
      <w:r w:rsidRPr="000148D4">
        <w:rPr>
          <w:rFonts w:ascii="Times New Roman" w:eastAsia="Times New Roman" w:hAnsi="Times New Roman" w:cs="Times New Roman"/>
          <w:bCs/>
          <w:color w:val="000000"/>
          <w:sz w:val="24"/>
          <w:szCs w:val="24"/>
        </w:rPr>
        <w:t>Miftahul</w:t>
      </w:r>
      <w:proofErr w:type="spellEnd"/>
      <w:r w:rsidRPr="000148D4">
        <w:rPr>
          <w:rFonts w:ascii="Times New Roman" w:eastAsia="Times New Roman" w:hAnsi="Times New Roman" w:cs="Times New Roman"/>
          <w:bCs/>
          <w:color w:val="000000"/>
          <w:sz w:val="24"/>
          <w:szCs w:val="24"/>
        </w:rPr>
        <w:t xml:space="preserve"> </w:t>
      </w:r>
      <w:proofErr w:type="spellStart"/>
      <w:r w:rsidRPr="000148D4">
        <w:rPr>
          <w:rFonts w:ascii="Times New Roman" w:eastAsia="Times New Roman" w:hAnsi="Times New Roman" w:cs="Times New Roman"/>
          <w:bCs/>
          <w:color w:val="000000"/>
          <w:sz w:val="24"/>
          <w:szCs w:val="24"/>
        </w:rPr>
        <w:t>Afkar</w:t>
      </w:r>
      <w:proofErr w:type="spellEnd"/>
      <w:r w:rsidRPr="000148D4">
        <w:rPr>
          <w:rFonts w:ascii="Times New Roman" w:eastAsia="Times New Roman" w:hAnsi="Times New Roman" w:cs="Times New Roman"/>
          <w:bCs/>
          <w:color w:val="000000"/>
          <w:sz w:val="24"/>
          <w:szCs w:val="24"/>
        </w:rPr>
        <w:t xml:space="preserve"> demonstrate significant progress in realizing equitable and dignified learning.</w:t>
      </w:r>
    </w:p>
    <w:p w14:paraId="3EE8AB2C" w14:textId="77777777" w:rsidR="000148D4" w:rsidRPr="000148D4" w:rsidRDefault="000148D4" w:rsidP="000148D4">
      <w:pPr>
        <w:spacing w:after="0" w:line="240" w:lineRule="auto"/>
        <w:ind w:firstLine="720"/>
        <w:jc w:val="both"/>
        <w:rPr>
          <w:rFonts w:ascii="Times New Roman" w:eastAsia="Times New Roman" w:hAnsi="Times New Roman" w:cs="Times New Roman"/>
          <w:bCs/>
          <w:color w:val="000000"/>
          <w:sz w:val="24"/>
          <w:szCs w:val="24"/>
        </w:rPr>
      </w:pPr>
      <w:r w:rsidRPr="000148D4">
        <w:rPr>
          <w:rFonts w:ascii="Times New Roman" w:eastAsia="Times New Roman" w:hAnsi="Times New Roman" w:cs="Times New Roman"/>
          <w:bCs/>
          <w:color w:val="000000"/>
          <w:sz w:val="24"/>
          <w:szCs w:val="24"/>
        </w:rPr>
        <w:t>From these findings, it can be concluded that teachers are not merely curriculum implementers but also agents of change who actively design adaptive learning strategies to ensure that every student, without exception, can learn optimally. The implications for education policy are the need for systemic support in the form of training, supervision, and adequate resources to ensure these strategies can be maintained and enhanced.</w:t>
      </w:r>
    </w:p>
    <w:p w14:paraId="7EFB9E88" w14:textId="77777777" w:rsidR="000148D4" w:rsidRPr="000148D4" w:rsidRDefault="000148D4" w:rsidP="000148D4">
      <w:pPr>
        <w:spacing w:after="0" w:line="240" w:lineRule="auto"/>
        <w:jc w:val="both"/>
        <w:rPr>
          <w:rFonts w:ascii="Times New Roman" w:eastAsia="Times New Roman" w:hAnsi="Times New Roman" w:cs="Times New Roman"/>
          <w:b/>
          <w:bCs/>
          <w:color w:val="000000"/>
          <w:sz w:val="24"/>
          <w:szCs w:val="24"/>
        </w:rPr>
      </w:pPr>
      <w:r w:rsidRPr="000148D4">
        <w:rPr>
          <w:rFonts w:ascii="Times New Roman" w:eastAsia="Times New Roman" w:hAnsi="Times New Roman" w:cs="Times New Roman"/>
          <w:b/>
          <w:bCs/>
          <w:color w:val="000000"/>
          <w:sz w:val="24"/>
          <w:szCs w:val="24"/>
        </w:rPr>
        <w:t>Process Evaluation and Reflection</w:t>
      </w:r>
    </w:p>
    <w:p w14:paraId="15FDC8A9" w14:textId="77777777" w:rsidR="000148D4" w:rsidRPr="000148D4" w:rsidRDefault="000148D4" w:rsidP="000148D4">
      <w:pPr>
        <w:spacing w:after="0" w:line="240" w:lineRule="auto"/>
        <w:ind w:firstLine="720"/>
        <w:jc w:val="both"/>
        <w:rPr>
          <w:rFonts w:ascii="Times New Roman" w:eastAsia="Times New Roman" w:hAnsi="Times New Roman" w:cs="Times New Roman"/>
          <w:bCs/>
          <w:color w:val="000000"/>
          <w:sz w:val="24"/>
          <w:szCs w:val="24"/>
        </w:rPr>
      </w:pPr>
      <w:r w:rsidRPr="000148D4">
        <w:rPr>
          <w:rFonts w:ascii="Times New Roman" w:eastAsia="Times New Roman" w:hAnsi="Times New Roman" w:cs="Times New Roman"/>
          <w:bCs/>
          <w:color w:val="000000"/>
          <w:sz w:val="24"/>
          <w:szCs w:val="24"/>
        </w:rPr>
        <w:t xml:space="preserve">Evaluation of the development and implementation of adaptive teaching materials for inclusive learning at MTs </w:t>
      </w:r>
      <w:proofErr w:type="spellStart"/>
      <w:r w:rsidRPr="000148D4">
        <w:rPr>
          <w:rFonts w:ascii="Times New Roman" w:eastAsia="Times New Roman" w:hAnsi="Times New Roman" w:cs="Times New Roman"/>
          <w:bCs/>
          <w:color w:val="000000"/>
          <w:sz w:val="24"/>
          <w:szCs w:val="24"/>
        </w:rPr>
        <w:t>Miftahul</w:t>
      </w:r>
      <w:proofErr w:type="spellEnd"/>
      <w:r w:rsidRPr="000148D4">
        <w:rPr>
          <w:rFonts w:ascii="Times New Roman" w:eastAsia="Times New Roman" w:hAnsi="Times New Roman" w:cs="Times New Roman"/>
          <w:bCs/>
          <w:color w:val="000000"/>
          <w:sz w:val="24"/>
          <w:szCs w:val="24"/>
        </w:rPr>
        <w:t xml:space="preserve"> </w:t>
      </w:r>
      <w:proofErr w:type="spellStart"/>
      <w:r w:rsidRPr="000148D4">
        <w:rPr>
          <w:rFonts w:ascii="Times New Roman" w:eastAsia="Times New Roman" w:hAnsi="Times New Roman" w:cs="Times New Roman"/>
          <w:bCs/>
          <w:color w:val="000000"/>
          <w:sz w:val="24"/>
          <w:szCs w:val="24"/>
        </w:rPr>
        <w:t>Afkar</w:t>
      </w:r>
      <w:proofErr w:type="spellEnd"/>
      <w:r w:rsidRPr="000148D4">
        <w:rPr>
          <w:rFonts w:ascii="Times New Roman" w:eastAsia="Times New Roman" w:hAnsi="Times New Roman" w:cs="Times New Roman"/>
          <w:bCs/>
          <w:color w:val="000000"/>
          <w:sz w:val="24"/>
          <w:szCs w:val="24"/>
        </w:rPr>
        <w:t xml:space="preserve"> is a crucial part of this process, not only capturing the final results but also highlighting the dynamics, challenges, and lessons learned throughout the process. In the context of inclusive education, this type of evaluation is highly relevant, given that an inclusive approach demands high flexibility in responding to diverse student characteristics.</w:t>
      </w:r>
    </w:p>
    <w:p w14:paraId="4407BB9C" w14:textId="77777777" w:rsidR="000148D4" w:rsidRPr="000148D4" w:rsidRDefault="000148D4" w:rsidP="000148D4">
      <w:pPr>
        <w:spacing w:after="0" w:line="240" w:lineRule="auto"/>
        <w:ind w:firstLine="720"/>
        <w:jc w:val="both"/>
        <w:rPr>
          <w:rFonts w:ascii="Times New Roman" w:eastAsia="Times New Roman" w:hAnsi="Times New Roman" w:cs="Times New Roman"/>
          <w:bCs/>
          <w:color w:val="000000"/>
          <w:sz w:val="24"/>
          <w:szCs w:val="24"/>
        </w:rPr>
      </w:pPr>
      <w:r w:rsidRPr="000148D4">
        <w:rPr>
          <w:rFonts w:ascii="Times New Roman" w:eastAsia="Times New Roman" w:hAnsi="Times New Roman" w:cs="Times New Roman"/>
          <w:bCs/>
          <w:color w:val="000000"/>
          <w:sz w:val="24"/>
          <w:szCs w:val="24"/>
        </w:rPr>
        <w:t>Based on data collected through classroom observations, teacher interviews, and analysis of learning documents, the process of adapting teaching materials has experienced ups and downs in its implementation. On the one hand, teachers are committed to developing materials that better suit the abilities and needs of students with special needs. However, on the other hand, limited time, resources, and technical training have prevented this effort from being carried out systematically and sustainably.</w:t>
      </w:r>
    </w:p>
    <w:p w14:paraId="77B51CB2" w14:textId="7FC0F71D" w:rsidR="000148D4" w:rsidRPr="000148D4" w:rsidRDefault="000148D4" w:rsidP="000148D4">
      <w:pPr>
        <w:spacing w:after="0" w:line="240" w:lineRule="auto"/>
        <w:ind w:firstLine="720"/>
        <w:jc w:val="both"/>
        <w:rPr>
          <w:rFonts w:ascii="Times New Roman" w:eastAsia="Times New Roman" w:hAnsi="Times New Roman" w:cs="Times New Roman"/>
          <w:bCs/>
          <w:color w:val="000000"/>
          <w:sz w:val="24"/>
          <w:szCs w:val="24"/>
        </w:rPr>
      </w:pPr>
      <w:r w:rsidRPr="000148D4">
        <w:rPr>
          <w:rFonts w:ascii="Times New Roman" w:eastAsia="Times New Roman" w:hAnsi="Times New Roman" w:cs="Times New Roman"/>
          <w:bCs/>
          <w:color w:val="000000"/>
          <w:sz w:val="24"/>
          <w:szCs w:val="24"/>
        </w:rPr>
        <w:t>Initial evaluations indicate that the teaching materials planning process has not fully included a comprehensive analysis of students' learning needs. Some teachers developed teaching materials based on intuition or personal experience without an adequate diagnostic approach. This resulted in a lack of alignment between the teaching materials design and the actual conditions of students in inclusive classrooms. As emphasized by</w:t>
      </w:r>
      <w:r w:rsidR="00066BCA">
        <w:rPr>
          <w:rFonts w:ascii="Times New Roman" w:eastAsia="Times New Roman" w:hAnsi="Times New Roman" w:cs="Times New Roman"/>
          <w:bCs/>
          <w:color w:val="000000"/>
          <w:sz w:val="24"/>
          <w:szCs w:val="24"/>
        </w:rPr>
        <w:t xml:space="preserve"> </w:t>
      </w:r>
      <w:r w:rsidRPr="000148D4">
        <w:rPr>
          <w:rFonts w:ascii="Times New Roman" w:eastAsia="Times New Roman" w:hAnsi="Times New Roman" w:cs="Times New Roman"/>
          <w:bCs/>
          <w:color w:val="000000"/>
          <w:sz w:val="24"/>
          <w:szCs w:val="24"/>
        </w:rPr>
        <w:fldChar w:fldCharType="begin"/>
      </w:r>
      <w:r w:rsidR="00066BCA">
        <w:rPr>
          <w:rFonts w:ascii="Times New Roman" w:eastAsia="Times New Roman" w:hAnsi="Times New Roman" w:cs="Times New Roman"/>
          <w:bCs/>
          <w:color w:val="000000"/>
          <w:sz w:val="24"/>
          <w:szCs w:val="24"/>
        </w:rPr>
        <w:instrText xml:space="preserve"> ADDIN ZOTERO_ITEM CSL_CITATION {"citationID":"FaJh5WSa","properties":{"formattedCitation":"(Graham et al., 2021)","plainCitation":"(Graham et al., 2021)","noteIndex":0},"citationItems":[{"id":"eqbFgLeb/txseazbN","uris":["http://zotero.org/users/local/HTLpg2la/items/Y6P366WW"],"itemData":{"id":537,"type":"article-journal","abstract":"The use of a pedagogical practice known as ‘differentiation’ has become more common over time as educators have sought to respond to increases in the diversity of students enrolling in their local school. However, there are now so many misperceptions and definitional inconsistencies that it is difficult to know what is being enacted in the name of differentiation or indeed what is being researched internationally. The aim of this scoping review was to identify key characteristics of and conceptualisations within peer-reviewed empirical research on differentiation published between 1999 and 2019, as well as to map the ways in which this body of research was produced. The Preferred Reporting Items for Systematic Reviews and Meta-Analyses (PRISMA) guidelines were used to inform a systematic screening process and resulted in a final sample of 34 articles focusing on differentiation in regular schools. Half were conducted in the United States and most in the elementary school phase. Survey and case study designs were dominant, as was research of and influences on teacher practice. Only a small group of studies focused on differentiation's impact on student outcomes and these typically only examined specific elements of differentiation or its use in specific academic domains. The diversity of focus and methodological approaches across the 34 studies prevents comparison of findings and weakens the evidential basis to make claims of either differentiation's effectiveness or indeed its ineffectiveness. The review concludes with recommendations for future research and practice in this important area of practice.","container-title":"Review of Education","DOI":"10.1002/rev3.3238","ISSN":"2049-6613","issue":"1","language":"en","license":"© 2020 British Educational Research Association","note":"_eprint: https://onlinelibrary.wiley.com/doi/pdf/10.1002/rev3.3238","page":"161-198","source":"Wiley Online Library","title":"A scoping review of 20 years of research on differentiation: investigating conceptualisation, characteristics, and methods used","title-short":"A scoping review of 20 years of research on differentiation","volume":"9","author":[{"family":"Graham","given":"Linda J."},{"family":"Bruin","given":"Kate","non-dropping-particle":"de"},{"family":"Lassig","given":"Carly"},{"family":"Spandagou","given":"Ilektra"}],"issued":{"date-parts":[["2021"]]}}}],"schema":"https://github.com/citation-style-language/schema/raw/master/csl-citation.json"} </w:instrText>
      </w:r>
      <w:r w:rsidRPr="000148D4">
        <w:rPr>
          <w:rFonts w:ascii="Times New Roman" w:eastAsia="Times New Roman" w:hAnsi="Times New Roman" w:cs="Times New Roman"/>
          <w:bCs/>
          <w:color w:val="000000"/>
          <w:sz w:val="24"/>
          <w:szCs w:val="24"/>
        </w:rPr>
        <w:fldChar w:fldCharType="separate"/>
      </w:r>
      <w:r w:rsidRPr="000148D4">
        <w:rPr>
          <w:rFonts w:ascii="Times New Roman" w:eastAsia="Times New Roman" w:hAnsi="Times New Roman" w:cs="Times New Roman"/>
          <w:bCs/>
          <w:color w:val="000000"/>
          <w:sz w:val="24"/>
          <w:szCs w:val="24"/>
        </w:rPr>
        <w:t>(Graham et al., 2021)</w:t>
      </w:r>
      <w:r w:rsidRPr="000148D4">
        <w:rPr>
          <w:rFonts w:ascii="Times New Roman" w:eastAsia="Times New Roman" w:hAnsi="Times New Roman" w:cs="Times New Roman"/>
          <w:bCs/>
          <w:color w:val="000000"/>
          <w:sz w:val="24"/>
          <w:szCs w:val="24"/>
        </w:rPr>
        <w:fldChar w:fldCharType="end"/>
      </w:r>
      <w:r w:rsidRPr="000148D4">
        <w:rPr>
          <w:rFonts w:ascii="Times New Roman" w:eastAsia="Times New Roman" w:hAnsi="Times New Roman" w:cs="Times New Roman"/>
          <w:bCs/>
          <w:color w:val="000000"/>
          <w:sz w:val="24"/>
          <w:szCs w:val="24"/>
        </w:rPr>
        <w:t>, effective learning differentiation can only occur if the planning process is based on a deep understanding of student characteristics.</w:t>
      </w:r>
    </w:p>
    <w:p w14:paraId="7A1ACE60" w14:textId="77777777" w:rsidR="000148D4" w:rsidRPr="000148D4" w:rsidRDefault="000148D4" w:rsidP="000148D4">
      <w:pPr>
        <w:spacing w:after="0" w:line="240" w:lineRule="auto"/>
        <w:ind w:firstLine="720"/>
        <w:jc w:val="both"/>
        <w:rPr>
          <w:rFonts w:ascii="Times New Roman" w:eastAsia="Times New Roman" w:hAnsi="Times New Roman" w:cs="Times New Roman"/>
          <w:bCs/>
          <w:color w:val="000000"/>
          <w:sz w:val="24"/>
          <w:szCs w:val="24"/>
        </w:rPr>
      </w:pPr>
      <w:r w:rsidRPr="000148D4">
        <w:rPr>
          <w:rFonts w:ascii="Times New Roman" w:eastAsia="Times New Roman" w:hAnsi="Times New Roman" w:cs="Times New Roman"/>
          <w:bCs/>
          <w:color w:val="000000"/>
          <w:sz w:val="24"/>
          <w:szCs w:val="24"/>
        </w:rPr>
        <w:t>Reflections on this process demonstrate the need for stronger institutional support in establishing a continuous evaluation system. Currently, there is no formal mechanism for routinely assessing the effectiveness of adaptive teaching materials. Evaluations tend to be conducted informally and individually by individual teachers. However, a structured evaluation system can provide important feedback for continuous improvement and inform school policy development.</w:t>
      </w:r>
    </w:p>
    <w:p w14:paraId="716C2080" w14:textId="39CDB187" w:rsidR="000148D4" w:rsidRPr="000148D4" w:rsidRDefault="000148D4" w:rsidP="000148D4">
      <w:pPr>
        <w:spacing w:after="0" w:line="240" w:lineRule="auto"/>
        <w:ind w:firstLine="720"/>
        <w:jc w:val="both"/>
        <w:rPr>
          <w:rFonts w:ascii="Times New Roman" w:eastAsia="Times New Roman" w:hAnsi="Times New Roman" w:cs="Times New Roman"/>
          <w:bCs/>
          <w:color w:val="000000"/>
          <w:sz w:val="24"/>
          <w:szCs w:val="24"/>
        </w:rPr>
      </w:pPr>
      <w:r w:rsidRPr="000148D4">
        <w:rPr>
          <w:rFonts w:ascii="Times New Roman" w:eastAsia="Times New Roman" w:hAnsi="Times New Roman" w:cs="Times New Roman"/>
          <w:bCs/>
          <w:color w:val="000000"/>
          <w:sz w:val="24"/>
          <w:szCs w:val="24"/>
        </w:rPr>
        <w:lastRenderedPageBreak/>
        <w:t>During the evaluation process, teachers reported difficulty determining indicators of success for the use of adaptive teaching materials. Some relied on daily test results or observations of student learning behavior as benchmarks, but no specific instrument was available to measure the impact of teaching materials on student engagement, conceptual understanding, or holistic improvement of Arabic language skills. This aligns with the findings of the study</w:t>
      </w:r>
      <w:r w:rsidR="00066BCA">
        <w:rPr>
          <w:rFonts w:ascii="Times New Roman" w:eastAsia="Times New Roman" w:hAnsi="Times New Roman" w:cs="Times New Roman"/>
          <w:bCs/>
          <w:color w:val="000000"/>
          <w:sz w:val="24"/>
          <w:szCs w:val="24"/>
        </w:rPr>
        <w:t xml:space="preserve"> </w:t>
      </w:r>
      <w:r w:rsidRPr="000148D4">
        <w:rPr>
          <w:rFonts w:ascii="Times New Roman" w:eastAsia="Times New Roman" w:hAnsi="Times New Roman" w:cs="Times New Roman"/>
          <w:bCs/>
          <w:color w:val="000000"/>
          <w:sz w:val="24"/>
          <w:szCs w:val="24"/>
        </w:rPr>
        <w:fldChar w:fldCharType="begin"/>
      </w:r>
      <w:r w:rsidR="00066BCA">
        <w:rPr>
          <w:rFonts w:ascii="Times New Roman" w:eastAsia="Times New Roman" w:hAnsi="Times New Roman" w:cs="Times New Roman"/>
          <w:bCs/>
          <w:color w:val="000000"/>
          <w:sz w:val="24"/>
          <w:szCs w:val="24"/>
        </w:rPr>
        <w:instrText xml:space="preserve"> ADDIN ZOTERO_ITEM CSL_CITATION {"citationID":"ydBvWxF9","properties":{"formattedCitation":"(DeMatthews et al., 2021)","plainCitation":"(DeMatthews et al., 2021)","noteIndex":0},"citationItems":[{"id":"eqbFgLeb/u8fMLTHh","uris":["http://zotero.org/users/local/HTLpg2la/items/M7LXMGFC"],"itemData":{"id":539,"type":"article-journal","abstract":"Background: For over 50 years, special education has been used as a tool to maintain racial segregation, particularly in schools located in low-income communities of color. This study utilized tenets found in disability critical race theory (DisCrit) and inclusive school leadership literature to examine the perceptions, practices, and challenges associated with meaningful change in inclusive schools. Purpose: The purpose of this article was to understand how six elementary school principals, identified as effective inclusive leaders, perceived students with disabilities within a low-income Mexican American immigrant community along the U.S.–Mexico border. Findings: Our study highlights the important role principals play in creating inclusive schools and the ways in which race, disability, family background, language, and immigration status effect principals in their efforts to promote inclusion. While each principal recognized the noted factors above and confronted a multitude of challenges, they differed in their beliefs and approaches to creating inclusive schools. Some leadership practices were aligned to research focused on effective school leadership while others more closely resembled social justice leadership practices. Conclusion: Findings suggest that principals must take into consideration a variety of factors to create inclusive schools and must draw upon a broad range of practices amid resistance and challenges to meaningful change.","container-title":"Educational Administration Quarterly","DOI":"10.1177/0013161X20913897","ISSN":"0013-161X","issue":"1","language":"EN","note":"publisher: SAGE Publications Inc","page":"3-48","source":"SAGE Journals","title":"Leading Inclusive Schools: Principal Perceptions, Practices, and Challenges to Meaningful Change","title-short":"Leading Inclusive Schools","volume":"57","author":[{"family":"DeMatthews","given":"David E."},{"family":"Serafini","given":"Amy"},{"family":"Watson","given":"Terri N."}],"issued":{"date-parts":[["2021",2,1]]}}}],"schema":"https://github.com/citation-style-language/schema/raw/master/csl-citation.json"} </w:instrText>
      </w:r>
      <w:r w:rsidRPr="000148D4">
        <w:rPr>
          <w:rFonts w:ascii="Times New Roman" w:eastAsia="Times New Roman" w:hAnsi="Times New Roman" w:cs="Times New Roman"/>
          <w:bCs/>
          <w:color w:val="000000"/>
          <w:sz w:val="24"/>
          <w:szCs w:val="24"/>
        </w:rPr>
        <w:fldChar w:fldCharType="separate"/>
      </w:r>
      <w:r w:rsidRPr="000148D4">
        <w:rPr>
          <w:rFonts w:ascii="Times New Roman" w:eastAsia="Times New Roman" w:hAnsi="Times New Roman" w:cs="Times New Roman"/>
          <w:bCs/>
          <w:color w:val="000000"/>
          <w:sz w:val="24"/>
          <w:szCs w:val="24"/>
        </w:rPr>
        <w:t>(DeMatthews et al., 2021)</w:t>
      </w:r>
      <w:r w:rsidRPr="000148D4">
        <w:rPr>
          <w:rFonts w:ascii="Times New Roman" w:eastAsia="Times New Roman" w:hAnsi="Times New Roman" w:cs="Times New Roman"/>
          <w:bCs/>
          <w:color w:val="000000"/>
          <w:sz w:val="24"/>
          <w:szCs w:val="24"/>
        </w:rPr>
        <w:fldChar w:fldCharType="end"/>
      </w:r>
      <w:r w:rsidR="00066BCA">
        <w:rPr>
          <w:rFonts w:ascii="Times New Roman" w:eastAsia="Times New Roman" w:hAnsi="Times New Roman" w:cs="Times New Roman"/>
          <w:bCs/>
          <w:color w:val="000000"/>
          <w:sz w:val="24"/>
          <w:szCs w:val="24"/>
        </w:rPr>
        <w:t xml:space="preserve">. </w:t>
      </w:r>
      <w:r w:rsidRPr="000148D4">
        <w:rPr>
          <w:rFonts w:ascii="Times New Roman" w:eastAsia="Times New Roman" w:hAnsi="Times New Roman" w:cs="Times New Roman"/>
          <w:bCs/>
          <w:color w:val="000000"/>
          <w:sz w:val="24"/>
          <w:szCs w:val="24"/>
        </w:rPr>
        <w:t>which states that one of the challenges in inclusive education is the absence of a measuring tool that truly describes inclusive success.</w:t>
      </w:r>
    </w:p>
    <w:p w14:paraId="5C27B06E" w14:textId="77777777" w:rsidR="000148D4" w:rsidRPr="000148D4" w:rsidRDefault="000148D4" w:rsidP="000148D4">
      <w:pPr>
        <w:spacing w:after="0" w:line="240" w:lineRule="auto"/>
        <w:ind w:firstLine="720"/>
        <w:jc w:val="both"/>
        <w:rPr>
          <w:rFonts w:ascii="Times New Roman" w:eastAsia="Times New Roman" w:hAnsi="Times New Roman" w:cs="Times New Roman"/>
          <w:bCs/>
          <w:color w:val="000000"/>
          <w:sz w:val="24"/>
          <w:szCs w:val="24"/>
        </w:rPr>
      </w:pPr>
      <w:r w:rsidRPr="000148D4">
        <w:rPr>
          <w:rFonts w:ascii="Times New Roman" w:eastAsia="Times New Roman" w:hAnsi="Times New Roman" w:cs="Times New Roman"/>
          <w:bCs/>
          <w:color w:val="000000"/>
          <w:sz w:val="24"/>
          <w:szCs w:val="24"/>
        </w:rPr>
        <w:t>This process evaluation also reflected the need for closer collaboration between teachers, students, and parents in providing feedback on the usefulness of the teaching materials used. In several interviews, students expressed that they found the use of more visual and simpler teaching materials helpful, but they also mentioned still having difficulty understanding content that was too dense or not sufficiently contextualized. This type of feedback, when collected systematically, can be a valuable source of reflection.</w:t>
      </w:r>
    </w:p>
    <w:p w14:paraId="79A85562" w14:textId="77777777" w:rsidR="000148D4" w:rsidRPr="000148D4" w:rsidRDefault="000148D4" w:rsidP="000148D4">
      <w:pPr>
        <w:spacing w:after="0" w:line="240" w:lineRule="auto"/>
        <w:ind w:firstLine="720"/>
        <w:jc w:val="both"/>
        <w:rPr>
          <w:rFonts w:ascii="Times New Roman" w:eastAsia="Times New Roman" w:hAnsi="Times New Roman" w:cs="Times New Roman"/>
          <w:bCs/>
          <w:color w:val="000000"/>
          <w:sz w:val="24"/>
          <w:szCs w:val="24"/>
        </w:rPr>
      </w:pPr>
      <w:r w:rsidRPr="000148D4">
        <w:rPr>
          <w:rFonts w:ascii="Times New Roman" w:eastAsia="Times New Roman" w:hAnsi="Times New Roman" w:cs="Times New Roman"/>
          <w:bCs/>
          <w:color w:val="000000"/>
          <w:sz w:val="24"/>
          <w:szCs w:val="24"/>
        </w:rPr>
        <w:t xml:space="preserve">Furthermore, reflection on teaching materials development practices shows that success depends not only on the quality of the material, but also on the teacher's delivery method and a classroom atmosphere that supports active participation. In the case of MTs </w:t>
      </w:r>
      <w:proofErr w:type="spellStart"/>
      <w:r w:rsidRPr="000148D4">
        <w:rPr>
          <w:rFonts w:ascii="Times New Roman" w:eastAsia="Times New Roman" w:hAnsi="Times New Roman" w:cs="Times New Roman"/>
          <w:bCs/>
          <w:color w:val="000000"/>
          <w:sz w:val="24"/>
          <w:szCs w:val="24"/>
        </w:rPr>
        <w:t>Miftahul</w:t>
      </w:r>
      <w:proofErr w:type="spellEnd"/>
      <w:r w:rsidRPr="000148D4">
        <w:rPr>
          <w:rFonts w:ascii="Times New Roman" w:eastAsia="Times New Roman" w:hAnsi="Times New Roman" w:cs="Times New Roman"/>
          <w:bCs/>
          <w:color w:val="000000"/>
          <w:sz w:val="24"/>
          <w:szCs w:val="24"/>
        </w:rPr>
        <w:t xml:space="preserve"> </w:t>
      </w:r>
      <w:proofErr w:type="spellStart"/>
      <w:r w:rsidRPr="000148D4">
        <w:rPr>
          <w:rFonts w:ascii="Times New Roman" w:eastAsia="Times New Roman" w:hAnsi="Times New Roman" w:cs="Times New Roman"/>
          <w:bCs/>
          <w:color w:val="000000"/>
          <w:sz w:val="24"/>
          <w:szCs w:val="24"/>
        </w:rPr>
        <w:t>Afkar</w:t>
      </w:r>
      <w:proofErr w:type="spellEnd"/>
      <w:r w:rsidRPr="000148D4">
        <w:rPr>
          <w:rFonts w:ascii="Times New Roman" w:eastAsia="Times New Roman" w:hAnsi="Times New Roman" w:cs="Times New Roman"/>
          <w:bCs/>
          <w:color w:val="000000"/>
          <w:sz w:val="24"/>
          <w:szCs w:val="24"/>
        </w:rPr>
        <w:t>, teachers who actively innovate also tend to have a more democratic and communicative classroom approach. This suggests that adaptive teaching materials must be complemented by inclusive pedagogy to achieve maximum learning impact.</w:t>
      </w:r>
    </w:p>
    <w:p w14:paraId="49E0803F" w14:textId="77777777" w:rsidR="000148D4" w:rsidRPr="000148D4" w:rsidRDefault="000148D4" w:rsidP="000148D4">
      <w:pPr>
        <w:spacing w:after="0" w:line="240" w:lineRule="auto"/>
        <w:ind w:firstLine="720"/>
        <w:jc w:val="both"/>
        <w:rPr>
          <w:rFonts w:ascii="Times New Roman" w:eastAsia="Times New Roman" w:hAnsi="Times New Roman" w:cs="Times New Roman"/>
          <w:bCs/>
          <w:color w:val="000000"/>
          <w:sz w:val="24"/>
          <w:szCs w:val="24"/>
        </w:rPr>
      </w:pPr>
      <w:r w:rsidRPr="000148D4">
        <w:rPr>
          <w:rFonts w:ascii="Times New Roman" w:eastAsia="Times New Roman" w:hAnsi="Times New Roman" w:cs="Times New Roman"/>
          <w:bCs/>
          <w:color w:val="000000"/>
          <w:sz w:val="24"/>
          <w:szCs w:val="24"/>
        </w:rPr>
        <w:t>From an institutional perspective, the reflection also underscored the importance of the principal's role as a policy director and innovation facilitator. In several evaluation activities, principals had not actively engaged teachers in structured, collaborative reflection forums. Yet, such forums have the potential to accelerate the sharing of good practices and serve as a platform for formulating internal standards for adaptive teaching materials.</w:t>
      </w:r>
    </w:p>
    <w:p w14:paraId="44A4BD3D" w14:textId="77777777" w:rsidR="000148D4" w:rsidRPr="000148D4" w:rsidRDefault="000148D4" w:rsidP="000148D4">
      <w:pPr>
        <w:spacing w:after="0" w:line="240" w:lineRule="auto"/>
        <w:ind w:firstLine="720"/>
        <w:jc w:val="both"/>
        <w:rPr>
          <w:rFonts w:ascii="Times New Roman" w:eastAsia="Times New Roman" w:hAnsi="Times New Roman" w:cs="Times New Roman"/>
          <w:bCs/>
          <w:color w:val="000000"/>
          <w:sz w:val="24"/>
          <w:szCs w:val="24"/>
        </w:rPr>
      </w:pPr>
      <w:r w:rsidRPr="000148D4">
        <w:rPr>
          <w:rFonts w:ascii="Times New Roman" w:eastAsia="Times New Roman" w:hAnsi="Times New Roman" w:cs="Times New Roman"/>
          <w:bCs/>
          <w:color w:val="000000"/>
          <w:sz w:val="24"/>
          <w:szCs w:val="24"/>
        </w:rPr>
        <w:t>The implications of these evaluative findings are clear: without a system of reflection integrated into educational routines, the development of adaptive teaching materials will be situational and will lack systemic impact. Therefore, it is necessary to design a school-based monitoring and evaluation system that regularly involves all stakeholders, with mutually agreed-upon indicators aligned with the principles of inclusive education.</w:t>
      </w:r>
    </w:p>
    <w:p w14:paraId="7EFCAA84" w14:textId="29D8BE0A" w:rsidR="000148D4" w:rsidRPr="000148D4" w:rsidRDefault="000148D4" w:rsidP="000148D4">
      <w:pPr>
        <w:spacing w:after="0" w:line="240" w:lineRule="auto"/>
        <w:ind w:firstLine="720"/>
        <w:jc w:val="both"/>
        <w:rPr>
          <w:rFonts w:ascii="Times New Roman" w:eastAsia="Times New Roman" w:hAnsi="Times New Roman" w:cs="Times New Roman"/>
          <w:bCs/>
          <w:color w:val="000000"/>
          <w:sz w:val="24"/>
          <w:szCs w:val="24"/>
        </w:rPr>
      </w:pPr>
      <w:r w:rsidRPr="000148D4">
        <w:rPr>
          <w:rFonts w:ascii="Times New Roman" w:eastAsia="Times New Roman" w:hAnsi="Times New Roman" w:cs="Times New Roman"/>
          <w:bCs/>
          <w:color w:val="000000"/>
          <w:sz w:val="24"/>
          <w:szCs w:val="24"/>
        </w:rPr>
        <w:t>The reflection also emphasized the need to build a culture of evaluation that is non-judgmental but encourages improvement. The teachers interviewed stated that they were more motivated to innovate when evaluation was viewed as a learning experience, not simply as an assessment. This reinforces the view</w:t>
      </w:r>
      <w:r w:rsidR="00066BCA">
        <w:rPr>
          <w:rFonts w:ascii="Times New Roman" w:eastAsia="Times New Roman" w:hAnsi="Times New Roman" w:cs="Times New Roman"/>
          <w:bCs/>
          <w:color w:val="000000"/>
          <w:sz w:val="24"/>
          <w:szCs w:val="24"/>
        </w:rPr>
        <w:t xml:space="preserve"> </w:t>
      </w:r>
      <w:r w:rsidRPr="000148D4">
        <w:rPr>
          <w:rFonts w:ascii="Times New Roman" w:eastAsia="Times New Roman" w:hAnsi="Times New Roman" w:cs="Times New Roman"/>
          <w:bCs/>
          <w:color w:val="000000"/>
          <w:sz w:val="24"/>
          <w:szCs w:val="24"/>
        </w:rPr>
        <w:fldChar w:fldCharType="begin"/>
      </w:r>
      <w:r w:rsidR="00066BCA">
        <w:rPr>
          <w:rFonts w:ascii="Times New Roman" w:eastAsia="Times New Roman" w:hAnsi="Times New Roman" w:cs="Times New Roman"/>
          <w:bCs/>
          <w:color w:val="000000"/>
          <w:sz w:val="24"/>
          <w:szCs w:val="24"/>
        </w:rPr>
        <w:instrText xml:space="preserve"> ADDIN ZOTERO_ITEM CSL_CITATION {"citationID":"vuKwDKOl","properties":{"formattedCitation":"(Haiyan &amp; and Allan, 2021)","plainCitation":"(Haiyan &amp; and Allan, 2021)","noteIndex":0},"citationItems":[{"id":"eqbFgLeb/Jdy3JPX0","uris":["http://zotero.org/users/local/HTLpg2la/items/D6MMESCG"],"itemData":{"id":540,"type":"article-journal","abstract":"School principals play a key role in the creation and nurture of school conditions conducive to Professional Learning Communities (PLCs). In China, whereas the term PLC itself is an imported concept and rarely used by school practitioners, the precept of PLCs, collaborative teacher learning activities, are firmly embedded in teachers’ daily work. However, little research has examined the relationships between principalship and PLCs in the country. This article uses data collected from over 100 primary school principals across six regions in China to explore the role principals play in building and sustaining PLCs in Chinese schools. The article specifically asks what Chinese school principals do to create the structural, cultural and relational conditions needed to foster PLCs. The study identifies some common leadership strategies adopted by Chinese principals and related insights into embedding ongoing professional learning in schools.","container-title":"Professional Development in Education","DOI":"10.1080/19415257.2020.1770839","ISSN":"1941-5257","issue":"4","note":"publisher: Routledge\n_eprint: https://doi.org/10.1080/19415257.2020.1770839","page":"586-598","source":"Taylor and Francis+NEJM","title":"Creating conditions for professional learning communities (PLCs) in schools in China: the role of school principals","title-short":"Creating conditions for professional learning communities (PLCs) in schools in China","volume":"47","author":[{"family":"Haiyan","given":"Qian"},{"family":"Allan","given":"Walker","non-dropping-particle":"and"}],"issued":{"date-parts":[["2021",8,8]]}}}],"schema":"https://github.com/citation-style-language/schema/raw/master/csl-citation.json"} </w:instrText>
      </w:r>
      <w:r w:rsidRPr="000148D4">
        <w:rPr>
          <w:rFonts w:ascii="Times New Roman" w:eastAsia="Times New Roman" w:hAnsi="Times New Roman" w:cs="Times New Roman"/>
          <w:bCs/>
          <w:color w:val="000000"/>
          <w:sz w:val="24"/>
          <w:szCs w:val="24"/>
        </w:rPr>
        <w:fldChar w:fldCharType="separate"/>
      </w:r>
      <w:r w:rsidRPr="000148D4">
        <w:rPr>
          <w:rFonts w:ascii="Times New Roman" w:eastAsia="Times New Roman" w:hAnsi="Times New Roman" w:cs="Times New Roman"/>
          <w:bCs/>
          <w:color w:val="000000"/>
          <w:sz w:val="24"/>
          <w:szCs w:val="24"/>
        </w:rPr>
        <w:t>(Haiyan &amp; and Allan, 2021)</w:t>
      </w:r>
      <w:r w:rsidRPr="000148D4">
        <w:rPr>
          <w:rFonts w:ascii="Times New Roman" w:eastAsia="Times New Roman" w:hAnsi="Times New Roman" w:cs="Times New Roman"/>
          <w:bCs/>
          <w:color w:val="000000"/>
          <w:sz w:val="24"/>
          <w:szCs w:val="24"/>
        </w:rPr>
        <w:fldChar w:fldCharType="end"/>
      </w:r>
      <w:r w:rsidR="00066BCA">
        <w:rPr>
          <w:rFonts w:ascii="Times New Roman" w:eastAsia="Times New Roman" w:hAnsi="Times New Roman" w:cs="Times New Roman"/>
          <w:bCs/>
          <w:color w:val="000000"/>
          <w:sz w:val="24"/>
          <w:szCs w:val="24"/>
        </w:rPr>
        <w:t xml:space="preserve"> </w:t>
      </w:r>
      <w:r w:rsidRPr="000148D4">
        <w:rPr>
          <w:rFonts w:ascii="Times New Roman" w:eastAsia="Times New Roman" w:hAnsi="Times New Roman" w:cs="Times New Roman"/>
          <w:bCs/>
          <w:color w:val="000000"/>
          <w:sz w:val="24"/>
          <w:szCs w:val="24"/>
        </w:rPr>
        <w:t>that a conducive and collaborative learning environment will encourage healthier and more sustainable professional development.</w:t>
      </w:r>
    </w:p>
    <w:p w14:paraId="28616618" w14:textId="6D3D04BF" w:rsidR="00900DBA" w:rsidRPr="00812A51" w:rsidRDefault="000148D4" w:rsidP="00812A51">
      <w:pPr>
        <w:spacing w:after="0" w:line="240" w:lineRule="auto"/>
        <w:ind w:firstLine="720"/>
        <w:jc w:val="both"/>
        <w:rPr>
          <w:rFonts w:ascii="Times New Roman" w:eastAsia="Times New Roman" w:hAnsi="Times New Roman" w:cs="Times New Roman"/>
          <w:bCs/>
          <w:color w:val="000000"/>
          <w:sz w:val="24"/>
          <w:szCs w:val="24"/>
        </w:rPr>
      </w:pPr>
      <w:r w:rsidRPr="000148D4">
        <w:rPr>
          <w:rFonts w:ascii="Times New Roman" w:eastAsia="Times New Roman" w:hAnsi="Times New Roman" w:cs="Times New Roman"/>
          <w:bCs/>
          <w:color w:val="000000"/>
          <w:sz w:val="24"/>
          <w:szCs w:val="24"/>
        </w:rPr>
        <w:t xml:space="preserve">Thus, the evaluation and reflection on the process of developing adaptive Arabic language teaching materials at MTs </w:t>
      </w:r>
      <w:proofErr w:type="spellStart"/>
      <w:r w:rsidRPr="000148D4">
        <w:rPr>
          <w:rFonts w:ascii="Times New Roman" w:eastAsia="Times New Roman" w:hAnsi="Times New Roman" w:cs="Times New Roman"/>
          <w:bCs/>
          <w:color w:val="000000"/>
          <w:sz w:val="24"/>
          <w:szCs w:val="24"/>
        </w:rPr>
        <w:t>Miftahul</w:t>
      </w:r>
      <w:proofErr w:type="spellEnd"/>
      <w:r w:rsidRPr="000148D4">
        <w:rPr>
          <w:rFonts w:ascii="Times New Roman" w:eastAsia="Times New Roman" w:hAnsi="Times New Roman" w:cs="Times New Roman"/>
          <w:bCs/>
          <w:color w:val="000000"/>
          <w:sz w:val="24"/>
          <w:szCs w:val="24"/>
        </w:rPr>
        <w:t xml:space="preserve"> </w:t>
      </w:r>
      <w:proofErr w:type="spellStart"/>
      <w:r w:rsidRPr="000148D4">
        <w:rPr>
          <w:rFonts w:ascii="Times New Roman" w:eastAsia="Times New Roman" w:hAnsi="Times New Roman" w:cs="Times New Roman"/>
          <w:bCs/>
          <w:color w:val="000000"/>
          <w:sz w:val="24"/>
          <w:szCs w:val="24"/>
        </w:rPr>
        <w:t>Afkar</w:t>
      </w:r>
      <w:proofErr w:type="spellEnd"/>
      <w:r w:rsidRPr="000148D4">
        <w:rPr>
          <w:rFonts w:ascii="Times New Roman" w:eastAsia="Times New Roman" w:hAnsi="Times New Roman" w:cs="Times New Roman"/>
          <w:bCs/>
          <w:color w:val="000000"/>
          <w:sz w:val="24"/>
          <w:szCs w:val="24"/>
        </w:rPr>
        <w:t xml:space="preserve"> not only identified shortcomings but also built a foundation for collective awareness of the importance of transforming toward truly inclusive education. This process paved the way for the development of more mature practices, both in terms of pedagogy, learning management, and policy development that benefits all students.</w:t>
      </w:r>
    </w:p>
    <w:p w14:paraId="3B967B8A" w14:textId="4684BC6A" w:rsidR="00900DBA" w:rsidRDefault="006B646C">
      <w:pPr>
        <w:spacing w:after="0" w:line="24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sz w:val="24"/>
          <w:szCs w:val="24"/>
        </w:rPr>
        <w:t>CONCLUSION</w:t>
      </w:r>
    </w:p>
    <w:p w14:paraId="5076870B" w14:textId="77777777" w:rsidR="00066BCA" w:rsidRPr="00066BCA" w:rsidRDefault="00066BCA" w:rsidP="00066BCA">
      <w:pPr>
        <w:spacing w:after="0" w:line="240" w:lineRule="auto"/>
        <w:ind w:firstLine="720"/>
        <w:jc w:val="both"/>
        <w:rPr>
          <w:rFonts w:ascii="Times New Roman" w:eastAsia="Times New Roman" w:hAnsi="Times New Roman" w:cs="Times New Roman"/>
          <w:sz w:val="24"/>
          <w:szCs w:val="24"/>
        </w:rPr>
      </w:pPr>
      <w:r w:rsidRPr="00066BCA">
        <w:rPr>
          <w:rFonts w:ascii="Times New Roman" w:eastAsia="Times New Roman" w:hAnsi="Times New Roman" w:cs="Times New Roman"/>
          <w:sz w:val="24"/>
          <w:szCs w:val="24"/>
        </w:rPr>
        <w:t xml:space="preserve">Based on the findings and analysis in this study, it can be concluded that the development of adaptive Arabic language teaching materials at MTs </w:t>
      </w:r>
      <w:proofErr w:type="spellStart"/>
      <w:r w:rsidRPr="00066BCA">
        <w:rPr>
          <w:rFonts w:ascii="Times New Roman" w:eastAsia="Times New Roman" w:hAnsi="Times New Roman" w:cs="Times New Roman"/>
          <w:sz w:val="24"/>
          <w:szCs w:val="24"/>
        </w:rPr>
        <w:t>Miftahul</w:t>
      </w:r>
      <w:proofErr w:type="spellEnd"/>
      <w:r w:rsidRPr="00066BCA">
        <w:rPr>
          <w:rFonts w:ascii="Times New Roman" w:eastAsia="Times New Roman" w:hAnsi="Times New Roman" w:cs="Times New Roman"/>
          <w:sz w:val="24"/>
          <w:szCs w:val="24"/>
        </w:rPr>
        <w:t xml:space="preserve"> </w:t>
      </w:r>
      <w:proofErr w:type="spellStart"/>
      <w:r w:rsidRPr="00066BCA">
        <w:rPr>
          <w:rFonts w:ascii="Times New Roman" w:eastAsia="Times New Roman" w:hAnsi="Times New Roman" w:cs="Times New Roman"/>
          <w:sz w:val="24"/>
          <w:szCs w:val="24"/>
        </w:rPr>
        <w:t>Afkar</w:t>
      </w:r>
      <w:proofErr w:type="spellEnd"/>
      <w:r w:rsidRPr="00066BCA">
        <w:rPr>
          <w:rFonts w:ascii="Times New Roman" w:eastAsia="Times New Roman" w:hAnsi="Times New Roman" w:cs="Times New Roman"/>
          <w:sz w:val="24"/>
          <w:szCs w:val="24"/>
        </w:rPr>
        <w:t xml:space="preserve"> </w:t>
      </w:r>
      <w:r w:rsidRPr="00066BCA">
        <w:rPr>
          <w:rFonts w:ascii="Times New Roman" w:eastAsia="Times New Roman" w:hAnsi="Times New Roman" w:cs="Times New Roman"/>
          <w:sz w:val="24"/>
          <w:szCs w:val="24"/>
        </w:rPr>
        <w:lastRenderedPageBreak/>
        <w:t>Kediri has demonstrated a progressive effort in supporting the implementation of inclusive learning, although it still faces a number of conceptual and practical obstacles. The process of adapting teaching materials tends to be carried out intuitively by teachers, particularly in the form of content simplification and visual enrichment, but is not yet fully based on an assessment of individual student learning needs. Student engagement and perceptions of the adaptive materials are quite positive, especially when the teaching materials are linked to everyday contexts and delivered interactively. On the other hand, teachers play a key role in successful implementation, but they still require systematic support in the form of professional training, inclusive policies, and access to adequate learning resources. Evaluation of the effectiveness of teaching materials is also still informal and not systematically documented, so that reflection and continuous improvement are less than optimal. Therefore, the development of adaptive teaching materials in madrasas needs to be designed collaboratively and sustainably, with structural support from educational institutions and policymakers, so that inclusive Arabic language learning is not merely symbolic but truly able to meet the needs of all students in a fair and meaningful manner.</w:t>
      </w:r>
    </w:p>
    <w:p w14:paraId="59346EB8" w14:textId="77777777" w:rsidR="00900DBA" w:rsidRDefault="00900DBA">
      <w:pPr>
        <w:spacing w:after="0" w:line="240" w:lineRule="auto"/>
        <w:jc w:val="both"/>
        <w:rPr>
          <w:rFonts w:ascii="Times New Roman" w:eastAsia="Times New Roman" w:hAnsi="Times New Roman" w:cs="Times New Roman"/>
          <w:sz w:val="24"/>
          <w:szCs w:val="24"/>
        </w:rPr>
      </w:pPr>
    </w:p>
    <w:p w14:paraId="385A984A" w14:textId="4EDCF6AB" w:rsidR="00900DBA" w:rsidRDefault="006B646C" w:rsidP="00066BCA">
      <w:pPr>
        <w:spacing w:after="0" w:line="24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REFERENCES</w:t>
      </w:r>
    </w:p>
    <w:p w14:paraId="099CF81D" w14:textId="77777777" w:rsidR="00066BCA" w:rsidRPr="00066BCA" w:rsidRDefault="00066BCA" w:rsidP="00066BCA">
      <w:pPr>
        <w:pStyle w:val="Bibliography"/>
        <w:spacing w:after="120" w:line="240" w:lineRule="auto"/>
        <w:jc w:val="both"/>
        <w:rPr>
          <w:rFonts w:asciiTheme="majorBidi" w:hAnsiTheme="majorBidi" w:cstheme="majorBidi"/>
          <w:sz w:val="24"/>
          <w:szCs w:val="24"/>
        </w:rPr>
      </w:pPr>
      <w:r w:rsidRPr="00066BCA">
        <w:rPr>
          <w:rFonts w:asciiTheme="majorBidi" w:eastAsia="Times New Roman" w:hAnsiTheme="majorBidi" w:cstheme="majorBidi"/>
          <w:color w:val="222222"/>
          <w:sz w:val="24"/>
          <w:szCs w:val="24"/>
        </w:rPr>
        <w:fldChar w:fldCharType="begin"/>
      </w:r>
      <w:r w:rsidRPr="00066BCA">
        <w:rPr>
          <w:rFonts w:asciiTheme="majorBidi" w:eastAsia="Times New Roman" w:hAnsiTheme="majorBidi" w:cstheme="majorBidi"/>
          <w:color w:val="222222"/>
          <w:sz w:val="24"/>
          <w:szCs w:val="24"/>
        </w:rPr>
        <w:instrText xml:space="preserve"> ADDIN ZOTERO_BIBL {"uncited":[],"omitted":[],"custom":[]} CSL_BIBLIOGRAPHY </w:instrText>
      </w:r>
      <w:r w:rsidRPr="00066BCA">
        <w:rPr>
          <w:rFonts w:asciiTheme="majorBidi" w:eastAsia="Times New Roman" w:hAnsiTheme="majorBidi" w:cstheme="majorBidi"/>
          <w:color w:val="222222"/>
          <w:sz w:val="24"/>
          <w:szCs w:val="24"/>
        </w:rPr>
        <w:fldChar w:fldCharType="separate"/>
      </w:r>
      <w:r w:rsidRPr="00066BCA">
        <w:rPr>
          <w:rFonts w:asciiTheme="majorBidi" w:hAnsiTheme="majorBidi" w:cstheme="majorBidi"/>
          <w:sz w:val="24"/>
          <w:szCs w:val="24"/>
        </w:rPr>
        <w:t xml:space="preserve">Aderibigbe, S. A., Idriz, M., Alzouebi, K., AlOthman, H., Hamdi, W. B., &amp; Companioni, A. A. (2023). Fostering Tolerance and Respect for Diversity through the Fundamentals of Islamic Education. </w:t>
      </w:r>
      <w:r w:rsidRPr="00066BCA">
        <w:rPr>
          <w:rFonts w:asciiTheme="majorBidi" w:hAnsiTheme="majorBidi" w:cstheme="majorBidi"/>
          <w:i/>
          <w:iCs/>
          <w:sz w:val="24"/>
          <w:szCs w:val="24"/>
        </w:rPr>
        <w:t>Religions</w:t>
      </w:r>
      <w:r w:rsidRPr="00066BCA">
        <w:rPr>
          <w:rFonts w:asciiTheme="majorBidi" w:hAnsiTheme="majorBidi" w:cstheme="majorBidi"/>
          <w:sz w:val="24"/>
          <w:szCs w:val="24"/>
        </w:rPr>
        <w:t xml:space="preserve">, </w:t>
      </w:r>
      <w:r w:rsidRPr="00066BCA">
        <w:rPr>
          <w:rFonts w:asciiTheme="majorBidi" w:hAnsiTheme="majorBidi" w:cstheme="majorBidi"/>
          <w:i/>
          <w:iCs/>
          <w:sz w:val="24"/>
          <w:szCs w:val="24"/>
        </w:rPr>
        <w:t>14</w:t>
      </w:r>
      <w:r w:rsidRPr="00066BCA">
        <w:rPr>
          <w:rFonts w:asciiTheme="majorBidi" w:hAnsiTheme="majorBidi" w:cstheme="majorBidi"/>
          <w:sz w:val="24"/>
          <w:szCs w:val="24"/>
        </w:rPr>
        <w:t>(2), Article 2. https://doi.org/10.3390/rel14020212</w:t>
      </w:r>
    </w:p>
    <w:p w14:paraId="65E732EC" w14:textId="77777777" w:rsidR="00066BCA" w:rsidRPr="00066BCA" w:rsidRDefault="00066BCA" w:rsidP="00066BCA">
      <w:pPr>
        <w:pStyle w:val="Bibliography"/>
        <w:spacing w:after="120" w:line="240" w:lineRule="auto"/>
        <w:jc w:val="both"/>
        <w:rPr>
          <w:rFonts w:asciiTheme="majorBidi" w:hAnsiTheme="majorBidi" w:cstheme="majorBidi"/>
          <w:sz w:val="24"/>
          <w:szCs w:val="24"/>
        </w:rPr>
      </w:pPr>
      <w:r w:rsidRPr="00066BCA">
        <w:rPr>
          <w:rFonts w:asciiTheme="majorBidi" w:hAnsiTheme="majorBidi" w:cstheme="majorBidi"/>
          <w:sz w:val="24"/>
          <w:szCs w:val="24"/>
        </w:rPr>
        <w:t xml:space="preserve">Ahmad, D. S. W., &amp; Setiawan, H. R. (2024). Implementasi Metode Pembelajaran Aktif Index Card Match dalam Peningkatan Prestasi Belajar Bahasa Arab Siswa Kelas IV SD Maitreechit Wittayathan School Thailand. </w:t>
      </w:r>
      <w:r w:rsidRPr="00066BCA">
        <w:rPr>
          <w:rFonts w:asciiTheme="majorBidi" w:hAnsiTheme="majorBidi" w:cstheme="majorBidi"/>
          <w:i/>
          <w:iCs/>
          <w:sz w:val="24"/>
          <w:szCs w:val="24"/>
        </w:rPr>
        <w:t>Jurnal Dirosah Islamiyah</w:t>
      </w:r>
      <w:r w:rsidRPr="00066BCA">
        <w:rPr>
          <w:rFonts w:asciiTheme="majorBidi" w:hAnsiTheme="majorBidi" w:cstheme="majorBidi"/>
          <w:sz w:val="24"/>
          <w:szCs w:val="24"/>
        </w:rPr>
        <w:t xml:space="preserve">, </w:t>
      </w:r>
      <w:r w:rsidRPr="00066BCA">
        <w:rPr>
          <w:rFonts w:asciiTheme="majorBidi" w:hAnsiTheme="majorBidi" w:cstheme="majorBidi"/>
          <w:i/>
          <w:iCs/>
          <w:sz w:val="24"/>
          <w:szCs w:val="24"/>
        </w:rPr>
        <w:t>6</w:t>
      </w:r>
      <w:r w:rsidRPr="00066BCA">
        <w:rPr>
          <w:rFonts w:asciiTheme="majorBidi" w:hAnsiTheme="majorBidi" w:cstheme="majorBidi"/>
          <w:sz w:val="24"/>
          <w:szCs w:val="24"/>
        </w:rPr>
        <w:t>(1), Article 1. https://doi.org/10.47467/jdi.v6i1.6127</w:t>
      </w:r>
    </w:p>
    <w:p w14:paraId="71997604" w14:textId="77777777" w:rsidR="00066BCA" w:rsidRPr="00066BCA" w:rsidRDefault="00066BCA" w:rsidP="00066BCA">
      <w:pPr>
        <w:pStyle w:val="Bibliography"/>
        <w:spacing w:after="120" w:line="240" w:lineRule="auto"/>
        <w:jc w:val="both"/>
        <w:rPr>
          <w:rFonts w:asciiTheme="majorBidi" w:hAnsiTheme="majorBidi" w:cstheme="majorBidi"/>
          <w:sz w:val="24"/>
          <w:szCs w:val="24"/>
        </w:rPr>
      </w:pPr>
      <w:r w:rsidRPr="00066BCA">
        <w:rPr>
          <w:rFonts w:asciiTheme="majorBidi" w:hAnsiTheme="majorBidi" w:cstheme="majorBidi"/>
          <w:sz w:val="24"/>
          <w:szCs w:val="24"/>
        </w:rPr>
        <w:t xml:space="preserve">Baihaqi, M., Syarifah, A., &amp; Arif, M. (2025). Enhancing Arabic Translation Competency In Higher Education: An Evaluation Of The Becoming A Translation Practitioner’ Program/ </w:t>
      </w:r>
      <w:r w:rsidRPr="00066BCA">
        <w:rPr>
          <w:rFonts w:asciiTheme="majorBidi" w:hAnsiTheme="majorBidi" w:cstheme="majorBidi"/>
          <w:sz w:val="24"/>
          <w:szCs w:val="24"/>
          <w:rtl/>
        </w:rPr>
        <w:t>تعزيز مهارات الترجمة للغة العربية في التعليم العالي: تقييم برنامج أن تصبح ممارسًا للترجمة</w:t>
      </w:r>
      <w:r w:rsidRPr="00066BCA">
        <w:rPr>
          <w:rFonts w:asciiTheme="majorBidi" w:hAnsiTheme="majorBidi" w:cstheme="majorBidi"/>
          <w:sz w:val="24"/>
          <w:szCs w:val="24"/>
        </w:rPr>
        <w:t xml:space="preserve">. </w:t>
      </w:r>
      <w:r w:rsidRPr="00066BCA">
        <w:rPr>
          <w:rFonts w:asciiTheme="majorBidi" w:hAnsiTheme="majorBidi" w:cstheme="majorBidi"/>
          <w:i/>
          <w:iCs/>
          <w:sz w:val="24"/>
          <w:szCs w:val="24"/>
        </w:rPr>
        <w:t>Ijaz Arabi Journal of Arabic Learning</w:t>
      </w:r>
      <w:r w:rsidRPr="00066BCA">
        <w:rPr>
          <w:rFonts w:asciiTheme="majorBidi" w:hAnsiTheme="majorBidi" w:cstheme="majorBidi"/>
          <w:sz w:val="24"/>
          <w:szCs w:val="24"/>
        </w:rPr>
        <w:t xml:space="preserve">, </w:t>
      </w:r>
      <w:r w:rsidRPr="00066BCA">
        <w:rPr>
          <w:rFonts w:asciiTheme="majorBidi" w:hAnsiTheme="majorBidi" w:cstheme="majorBidi"/>
          <w:i/>
          <w:iCs/>
          <w:sz w:val="24"/>
          <w:szCs w:val="24"/>
        </w:rPr>
        <w:t>8</w:t>
      </w:r>
      <w:r w:rsidRPr="00066BCA">
        <w:rPr>
          <w:rFonts w:asciiTheme="majorBidi" w:hAnsiTheme="majorBidi" w:cstheme="majorBidi"/>
          <w:sz w:val="24"/>
          <w:szCs w:val="24"/>
        </w:rPr>
        <w:t>(1), Article 1. https://doi.org/10.18860/ijazarabi.v8i1.31642</w:t>
      </w:r>
    </w:p>
    <w:p w14:paraId="275176C2" w14:textId="77777777" w:rsidR="00066BCA" w:rsidRPr="00066BCA" w:rsidRDefault="00066BCA" w:rsidP="00066BCA">
      <w:pPr>
        <w:pStyle w:val="Bibliography"/>
        <w:spacing w:after="120" w:line="240" w:lineRule="auto"/>
        <w:jc w:val="both"/>
        <w:rPr>
          <w:rFonts w:asciiTheme="majorBidi" w:hAnsiTheme="majorBidi" w:cstheme="majorBidi"/>
          <w:sz w:val="24"/>
          <w:szCs w:val="24"/>
        </w:rPr>
      </w:pPr>
      <w:r w:rsidRPr="00066BCA">
        <w:rPr>
          <w:rFonts w:asciiTheme="majorBidi" w:hAnsiTheme="majorBidi" w:cstheme="majorBidi"/>
          <w:sz w:val="24"/>
          <w:szCs w:val="24"/>
        </w:rPr>
        <w:t xml:space="preserve">Baldwin, C. A. (2021). Universal Design for Learning. </w:t>
      </w:r>
      <w:r w:rsidRPr="00066BCA">
        <w:rPr>
          <w:rFonts w:asciiTheme="majorBidi" w:hAnsiTheme="majorBidi" w:cstheme="majorBidi"/>
          <w:i/>
          <w:iCs/>
          <w:sz w:val="24"/>
          <w:szCs w:val="24"/>
        </w:rPr>
        <w:t>Reference &amp; User Services Quarterly</w:t>
      </w:r>
      <w:r w:rsidRPr="00066BCA">
        <w:rPr>
          <w:rFonts w:asciiTheme="majorBidi" w:hAnsiTheme="majorBidi" w:cstheme="majorBidi"/>
          <w:sz w:val="24"/>
          <w:szCs w:val="24"/>
        </w:rPr>
        <w:t xml:space="preserve">, </w:t>
      </w:r>
      <w:r w:rsidRPr="00066BCA">
        <w:rPr>
          <w:rFonts w:asciiTheme="majorBidi" w:hAnsiTheme="majorBidi" w:cstheme="majorBidi"/>
          <w:i/>
          <w:iCs/>
          <w:sz w:val="24"/>
          <w:szCs w:val="24"/>
        </w:rPr>
        <w:t>59</w:t>
      </w:r>
      <w:r w:rsidRPr="00066BCA">
        <w:rPr>
          <w:rFonts w:asciiTheme="majorBidi" w:hAnsiTheme="majorBidi" w:cstheme="majorBidi"/>
          <w:sz w:val="24"/>
          <w:szCs w:val="24"/>
        </w:rPr>
        <w:t>(3/4), 173–176.</w:t>
      </w:r>
    </w:p>
    <w:p w14:paraId="7B45BB54" w14:textId="77777777" w:rsidR="00066BCA" w:rsidRPr="00066BCA" w:rsidRDefault="00066BCA" w:rsidP="00066BCA">
      <w:pPr>
        <w:pStyle w:val="Bibliography"/>
        <w:spacing w:after="120" w:line="240" w:lineRule="auto"/>
        <w:jc w:val="both"/>
        <w:rPr>
          <w:rFonts w:asciiTheme="majorBidi" w:hAnsiTheme="majorBidi" w:cstheme="majorBidi"/>
          <w:sz w:val="24"/>
          <w:szCs w:val="24"/>
        </w:rPr>
      </w:pPr>
      <w:r w:rsidRPr="00066BCA">
        <w:rPr>
          <w:rFonts w:asciiTheme="majorBidi" w:hAnsiTheme="majorBidi" w:cstheme="majorBidi"/>
          <w:sz w:val="24"/>
          <w:szCs w:val="24"/>
        </w:rPr>
        <w:t xml:space="preserve">Bharathi, G. P., Chandra, I., Sanagana, D. P. R., Tummalachervu, C. K., Rao, V. S., &amp; Neelima, S. (2024). AI-driven adaptive learning for enhancing business intelligence simulation games. </w:t>
      </w:r>
      <w:r w:rsidRPr="00066BCA">
        <w:rPr>
          <w:rFonts w:asciiTheme="majorBidi" w:hAnsiTheme="majorBidi" w:cstheme="majorBidi"/>
          <w:i/>
          <w:iCs/>
          <w:sz w:val="24"/>
          <w:szCs w:val="24"/>
        </w:rPr>
        <w:t>Entertainment Computing</w:t>
      </w:r>
      <w:r w:rsidRPr="00066BCA">
        <w:rPr>
          <w:rFonts w:asciiTheme="majorBidi" w:hAnsiTheme="majorBidi" w:cstheme="majorBidi"/>
          <w:sz w:val="24"/>
          <w:szCs w:val="24"/>
        </w:rPr>
        <w:t xml:space="preserve">, </w:t>
      </w:r>
      <w:r w:rsidRPr="00066BCA">
        <w:rPr>
          <w:rFonts w:asciiTheme="majorBidi" w:hAnsiTheme="majorBidi" w:cstheme="majorBidi"/>
          <w:i/>
          <w:iCs/>
          <w:sz w:val="24"/>
          <w:szCs w:val="24"/>
        </w:rPr>
        <w:t>50</w:t>
      </w:r>
      <w:r w:rsidRPr="00066BCA">
        <w:rPr>
          <w:rFonts w:asciiTheme="majorBidi" w:hAnsiTheme="majorBidi" w:cstheme="majorBidi"/>
          <w:sz w:val="24"/>
          <w:szCs w:val="24"/>
        </w:rPr>
        <w:t>, 100699. https://doi.org/10.1016/j.entcom.2024.100699</w:t>
      </w:r>
    </w:p>
    <w:p w14:paraId="3D3070F7" w14:textId="77777777" w:rsidR="00066BCA" w:rsidRPr="00066BCA" w:rsidRDefault="00066BCA" w:rsidP="00066BCA">
      <w:pPr>
        <w:pStyle w:val="Bibliography"/>
        <w:spacing w:after="120" w:line="240" w:lineRule="auto"/>
        <w:jc w:val="both"/>
        <w:rPr>
          <w:rFonts w:asciiTheme="majorBidi" w:hAnsiTheme="majorBidi" w:cstheme="majorBidi"/>
          <w:sz w:val="24"/>
          <w:szCs w:val="24"/>
        </w:rPr>
      </w:pPr>
      <w:r w:rsidRPr="00066BCA">
        <w:rPr>
          <w:rFonts w:asciiTheme="majorBidi" w:hAnsiTheme="majorBidi" w:cstheme="majorBidi"/>
          <w:sz w:val="24"/>
          <w:szCs w:val="24"/>
        </w:rPr>
        <w:t xml:space="preserve">Birinci, F. G., &amp; Saricoban, A. (2021). The effectiveness of visual materials in teaching vocabulary to deaf students of EFL. </w:t>
      </w:r>
      <w:r w:rsidRPr="00066BCA">
        <w:rPr>
          <w:rFonts w:asciiTheme="majorBidi" w:hAnsiTheme="majorBidi" w:cstheme="majorBidi"/>
          <w:i/>
          <w:iCs/>
          <w:sz w:val="24"/>
          <w:szCs w:val="24"/>
        </w:rPr>
        <w:t>Journal of Language and Linguistic Studies</w:t>
      </w:r>
      <w:r w:rsidRPr="00066BCA">
        <w:rPr>
          <w:rFonts w:asciiTheme="majorBidi" w:hAnsiTheme="majorBidi" w:cstheme="majorBidi"/>
          <w:sz w:val="24"/>
          <w:szCs w:val="24"/>
        </w:rPr>
        <w:t xml:space="preserve">, </w:t>
      </w:r>
      <w:r w:rsidRPr="00066BCA">
        <w:rPr>
          <w:rFonts w:asciiTheme="majorBidi" w:hAnsiTheme="majorBidi" w:cstheme="majorBidi"/>
          <w:i/>
          <w:iCs/>
          <w:sz w:val="24"/>
          <w:szCs w:val="24"/>
        </w:rPr>
        <w:t>17</w:t>
      </w:r>
      <w:r w:rsidRPr="00066BCA">
        <w:rPr>
          <w:rFonts w:asciiTheme="majorBidi" w:hAnsiTheme="majorBidi" w:cstheme="majorBidi"/>
          <w:sz w:val="24"/>
          <w:szCs w:val="24"/>
        </w:rPr>
        <w:t>(1), 628–645. https://doi.org/10.3316/informit.221335398012476</w:t>
      </w:r>
    </w:p>
    <w:p w14:paraId="066A797E" w14:textId="77777777" w:rsidR="00066BCA" w:rsidRPr="00066BCA" w:rsidRDefault="00066BCA" w:rsidP="00066BCA">
      <w:pPr>
        <w:pStyle w:val="Bibliography"/>
        <w:spacing w:after="120" w:line="240" w:lineRule="auto"/>
        <w:jc w:val="both"/>
        <w:rPr>
          <w:rFonts w:asciiTheme="majorBidi" w:hAnsiTheme="majorBidi" w:cstheme="majorBidi"/>
          <w:sz w:val="24"/>
          <w:szCs w:val="24"/>
        </w:rPr>
      </w:pPr>
      <w:r w:rsidRPr="00066BCA">
        <w:rPr>
          <w:rFonts w:asciiTheme="majorBidi" w:hAnsiTheme="majorBidi" w:cstheme="majorBidi"/>
          <w:sz w:val="24"/>
          <w:szCs w:val="24"/>
        </w:rPr>
        <w:t xml:space="preserve">Boysen, G. A. (2024). A critical analysis of the research evidence behind CAST’s universal design for learning guidelines. </w:t>
      </w:r>
      <w:r w:rsidRPr="00066BCA">
        <w:rPr>
          <w:rFonts w:asciiTheme="majorBidi" w:hAnsiTheme="majorBidi" w:cstheme="majorBidi"/>
          <w:i/>
          <w:iCs/>
          <w:sz w:val="24"/>
          <w:szCs w:val="24"/>
        </w:rPr>
        <w:t>Policy Futures in Education</w:t>
      </w:r>
      <w:r w:rsidRPr="00066BCA">
        <w:rPr>
          <w:rFonts w:asciiTheme="majorBidi" w:hAnsiTheme="majorBidi" w:cstheme="majorBidi"/>
          <w:sz w:val="24"/>
          <w:szCs w:val="24"/>
        </w:rPr>
        <w:t xml:space="preserve">, </w:t>
      </w:r>
      <w:r w:rsidRPr="00066BCA">
        <w:rPr>
          <w:rFonts w:asciiTheme="majorBidi" w:hAnsiTheme="majorBidi" w:cstheme="majorBidi"/>
          <w:i/>
          <w:iCs/>
          <w:sz w:val="24"/>
          <w:szCs w:val="24"/>
        </w:rPr>
        <w:t>22</w:t>
      </w:r>
      <w:r w:rsidRPr="00066BCA">
        <w:rPr>
          <w:rFonts w:asciiTheme="majorBidi" w:hAnsiTheme="majorBidi" w:cstheme="majorBidi"/>
          <w:sz w:val="24"/>
          <w:szCs w:val="24"/>
        </w:rPr>
        <w:t>(7), 1219–1238. https://doi.org/10.1177/14782103241255428</w:t>
      </w:r>
    </w:p>
    <w:p w14:paraId="3DC38E5F" w14:textId="77777777" w:rsidR="00066BCA" w:rsidRPr="00066BCA" w:rsidRDefault="00066BCA" w:rsidP="00066BCA">
      <w:pPr>
        <w:pStyle w:val="Bibliography"/>
        <w:spacing w:after="120" w:line="240" w:lineRule="auto"/>
        <w:jc w:val="both"/>
        <w:rPr>
          <w:rFonts w:asciiTheme="majorBidi" w:hAnsiTheme="majorBidi" w:cstheme="majorBidi"/>
          <w:sz w:val="24"/>
          <w:szCs w:val="24"/>
        </w:rPr>
      </w:pPr>
      <w:r w:rsidRPr="00066BCA">
        <w:rPr>
          <w:rFonts w:asciiTheme="majorBidi" w:hAnsiTheme="majorBidi" w:cstheme="majorBidi"/>
          <w:sz w:val="24"/>
          <w:szCs w:val="24"/>
        </w:rPr>
        <w:lastRenderedPageBreak/>
        <w:t xml:space="preserve">Craig, S. L., Smith ,Sean J., &amp; and Frey, B. B. (2022). Professional development with universal design for learning: Supporting teachers as learners to increase the implementation of UDL. </w:t>
      </w:r>
      <w:r w:rsidRPr="00066BCA">
        <w:rPr>
          <w:rFonts w:asciiTheme="majorBidi" w:hAnsiTheme="majorBidi" w:cstheme="majorBidi"/>
          <w:i/>
          <w:iCs/>
          <w:sz w:val="24"/>
          <w:szCs w:val="24"/>
        </w:rPr>
        <w:t>Professional Development in Education</w:t>
      </w:r>
      <w:r w:rsidRPr="00066BCA">
        <w:rPr>
          <w:rFonts w:asciiTheme="majorBidi" w:hAnsiTheme="majorBidi" w:cstheme="majorBidi"/>
          <w:sz w:val="24"/>
          <w:szCs w:val="24"/>
        </w:rPr>
        <w:t xml:space="preserve">, </w:t>
      </w:r>
      <w:r w:rsidRPr="00066BCA">
        <w:rPr>
          <w:rFonts w:asciiTheme="majorBidi" w:hAnsiTheme="majorBidi" w:cstheme="majorBidi"/>
          <w:i/>
          <w:iCs/>
          <w:sz w:val="24"/>
          <w:szCs w:val="24"/>
        </w:rPr>
        <w:t>48</w:t>
      </w:r>
      <w:r w:rsidRPr="00066BCA">
        <w:rPr>
          <w:rFonts w:asciiTheme="majorBidi" w:hAnsiTheme="majorBidi" w:cstheme="majorBidi"/>
          <w:sz w:val="24"/>
          <w:szCs w:val="24"/>
        </w:rPr>
        <w:t>(1), 22–37. https://doi.org/10.1080/19415257.2019.1685563</w:t>
      </w:r>
    </w:p>
    <w:p w14:paraId="1239A3D0" w14:textId="77777777" w:rsidR="00066BCA" w:rsidRPr="00066BCA" w:rsidRDefault="00066BCA" w:rsidP="00066BCA">
      <w:pPr>
        <w:pStyle w:val="Bibliography"/>
        <w:spacing w:after="120" w:line="240" w:lineRule="auto"/>
        <w:jc w:val="both"/>
        <w:rPr>
          <w:rFonts w:asciiTheme="majorBidi" w:hAnsiTheme="majorBidi" w:cstheme="majorBidi"/>
          <w:sz w:val="24"/>
          <w:szCs w:val="24"/>
        </w:rPr>
      </w:pPr>
      <w:r w:rsidRPr="00066BCA">
        <w:rPr>
          <w:rFonts w:asciiTheme="majorBidi" w:hAnsiTheme="majorBidi" w:cstheme="majorBidi"/>
          <w:sz w:val="24"/>
          <w:szCs w:val="24"/>
        </w:rPr>
        <w:t xml:space="preserve">DeMatthews, D. E., Serafini, A., &amp; Watson, T. N. (2021). Leading Inclusive Schools: Principal Perceptions, Practices, and Challenges to Meaningful Change. </w:t>
      </w:r>
      <w:r w:rsidRPr="00066BCA">
        <w:rPr>
          <w:rFonts w:asciiTheme="majorBidi" w:hAnsiTheme="majorBidi" w:cstheme="majorBidi"/>
          <w:i/>
          <w:iCs/>
          <w:sz w:val="24"/>
          <w:szCs w:val="24"/>
        </w:rPr>
        <w:t>Educational Administration Quarterly</w:t>
      </w:r>
      <w:r w:rsidRPr="00066BCA">
        <w:rPr>
          <w:rFonts w:asciiTheme="majorBidi" w:hAnsiTheme="majorBidi" w:cstheme="majorBidi"/>
          <w:sz w:val="24"/>
          <w:szCs w:val="24"/>
        </w:rPr>
        <w:t xml:space="preserve">, </w:t>
      </w:r>
      <w:r w:rsidRPr="00066BCA">
        <w:rPr>
          <w:rFonts w:asciiTheme="majorBidi" w:hAnsiTheme="majorBidi" w:cstheme="majorBidi"/>
          <w:i/>
          <w:iCs/>
          <w:sz w:val="24"/>
          <w:szCs w:val="24"/>
        </w:rPr>
        <w:t>57</w:t>
      </w:r>
      <w:r w:rsidRPr="00066BCA">
        <w:rPr>
          <w:rFonts w:asciiTheme="majorBidi" w:hAnsiTheme="majorBidi" w:cstheme="majorBidi"/>
          <w:sz w:val="24"/>
          <w:szCs w:val="24"/>
        </w:rPr>
        <w:t>(1), 3–48. https://doi.org/10.1177/0013161X20913897</w:t>
      </w:r>
    </w:p>
    <w:p w14:paraId="484E191C" w14:textId="77777777" w:rsidR="00066BCA" w:rsidRPr="00066BCA" w:rsidRDefault="00066BCA" w:rsidP="00066BCA">
      <w:pPr>
        <w:pStyle w:val="Bibliography"/>
        <w:spacing w:after="120" w:line="240" w:lineRule="auto"/>
        <w:jc w:val="both"/>
        <w:rPr>
          <w:rFonts w:asciiTheme="majorBidi" w:hAnsiTheme="majorBidi" w:cstheme="majorBidi"/>
          <w:sz w:val="24"/>
          <w:szCs w:val="24"/>
        </w:rPr>
      </w:pPr>
      <w:r w:rsidRPr="00066BCA">
        <w:rPr>
          <w:rFonts w:asciiTheme="majorBidi" w:hAnsiTheme="majorBidi" w:cstheme="majorBidi"/>
          <w:sz w:val="24"/>
          <w:szCs w:val="24"/>
        </w:rPr>
        <w:t xml:space="preserve">Demchenko, I., Maksymchuk, B., Bilan, V., Maksymchuk, I., &amp; Kalynovska, I. (2021). Training Future Physical Education Teachers for Professional Activities under the Conditions of Inclusive Education. </w:t>
      </w:r>
      <w:r w:rsidRPr="00066BCA">
        <w:rPr>
          <w:rFonts w:asciiTheme="majorBidi" w:hAnsiTheme="majorBidi" w:cstheme="majorBidi"/>
          <w:i/>
          <w:iCs/>
          <w:sz w:val="24"/>
          <w:szCs w:val="24"/>
        </w:rPr>
        <w:t>BRAIN. Broad Research in Artificial Intelligence and Neuroscience</w:t>
      </w:r>
      <w:r w:rsidRPr="00066BCA">
        <w:rPr>
          <w:rFonts w:asciiTheme="majorBidi" w:hAnsiTheme="majorBidi" w:cstheme="majorBidi"/>
          <w:sz w:val="24"/>
          <w:szCs w:val="24"/>
        </w:rPr>
        <w:t xml:space="preserve">, </w:t>
      </w:r>
      <w:r w:rsidRPr="00066BCA">
        <w:rPr>
          <w:rFonts w:asciiTheme="majorBidi" w:hAnsiTheme="majorBidi" w:cstheme="majorBidi"/>
          <w:i/>
          <w:iCs/>
          <w:sz w:val="24"/>
          <w:szCs w:val="24"/>
        </w:rPr>
        <w:t>12</w:t>
      </w:r>
      <w:r w:rsidRPr="00066BCA">
        <w:rPr>
          <w:rFonts w:asciiTheme="majorBidi" w:hAnsiTheme="majorBidi" w:cstheme="majorBidi"/>
          <w:sz w:val="24"/>
          <w:szCs w:val="24"/>
        </w:rPr>
        <w:t>(3), Article 3.</w:t>
      </w:r>
    </w:p>
    <w:p w14:paraId="77262A00" w14:textId="77777777" w:rsidR="00066BCA" w:rsidRPr="00066BCA" w:rsidRDefault="00066BCA" w:rsidP="00066BCA">
      <w:pPr>
        <w:pStyle w:val="Bibliography"/>
        <w:spacing w:after="120" w:line="240" w:lineRule="auto"/>
        <w:jc w:val="both"/>
        <w:rPr>
          <w:rFonts w:asciiTheme="majorBidi" w:hAnsiTheme="majorBidi" w:cstheme="majorBidi"/>
          <w:sz w:val="24"/>
          <w:szCs w:val="24"/>
        </w:rPr>
      </w:pPr>
      <w:r w:rsidRPr="00066BCA">
        <w:rPr>
          <w:rFonts w:asciiTheme="majorBidi" w:hAnsiTheme="majorBidi" w:cstheme="majorBidi"/>
          <w:sz w:val="24"/>
          <w:szCs w:val="24"/>
        </w:rPr>
        <w:t xml:space="preserve">Devine, P. G., &amp; Ash, T. L. (2022). Diversity Training Goals, Limitations, and Promise: A Review of the Multidisciplinary Literature. </w:t>
      </w:r>
      <w:r w:rsidRPr="00066BCA">
        <w:rPr>
          <w:rFonts w:asciiTheme="majorBidi" w:hAnsiTheme="majorBidi" w:cstheme="majorBidi"/>
          <w:i/>
          <w:iCs/>
          <w:sz w:val="24"/>
          <w:szCs w:val="24"/>
        </w:rPr>
        <w:t>Annual Review of Psychology</w:t>
      </w:r>
      <w:r w:rsidRPr="00066BCA">
        <w:rPr>
          <w:rFonts w:asciiTheme="majorBidi" w:hAnsiTheme="majorBidi" w:cstheme="majorBidi"/>
          <w:sz w:val="24"/>
          <w:szCs w:val="24"/>
        </w:rPr>
        <w:t xml:space="preserve">, </w:t>
      </w:r>
      <w:r w:rsidRPr="00066BCA">
        <w:rPr>
          <w:rFonts w:asciiTheme="majorBidi" w:hAnsiTheme="majorBidi" w:cstheme="majorBidi"/>
          <w:i/>
          <w:iCs/>
          <w:sz w:val="24"/>
          <w:szCs w:val="24"/>
        </w:rPr>
        <w:t>73</w:t>
      </w:r>
      <w:r w:rsidRPr="00066BCA">
        <w:rPr>
          <w:rFonts w:asciiTheme="majorBidi" w:hAnsiTheme="majorBidi" w:cstheme="majorBidi"/>
          <w:sz w:val="24"/>
          <w:szCs w:val="24"/>
        </w:rPr>
        <w:t>(Volume 73, 2022), 403–429. https://doi.org/10.1146/annurev-psych-060221-122215</w:t>
      </w:r>
    </w:p>
    <w:p w14:paraId="0E26323F" w14:textId="77777777" w:rsidR="00066BCA" w:rsidRPr="00066BCA" w:rsidRDefault="00066BCA" w:rsidP="00066BCA">
      <w:pPr>
        <w:pStyle w:val="Bibliography"/>
        <w:spacing w:after="120" w:line="240" w:lineRule="auto"/>
        <w:jc w:val="both"/>
        <w:rPr>
          <w:rFonts w:asciiTheme="majorBidi" w:hAnsiTheme="majorBidi" w:cstheme="majorBidi"/>
          <w:sz w:val="24"/>
          <w:szCs w:val="24"/>
        </w:rPr>
      </w:pPr>
      <w:r w:rsidRPr="00066BCA">
        <w:rPr>
          <w:rFonts w:asciiTheme="majorBidi" w:hAnsiTheme="majorBidi" w:cstheme="majorBidi"/>
          <w:sz w:val="24"/>
          <w:szCs w:val="24"/>
        </w:rPr>
        <w:t xml:space="preserve">El-Sabagh, H. A. (2021). Adaptive e-learning environment based on learning styles and its impact on development students’ engagement. </w:t>
      </w:r>
      <w:r w:rsidRPr="00066BCA">
        <w:rPr>
          <w:rFonts w:asciiTheme="majorBidi" w:hAnsiTheme="majorBidi" w:cstheme="majorBidi"/>
          <w:i/>
          <w:iCs/>
          <w:sz w:val="24"/>
          <w:szCs w:val="24"/>
        </w:rPr>
        <w:t>International Journal of Educational Technology in Higher Education</w:t>
      </w:r>
      <w:r w:rsidRPr="00066BCA">
        <w:rPr>
          <w:rFonts w:asciiTheme="majorBidi" w:hAnsiTheme="majorBidi" w:cstheme="majorBidi"/>
          <w:sz w:val="24"/>
          <w:szCs w:val="24"/>
        </w:rPr>
        <w:t xml:space="preserve">, </w:t>
      </w:r>
      <w:r w:rsidRPr="00066BCA">
        <w:rPr>
          <w:rFonts w:asciiTheme="majorBidi" w:hAnsiTheme="majorBidi" w:cstheme="majorBidi"/>
          <w:i/>
          <w:iCs/>
          <w:sz w:val="24"/>
          <w:szCs w:val="24"/>
        </w:rPr>
        <w:t>18</w:t>
      </w:r>
      <w:r w:rsidRPr="00066BCA">
        <w:rPr>
          <w:rFonts w:asciiTheme="majorBidi" w:hAnsiTheme="majorBidi" w:cstheme="majorBidi"/>
          <w:sz w:val="24"/>
          <w:szCs w:val="24"/>
        </w:rPr>
        <w:t>(1), 53. https://doi.org/10.1186/s41239-021-00289-4</w:t>
      </w:r>
    </w:p>
    <w:p w14:paraId="6A625242" w14:textId="77777777" w:rsidR="00066BCA" w:rsidRPr="00066BCA" w:rsidRDefault="00066BCA" w:rsidP="00066BCA">
      <w:pPr>
        <w:pStyle w:val="Bibliography"/>
        <w:spacing w:after="120" w:line="240" w:lineRule="auto"/>
        <w:jc w:val="both"/>
        <w:rPr>
          <w:rFonts w:asciiTheme="majorBidi" w:hAnsiTheme="majorBidi" w:cstheme="majorBidi"/>
          <w:sz w:val="24"/>
          <w:szCs w:val="24"/>
        </w:rPr>
      </w:pPr>
      <w:r w:rsidRPr="00066BCA">
        <w:rPr>
          <w:rFonts w:asciiTheme="majorBidi" w:hAnsiTheme="majorBidi" w:cstheme="majorBidi"/>
          <w:sz w:val="24"/>
          <w:szCs w:val="24"/>
        </w:rPr>
        <w:t xml:space="preserve">Flores, M. A., Barros, A., Simão, A. M. V., Pereira, D., Flores, P., Fernandes, E., Costa, L., &amp; Ferreira, P. C. (2022). Portuguese higher education students’ adaptation to online teaching and learning in times of the COVID-19 pandemic: Personal and contextual factors. </w:t>
      </w:r>
      <w:r w:rsidRPr="00066BCA">
        <w:rPr>
          <w:rFonts w:asciiTheme="majorBidi" w:hAnsiTheme="majorBidi" w:cstheme="majorBidi"/>
          <w:i/>
          <w:iCs/>
          <w:sz w:val="24"/>
          <w:szCs w:val="24"/>
        </w:rPr>
        <w:t>Higher Education</w:t>
      </w:r>
      <w:r w:rsidRPr="00066BCA">
        <w:rPr>
          <w:rFonts w:asciiTheme="majorBidi" w:hAnsiTheme="majorBidi" w:cstheme="majorBidi"/>
          <w:sz w:val="24"/>
          <w:szCs w:val="24"/>
        </w:rPr>
        <w:t xml:space="preserve">, </w:t>
      </w:r>
      <w:r w:rsidRPr="00066BCA">
        <w:rPr>
          <w:rFonts w:asciiTheme="majorBidi" w:hAnsiTheme="majorBidi" w:cstheme="majorBidi"/>
          <w:i/>
          <w:iCs/>
          <w:sz w:val="24"/>
          <w:szCs w:val="24"/>
        </w:rPr>
        <w:t>83</w:t>
      </w:r>
      <w:r w:rsidRPr="00066BCA">
        <w:rPr>
          <w:rFonts w:asciiTheme="majorBidi" w:hAnsiTheme="majorBidi" w:cstheme="majorBidi"/>
          <w:sz w:val="24"/>
          <w:szCs w:val="24"/>
        </w:rPr>
        <w:t>(6), 1389–1408. https://doi.org/10.1007/s10734-021-00748-x</w:t>
      </w:r>
    </w:p>
    <w:p w14:paraId="58FA90BB" w14:textId="77777777" w:rsidR="00066BCA" w:rsidRPr="00066BCA" w:rsidRDefault="00066BCA" w:rsidP="00066BCA">
      <w:pPr>
        <w:pStyle w:val="Bibliography"/>
        <w:spacing w:after="120" w:line="240" w:lineRule="auto"/>
        <w:jc w:val="both"/>
        <w:rPr>
          <w:rFonts w:asciiTheme="majorBidi" w:hAnsiTheme="majorBidi" w:cstheme="majorBidi"/>
          <w:sz w:val="24"/>
          <w:szCs w:val="24"/>
        </w:rPr>
      </w:pPr>
      <w:r w:rsidRPr="00066BCA">
        <w:rPr>
          <w:rFonts w:asciiTheme="majorBidi" w:hAnsiTheme="majorBidi" w:cstheme="majorBidi"/>
          <w:sz w:val="24"/>
          <w:szCs w:val="24"/>
        </w:rPr>
        <w:t xml:space="preserve">Gheyssens, E., Coubergs ,Catherine, Griful-Freixenet ,Júlia, Engels ,Nadine, &amp; and Struyven, K. (2022). Differentiated instruction: The diversity of teachers’ philosophy and praxis to adapt teaching to students’ interests, readiness and learning profiles. </w:t>
      </w:r>
      <w:r w:rsidRPr="00066BCA">
        <w:rPr>
          <w:rFonts w:asciiTheme="majorBidi" w:hAnsiTheme="majorBidi" w:cstheme="majorBidi"/>
          <w:i/>
          <w:iCs/>
          <w:sz w:val="24"/>
          <w:szCs w:val="24"/>
        </w:rPr>
        <w:t>International Journal of Inclusive Education</w:t>
      </w:r>
      <w:r w:rsidRPr="00066BCA">
        <w:rPr>
          <w:rFonts w:asciiTheme="majorBidi" w:hAnsiTheme="majorBidi" w:cstheme="majorBidi"/>
          <w:sz w:val="24"/>
          <w:szCs w:val="24"/>
        </w:rPr>
        <w:t xml:space="preserve">, </w:t>
      </w:r>
      <w:r w:rsidRPr="00066BCA">
        <w:rPr>
          <w:rFonts w:asciiTheme="majorBidi" w:hAnsiTheme="majorBidi" w:cstheme="majorBidi"/>
          <w:i/>
          <w:iCs/>
          <w:sz w:val="24"/>
          <w:szCs w:val="24"/>
        </w:rPr>
        <w:t>26</w:t>
      </w:r>
      <w:r w:rsidRPr="00066BCA">
        <w:rPr>
          <w:rFonts w:asciiTheme="majorBidi" w:hAnsiTheme="majorBidi" w:cstheme="majorBidi"/>
          <w:sz w:val="24"/>
          <w:szCs w:val="24"/>
        </w:rPr>
        <w:t>(14), 1383–1400. https://doi.org/10.1080/13603116.2020.1812739</w:t>
      </w:r>
    </w:p>
    <w:p w14:paraId="1F8F3F36" w14:textId="77777777" w:rsidR="00066BCA" w:rsidRPr="00066BCA" w:rsidRDefault="00066BCA" w:rsidP="00066BCA">
      <w:pPr>
        <w:pStyle w:val="Bibliography"/>
        <w:spacing w:after="120" w:line="240" w:lineRule="auto"/>
        <w:jc w:val="both"/>
        <w:rPr>
          <w:rFonts w:asciiTheme="majorBidi" w:hAnsiTheme="majorBidi" w:cstheme="majorBidi"/>
          <w:sz w:val="24"/>
          <w:szCs w:val="24"/>
        </w:rPr>
      </w:pPr>
      <w:r w:rsidRPr="00066BCA">
        <w:rPr>
          <w:rFonts w:asciiTheme="majorBidi" w:hAnsiTheme="majorBidi" w:cstheme="majorBidi"/>
          <w:sz w:val="24"/>
          <w:szCs w:val="24"/>
        </w:rPr>
        <w:t xml:space="preserve">Graham, L. J., de Bruin, K., Lassig, C., &amp; Spandagou, I. (2021). A scoping review of 20 years of research on differentiation: Investigating conceptualisation, characteristics, and methods used. </w:t>
      </w:r>
      <w:r w:rsidRPr="00066BCA">
        <w:rPr>
          <w:rFonts w:asciiTheme="majorBidi" w:hAnsiTheme="majorBidi" w:cstheme="majorBidi"/>
          <w:i/>
          <w:iCs/>
          <w:sz w:val="24"/>
          <w:szCs w:val="24"/>
        </w:rPr>
        <w:t>Review of Education</w:t>
      </w:r>
      <w:r w:rsidRPr="00066BCA">
        <w:rPr>
          <w:rFonts w:asciiTheme="majorBidi" w:hAnsiTheme="majorBidi" w:cstheme="majorBidi"/>
          <w:sz w:val="24"/>
          <w:szCs w:val="24"/>
        </w:rPr>
        <w:t xml:space="preserve">, </w:t>
      </w:r>
      <w:r w:rsidRPr="00066BCA">
        <w:rPr>
          <w:rFonts w:asciiTheme="majorBidi" w:hAnsiTheme="majorBidi" w:cstheme="majorBidi"/>
          <w:i/>
          <w:iCs/>
          <w:sz w:val="24"/>
          <w:szCs w:val="24"/>
        </w:rPr>
        <w:t>9</w:t>
      </w:r>
      <w:r w:rsidRPr="00066BCA">
        <w:rPr>
          <w:rFonts w:asciiTheme="majorBidi" w:hAnsiTheme="majorBidi" w:cstheme="majorBidi"/>
          <w:sz w:val="24"/>
          <w:szCs w:val="24"/>
        </w:rPr>
        <w:t>(1), 161–198. https://doi.org/10.1002/rev3.3238</w:t>
      </w:r>
    </w:p>
    <w:p w14:paraId="5578B5F6" w14:textId="77777777" w:rsidR="00066BCA" w:rsidRPr="00066BCA" w:rsidRDefault="00066BCA" w:rsidP="00066BCA">
      <w:pPr>
        <w:pStyle w:val="Bibliography"/>
        <w:spacing w:after="120" w:line="240" w:lineRule="auto"/>
        <w:jc w:val="both"/>
        <w:rPr>
          <w:rFonts w:asciiTheme="majorBidi" w:hAnsiTheme="majorBidi" w:cstheme="majorBidi"/>
          <w:sz w:val="24"/>
          <w:szCs w:val="24"/>
        </w:rPr>
      </w:pPr>
      <w:r w:rsidRPr="00066BCA">
        <w:rPr>
          <w:rFonts w:asciiTheme="majorBidi" w:hAnsiTheme="majorBidi" w:cstheme="majorBidi"/>
          <w:sz w:val="24"/>
          <w:szCs w:val="24"/>
        </w:rPr>
        <w:t xml:space="preserve">Haiyan, Q., &amp; and Allan, W. (2021). Creating conditions for professional learning communities (PLCs) in schools in China: The role of school principals. </w:t>
      </w:r>
      <w:r w:rsidRPr="00066BCA">
        <w:rPr>
          <w:rFonts w:asciiTheme="majorBidi" w:hAnsiTheme="majorBidi" w:cstheme="majorBidi"/>
          <w:i/>
          <w:iCs/>
          <w:sz w:val="24"/>
          <w:szCs w:val="24"/>
        </w:rPr>
        <w:t>Professional Development in Education</w:t>
      </w:r>
      <w:r w:rsidRPr="00066BCA">
        <w:rPr>
          <w:rFonts w:asciiTheme="majorBidi" w:hAnsiTheme="majorBidi" w:cstheme="majorBidi"/>
          <w:sz w:val="24"/>
          <w:szCs w:val="24"/>
        </w:rPr>
        <w:t xml:space="preserve">, </w:t>
      </w:r>
      <w:r w:rsidRPr="00066BCA">
        <w:rPr>
          <w:rFonts w:asciiTheme="majorBidi" w:hAnsiTheme="majorBidi" w:cstheme="majorBidi"/>
          <w:i/>
          <w:iCs/>
          <w:sz w:val="24"/>
          <w:szCs w:val="24"/>
        </w:rPr>
        <w:t>47</w:t>
      </w:r>
      <w:r w:rsidRPr="00066BCA">
        <w:rPr>
          <w:rFonts w:asciiTheme="majorBidi" w:hAnsiTheme="majorBidi" w:cstheme="majorBidi"/>
          <w:sz w:val="24"/>
          <w:szCs w:val="24"/>
        </w:rPr>
        <w:t>(4), 586–598. https://doi.org/10.1080/19415257.2020.1770839</w:t>
      </w:r>
    </w:p>
    <w:p w14:paraId="12E972D0" w14:textId="77777777" w:rsidR="00066BCA" w:rsidRPr="00066BCA" w:rsidRDefault="00066BCA" w:rsidP="00066BCA">
      <w:pPr>
        <w:pStyle w:val="Bibliography"/>
        <w:spacing w:after="120" w:line="240" w:lineRule="auto"/>
        <w:jc w:val="both"/>
        <w:rPr>
          <w:rFonts w:asciiTheme="majorBidi" w:hAnsiTheme="majorBidi" w:cstheme="majorBidi"/>
          <w:sz w:val="24"/>
          <w:szCs w:val="24"/>
        </w:rPr>
      </w:pPr>
      <w:r w:rsidRPr="00066BCA">
        <w:rPr>
          <w:rFonts w:asciiTheme="majorBidi" w:hAnsiTheme="majorBidi" w:cstheme="majorBidi"/>
          <w:sz w:val="24"/>
          <w:szCs w:val="24"/>
        </w:rPr>
        <w:t xml:space="preserve">Hamdani, D. A., &amp; Yousif, J. H. (2025). Artificial Intelligence Revolution for Enhancing Modern Education Using Zone of Proximal Development Approach. </w:t>
      </w:r>
      <w:r w:rsidRPr="00066BCA">
        <w:rPr>
          <w:rFonts w:asciiTheme="majorBidi" w:hAnsiTheme="majorBidi" w:cstheme="majorBidi"/>
          <w:i/>
          <w:iCs/>
          <w:sz w:val="24"/>
          <w:szCs w:val="24"/>
        </w:rPr>
        <w:t>Applied Computing Journal</w:t>
      </w:r>
      <w:r w:rsidRPr="00066BCA">
        <w:rPr>
          <w:rFonts w:asciiTheme="majorBidi" w:hAnsiTheme="majorBidi" w:cstheme="majorBidi"/>
          <w:sz w:val="24"/>
          <w:szCs w:val="24"/>
        </w:rPr>
        <w:t>, 386–398. https://doi.org/10.52098/acj.20255239</w:t>
      </w:r>
    </w:p>
    <w:p w14:paraId="20E6643D" w14:textId="77777777" w:rsidR="00066BCA" w:rsidRPr="00066BCA" w:rsidRDefault="00066BCA" w:rsidP="00066BCA">
      <w:pPr>
        <w:pStyle w:val="Bibliography"/>
        <w:spacing w:after="120" w:line="240" w:lineRule="auto"/>
        <w:jc w:val="both"/>
        <w:rPr>
          <w:rFonts w:asciiTheme="majorBidi" w:hAnsiTheme="majorBidi" w:cstheme="majorBidi"/>
          <w:sz w:val="24"/>
          <w:szCs w:val="24"/>
        </w:rPr>
      </w:pPr>
      <w:r w:rsidRPr="00066BCA">
        <w:rPr>
          <w:rFonts w:asciiTheme="majorBidi" w:hAnsiTheme="majorBidi" w:cstheme="majorBidi"/>
          <w:sz w:val="24"/>
          <w:szCs w:val="24"/>
        </w:rPr>
        <w:t xml:space="preserve">Hasim, M. F., Taufiq, M. A., Baihaqi, M., Amaliyah, N., &amp; Rachmawati, E. (2025). Psychological Impact Of UIN Sunan Ampel Surabaya Students On Academic </w:t>
      </w:r>
      <w:r w:rsidRPr="00066BCA">
        <w:rPr>
          <w:rFonts w:asciiTheme="majorBidi" w:hAnsiTheme="majorBidi" w:cstheme="majorBidi"/>
          <w:sz w:val="24"/>
          <w:szCs w:val="24"/>
        </w:rPr>
        <w:lastRenderedPageBreak/>
        <w:t xml:space="preserve">Arabic Language Mastery. </w:t>
      </w:r>
      <w:r w:rsidRPr="00066BCA">
        <w:rPr>
          <w:rFonts w:asciiTheme="majorBidi" w:hAnsiTheme="majorBidi" w:cstheme="majorBidi"/>
          <w:i/>
          <w:iCs/>
          <w:sz w:val="24"/>
          <w:szCs w:val="24"/>
        </w:rPr>
        <w:t>Al Mi’yar: Jurnal Ilmiah Pembelajaran Bahasa Arab Dan Kebahasaaraban</w:t>
      </w:r>
      <w:r w:rsidRPr="00066BCA">
        <w:rPr>
          <w:rFonts w:asciiTheme="majorBidi" w:hAnsiTheme="majorBidi" w:cstheme="majorBidi"/>
          <w:sz w:val="24"/>
          <w:szCs w:val="24"/>
        </w:rPr>
        <w:t xml:space="preserve">, </w:t>
      </w:r>
      <w:r w:rsidRPr="00066BCA">
        <w:rPr>
          <w:rFonts w:asciiTheme="majorBidi" w:hAnsiTheme="majorBidi" w:cstheme="majorBidi"/>
          <w:i/>
          <w:iCs/>
          <w:sz w:val="24"/>
          <w:szCs w:val="24"/>
        </w:rPr>
        <w:t>8</w:t>
      </w:r>
      <w:r w:rsidRPr="00066BCA">
        <w:rPr>
          <w:rFonts w:asciiTheme="majorBidi" w:hAnsiTheme="majorBidi" w:cstheme="majorBidi"/>
          <w:sz w:val="24"/>
          <w:szCs w:val="24"/>
        </w:rPr>
        <w:t>(1), Article 1. https://doi.org/10.35931/am.v8i1.4337</w:t>
      </w:r>
    </w:p>
    <w:p w14:paraId="41A0475C" w14:textId="77777777" w:rsidR="00066BCA" w:rsidRPr="00066BCA" w:rsidRDefault="00066BCA" w:rsidP="00066BCA">
      <w:pPr>
        <w:pStyle w:val="Bibliography"/>
        <w:spacing w:after="120" w:line="240" w:lineRule="auto"/>
        <w:jc w:val="both"/>
        <w:rPr>
          <w:rFonts w:asciiTheme="majorBidi" w:hAnsiTheme="majorBidi" w:cstheme="majorBidi"/>
          <w:sz w:val="24"/>
          <w:szCs w:val="24"/>
        </w:rPr>
      </w:pPr>
      <w:r w:rsidRPr="00066BCA">
        <w:rPr>
          <w:rFonts w:asciiTheme="majorBidi" w:hAnsiTheme="majorBidi" w:cstheme="majorBidi"/>
          <w:sz w:val="24"/>
          <w:szCs w:val="24"/>
        </w:rPr>
        <w:t xml:space="preserve">Hikam, F. S., &amp; Baihaqi, M. (2024). Arabic Language Learning Strategies and Systems in Islamic Boarding Schools. </w:t>
      </w:r>
      <w:r w:rsidRPr="00066BCA">
        <w:rPr>
          <w:rFonts w:asciiTheme="majorBidi" w:hAnsiTheme="majorBidi" w:cstheme="majorBidi"/>
          <w:i/>
          <w:iCs/>
          <w:sz w:val="24"/>
          <w:szCs w:val="24"/>
        </w:rPr>
        <w:t>PROSIDING KONIPBSA: Konferensi Nasional Inovasi Pembelajaran Bahasa Dan Sastra Arab</w:t>
      </w:r>
      <w:r w:rsidRPr="00066BCA">
        <w:rPr>
          <w:rFonts w:asciiTheme="majorBidi" w:hAnsiTheme="majorBidi" w:cstheme="majorBidi"/>
          <w:sz w:val="24"/>
          <w:szCs w:val="24"/>
        </w:rPr>
        <w:t xml:space="preserve">, </w:t>
      </w:r>
      <w:r w:rsidRPr="00066BCA">
        <w:rPr>
          <w:rFonts w:asciiTheme="majorBidi" w:hAnsiTheme="majorBidi" w:cstheme="majorBidi"/>
          <w:i/>
          <w:iCs/>
          <w:sz w:val="24"/>
          <w:szCs w:val="24"/>
        </w:rPr>
        <w:t>4</w:t>
      </w:r>
      <w:r w:rsidRPr="00066BCA">
        <w:rPr>
          <w:rFonts w:asciiTheme="majorBidi" w:hAnsiTheme="majorBidi" w:cstheme="majorBidi"/>
          <w:sz w:val="24"/>
          <w:szCs w:val="24"/>
        </w:rPr>
        <w:t>(1), Article 1. https://conference.uin-suka.ac.id/index.php/konipbsa/article/view/1564</w:t>
      </w:r>
    </w:p>
    <w:p w14:paraId="3CDE6E09" w14:textId="77777777" w:rsidR="00066BCA" w:rsidRPr="00066BCA" w:rsidRDefault="00066BCA" w:rsidP="00066BCA">
      <w:pPr>
        <w:pStyle w:val="Bibliography"/>
        <w:spacing w:after="120" w:line="240" w:lineRule="auto"/>
        <w:jc w:val="both"/>
        <w:rPr>
          <w:rFonts w:asciiTheme="majorBidi" w:hAnsiTheme="majorBidi" w:cstheme="majorBidi"/>
          <w:sz w:val="24"/>
          <w:szCs w:val="24"/>
        </w:rPr>
      </w:pPr>
      <w:r w:rsidRPr="00066BCA">
        <w:rPr>
          <w:rFonts w:asciiTheme="majorBidi" w:hAnsiTheme="majorBidi" w:cstheme="majorBidi"/>
          <w:sz w:val="24"/>
          <w:szCs w:val="24"/>
        </w:rPr>
        <w:t xml:space="preserve">Ibarra, B. N. (2022). Understanding SEL to Create a Sense of Belonging: The Role Teachers Play in Addressing Students’ Social and Emotional Well-Being. </w:t>
      </w:r>
      <w:r w:rsidRPr="00066BCA">
        <w:rPr>
          <w:rFonts w:asciiTheme="majorBidi" w:hAnsiTheme="majorBidi" w:cstheme="majorBidi"/>
          <w:i/>
          <w:iCs/>
          <w:sz w:val="24"/>
          <w:szCs w:val="24"/>
        </w:rPr>
        <w:t>Current Issues in Education</w:t>
      </w:r>
      <w:r w:rsidRPr="00066BCA">
        <w:rPr>
          <w:rFonts w:asciiTheme="majorBidi" w:hAnsiTheme="majorBidi" w:cstheme="majorBidi"/>
          <w:sz w:val="24"/>
          <w:szCs w:val="24"/>
        </w:rPr>
        <w:t xml:space="preserve">, </w:t>
      </w:r>
      <w:r w:rsidRPr="00066BCA">
        <w:rPr>
          <w:rFonts w:asciiTheme="majorBidi" w:hAnsiTheme="majorBidi" w:cstheme="majorBidi"/>
          <w:i/>
          <w:iCs/>
          <w:sz w:val="24"/>
          <w:szCs w:val="24"/>
        </w:rPr>
        <w:t>23</w:t>
      </w:r>
      <w:r w:rsidRPr="00066BCA">
        <w:rPr>
          <w:rFonts w:asciiTheme="majorBidi" w:hAnsiTheme="majorBidi" w:cstheme="majorBidi"/>
          <w:sz w:val="24"/>
          <w:szCs w:val="24"/>
        </w:rPr>
        <w:t>(2), Article 2. https://doi.org/10.14507/cie.vol23iss2.2049</w:t>
      </w:r>
    </w:p>
    <w:p w14:paraId="3C303266" w14:textId="489113A8" w:rsidR="00066BCA" w:rsidRPr="00066BCA" w:rsidRDefault="00066BCA" w:rsidP="00066BCA">
      <w:pPr>
        <w:pStyle w:val="Bibliography"/>
        <w:spacing w:after="120" w:line="240" w:lineRule="auto"/>
        <w:jc w:val="both"/>
        <w:rPr>
          <w:rFonts w:asciiTheme="majorBidi" w:hAnsiTheme="majorBidi" w:cstheme="majorBidi"/>
          <w:sz w:val="24"/>
          <w:szCs w:val="24"/>
        </w:rPr>
      </w:pPr>
      <w:r w:rsidRPr="00066BCA">
        <w:rPr>
          <w:rFonts w:asciiTheme="majorBidi" w:hAnsiTheme="majorBidi" w:cstheme="majorBidi"/>
          <w:sz w:val="24"/>
          <w:szCs w:val="24"/>
        </w:rPr>
        <w:t xml:space="preserve">Isaeva, R., Karasartova, N., Dznunusnalieva, K., Mirzoeva, K., &amp; Mokliuk, M. (2025). </w:t>
      </w:r>
      <w:r w:rsidR="00812A51" w:rsidRPr="00066BCA">
        <w:rPr>
          <w:rFonts w:asciiTheme="majorBidi" w:hAnsiTheme="majorBidi" w:cstheme="majorBidi"/>
          <w:sz w:val="24"/>
          <w:szCs w:val="24"/>
        </w:rPr>
        <w:t>Enhancing Learning Effectiveness Through Adaptive Learning Platforms And Emerging Computer Technologies In Education</w:t>
      </w:r>
      <w:r w:rsidRPr="00066BCA">
        <w:rPr>
          <w:rFonts w:asciiTheme="majorBidi" w:hAnsiTheme="majorBidi" w:cstheme="majorBidi"/>
          <w:sz w:val="24"/>
          <w:szCs w:val="24"/>
        </w:rPr>
        <w:t xml:space="preserve">. </w:t>
      </w:r>
      <w:r w:rsidRPr="00066BCA">
        <w:rPr>
          <w:rFonts w:asciiTheme="majorBidi" w:hAnsiTheme="majorBidi" w:cstheme="majorBidi"/>
          <w:i/>
          <w:iCs/>
          <w:sz w:val="24"/>
          <w:szCs w:val="24"/>
        </w:rPr>
        <w:t>Jurnal Ilmiah Ilmu Terapan Universitas Jambi</w:t>
      </w:r>
      <w:r w:rsidRPr="00066BCA">
        <w:rPr>
          <w:rFonts w:asciiTheme="majorBidi" w:hAnsiTheme="majorBidi" w:cstheme="majorBidi"/>
          <w:sz w:val="24"/>
          <w:szCs w:val="24"/>
        </w:rPr>
        <w:t xml:space="preserve">, </w:t>
      </w:r>
      <w:r w:rsidRPr="00066BCA">
        <w:rPr>
          <w:rFonts w:asciiTheme="majorBidi" w:hAnsiTheme="majorBidi" w:cstheme="majorBidi"/>
          <w:i/>
          <w:iCs/>
          <w:sz w:val="24"/>
          <w:szCs w:val="24"/>
        </w:rPr>
        <w:t>9</w:t>
      </w:r>
      <w:r w:rsidRPr="00066BCA">
        <w:rPr>
          <w:rFonts w:asciiTheme="majorBidi" w:hAnsiTheme="majorBidi" w:cstheme="majorBidi"/>
          <w:sz w:val="24"/>
          <w:szCs w:val="24"/>
        </w:rPr>
        <w:t>(1), Article 1. https://doi.org/10.22437/jiituj.v9i1.37967</w:t>
      </w:r>
    </w:p>
    <w:p w14:paraId="200A58CF" w14:textId="77777777" w:rsidR="00066BCA" w:rsidRPr="00066BCA" w:rsidRDefault="00066BCA" w:rsidP="00066BCA">
      <w:pPr>
        <w:pStyle w:val="Bibliography"/>
        <w:spacing w:after="120" w:line="240" w:lineRule="auto"/>
        <w:jc w:val="both"/>
        <w:rPr>
          <w:rFonts w:asciiTheme="majorBidi" w:hAnsiTheme="majorBidi" w:cstheme="majorBidi"/>
          <w:sz w:val="24"/>
          <w:szCs w:val="24"/>
        </w:rPr>
      </w:pPr>
      <w:r w:rsidRPr="00066BCA">
        <w:rPr>
          <w:rFonts w:asciiTheme="majorBidi" w:hAnsiTheme="majorBidi" w:cstheme="majorBidi"/>
          <w:sz w:val="24"/>
          <w:szCs w:val="24"/>
        </w:rPr>
        <w:t xml:space="preserve">Issa, I. (2023). Morphological Complexity in Arabic Spelling and Its Implication for Cognitive Processing. </w:t>
      </w:r>
      <w:r w:rsidRPr="00066BCA">
        <w:rPr>
          <w:rFonts w:asciiTheme="majorBidi" w:hAnsiTheme="majorBidi" w:cstheme="majorBidi"/>
          <w:i/>
          <w:iCs/>
          <w:sz w:val="24"/>
          <w:szCs w:val="24"/>
        </w:rPr>
        <w:t>Journal of Psycholinguistic Research</w:t>
      </w:r>
      <w:r w:rsidRPr="00066BCA">
        <w:rPr>
          <w:rFonts w:asciiTheme="majorBidi" w:hAnsiTheme="majorBidi" w:cstheme="majorBidi"/>
          <w:sz w:val="24"/>
          <w:szCs w:val="24"/>
        </w:rPr>
        <w:t xml:space="preserve">, </w:t>
      </w:r>
      <w:r w:rsidRPr="00066BCA">
        <w:rPr>
          <w:rFonts w:asciiTheme="majorBidi" w:hAnsiTheme="majorBidi" w:cstheme="majorBidi"/>
          <w:i/>
          <w:iCs/>
          <w:sz w:val="24"/>
          <w:szCs w:val="24"/>
        </w:rPr>
        <w:t>52</w:t>
      </w:r>
      <w:r w:rsidRPr="00066BCA">
        <w:rPr>
          <w:rFonts w:asciiTheme="majorBidi" w:hAnsiTheme="majorBidi" w:cstheme="majorBidi"/>
          <w:sz w:val="24"/>
          <w:szCs w:val="24"/>
        </w:rPr>
        <w:t>(1), 331–357. https://doi.org/10.1007/s10936-022-09896-2</w:t>
      </w:r>
    </w:p>
    <w:p w14:paraId="47FDCA4D" w14:textId="77777777" w:rsidR="00066BCA" w:rsidRPr="00066BCA" w:rsidRDefault="00066BCA" w:rsidP="00066BCA">
      <w:pPr>
        <w:pStyle w:val="Bibliography"/>
        <w:spacing w:after="120" w:line="240" w:lineRule="auto"/>
        <w:jc w:val="both"/>
        <w:rPr>
          <w:rFonts w:asciiTheme="majorBidi" w:hAnsiTheme="majorBidi" w:cstheme="majorBidi"/>
          <w:sz w:val="24"/>
          <w:szCs w:val="24"/>
        </w:rPr>
      </w:pPr>
      <w:r w:rsidRPr="00066BCA">
        <w:rPr>
          <w:rFonts w:asciiTheme="majorBidi" w:hAnsiTheme="majorBidi" w:cstheme="majorBidi"/>
          <w:sz w:val="24"/>
          <w:szCs w:val="24"/>
        </w:rPr>
        <w:t xml:space="preserve">Jardinez, M. J., &amp; Natividad, L. R. (2024). The Advantages and Challenges of Inclusive Education: Striving for Equity in the Classroom. </w:t>
      </w:r>
      <w:r w:rsidRPr="00066BCA">
        <w:rPr>
          <w:rFonts w:asciiTheme="majorBidi" w:hAnsiTheme="majorBidi" w:cstheme="majorBidi"/>
          <w:i/>
          <w:iCs/>
          <w:sz w:val="24"/>
          <w:szCs w:val="24"/>
        </w:rPr>
        <w:t>Shanlax International Journal of Education</w:t>
      </w:r>
      <w:r w:rsidRPr="00066BCA">
        <w:rPr>
          <w:rFonts w:asciiTheme="majorBidi" w:hAnsiTheme="majorBidi" w:cstheme="majorBidi"/>
          <w:sz w:val="24"/>
          <w:szCs w:val="24"/>
        </w:rPr>
        <w:t xml:space="preserve">, </w:t>
      </w:r>
      <w:r w:rsidRPr="00066BCA">
        <w:rPr>
          <w:rFonts w:asciiTheme="majorBidi" w:hAnsiTheme="majorBidi" w:cstheme="majorBidi"/>
          <w:i/>
          <w:iCs/>
          <w:sz w:val="24"/>
          <w:szCs w:val="24"/>
        </w:rPr>
        <w:t>12</w:t>
      </w:r>
      <w:r w:rsidRPr="00066BCA">
        <w:rPr>
          <w:rFonts w:asciiTheme="majorBidi" w:hAnsiTheme="majorBidi" w:cstheme="majorBidi"/>
          <w:sz w:val="24"/>
          <w:szCs w:val="24"/>
        </w:rPr>
        <w:t>(2), 57–65.</w:t>
      </w:r>
    </w:p>
    <w:p w14:paraId="6E46C24A" w14:textId="77777777" w:rsidR="00066BCA" w:rsidRPr="00066BCA" w:rsidRDefault="00066BCA" w:rsidP="00066BCA">
      <w:pPr>
        <w:pStyle w:val="Bibliography"/>
        <w:spacing w:after="120" w:line="240" w:lineRule="auto"/>
        <w:jc w:val="both"/>
        <w:rPr>
          <w:rFonts w:asciiTheme="majorBidi" w:hAnsiTheme="majorBidi" w:cstheme="majorBidi"/>
          <w:sz w:val="24"/>
          <w:szCs w:val="24"/>
        </w:rPr>
      </w:pPr>
      <w:r w:rsidRPr="00066BCA">
        <w:rPr>
          <w:rFonts w:asciiTheme="majorBidi" w:hAnsiTheme="majorBidi" w:cstheme="majorBidi"/>
          <w:sz w:val="24"/>
          <w:szCs w:val="24"/>
        </w:rPr>
        <w:t xml:space="preserve">Johnson, C. W., &amp; and Voelkel, R. H. (2021). Developing increased leader capacity to support effective professional learning community teams. </w:t>
      </w:r>
      <w:r w:rsidRPr="00066BCA">
        <w:rPr>
          <w:rFonts w:asciiTheme="majorBidi" w:hAnsiTheme="majorBidi" w:cstheme="majorBidi"/>
          <w:i/>
          <w:iCs/>
          <w:sz w:val="24"/>
          <w:szCs w:val="24"/>
        </w:rPr>
        <w:t>International Journal of Leadership in Education</w:t>
      </w:r>
      <w:r w:rsidRPr="00066BCA">
        <w:rPr>
          <w:rFonts w:asciiTheme="majorBidi" w:hAnsiTheme="majorBidi" w:cstheme="majorBidi"/>
          <w:sz w:val="24"/>
          <w:szCs w:val="24"/>
        </w:rPr>
        <w:t xml:space="preserve">, </w:t>
      </w:r>
      <w:r w:rsidRPr="00066BCA">
        <w:rPr>
          <w:rFonts w:asciiTheme="majorBidi" w:hAnsiTheme="majorBidi" w:cstheme="majorBidi"/>
          <w:i/>
          <w:iCs/>
          <w:sz w:val="24"/>
          <w:szCs w:val="24"/>
        </w:rPr>
        <w:t>24</w:t>
      </w:r>
      <w:r w:rsidRPr="00066BCA">
        <w:rPr>
          <w:rFonts w:asciiTheme="majorBidi" w:hAnsiTheme="majorBidi" w:cstheme="majorBidi"/>
          <w:sz w:val="24"/>
          <w:szCs w:val="24"/>
        </w:rPr>
        <w:t>(3), 313–332. https://doi.org/10.1080/13603124.2019.1600039</w:t>
      </w:r>
    </w:p>
    <w:p w14:paraId="2B987450" w14:textId="77777777" w:rsidR="00066BCA" w:rsidRPr="00066BCA" w:rsidRDefault="00066BCA" w:rsidP="00066BCA">
      <w:pPr>
        <w:pStyle w:val="Bibliography"/>
        <w:spacing w:after="120" w:line="240" w:lineRule="auto"/>
        <w:jc w:val="both"/>
        <w:rPr>
          <w:rFonts w:asciiTheme="majorBidi" w:hAnsiTheme="majorBidi" w:cstheme="majorBidi"/>
          <w:sz w:val="24"/>
          <w:szCs w:val="24"/>
        </w:rPr>
      </w:pPr>
      <w:r w:rsidRPr="00066BCA">
        <w:rPr>
          <w:rFonts w:asciiTheme="majorBidi" w:hAnsiTheme="majorBidi" w:cstheme="majorBidi"/>
          <w:sz w:val="24"/>
          <w:szCs w:val="24"/>
        </w:rPr>
        <w:t xml:space="preserve">Lee, D., &amp; Yeo, S. (2022). Developing an AI-based chatbot for practicing responsive teaching in mathematics. </w:t>
      </w:r>
      <w:r w:rsidRPr="00066BCA">
        <w:rPr>
          <w:rFonts w:asciiTheme="majorBidi" w:hAnsiTheme="majorBidi" w:cstheme="majorBidi"/>
          <w:i/>
          <w:iCs/>
          <w:sz w:val="24"/>
          <w:szCs w:val="24"/>
        </w:rPr>
        <w:t>Computers &amp; Education</w:t>
      </w:r>
      <w:r w:rsidRPr="00066BCA">
        <w:rPr>
          <w:rFonts w:asciiTheme="majorBidi" w:hAnsiTheme="majorBidi" w:cstheme="majorBidi"/>
          <w:sz w:val="24"/>
          <w:szCs w:val="24"/>
        </w:rPr>
        <w:t xml:space="preserve">, </w:t>
      </w:r>
      <w:r w:rsidRPr="00066BCA">
        <w:rPr>
          <w:rFonts w:asciiTheme="majorBidi" w:hAnsiTheme="majorBidi" w:cstheme="majorBidi"/>
          <w:i/>
          <w:iCs/>
          <w:sz w:val="24"/>
          <w:szCs w:val="24"/>
        </w:rPr>
        <w:t>191</w:t>
      </w:r>
      <w:r w:rsidRPr="00066BCA">
        <w:rPr>
          <w:rFonts w:asciiTheme="majorBidi" w:hAnsiTheme="majorBidi" w:cstheme="majorBidi"/>
          <w:sz w:val="24"/>
          <w:szCs w:val="24"/>
        </w:rPr>
        <w:t>, 104646. https://doi.org/10.1016/j.compedu.2022.104646</w:t>
      </w:r>
    </w:p>
    <w:p w14:paraId="12B2FC67" w14:textId="77777777" w:rsidR="00066BCA" w:rsidRPr="00066BCA" w:rsidRDefault="00066BCA" w:rsidP="00066BCA">
      <w:pPr>
        <w:pStyle w:val="Bibliography"/>
        <w:spacing w:after="120" w:line="240" w:lineRule="auto"/>
        <w:jc w:val="both"/>
        <w:rPr>
          <w:rFonts w:asciiTheme="majorBidi" w:hAnsiTheme="majorBidi" w:cstheme="majorBidi"/>
          <w:sz w:val="24"/>
          <w:szCs w:val="24"/>
        </w:rPr>
      </w:pPr>
      <w:r w:rsidRPr="00066BCA">
        <w:rPr>
          <w:rFonts w:asciiTheme="majorBidi" w:hAnsiTheme="majorBidi" w:cstheme="majorBidi"/>
          <w:sz w:val="24"/>
          <w:szCs w:val="24"/>
        </w:rPr>
        <w:t xml:space="preserve">Lee, Y.-F., Hwang, G.-J., &amp; Chen, P.-Y. (2022). Impacts of an AI-based chabot on college students’ after-class review, academic performance, self-efficacy, learning attitude, and motivation. </w:t>
      </w:r>
      <w:r w:rsidRPr="00066BCA">
        <w:rPr>
          <w:rFonts w:asciiTheme="majorBidi" w:hAnsiTheme="majorBidi" w:cstheme="majorBidi"/>
          <w:i/>
          <w:iCs/>
          <w:sz w:val="24"/>
          <w:szCs w:val="24"/>
        </w:rPr>
        <w:t>Educational Technology Research and Development</w:t>
      </w:r>
      <w:r w:rsidRPr="00066BCA">
        <w:rPr>
          <w:rFonts w:asciiTheme="majorBidi" w:hAnsiTheme="majorBidi" w:cstheme="majorBidi"/>
          <w:sz w:val="24"/>
          <w:szCs w:val="24"/>
        </w:rPr>
        <w:t xml:space="preserve">, </w:t>
      </w:r>
      <w:r w:rsidRPr="00066BCA">
        <w:rPr>
          <w:rFonts w:asciiTheme="majorBidi" w:hAnsiTheme="majorBidi" w:cstheme="majorBidi"/>
          <w:i/>
          <w:iCs/>
          <w:sz w:val="24"/>
          <w:szCs w:val="24"/>
        </w:rPr>
        <w:t>70</w:t>
      </w:r>
      <w:r w:rsidRPr="00066BCA">
        <w:rPr>
          <w:rFonts w:asciiTheme="majorBidi" w:hAnsiTheme="majorBidi" w:cstheme="majorBidi"/>
          <w:sz w:val="24"/>
          <w:szCs w:val="24"/>
        </w:rPr>
        <w:t>(5), 1843–1865. https://doi.org/10.1007/s11423-022-10142-8</w:t>
      </w:r>
    </w:p>
    <w:p w14:paraId="7789BF00" w14:textId="77777777" w:rsidR="00066BCA" w:rsidRPr="00066BCA" w:rsidRDefault="00066BCA" w:rsidP="00066BCA">
      <w:pPr>
        <w:pStyle w:val="Bibliography"/>
        <w:spacing w:after="120" w:line="240" w:lineRule="auto"/>
        <w:jc w:val="both"/>
        <w:rPr>
          <w:rFonts w:asciiTheme="majorBidi" w:hAnsiTheme="majorBidi" w:cstheme="majorBidi"/>
          <w:sz w:val="24"/>
          <w:szCs w:val="24"/>
        </w:rPr>
      </w:pPr>
      <w:r w:rsidRPr="00066BCA">
        <w:rPr>
          <w:rFonts w:asciiTheme="majorBidi" w:hAnsiTheme="majorBidi" w:cstheme="majorBidi"/>
          <w:sz w:val="24"/>
          <w:szCs w:val="24"/>
        </w:rPr>
        <w:t xml:space="preserve">Leow, R. P., Thinglum, A., Havenne, M., &amp; Tseng, R. (2022). Bridging the Gap Between Researchers and Teachers: A Curricular Perspective. </w:t>
      </w:r>
      <w:r w:rsidRPr="00066BCA">
        <w:rPr>
          <w:rFonts w:asciiTheme="majorBidi" w:hAnsiTheme="majorBidi" w:cstheme="majorBidi"/>
          <w:i/>
          <w:iCs/>
          <w:sz w:val="24"/>
          <w:szCs w:val="24"/>
        </w:rPr>
        <w:t>The Modern Language Journal</w:t>
      </w:r>
      <w:r w:rsidRPr="00066BCA">
        <w:rPr>
          <w:rFonts w:asciiTheme="majorBidi" w:hAnsiTheme="majorBidi" w:cstheme="majorBidi"/>
          <w:sz w:val="24"/>
          <w:szCs w:val="24"/>
        </w:rPr>
        <w:t xml:space="preserve">, </w:t>
      </w:r>
      <w:r w:rsidRPr="00066BCA">
        <w:rPr>
          <w:rFonts w:asciiTheme="majorBidi" w:hAnsiTheme="majorBidi" w:cstheme="majorBidi"/>
          <w:i/>
          <w:iCs/>
          <w:sz w:val="24"/>
          <w:szCs w:val="24"/>
        </w:rPr>
        <w:t>106</w:t>
      </w:r>
      <w:r w:rsidRPr="00066BCA">
        <w:rPr>
          <w:rFonts w:asciiTheme="majorBidi" w:hAnsiTheme="majorBidi" w:cstheme="majorBidi"/>
          <w:sz w:val="24"/>
          <w:szCs w:val="24"/>
        </w:rPr>
        <w:t>(3), 564–582. https://doi.org/10.1111/modl.12799</w:t>
      </w:r>
    </w:p>
    <w:p w14:paraId="7A715D0E" w14:textId="77777777" w:rsidR="00066BCA" w:rsidRPr="00066BCA" w:rsidRDefault="00066BCA" w:rsidP="00066BCA">
      <w:pPr>
        <w:pStyle w:val="Bibliography"/>
        <w:spacing w:after="120" w:line="240" w:lineRule="auto"/>
        <w:jc w:val="both"/>
        <w:rPr>
          <w:rFonts w:asciiTheme="majorBidi" w:hAnsiTheme="majorBidi" w:cstheme="majorBidi"/>
          <w:sz w:val="24"/>
          <w:szCs w:val="24"/>
        </w:rPr>
      </w:pPr>
      <w:r w:rsidRPr="00066BCA">
        <w:rPr>
          <w:rFonts w:asciiTheme="majorBidi" w:hAnsiTheme="majorBidi" w:cstheme="majorBidi"/>
          <w:sz w:val="24"/>
          <w:szCs w:val="24"/>
        </w:rPr>
        <w:t xml:space="preserve">Levey, S. (2023). Universal Design for Learning. </w:t>
      </w:r>
      <w:r w:rsidRPr="00066BCA">
        <w:rPr>
          <w:rFonts w:asciiTheme="majorBidi" w:hAnsiTheme="majorBidi" w:cstheme="majorBidi"/>
          <w:i/>
          <w:iCs/>
          <w:sz w:val="24"/>
          <w:szCs w:val="24"/>
        </w:rPr>
        <w:t>Journal of Education</w:t>
      </w:r>
      <w:r w:rsidRPr="00066BCA">
        <w:rPr>
          <w:rFonts w:asciiTheme="majorBidi" w:hAnsiTheme="majorBidi" w:cstheme="majorBidi"/>
          <w:sz w:val="24"/>
          <w:szCs w:val="24"/>
        </w:rPr>
        <w:t xml:space="preserve">, </w:t>
      </w:r>
      <w:r w:rsidRPr="00066BCA">
        <w:rPr>
          <w:rFonts w:asciiTheme="majorBidi" w:hAnsiTheme="majorBidi" w:cstheme="majorBidi"/>
          <w:i/>
          <w:iCs/>
          <w:sz w:val="24"/>
          <w:szCs w:val="24"/>
        </w:rPr>
        <w:t>203</w:t>
      </w:r>
      <w:r w:rsidRPr="00066BCA">
        <w:rPr>
          <w:rFonts w:asciiTheme="majorBidi" w:hAnsiTheme="majorBidi" w:cstheme="majorBidi"/>
          <w:sz w:val="24"/>
          <w:szCs w:val="24"/>
        </w:rPr>
        <w:t>(2), 479–487. https://doi.org/10.1177/00220574211031954</w:t>
      </w:r>
    </w:p>
    <w:p w14:paraId="6A0BDE3D" w14:textId="77777777" w:rsidR="00066BCA" w:rsidRPr="00066BCA" w:rsidRDefault="00066BCA" w:rsidP="00066BCA">
      <w:pPr>
        <w:pStyle w:val="Bibliography"/>
        <w:spacing w:after="120" w:line="240" w:lineRule="auto"/>
        <w:jc w:val="both"/>
        <w:rPr>
          <w:rFonts w:asciiTheme="majorBidi" w:hAnsiTheme="majorBidi" w:cstheme="majorBidi"/>
          <w:sz w:val="24"/>
          <w:szCs w:val="24"/>
        </w:rPr>
      </w:pPr>
      <w:r w:rsidRPr="00066BCA">
        <w:rPr>
          <w:rFonts w:asciiTheme="majorBidi" w:hAnsiTheme="majorBidi" w:cstheme="majorBidi"/>
          <w:sz w:val="24"/>
          <w:szCs w:val="24"/>
        </w:rPr>
        <w:t xml:space="preserve">Lübke, L., Pinquart, M., &amp; Schwinger, M. (2021). The Role of Flexibility in the Realization of Inclusive Education. </w:t>
      </w:r>
      <w:r w:rsidRPr="00066BCA">
        <w:rPr>
          <w:rFonts w:asciiTheme="majorBidi" w:hAnsiTheme="majorBidi" w:cstheme="majorBidi"/>
          <w:i/>
          <w:iCs/>
          <w:sz w:val="24"/>
          <w:szCs w:val="24"/>
        </w:rPr>
        <w:t>Sustainability</w:t>
      </w:r>
      <w:r w:rsidRPr="00066BCA">
        <w:rPr>
          <w:rFonts w:asciiTheme="majorBidi" w:hAnsiTheme="majorBidi" w:cstheme="majorBidi"/>
          <w:sz w:val="24"/>
          <w:szCs w:val="24"/>
        </w:rPr>
        <w:t xml:space="preserve">, </w:t>
      </w:r>
      <w:r w:rsidRPr="00066BCA">
        <w:rPr>
          <w:rFonts w:asciiTheme="majorBidi" w:hAnsiTheme="majorBidi" w:cstheme="majorBidi"/>
          <w:i/>
          <w:iCs/>
          <w:sz w:val="24"/>
          <w:szCs w:val="24"/>
        </w:rPr>
        <w:t>13</w:t>
      </w:r>
      <w:r w:rsidRPr="00066BCA">
        <w:rPr>
          <w:rFonts w:asciiTheme="majorBidi" w:hAnsiTheme="majorBidi" w:cstheme="majorBidi"/>
          <w:sz w:val="24"/>
          <w:szCs w:val="24"/>
        </w:rPr>
        <w:t>(8), Article 8. https://doi.org/10.3390/su13084452</w:t>
      </w:r>
    </w:p>
    <w:p w14:paraId="6459C99C" w14:textId="77777777" w:rsidR="00066BCA" w:rsidRPr="00066BCA" w:rsidRDefault="00066BCA" w:rsidP="00066BCA">
      <w:pPr>
        <w:pStyle w:val="Bibliography"/>
        <w:spacing w:after="120" w:line="240" w:lineRule="auto"/>
        <w:jc w:val="both"/>
        <w:rPr>
          <w:rFonts w:asciiTheme="majorBidi" w:hAnsiTheme="majorBidi" w:cstheme="majorBidi"/>
          <w:sz w:val="24"/>
          <w:szCs w:val="24"/>
        </w:rPr>
      </w:pPr>
      <w:r w:rsidRPr="00066BCA">
        <w:rPr>
          <w:rFonts w:asciiTheme="majorBidi" w:hAnsiTheme="majorBidi" w:cstheme="majorBidi"/>
          <w:sz w:val="24"/>
          <w:szCs w:val="24"/>
        </w:rPr>
        <w:t xml:space="preserve">Molina Roldán, S., Marauri, J., Aubert, A., &amp; Flecha, R. (2021). How Inclusive Interactive Learning Environments Benefit Students Without Special Needs. </w:t>
      </w:r>
      <w:r w:rsidRPr="00066BCA">
        <w:rPr>
          <w:rFonts w:asciiTheme="majorBidi" w:hAnsiTheme="majorBidi" w:cstheme="majorBidi"/>
          <w:i/>
          <w:iCs/>
          <w:sz w:val="24"/>
          <w:szCs w:val="24"/>
        </w:rPr>
        <w:t>Frontiers in Psychology</w:t>
      </w:r>
      <w:r w:rsidRPr="00066BCA">
        <w:rPr>
          <w:rFonts w:asciiTheme="majorBidi" w:hAnsiTheme="majorBidi" w:cstheme="majorBidi"/>
          <w:sz w:val="24"/>
          <w:szCs w:val="24"/>
        </w:rPr>
        <w:t xml:space="preserve">, </w:t>
      </w:r>
      <w:r w:rsidRPr="00066BCA">
        <w:rPr>
          <w:rFonts w:asciiTheme="majorBidi" w:hAnsiTheme="majorBidi" w:cstheme="majorBidi"/>
          <w:i/>
          <w:iCs/>
          <w:sz w:val="24"/>
          <w:szCs w:val="24"/>
        </w:rPr>
        <w:t>12</w:t>
      </w:r>
      <w:r w:rsidRPr="00066BCA">
        <w:rPr>
          <w:rFonts w:asciiTheme="majorBidi" w:hAnsiTheme="majorBidi" w:cstheme="majorBidi"/>
          <w:sz w:val="24"/>
          <w:szCs w:val="24"/>
        </w:rPr>
        <w:t>. https://doi.org/10.3389/fpsyg.2021.661427</w:t>
      </w:r>
    </w:p>
    <w:p w14:paraId="639864C0" w14:textId="77777777" w:rsidR="00066BCA" w:rsidRPr="00066BCA" w:rsidRDefault="00066BCA" w:rsidP="00066BCA">
      <w:pPr>
        <w:pStyle w:val="Bibliography"/>
        <w:spacing w:after="120" w:line="240" w:lineRule="auto"/>
        <w:jc w:val="both"/>
        <w:rPr>
          <w:rFonts w:asciiTheme="majorBidi" w:hAnsiTheme="majorBidi" w:cstheme="majorBidi"/>
          <w:sz w:val="24"/>
          <w:szCs w:val="24"/>
        </w:rPr>
      </w:pPr>
      <w:r w:rsidRPr="00066BCA">
        <w:rPr>
          <w:rFonts w:asciiTheme="majorBidi" w:hAnsiTheme="majorBidi" w:cstheme="majorBidi"/>
          <w:sz w:val="24"/>
          <w:szCs w:val="24"/>
        </w:rPr>
        <w:lastRenderedPageBreak/>
        <w:t xml:space="preserve">Morze, N., Varchenko-Trotsenko, L., Terletska, T., &amp; Smyrnova-Trybulska, E. (2021). Implementation of adaptive learning at higher education institutions by means of Moodle LMS. </w:t>
      </w:r>
      <w:r w:rsidRPr="00066BCA">
        <w:rPr>
          <w:rFonts w:asciiTheme="majorBidi" w:hAnsiTheme="majorBidi" w:cstheme="majorBidi"/>
          <w:i/>
          <w:iCs/>
          <w:sz w:val="24"/>
          <w:szCs w:val="24"/>
        </w:rPr>
        <w:t>Journal of Physics: Conference Series</w:t>
      </w:r>
      <w:r w:rsidRPr="00066BCA">
        <w:rPr>
          <w:rFonts w:asciiTheme="majorBidi" w:hAnsiTheme="majorBidi" w:cstheme="majorBidi"/>
          <w:sz w:val="24"/>
          <w:szCs w:val="24"/>
        </w:rPr>
        <w:t xml:space="preserve">, </w:t>
      </w:r>
      <w:r w:rsidRPr="00066BCA">
        <w:rPr>
          <w:rFonts w:asciiTheme="majorBidi" w:hAnsiTheme="majorBidi" w:cstheme="majorBidi"/>
          <w:i/>
          <w:iCs/>
          <w:sz w:val="24"/>
          <w:szCs w:val="24"/>
        </w:rPr>
        <w:t>1840</w:t>
      </w:r>
      <w:r w:rsidRPr="00066BCA">
        <w:rPr>
          <w:rFonts w:asciiTheme="majorBidi" w:hAnsiTheme="majorBidi" w:cstheme="majorBidi"/>
          <w:sz w:val="24"/>
          <w:szCs w:val="24"/>
        </w:rPr>
        <w:t>(1), 012062. https://doi.org/10.1088/1742-6596/1840/1/012062</w:t>
      </w:r>
    </w:p>
    <w:p w14:paraId="685DF5FC" w14:textId="5F165294" w:rsidR="00066BCA" w:rsidRPr="00066BCA" w:rsidRDefault="00066BCA" w:rsidP="00066BCA">
      <w:pPr>
        <w:pStyle w:val="Bibliography"/>
        <w:spacing w:after="120" w:line="240" w:lineRule="auto"/>
        <w:jc w:val="both"/>
        <w:rPr>
          <w:rFonts w:asciiTheme="majorBidi" w:hAnsiTheme="majorBidi" w:cstheme="majorBidi"/>
          <w:sz w:val="24"/>
          <w:szCs w:val="24"/>
        </w:rPr>
      </w:pPr>
      <w:r w:rsidRPr="00066BCA">
        <w:rPr>
          <w:rFonts w:asciiTheme="majorBidi" w:hAnsiTheme="majorBidi" w:cstheme="majorBidi"/>
          <w:sz w:val="24"/>
          <w:szCs w:val="24"/>
        </w:rPr>
        <w:t xml:space="preserve">Muhammadjonova, Z., &amp; Akhmedova, M. (2025). </w:t>
      </w:r>
      <w:r w:rsidR="00812A51" w:rsidRPr="00066BCA">
        <w:rPr>
          <w:rFonts w:asciiTheme="majorBidi" w:hAnsiTheme="majorBidi" w:cstheme="majorBidi"/>
          <w:sz w:val="24"/>
          <w:szCs w:val="24"/>
        </w:rPr>
        <w:t>The Transformation Of Education In The 21st Century: Innovations, Challenges, And Future Directions</w:t>
      </w:r>
      <w:r w:rsidRPr="00066BCA">
        <w:rPr>
          <w:rFonts w:asciiTheme="majorBidi" w:hAnsiTheme="majorBidi" w:cstheme="majorBidi"/>
          <w:sz w:val="24"/>
          <w:szCs w:val="24"/>
        </w:rPr>
        <w:t xml:space="preserve">. </w:t>
      </w:r>
      <w:r w:rsidRPr="00066BCA">
        <w:rPr>
          <w:rFonts w:asciiTheme="majorBidi" w:hAnsiTheme="majorBidi" w:cstheme="majorBidi"/>
          <w:i/>
          <w:iCs/>
          <w:sz w:val="24"/>
          <w:szCs w:val="24"/>
        </w:rPr>
        <w:t>Общественные Науки в Современном Мире: Теоретические и Практические Исследования</w:t>
      </w:r>
      <w:r w:rsidRPr="00066BCA">
        <w:rPr>
          <w:rFonts w:asciiTheme="majorBidi" w:hAnsiTheme="majorBidi" w:cstheme="majorBidi"/>
          <w:sz w:val="24"/>
          <w:szCs w:val="24"/>
        </w:rPr>
        <w:t xml:space="preserve">, </w:t>
      </w:r>
      <w:r w:rsidRPr="00066BCA">
        <w:rPr>
          <w:rFonts w:asciiTheme="majorBidi" w:hAnsiTheme="majorBidi" w:cstheme="majorBidi"/>
          <w:i/>
          <w:iCs/>
          <w:sz w:val="24"/>
          <w:szCs w:val="24"/>
        </w:rPr>
        <w:t>4</w:t>
      </w:r>
      <w:r w:rsidRPr="00066BCA">
        <w:rPr>
          <w:rFonts w:asciiTheme="majorBidi" w:hAnsiTheme="majorBidi" w:cstheme="majorBidi"/>
          <w:sz w:val="24"/>
          <w:szCs w:val="24"/>
        </w:rPr>
        <w:t>(10), Article 10.</w:t>
      </w:r>
    </w:p>
    <w:p w14:paraId="77B2B563" w14:textId="77777777" w:rsidR="00066BCA" w:rsidRPr="00066BCA" w:rsidRDefault="00066BCA" w:rsidP="00066BCA">
      <w:pPr>
        <w:pStyle w:val="Bibliography"/>
        <w:spacing w:after="120" w:line="240" w:lineRule="auto"/>
        <w:jc w:val="both"/>
        <w:rPr>
          <w:rFonts w:asciiTheme="majorBidi" w:hAnsiTheme="majorBidi" w:cstheme="majorBidi"/>
          <w:sz w:val="24"/>
          <w:szCs w:val="24"/>
        </w:rPr>
      </w:pPr>
      <w:r w:rsidRPr="00066BCA">
        <w:rPr>
          <w:rFonts w:asciiTheme="majorBidi" w:hAnsiTheme="majorBidi" w:cstheme="majorBidi"/>
          <w:sz w:val="24"/>
          <w:szCs w:val="24"/>
        </w:rPr>
        <w:t xml:space="preserve">Nurdin, A., Hendra, Khozin, Haris, A., Zainab, N., &amp; Yahaya, M. Z. (2024). Developing the Islamic Religious Education Curriculum in Inclusive Schools or Madrasah and Its Implementation: A Systematic Literature Review. </w:t>
      </w:r>
      <w:r w:rsidRPr="00066BCA">
        <w:rPr>
          <w:rFonts w:asciiTheme="majorBidi" w:hAnsiTheme="majorBidi" w:cstheme="majorBidi"/>
          <w:i/>
          <w:iCs/>
          <w:sz w:val="24"/>
          <w:szCs w:val="24"/>
        </w:rPr>
        <w:t>Jurnal Pendidikan Agama Islam</w:t>
      </w:r>
      <w:r w:rsidRPr="00066BCA">
        <w:rPr>
          <w:rFonts w:asciiTheme="majorBidi" w:hAnsiTheme="majorBidi" w:cstheme="majorBidi"/>
          <w:sz w:val="24"/>
          <w:szCs w:val="24"/>
        </w:rPr>
        <w:t xml:space="preserve">, </w:t>
      </w:r>
      <w:r w:rsidRPr="00066BCA">
        <w:rPr>
          <w:rFonts w:asciiTheme="majorBidi" w:hAnsiTheme="majorBidi" w:cstheme="majorBidi"/>
          <w:i/>
          <w:iCs/>
          <w:sz w:val="24"/>
          <w:szCs w:val="24"/>
        </w:rPr>
        <w:t>21</w:t>
      </w:r>
      <w:r w:rsidRPr="00066BCA">
        <w:rPr>
          <w:rFonts w:asciiTheme="majorBidi" w:hAnsiTheme="majorBidi" w:cstheme="majorBidi"/>
          <w:sz w:val="24"/>
          <w:szCs w:val="24"/>
        </w:rPr>
        <w:t>(1), Article 1. https://doi.org/10.14421/jpai.v21i1.6907</w:t>
      </w:r>
    </w:p>
    <w:p w14:paraId="1DE585F0" w14:textId="77777777" w:rsidR="00066BCA" w:rsidRPr="00066BCA" w:rsidRDefault="00066BCA" w:rsidP="00066BCA">
      <w:pPr>
        <w:pStyle w:val="Bibliography"/>
        <w:spacing w:after="120" w:line="240" w:lineRule="auto"/>
        <w:jc w:val="both"/>
        <w:rPr>
          <w:rFonts w:asciiTheme="majorBidi" w:hAnsiTheme="majorBidi" w:cstheme="majorBidi"/>
          <w:sz w:val="24"/>
          <w:szCs w:val="24"/>
        </w:rPr>
      </w:pPr>
      <w:r w:rsidRPr="00066BCA">
        <w:rPr>
          <w:rFonts w:asciiTheme="majorBidi" w:hAnsiTheme="majorBidi" w:cstheme="majorBidi"/>
          <w:sz w:val="24"/>
          <w:szCs w:val="24"/>
        </w:rPr>
        <w:t xml:space="preserve">Nurfadillah, N., &amp; Munawwir, A. (2023). Pengaruh penerapan model pembelajaran SAVI (Somatic, Auditory, Visualization, Intellectualy) Terhadap Hasil Belajar Bahasa Arab Siswa Kelas X Madrasah Aliyah Pesantren Muhammadiyah Tana Toraja. </w:t>
      </w:r>
      <w:r w:rsidRPr="00066BCA">
        <w:rPr>
          <w:rFonts w:asciiTheme="majorBidi" w:hAnsiTheme="majorBidi" w:cstheme="majorBidi"/>
          <w:i/>
          <w:iCs/>
          <w:sz w:val="24"/>
          <w:szCs w:val="24"/>
        </w:rPr>
        <w:t>Jurnal Konsepsi</w:t>
      </w:r>
      <w:r w:rsidRPr="00066BCA">
        <w:rPr>
          <w:rFonts w:asciiTheme="majorBidi" w:hAnsiTheme="majorBidi" w:cstheme="majorBidi"/>
          <w:sz w:val="24"/>
          <w:szCs w:val="24"/>
        </w:rPr>
        <w:t xml:space="preserve">, </w:t>
      </w:r>
      <w:r w:rsidRPr="00066BCA">
        <w:rPr>
          <w:rFonts w:asciiTheme="majorBidi" w:hAnsiTheme="majorBidi" w:cstheme="majorBidi"/>
          <w:i/>
          <w:iCs/>
          <w:sz w:val="24"/>
          <w:szCs w:val="24"/>
        </w:rPr>
        <w:t>11</w:t>
      </w:r>
      <w:r w:rsidRPr="00066BCA">
        <w:rPr>
          <w:rFonts w:asciiTheme="majorBidi" w:hAnsiTheme="majorBidi" w:cstheme="majorBidi"/>
          <w:sz w:val="24"/>
          <w:szCs w:val="24"/>
        </w:rPr>
        <w:t>(4), Article 4.</w:t>
      </w:r>
    </w:p>
    <w:p w14:paraId="094FFC1E" w14:textId="77777777" w:rsidR="00066BCA" w:rsidRPr="00066BCA" w:rsidRDefault="00066BCA" w:rsidP="00066BCA">
      <w:pPr>
        <w:pStyle w:val="Bibliography"/>
        <w:spacing w:after="120" w:line="240" w:lineRule="auto"/>
        <w:jc w:val="both"/>
        <w:rPr>
          <w:rFonts w:asciiTheme="majorBidi" w:hAnsiTheme="majorBidi" w:cstheme="majorBidi"/>
          <w:sz w:val="24"/>
          <w:szCs w:val="24"/>
        </w:rPr>
      </w:pPr>
      <w:r w:rsidRPr="00066BCA">
        <w:rPr>
          <w:rFonts w:asciiTheme="majorBidi" w:hAnsiTheme="majorBidi" w:cstheme="majorBidi"/>
          <w:sz w:val="24"/>
          <w:szCs w:val="24"/>
        </w:rPr>
        <w:t xml:space="preserve">Pinera, J. (2021). Adaptive Delivery as a Means to Increase Student Engagement and Learning Outcomes. </w:t>
      </w:r>
      <w:r w:rsidRPr="00066BCA">
        <w:rPr>
          <w:rFonts w:asciiTheme="majorBidi" w:hAnsiTheme="majorBidi" w:cstheme="majorBidi"/>
          <w:i/>
          <w:iCs/>
          <w:sz w:val="24"/>
          <w:szCs w:val="24"/>
        </w:rPr>
        <w:t>FIU Electronic Theses and Dissertations</w:t>
      </w:r>
      <w:r w:rsidRPr="00066BCA">
        <w:rPr>
          <w:rFonts w:asciiTheme="majorBidi" w:hAnsiTheme="majorBidi" w:cstheme="majorBidi"/>
          <w:sz w:val="24"/>
          <w:szCs w:val="24"/>
        </w:rPr>
        <w:t>. https://doi.org/10.25148/etd.FIDC010255</w:t>
      </w:r>
    </w:p>
    <w:p w14:paraId="5C87B9A7" w14:textId="77777777" w:rsidR="00066BCA" w:rsidRPr="00066BCA" w:rsidRDefault="00066BCA" w:rsidP="00066BCA">
      <w:pPr>
        <w:pStyle w:val="Bibliography"/>
        <w:spacing w:after="120" w:line="240" w:lineRule="auto"/>
        <w:jc w:val="both"/>
        <w:rPr>
          <w:rFonts w:asciiTheme="majorBidi" w:hAnsiTheme="majorBidi" w:cstheme="majorBidi"/>
          <w:sz w:val="24"/>
          <w:szCs w:val="24"/>
        </w:rPr>
      </w:pPr>
      <w:r w:rsidRPr="00066BCA">
        <w:rPr>
          <w:rFonts w:asciiTheme="majorBidi" w:hAnsiTheme="majorBidi" w:cstheme="majorBidi"/>
          <w:sz w:val="24"/>
          <w:szCs w:val="24"/>
        </w:rPr>
        <w:t xml:space="preserve">Prayitno, H. J., Fitriany, D. N., Purnomo, E., Andyani, R. A., Adhantoro, M. S., Kurniaji, G. T., &amp; Jufriansah, A. (2024). The Use of Audiovisual Learning Media to Enhance Digital Literacy Competence in Indonesian Language Learning Among Fifth-Grade Students at SDN 02 Baleharjo. </w:t>
      </w:r>
      <w:r w:rsidRPr="00066BCA">
        <w:rPr>
          <w:rFonts w:asciiTheme="majorBidi" w:hAnsiTheme="majorBidi" w:cstheme="majorBidi"/>
          <w:i/>
          <w:iCs/>
          <w:sz w:val="24"/>
          <w:szCs w:val="24"/>
        </w:rPr>
        <w:t>International Conference on Education for All</w:t>
      </w:r>
      <w:r w:rsidRPr="00066BCA">
        <w:rPr>
          <w:rFonts w:asciiTheme="majorBidi" w:hAnsiTheme="majorBidi" w:cstheme="majorBidi"/>
          <w:sz w:val="24"/>
          <w:szCs w:val="24"/>
        </w:rPr>
        <w:t xml:space="preserve">, </w:t>
      </w:r>
      <w:r w:rsidRPr="00066BCA">
        <w:rPr>
          <w:rFonts w:asciiTheme="majorBidi" w:hAnsiTheme="majorBidi" w:cstheme="majorBidi"/>
          <w:i/>
          <w:iCs/>
          <w:sz w:val="24"/>
          <w:szCs w:val="24"/>
        </w:rPr>
        <w:t>2</w:t>
      </w:r>
      <w:r w:rsidRPr="00066BCA">
        <w:rPr>
          <w:rFonts w:asciiTheme="majorBidi" w:hAnsiTheme="majorBidi" w:cstheme="majorBidi"/>
          <w:sz w:val="24"/>
          <w:szCs w:val="24"/>
        </w:rPr>
        <w:t>(1), Article 1.</w:t>
      </w:r>
    </w:p>
    <w:p w14:paraId="5DEA22B1" w14:textId="3D775F6D" w:rsidR="00066BCA" w:rsidRPr="00066BCA" w:rsidRDefault="00066BCA" w:rsidP="00066BCA">
      <w:pPr>
        <w:pStyle w:val="Bibliography"/>
        <w:spacing w:after="120" w:line="240" w:lineRule="auto"/>
        <w:jc w:val="both"/>
        <w:rPr>
          <w:rFonts w:asciiTheme="majorBidi" w:hAnsiTheme="majorBidi" w:cstheme="majorBidi"/>
          <w:sz w:val="24"/>
          <w:szCs w:val="24"/>
        </w:rPr>
      </w:pPr>
      <w:r w:rsidRPr="00066BCA">
        <w:rPr>
          <w:rFonts w:asciiTheme="majorBidi" w:hAnsiTheme="majorBidi" w:cstheme="majorBidi"/>
          <w:sz w:val="24"/>
          <w:szCs w:val="24"/>
        </w:rPr>
        <w:t xml:space="preserve">Puspandari, K., &amp; Sinaga, Y. (2023). </w:t>
      </w:r>
      <w:r w:rsidR="00812A51" w:rsidRPr="00066BCA">
        <w:rPr>
          <w:rFonts w:asciiTheme="majorBidi" w:hAnsiTheme="majorBidi" w:cstheme="majorBidi"/>
          <w:sz w:val="24"/>
          <w:szCs w:val="24"/>
        </w:rPr>
        <w:t xml:space="preserve">Tanggung Jawab Negara Dalam Pemenuhan Hak Pendidikan Inklusif Di Indonesia. </w:t>
      </w:r>
      <w:r w:rsidR="00812A51" w:rsidRPr="00066BCA">
        <w:rPr>
          <w:rFonts w:asciiTheme="majorBidi" w:hAnsiTheme="majorBidi" w:cstheme="majorBidi"/>
          <w:i/>
          <w:iCs/>
          <w:sz w:val="24"/>
          <w:szCs w:val="24"/>
        </w:rPr>
        <w:t>Jurnal Ilmiah Publika</w:t>
      </w:r>
      <w:r w:rsidRPr="00066BCA">
        <w:rPr>
          <w:rFonts w:asciiTheme="majorBidi" w:hAnsiTheme="majorBidi" w:cstheme="majorBidi"/>
          <w:sz w:val="24"/>
          <w:szCs w:val="24"/>
        </w:rPr>
        <w:t xml:space="preserve">, </w:t>
      </w:r>
      <w:r w:rsidRPr="00066BCA">
        <w:rPr>
          <w:rFonts w:asciiTheme="majorBidi" w:hAnsiTheme="majorBidi" w:cstheme="majorBidi"/>
          <w:i/>
          <w:iCs/>
          <w:sz w:val="24"/>
          <w:szCs w:val="24"/>
        </w:rPr>
        <w:t>11</w:t>
      </w:r>
      <w:r w:rsidRPr="00066BCA">
        <w:rPr>
          <w:rFonts w:asciiTheme="majorBidi" w:hAnsiTheme="majorBidi" w:cstheme="majorBidi"/>
          <w:sz w:val="24"/>
          <w:szCs w:val="24"/>
        </w:rPr>
        <w:t>(1), Article 1. https://doi.org/10.33603/publika.v11i1.8269</w:t>
      </w:r>
    </w:p>
    <w:p w14:paraId="7A41D722" w14:textId="255FBEA2" w:rsidR="00066BCA" w:rsidRPr="00066BCA" w:rsidRDefault="00066BCA" w:rsidP="00066BCA">
      <w:pPr>
        <w:pStyle w:val="Bibliography"/>
        <w:spacing w:after="120" w:line="240" w:lineRule="auto"/>
        <w:jc w:val="both"/>
        <w:rPr>
          <w:rFonts w:asciiTheme="majorBidi" w:hAnsiTheme="majorBidi" w:cstheme="majorBidi"/>
          <w:sz w:val="24"/>
          <w:szCs w:val="24"/>
        </w:rPr>
      </w:pPr>
      <w:r w:rsidRPr="00066BCA">
        <w:rPr>
          <w:rFonts w:asciiTheme="majorBidi" w:hAnsiTheme="majorBidi" w:cstheme="majorBidi"/>
          <w:sz w:val="24"/>
          <w:szCs w:val="24"/>
        </w:rPr>
        <w:t xml:space="preserve">Rashov, O. (2024). </w:t>
      </w:r>
      <w:r w:rsidR="00020965" w:rsidRPr="00066BCA">
        <w:rPr>
          <w:rFonts w:asciiTheme="majorBidi" w:hAnsiTheme="majorBidi" w:cstheme="majorBidi"/>
          <w:sz w:val="24"/>
          <w:szCs w:val="24"/>
        </w:rPr>
        <w:t>Modern Methods Of Teaching Foreign Languages</w:t>
      </w:r>
      <w:r w:rsidRPr="00066BCA">
        <w:rPr>
          <w:rFonts w:asciiTheme="majorBidi" w:hAnsiTheme="majorBidi" w:cstheme="majorBidi"/>
          <w:sz w:val="24"/>
          <w:szCs w:val="24"/>
        </w:rPr>
        <w:t xml:space="preserve">. </w:t>
      </w:r>
      <w:r w:rsidRPr="00066BCA">
        <w:rPr>
          <w:rFonts w:asciiTheme="majorBidi" w:hAnsiTheme="majorBidi" w:cstheme="majorBidi"/>
          <w:i/>
          <w:iCs/>
          <w:sz w:val="24"/>
          <w:szCs w:val="24"/>
        </w:rPr>
        <w:t>International Scientific and Current Research Conferences</w:t>
      </w:r>
      <w:r w:rsidRPr="00066BCA">
        <w:rPr>
          <w:rFonts w:asciiTheme="majorBidi" w:hAnsiTheme="majorBidi" w:cstheme="majorBidi"/>
          <w:sz w:val="24"/>
          <w:szCs w:val="24"/>
        </w:rPr>
        <w:t>, 158–164.</w:t>
      </w:r>
    </w:p>
    <w:p w14:paraId="4AE736B3" w14:textId="77777777" w:rsidR="00066BCA" w:rsidRPr="00066BCA" w:rsidRDefault="00066BCA" w:rsidP="00066BCA">
      <w:pPr>
        <w:pStyle w:val="Bibliography"/>
        <w:spacing w:after="120" w:line="240" w:lineRule="auto"/>
        <w:jc w:val="both"/>
        <w:rPr>
          <w:rFonts w:asciiTheme="majorBidi" w:hAnsiTheme="majorBidi" w:cstheme="majorBidi"/>
          <w:sz w:val="24"/>
          <w:szCs w:val="24"/>
        </w:rPr>
      </w:pPr>
      <w:r w:rsidRPr="00066BCA">
        <w:rPr>
          <w:rFonts w:asciiTheme="majorBidi" w:hAnsiTheme="majorBidi" w:cstheme="majorBidi"/>
          <w:sz w:val="24"/>
          <w:szCs w:val="24"/>
        </w:rPr>
        <w:t xml:space="preserve">Shah, R., &amp; Inamullah, P. D. H. M. (2025). The Role of Madrassa Education in Cultivating Moral Excellence: A Qualitative Analysis. </w:t>
      </w:r>
      <w:r w:rsidRPr="00066BCA">
        <w:rPr>
          <w:rFonts w:asciiTheme="majorBidi" w:hAnsiTheme="majorBidi" w:cstheme="majorBidi"/>
          <w:i/>
          <w:iCs/>
          <w:sz w:val="24"/>
          <w:szCs w:val="24"/>
        </w:rPr>
        <w:t>Review Journal of Social Psychology &amp; Social Works</w:t>
      </w:r>
      <w:r w:rsidRPr="00066BCA">
        <w:rPr>
          <w:rFonts w:asciiTheme="majorBidi" w:hAnsiTheme="majorBidi" w:cstheme="majorBidi"/>
          <w:sz w:val="24"/>
          <w:szCs w:val="24"/>
        </w:rPr>
        <w:t xml:space="preserve">, </w:t>
      </w:r>
      <w:r w:rsidRPr="00066BCA">
        <w:rPr>
          <w:rFonts w:asciiTheme="majorBidi" w:hAnsiTheme="majorBidi" w:cstheme="majorBidi"/>
          <w:i/>
          <w:iCs/>
          <w:sz w:val="24"/>
          <w:szCs w:val="24"/>
        </w:rPr>
        <w:t>3</w:t>
      </w:r>
      <w:r w:rsidRPr="00066BCA">
        <w:rPr>
          <w:rFonts w:asciiTheme="majorBidi" w:hAnsiTheme="majorBidi" w:cstheme="majorBidi"/>
          <w:sz w:val="24"/>
          <w:szCs w:val="24"/>
        </w:rPr>
        <w:t>(2), Article 2.</w:t>
      </w:r>
    </w:p>
    <w:p w14:paraId="232A5AE7" w14:textId="77777777" w:rsidR="00066BCA" w:rsidRPr="00066BCA" w:rsidRDefault="00066BCA" w:rsidP="00066BCA">
      <w:pPr>
        <w:pStyle w:val="Bibliography"/>
        <w:spacing w:after="120" w:line="240" w:lineRule="auto"/>
        <w:jc w:val="both"/>
        <w:rPr>
          <w:rFonts w:asciiTheme="majorBidi" w:hAnsiTheme="majorBidi" w:cstheme="majorBidi"/>
          <w:sz w:val="24"/>
          <w:szCs w:val="24"/>
        </w:rPr>
      </w:pPr>
      <w:r w:rsidRPr="00066BCA">
        <w:rPr>
          <w:rFonts w:asciiTheme="majorBidi" w:hAnsiTheme="majorBidi" w:cstheme="majorBidi"/>
          <w:sz w:val="24"/>
          <w:szCs w:val="24"/>
        </w:rPr>
        <w:t xml:space="preserve">Shutaleva, A., Martyushev, N., Nikonova, Z., Savchenko, I., Kukartsev, V., Tynchenko, V., &amp; Tynchenko, Y. (2023). Sustainability of Inclusive Education in Schools and Higher Education: Teachers and Students with Special Educational Needs. </w:t>
      </w:r>
      <w:r w:rsidRPr="00066BCA">
        <w:rPr>
          <w:rFonts w:asciiTheme="majorBidi" w:hAnsiTheme="majorBidi" w:cstheme="majorBidi"/>
          <w:i/>
          <w:iCs/>
          <w:sz w:val="24"/>
          <w:szCs w:val="24"/>
        </w:rPr>
        <w:t>Sustainability</w:t>
      </w:r>
      <w:r w:rsidRPr="00066BCA">
        <w:rPr>
          <w:rFonts w:asciiTheme="majorBidi" w:hAnsiTheme="majorBidi" w:cstheme="majorBidi"/>
          <w:sz w:val="24"/>
          <w:szCs w:val="24"/>
        </w:rPr>
        <w:t xml:space="preserve">, </w:t>
      </w:r>
      <w:r w:rsidRPr="00066BCA">
        <w:rPr>
          <w:rFonts w:asciiTheme="majorBidi" w:hAnsiTheme="majorBidi" w:cstheme="majorBidi"/>
          <w:i/>
          <w:iCs/>
          <w:sz w:val="24"/>
          <w:szCs w:val="24"/>
        </w:rPr>
        <w:t>15</w:t>
      </w:r>
      <w:r w:rsidRPr="00066BCA">
        <w:rPr>
          <w:rFonts w:asciiTheme="majorBidi" w:hAnsiTheme="majorBidi" w:cstheme="majorBidi"/>
          <w:sz w:val="24"/>
          <w:szCs w:val="24"/>
        </w:rPr>
        <w:t>(4), Article 4. https://doi.org/10.3390/su15043011</w:t>
      </w:r>
    </w:p>
    <w:p w14:paraId="2AEE1CA5" w14:textId="10978BDC" w:rsidR="00066BCA" w:rsidRDefault="00066BCA" w:rsidP="00066BCA">
      <w:pPr>
        <w:pStyle w:val="Bibliography"/>
        <w:spacing w:after="120" w:line="240" w:lineRule="auto"/>
        <w:jc w:val="both"/>
        <w:rPr>
          <w:rFonts w:asciiTheme="majorBidi" w:hAnsiTheme="majorBidi" w:cstheme="majorBidi"/>
          <w:sz w:val="24"/>
          <w:szCs w:val="24"/>
        </w:rPr>
      </w:pPr>
      <w:r w:rsidRPr="00066BCA">
        <w:rPr>
          <w:rFonts w:asciiTheme="majorBidi" w:hAnsiTheme="majorBidi" w:cstheme="majorBidi"/>
          <w:sz w:val="24"/>
          <w:szCs w:val="24"/>
        </w:rPr>
        <w:t xml:space="preserve">Syaifudin, M. (2021). Implementasi Pendidikan Inklusif di Madrasah Ibtidaiyah di Jawa Timur. </w:t>
      </w:r>
      <w:r w:rsidRPr="00066BCA">
        <w:rPr>
          <w:rFonts w:asciiTheme="majorBidi" w:hAnsiTheme="majorBidi" w:cstheme="majorBidi"/>
          <w:i/>
          <w:iCs/>
          <w:sz w:val="24"/>
          <w:szCs w:val="24"/>
        </w:rPr>
        <w:t>EL-BANAT: Jurnal Pemikiran Dan Pendidikan Islam</w:t>
      </w:r>
      <w:r w:rsidRPr="00066BCA">
        <w:rPr>
          <w:rFonts w:asciiTheme="majorBidi" w:hAnsiTheme="majorBidi" w:cstheme="majorBidi"/>
          <w:sz w:val="24"/>
          <w:szCs w:val="24"/>
        </w:rPr>
        <w:t xml:space="preserve">, </w:t>
      </w:r>
      <w:r w:rsidRPr="00066BCA">
        <w:rPr>
          <w:rFonts w:asciiTheme="majorBidi" w:hAnsiTheme="majorBidi" w:cstheme="majorBidi"/>
          <w:i/>
          <w:iCs/>
          <w:sz w:val="24"/>
          <w:szCs w:val="24"/>
        </w:rPr>
        <w:t>11</w:t>
      </w:r>
      <w:r w:rsidRPr="00066BCA">
        <w:rPr>
          <w:rFonts w:asciiTheme="majorBidi" w:hAnsiTheme="majorBidi" w:cstheme="majorBidi"/>
          <w:sz w:val="24"/>
          <w:szCs w:val="24"/>
        </w:rPr>
        <w:t>(2), Article 2. https://doi.org/10.54180/elbanat.2021.11.2.184-200</w:t>
      </w:r>
    </w:p>
    <w:p w14:paraId="62EF1759" w14:textId="77777777" w:rsidR="00F4557E" w:rsidRPr="00F4557E" w:rsidRDefault="00F4557E" w:rsidP="00F4557E">
      <w:pPr>
        <w:widowControl w:val="0"/>
        <w:autoSpaceDE w:val="0"/>
        <w:autoSpaceDN w:val="0"/>
        <w:adjustRightInd w:val="0"/>
        <w:spacing w:line="240" w:lineRule="auto"/>
        <w:ind w:left="480" w:hanging="480"/>
        <w:rPr>
          <w:rFonts w:asciiTheme="majorBidi" w:hAnsiTheme="majorBidi" w:cstheme="majorBidi"/>
          <w:sz w:val="24"/>
          <w:szCs w:val="24"/>
        </w:rPr>
      </w:pPr>
      <w:r w:rsidRPr="00F4557E">
        <w:rPr>
          <w:rFonts w:asciiTheme="majorBidi" w:hAnsiTheme="majorBidi" w:cstheme="majorBidi"/>
          <w:sz w:val="24"/>
          <w:szCs w:val="24"/>
        </w:rPr>
        <w:t xml:space="preserve">Taufiq, M. A., Hasanah, D., Yumanto, M. I., &amp; Elbaghdadi, Z. A. (2024). Curriculum Relevance Of Arabic Language Education With Job Opportunities For Graduates In Indonesia/ </w:t>
      </w:r>
      <w:r w:rsidRPr="00F4557E">
        <w:rPr>
          <w:rFonts w:asciiTheme="majorBidi" w:hAnsiTheme="majorBidi" w:cstheme="majorBidi"/>
          <w:sz w:val="24"/>
          <w:szCs w:val="24"/>
          <w:rtl/>
        </w:rPr>
        <w:t>ملاءمة مناهج تعليم اللغة العربية لفرص عمل الخريجين بإندونيسيا</w:t>
      </w:r>
      <w:r w:rsidRPr="00F4557E">
        <w:rPr>
          <w:rFonts w:asciiTheme="majorBidi" w:hAnsiTheme="majorBidi" w:cstheme="majorBidi"/>
          <w:sz w:val="24"/>
          <w:szCs w:val="24"/>
        </w:rPr>
        <w:t xml:space="preserve">. Ijaz Arabi Journal of Arabic Learning, 7(1). </w:t>
      </w:r>
      <w:r w:rsidRPr="00F4557E">
        <w:rPr>
          <w:rFonts w:asciiTheme="majorBidi" w:hAnsiTheme="majorBidi" w:cstheme="majorBidi"/>
          <w:sz w:val="24"/>
          <w:szCs w:val="24"/>
        </w:rPr>
        <w:lastRenderedPageBreak/>
        <w:t>https://doi.org/10.18860/IJAZARABI.V7I1.20432</w:t>
      </w:r>
    </w:p>
    <w:p w14:paraId="0BCDBFC9" w14:textId="77777777" w:rsidR="00066BCA" w:rsidRPr="00066BCA" w:rsidRDefault="00066BCA" w:rsidP="00066BCA">
      <w:pPr>
        <w:pStyle w:val="Bibliography"/>
        <w:spacing w:after="120" w:line="240" w:lineRule="auto"/>
        <w:jc w:val="both"/>
        <w:rPr>
          <w:rFonts w:asciiTheme="majorBidi" w:hAnsiTheme="majorBidi" w:cstheme="majorBidi"/>
          <w:sz w:val="24"/>
          <w:szCs w:val="24"/>
        </w:rPr>
      </w:pPr>
      <w:r w:rsidRPr="00066BCA">
        <w:rPr>
          <w:rFonts w:asciiTheme="majorBidi" w:hAnsiTheme="majorBidi" w:cstheme="majorBidi"/>
          <w:sz w:val="24"/>
          <w:szCs w:val="24"/>
        </w:rPr>
        <w:t xml:space="preserve">Xiao, M., Tian, Z., &amp; Xu, W. (2023). Impact of teacher-student interaction on students’ classroom well-being under online education environment. </w:t>
      </w:r>
      <w:r w:rsidRPr="00066BCA">
        <w:rPr>
          <w:rFonts w:asciiTheme="majorBidi" w:hAnsiTheme="majorBidi" w:cstheme="majorBidi"/>
          <w:i/>
          <w:iCs/>
          <w:sz w:val="24"/>
          <w:szCs w:val="24"/>
        </w:rPr>
        <w:t>Education and Information Technologies</w:t>
      </w:r>
      <w:r w:rsidRPr="00066BCA">
        <w:rPr>
          <w:rFonts w:asciiTheme="majorBidi" w:hAnsiTheme="majorBidi" w:cstheme="majorBidi"/>
          <w:sz w:val="24"/>
          <w:szCs w:val="24"/>
        </w:rPr>
        <w:t xml:space="preserve">, </w:t>
      </w:r>
      <w:r w:rsidRPr="00066BCA">
        <w:rPr>
          <w:rFonts w:asciiTheme="majorBidi" w:hAnsiTheme="majorBidi" w:cstheme="majorBidi"/>
          <w:i/>
          <w:iCs/>
          <w:sz w:val="24"/>
          <w:szCs w:val="24"/>
        </w:rPr>
        <w:t>28</w:t>
      </w:r>
      <w:r w:rsidRPr="00066BCA">
        <w:rPr>
          <w:rFonts w:asciiTheme="majorBidi" w:hAnsiTheme="majorBidi" w:cstheme="majorBidi"/>
          <w:sz w:val="24"/>
          <w:szCs w:val="24"/>
        </w:rPr>
        <w:t>(11), 14669–14691. https://doi.org/10.1007/s10639-023-11681-0</w:t>
      </w:r>
    </w:p>
    <w:p w14:paraId="2EDCBFFA" w14:textId="2794AF84" w:rsidR="00900DBA" w:rsidRPr="00812A51" w:rsidRDefault="00066BCA" w:rsidP="00812A51">
      <w:pPr>
        <w:shd w:val="clear" w:color="auto" w:fill="FFFFFF"/>
        <w:spacing w:before="180" w:after="120" w:line="240" w:lineRule="auto"/>
        <w:jc w:val="both"/>
        <w:rPr>
          <w:rFonts w:ascii="Times New Roman" w:eastAsia="Times New Roman" w:hAnsi="Times New Roman" w:cs="Times New Roman"/>
          <w:color w:val="222222"/>
          <w:sz w:val="24"/>
          <w:szCs w:val="24"/>
        </w:rPr>
      </w:pPr>
      <w:r w:rsidRPr="00066BCA">
        <w:rPr>
          <w:rFonts w:asciiTheme="majorBidi" w:eastAsia="Times New Roman" w:hAnsiTheme="majorBidi" w:cstheme="majorBidi"/>
          <w:color w:val="222222"/>
          <w:sz w:val="24"/>
          <w:szCs w:val="24"/>
        </w:rPr>
        <w:fldChar w:fldCharType="end"/>
      </w:r>
    </w:p>
    <w:sectPr w:rsidR="00900DBA" w:rsidRPr="00812A51">
      <w:headerReference w:type="default" r:id="rId14"/>
      <w:footerReference w:type="default" r:id="rId15"/>
      <w:pgSz w:w="11907" w:h="16840"/>
      <w:pgMar w:top="1701" w:right="1134" w:bottom="1701" w:left="2268"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2CE1F14" w14:textId="77777777" w:rsidR="00CD61BB" w:rsidRDefault="00CD61BB">
      <w:pPr>
        <w:spacing w:after="0" w:line="240" w:lineRule="auto"/>
      </w:pPr>
      <w:r>
        <w:separator/>
      </w:r>
    </w:p>
  </w:endnote>
  <w:endnote w:type="continuationSeparator" w:id="0">
    <w:p w14:paraId="77F39552" w14:textId="77777777" w:rsidR="00CD61BB" w:rsidRDefault="00CD61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A1BDE27" w14:textId="77777777" w:rsidR="00900DBA" w:rsidRDefault="006B646C">
    <w:pPr>
      <w:keepNext/>
      <w:keepLines/>
      <w:widowControl w:val="0"/>
      <w:spacing w:after="0" w:line="240" w:lineRule="auto"/>
      <w:rPr>
        <w:sz w:val="24"/>
        <w:szCs w:val="24"/>
      </w:rPr>
    </w:pPr>
    <w:r>
      <w:rPr>
        <w:sz w:val="24"/>
        <w:szCs w:val="24"/>
      </w:rPr>
      <w:t xml:space="preserve">Vol. 7 No. 1 / February 2024 </w:t>
    </w:r>
  </w:p>
  <w:p w14:paraId="2A266D37" w14:textId="77777777" w:rsidR="00900DBA" w:rsidRDefault="00900DBA">
    <w:pPr>
      <w:keepLines/>
      <w:spacing w:after="0" w:line="240" w:lineRule="auto"/>
      <w:rPr>
        <w:rFonts w:ascii="Arial" w:eastAsia="Arial" w:hAnsi="Arial" w:cs="Arial"/>
        <w:sz w:val="18"/>
        <w:szCs w:val="18"/>
      </w:rPr>
    </w:pPr>
  </w:p>
  <w:p w14:paraId="1F3891CD" w14:textId="77777777" w:rsidR="00900DBA" w:rsidRDefault="006B646C">
    <w:pPr>
      <w:keepLines/>
      <w:spacing w:after="0" w:line="240" w:lineRule="auto"/>
    </w:pPr>
    <w:r>
      <w:rPr>
        <w:rFonts w:ascii="Arial" w:eastAsia="Arial" w:hAnsi="Arial" w:cs="Arial"/>
        <w:sz w:val="18"/>
        <w:szCs w:val="18"/>
      </w:rPr>
      <w:t>Copyright © 2024, This is an open access article under the CC BY-SA 4.0 license (https://creativecommons.org/licenses/by-sa/4.0/)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1149426" w14:textId="77777777" w:rsidR="00CD61BB" w:rsidRDefault="00CD61BB">
      <w:pPr>
        <w:spacing w:after="0" w:line="240" w:lineRule="auto"/>
      </w:pPr>
      <w:r>
        <w:separator/>
      </w:r>
    </w:p>
  </w:footnote>
  <w:footnote w:type="continuationSeparator" w:id="0">
    <w:p w14:paraId="42785D98" w14:textId="77777777" w:rsidR="00CD61BB" w:rsidRDefault="00CD61B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4AEFD2" w14:textId="77777777" w:rsidR="00900DBA" w:rsidRDefault="006B646C">
    <w:pPr>
      <w:keepLines/>
      <w:widowControl w:val="0"/>
      <w:tabs>
        <w:tab w:val="center" w:pos="4680"/>
        <w:tab w:val="right" w:pos="9360"/>
      </w:tabs>
      <w:spacing w:after="0" w:line="240" w:lineRule="auto"/>
      <w:rPr>
        <w:color w:val="7F7F7F"/>
        <w:sz w:val="24"/>
        <w:szCs w:val="24"/>
      </w:rPr>
    </w:pPr>
    <w:r>
      <w:rPr>
        <w:color w:val="7F7F7F"/>
        <w:sz w:val="24"/>
        <w:szCs w:val="24"/>
      </w:rPr>
      <w:t xml:space="preserve">I J A </w:t>
    </w:r>
    <w:proofErr w:type="gramStart"/>
    <w:r>
      <w:rPr>
        <w:color w:val="7F7F7F"/>
        <w:sz w:val="24"/>
        <w:szCs w:val="24"/>
      </w:rPr>
      <w:t>Z  A</w:t>
    </w:r>
    <w:proofErr w:type="gramEnd"/>
    <w:r>
      <w:rPr>
        <w:color w:val="7F7F7F"/>
        <w:sz w:val="24"/>
        <w:szCs w:val="24"/>
      </w:rPr>
      <w:t xml:space="preserve"> R A B I :  J o u r n a l  o f  A r a b </w:t>
    </w:r>
    <w:proofErr w:type="spellStart"/>
    <w:r>
      <w:rPr>
        <w:color w:val="7F7F7F"/>
        <w:sz w:val="24"/>
        <w:szCs w:val="24"/>
      </w:rPr>
      <w:t>i</w:t>
    </w:r>
    <w:proofErr w:type="spellEnd"/>
    <w:r>
      <w:rPr>
        <w:color w:val="7F7F7F"/>
        <w:sz w:val="24"/>
        <w:szCs w:val="24"/>
      </w:rPr>
      <w:t xml:space="preserve"> c  L e a r n </w:t>
    </w:r>
    <w:proofErr w:type="spellStart"/>
    <w:r>
      <w:rPr>
        <w:color w:val="7F7F7F"/>
        <w:sz w:val="24"/>
        <w:szCs w:val="24"/>
      </w:rPr>
      <w:t>i</w:t>
    </w:r>
    <w:proofErr w:type="spellEnd"/>
    <w:r>
      <w:rPr>
        <w:color w:val="7F7F7F"/>
        <w:sz w:val="24"/>
        <w:szCs w:val="24"/>
      </w:rPr>
      <w:t xml:space="preserve"> n g</w:t>
    </w:r>
  </w:p>
  <w:p w14:paraId="20DF316B" w14:textId="77777777" w:rsidR="00900DBA" w:rsidRDefault="006B646C">
    <w:pPr>
      <w:keepLines/>
      <w:widowControl w:val="0"/>
      <w:tabs>
        <w:tab w:val="center" w:pos="4680"/>
        <w:tab w:val="right" w:pos="9360"/>
      </w:tabs>
      <w:spacing w:after="0" w:line="240" w:lineRule="auto"/>
      <w:rPr>
        <w:sz w:val="24"/>
        <w:szCs w:val="24"/>
      </w:rPr>
    </w:pPr>
    <w:r>
      <w:rPr>
        <w:color w:val="7F7F7F"/>
        <w:sz w:val="24"/>
        <w:szCs w:val="24"/>
      </w:rPr>
      <w:t xml:space="preserve">D O </w:t>
    </w:r>
    <w:proofErr w:type="gramStart"/>
    <w:r>
      <w:rPr>
        <w:color w:val="7F7F7F"/>
        <w:sz w:val="24"/>
        <w:szCs w:val="24"/>
      </w:rPr>
      <w:t>I :</w:t>
    </w:r>
    <w:proofErr w:type="gramEnd"/>
    <w:r>
      <w:rPr>
        <w:color w:val="7F7F7F"/>
        <w:sz w:val="24"/>
        <w:szCs w:val="24"/>
      </w:rPr>
      <w:t xml:space="preserve"> </w:t>
    </w:r>
    <w:r>
      <w:rPr>
        <w:sz w:val="24"/>
        <w:szCs w:val="24"/>
      </w:rPr>
      <w:t xml:space="preserve"> 10.18860 /</w:t>
    </w:r>
    <w:proofErr w:type="spellStart"/>
    <w:r>
      <w:rPr>
        <w:sz w:val="24"/>
        <w:szCs w:val="24"/>
      </w:rPr>
      <w:t>ijazarabi.vxxx.xxxxx</w:t>
    </w:r>
    <w:proofErr w:type="spellEnd"/>
  </w:p>
  <w:p w14:paraId="2D779F74" w14:textId="77777777" w:rsidR="00900DBA" w:rsidRDefault="006B646C">
    <w:pPr>
      <w:keepLines/>
      <w:widowControl w:val="0"/>
      <w:tabs>
        <w:tab w:val="center" w:pos="4680"/>
        <w:tab w:val="right" w:pos="9360"/>
      </w:tabs>
      <w:spacing w:after="0" w:line="240" w:lineRule="auto"/>
      <w:rPr>
        <w:color w:val="7F7F7F"/>
        <w:sz w:val="24"/>
        <w:szCs w:val="24"/>
      </w:rPr>
    </w:pPr>
    <w:r>
      <w:rPr>
        <w:color w:val="7F7F7F"/>
        <w:sz w:val="24"/>
        <w:szCs w:val="24"/>
      </w:rPr>
      <w:t xml:space="preserve">I S </w:t>
    </w:r>
    <w:proofErr w:type="spellStart"/>
    <w:r>
      <w:rPr>
        <w:color w:val="7F7F7F"/>
        <w:sz w:val="24"/>
        <w:szCs w:val="24"/>
      </w:rPr>
      <w:t>S</w:t>
    </w:r>
    <w:proofErr w:type="spellEnd"/>
    <w:r>
      <w:rPr>
        <w:color w:val="7F7F7F"/>
        <w:sz w:val="24"/>
        <w:szCs w:val="24"/>
      </w:rPr>
      <w:t xml:space="preserve"> N </w:t>
    </w:r>
    <w:proofErr w:type="gramStart"/>
    <w:r>
      <w:rPr>
        <w:color w:val="7F7F7F"/>
        <w:sz w:val="24"/>
        <w:szCs w:val="24"/>
      </w:rPr>
      <w:t>( p</w:t>
    </w:r>
    <w:proofErr w:type="gramEnd"/>
    <w:r>
      <w:rPr>
        <w:color w:val="7F7F7F"/>
        <w:sz w:val="24"/>
        <w:szCs w:val="24"/>
      </w:rPr>
      <w:t xml:space="preserve"> r </w:t>
    </w:r>
    <w:proofErr w:type="spellStart"/>
    <w:r>
      <w:rPr>
        <w:color w:val="7F7F7F"/>
        <w:sz w:val="24"/>
        <w:szCs w:val="24"/>
      </w:rPr>
      <w:t>i</w:t>
    </w:r>
    <w:proofErr w:type="spellEnd"/>
    <w:r>
      <w:rPr>
        <w:color w:val="7F7F7F"/>
        <w:sz w:val="24"/>
        <w:szCs w:val="24"/>
      </w:rPr>
      <w:t xml:space="preserve"> n t ) :  2 6 2 0 - 5 9 1 2  | I S </w:t>
    </w:r>
    <w:proofErr w:type="spellStart"/>
    <w:r>
      <w:rPr>
        <w:color w:val="7F7F7F"/>
        <w:sz w:val="24"/>
        <w:szCs w:val="24"/>
      </w:rPr>
      <w:t>S</w:t>
    </w:r>
    <w:proofErr w:type="spellEnd"/>
    <w:r>
      <w:rPr>
        <w:color w:val="7F7F7F"/>
        <w:sz w:val="24"/>
        <w:szCs w:val="24"/>
      </w:rPr>
      <w:t xml:space="preserve"> N ( o n l </w:t>
    </w:r>
    <w:proofErr w:type="spellStart"/>
    <w:r>
      <w:rPr>
        <w:color w:val="7F7F7F"/>
        <w:sz w:val="24"/>
        <w:szCs w:val="24"/>
      </w:rPr>
      <w:t>i</w:t>
    </w:r>
    <w:proofErr w:type="spellEnd"/>
    <w:r>
      <w:rPr>
        <w:color w:val="7F7F7F"/>
        <w:sz w:val="24"/>
        <w:szCs w:val="24"/>
      </w:rPr>
      <w:t xml:space="preserve"> n e ) : 2 6 2 0 - 5 9 4 7</w:t>
    </w:r>
  </w:p>
  <w:p w14:paraId="612CE6DA" w14:textId="77777777" w:rsidR="00900DBA" w:rsidRDefault="006B646C">
    <w:pPr>
      <w:keepLines/>
      <w:widowControl w:val="0"/>
      <w:tabs>
        <w:tab w:val="center" w:pos="4680"/>
        <w:tab w:val="right" w:pos="9360"/>
      </w:tabs>
      <w:spacing w:after="0" w:line="240" w:lineRule="auto"/>
      <w:rPr>
        <w:sz w:val="24"/>
        <w:szCs w:val="24"/>
      </w:rPr>
    </w:pPr>
    <w:r>
      <w:rPr>
        <w:color w:val="7F7F7F"/>
        <w:sz w:val="20"/>
        <w:szCs w:val="20"/>
      </w:rPr>
      <w:t xml:space="preserve">e j o u r n a </w:t>
    </w:r>
    <w:proofErr w:type="gramStart"/>
    <w:r>
      <w:rPr>
        <w:color w:val="7F7F7F"/>
        <w:sz w:val="20"/>
        <w:szCs w:val="20"/>
      </w:rPr>
      <w:t>l .</w:t>
    </w:r>
    <w:proofErr w:type="gramEnd"/>
    <w:r>
      <w:rPr>
        <w:color w:val="7F7F7F"/>
        <w:sz w:val="20"/>
        <w:szCs w:val="20"/>
      </w:rPr>
      <w:t xml:space="preserve"> u </w:t>
    </w:r>
    <w:proofErr w:type="spellStart"/>
    <w:r>
      <w:rPr>
        <w:color w:val="7F7F7F"/>
        <w:sz w:val="20"/>
        <w:szCs w:val="20"/>
      </w:rPr>
      <w:t>i</w:t>
    </w:r>
    <w:proofErr w:type="spellEnd"/>
    <w:r>
      <w:rPr>
        <w:color w:val="7F7F7F"/>
        <w:sz w:val="20"/>
        <w:szCs w:val="20"/>
      </w:rPr>
      <w:t xml:space="preserve"> n - m a l a n </w:t>
    </w:r>
    <w:proofErr w:type="gramStart"/>
    <w:r>
      <w:rPr>
        <w:color w:val="7F7F7F"/>
        <w:sz w:val="20"/>
        <w:szCs w:val="20"/>
      </w:rPr>
      <w:t>g .</w:t>
    </w:r>
    <w:proofErr w:type="gramEnd"/>
    <w:r>
      <w:rPr>
        <w:color w:val="7F7F7F"/>
        <w:sz w:val="20"/>
        <w:szCs w:val="20"/>
      </w:rPr>
      <w:t xml:space="preserve"> a </w:t>
    </w:r>
    <w:proofErr w:type="gramStart"/>
    <w:r>
      <w:rPr>
        <w:color w:val="7F7F7F"/>
        <w:sz w:val="20"/>
        <w:szCs w:val="20"/>
      </w:rPr>
      <w:t>c .</w:t>
    </w:r>
    <w:proofErr w:type="gramEnd"/>
    <w:r>
      <w:rPr>
        <w:color w:val="7F7F7F"/>
        <w:sz w:val="20"/>
        <w:szCs w:val="20"/>
      </w:rPr>
      <w:t xml:space="preserve"> </w:t>
    </w:r>
    <w:proofErr w:type="spellStart"/>
    <w:r>
      <w:rPr>
        <w:color w:val="7F7F7F"/>
        <w:sz w:val="20"/>
        <w:szCs w:val="20"/>
      </w:rPr>
      <w:t>i</w:t>
    </w:r>
    <w:proofErr w:type="spellEnd"/>
    <w:r>
      <w:rPr>
        <w:color w:val="7F7F7F"/>
        <w:sz w:val="20"/>
        <w:szCs w:val="20"/>
      </w:rPr>
      <w:t xml:space="preserve"> d / </w:t>
    </w:r>
    <w:proofErr w:type="spellStart"/>
    <w:r>
      <w:rPr>
        <w:color w:val="7F7F7F"/>
        <w:sz w:val="20"/>
        <w:szCs w:val="20"/>
      </w:rPr>
      <w:t>i</w:t>
    </w:r>
    <w:proofErr w:type="spellEnd"/>
    <w:r>
      <w:rPr>
        <w:color w:val="7F7F7F"/>
        <w:sz w:val="20"/>
        <w:szCs w:val="20"/>
      </w:rPr>
      <w:t xml:space="preserve"> n d e </w:t>
    </w:r>
    <w:proofErr w:type="gramStart"/>
    <w:r>
      <w:rPr>
        <w:color w:val="7F7F7F"/>
        <w:sz w:val="20"/>
        <w:szCs w:val="20"/>
      </w:rPr>
      <w:t>x .</w:t>
    </w:r>
    <w:proofErr w:type="gramEnd"/>
    <w:r>
      <w:rPr>
        <w:color w:val="7F7F7F"/>
        <w:sz w:val="20"/>
        <w:szCs w:val="20"/>
      </w:rPr>
      <w:t xml:space="preserve"> p h p / </w:t>
    </w:r>
    <w:proofErr w:type="spellStart"/>
    <w:r>
      <w:rPr>
        <w:color w:val="7F7F7F"/>
        <w:sz w:val="20"/>
        <w:szCs w:val="20"/>
      </w:rPr>
      <w:t>i</w:t>
    </w:r>
    <w:proofErr w:type="spellEnd"/>
    <w:r>
      <w:rPr>
        <w:color w:val="7F7F7F"/>
        <w:sz w:val="20"/>
        <w:szCs w:val="20"/>
      </w:rPr>
      <w:t xml:space="preserve"> j a z a r a b </w:t>
    </w:r>
    <w:proofErr w:type="spellStart"/>
    <w:r>
      <w:rPr>
        <w:color w:val="7F7F7F"/>
        <w:sz w:val="20"/>
        <w:szCs w:val="20"/>
      </w:rPr>
      <w:t>i</w:t>
    </w:r>
    <w:proofErr w:type="spellEnd"/>
    <w:r>
      <w:rPr>
        <w:color w:val="7F7F7F"/>
        <w:sz w:val="20"/>
        <w:szCs w:val="20"/>
      </w:rPr>
      <w:t xml:space="preserve"> / </w:t>
    </w:r>
    <w:proofErr w:type="spellStart"/>
    <w:r>
      <w:rPr>
        <w:color w:val="7F7F7F"/>
        <w:sz w:val="20"/>
        <w:szCs w:val="20"/>
      </w:rPr>
      <w:t>i</w:t>
    </w:r>
    <w:proofErr w:type="spellEnd"/>
    <w:r>
      <w:rPr>
        <w:color w:val="7F7F7F"/>
        <w:sz w:val="20"/>
        <w:szCs w:val="20"/>
      </w:rPr>
      <w:t xml:space="preserve"> n d e x </w:t>
    </w:r>
    <w:r>
      <w:rPr>
        <w:sz w:val="24"/>
        <w:szCs w:val="24"/>
      </w:rPr>
      <w:t>| 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CF0B95"/>
    <w:multiLevelType w:val="hybridMultilevel"/>
    <w:tmpl w:val="82883828"/>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15:restartNumberingAfterBreak="0">
    <w:nsid w:val="1B7C0BAD"/>
    <w:multiLevelType w:val="hybridMultilevel"/>
    <w:tmpl w:val="FADC58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E085E91"/>
    <w:multiLevelType w:val="hybridMultilevel"/>
    <w:tmpl w:val="EB56E8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C613C72"/>
    <w:multiLevelType w:val="hybridMultilevel"/>
    <w:tmpl w:val="CCF8BE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0DBA"/>
    <w:rsid w:val="000148D4"/>
    <w:rsid w:val="00020965"/>
    <w:rsid w:val="00066BCA"/>
    <w:rsid w:val="001F44CA"/>
    <w:rsid w:val="004E5BF4"/>
    <w:rsid w:val="005E4B07"/>
    <w:rsid w:val="00645623"/>
    <w:rsid w:val="006B646C"/>
    <w:rsid w:val="0072453A"/>
    <w:rsid w:val="00772D25"/>
    <w:rsid w:val="007F5C5D"/>
    <w:rsid w:val="00812A51"/>
    <w:rsid w:val="00835E98"/>
    <w:rsid w:val="00900DBA"/>
    <w:rsid w:val="00A50587"/>
    <w:rsid w:val="00BE2CE2"/>
    <w:rsid w:val="00C93A7A"/>
    <w:rsid w:val="00CD61BB"/>
    <w:rsid w:val="00F4557E"/>
  </w:rsids>
  <m:mathPr>
    <m:mathFont m:val="Cambria Math"/>
    <m:brkBin m:val="before"/>
    <m:brkBinSub m:val="--"/>
    <m:smallFrac m:val="0"/>
    <m:dispDef/>
    <m:lMargin m:val="0"/>
    <m:rMargin m:val="0"/>
    <m:defJc m:val="centerGroup"/>
    <m:wrapIndent m:val="1440"/>
    <m:intLim m:val="subSup"/>
    <m:naryLim m:val="undOvr"/>
  </m:mathPr>
  <w:themeFontLang w:val="en-ID"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E4DD60"/>
  <w15:docId w15:val="{35811F6D-FAE1-464C-882C-5F04FCAD41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en-US" w:eastAsia="en-ID"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NormalWeb">
    <w:name w:val="Normal (Web)"/>
    <w:basedOn w:val="Normal"/>
    <w:uiPriority w:val="99"/>
    <w:semiHidden/>
    <w:unhideWhenUsed/>
    <w:rsid w:val="00C84021"/>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C91159"/>
    <w:pPr>
      <w:tabs>
        <w:tab w:val="center" w:pos="4680"/>
        <w:tab w:val="right" w:pos="9360"/>
      </w:tabs>
      <w:spacing w:after="0" w:line="240" w:lineRule="auto"/>
    </w:pPr>
  </w:style>
  <w:style w:type="character" w:customStyle="1" w:styleId="HeaderChar">
    <w:name w:val="Header Char"/>
    <w:basedOn w:val="DefaultParagraphFont"/>
    <w:link w:val="Header"/>
    <w:uiPriority w:val="99"/>
    <w:rsid w:val="00C91159"/>
  </w:style>
  <w:style w:type="paragraph" w:styleId="Footer">
    <w:name w:val="footer"/>
    <w:basedOn w:val="Normal"/>
    <w:link w:val="FooterChar"/>
    <w:uiPriority w:val="99"/>
    <w:unhideWhenUsed/>
    <w:rsid w:val="00C91159"/>
    <w:pPr>
      <w:tabs>
        <w:tab w:val="center" w:pos="4680"/>
        <w:tab w:val="right" w:pos="9360"/>
      </w:tabs>
      <w:spacing w:after="0" w:line="240" w:lineRule="auto"/>
    </w:pPr>
  </w:style>
  <w:style w:type="character" w:customStyle="1" w:styleId="FooterChar">
    <w:name w:val="Footer Char"/>
    <w:basedOn w:val="DefaultParagraphFont"/>
    <w:link w:val="Footer"/>
    <w:uiPriority w:val="99"/>
    <w:rsid w:val="00C91159"/>
  </w:style>
  <w:style w:type="character" w:styleId="Strong">
    <w:name w:val="Strong"/>
    <w:basedOn w:val="DefaultParagraphFont"/>
    <w:uiPriority w:val="22"/>
    <w:qFormat/>
    <w:rsid w:val="00C91159"/>
    <w:rPr>
      <w:b/>
      <w:bCs/>
    </w:rPr>
  </w:style>
  <w:style w:type="character" w:customStyle="1" w:styleId="tlid-translation">
    <w:name w:val="tlid-translation"/>
    <w:basedOn w:val="DefaultParagraphFont"/>
    <w:rsid w:val="006F132F"/>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5" w:type="dxa"/>
        <w:left w:w="15" w:type="dxa"/>
        <w:bottom w:w="15" w:type="dxa"/>
        <w:right w:w="15" w:type="dxa"/>
      </w:tblCellMar>
    </w:tblPr>
  </w:style>
  <w:style w:type="paragraph" w:styleId="ListParagraph">
    <w:name w:val="List Paragraph"/>
    <w:basedOn w:val="Normal"/>
    <w:uiPriority w:val="34"/>
    <w:qFormat/>
    <w:rsid w:val="000148D4"/>
    <w:pPr>
      <w:ind w:left="720"/>
      <w:contextualSpacing/>
    </w:pPr>
  </w:style>
  <w:style w:type="paragraph" w:styleId="Bibliography">
    <w:name w:val="Bibliography"/>
    <w:basedOn w:val="Normal"/>
    <w:next w:val="Normal"/>
    <w:uiPriority w:val="37"/>
    <w:unhideWhenUsed/>
    <w:rsid w:val="00066BCA"/>
    <w:pPr>
      <w:spacing w:after="0" w:line="480" w:lineRule="auto"/>
      <w:ind w:left="720" w:hanging="720"/>
    </w:pPr>
  </w:style>
  <w:style w:type="character" w:styleId="Hyperlink">
    <w:name w:val="Hyperlink"/>
    <w:basedOn w:val="DefaultParagraphFont"/>
    <w:uiPriority w:val="99"/>
    <w:unhideWhenUsed/>
    <w:rsid w:val="001F44CA"/>
    <w:rPr>
      <w:color w:val="0563C1" w:themeColor="hyperlink"/>
      <w:u w:val="single"/>
    </w:rPr>
  </w:style>
  <w:style w:type="character" w:styleId="UnresolvedMention">
    <w:name w:val="Unresolved Mention"/>
    <w:basedOn w:val="DefaultParagraphFont"/>
    <w:uiPriority w:val="99"/>
    <w:semiHidden/>
    <w:unhideWhenUsed/>
    <w:rsid w:val="001F44C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adamalfatih1991@gmail.com5" TargetMode="Externa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mailto:dnmasitho45@gmail.com4"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aryapratama445@gmail.com3"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mailto:mirwan@uinsa.ac.id*2" TargetMode="External"/><Relationship Id="rId4" Type="http://schemas.openxmlformats.org/officeDocument/2006/relationships/styles" Target="styles.xml"/><Relationship Id="rId9" Type="http://schemas.openxmlformats.org/officeDocument/2006/relationships/hyperlink" Target="mailto:hasimfuadmuhamad@gmail.com1"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h+cFzuPzrAGjTWeYY82wDuKadQ==">CgMxLjAyCGguZ2pkZ3hzOAByITFUcjlCTkZ0OC1XTDRHTVl0VWNObEp3ZFhXLWlIQnZLUA==</go:docsCustomData>
</go:gDocsCustomXmlDataStorage>
</file>

<file path=customXml/item2.xml><?xml version="1.0" encoding="utf-8"?>
<b:Sources xmlns:b="http://schemas.openxmlformats.org/officeDocument/2006/bibliography" xmlns="http://schemas.openxmlformats.org/officeDocument/2006/bibliography" SelectedStyle="\TURABIAN.XSL" StyleName="Turabian"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0DB55A6F-9B17-469F-98C9-D70C017D6C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19</Pages>
  <Words>25523</Words>
  <Characters>145482</Characters>
  <Application>Microsoft Office Word</Application>
  <DocSecurity>0</DocSecurity>
  <Lines>1212</Lines>
  <Paragraphs>341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Mobile</dc:creator>
  <cp:lastModifiedBy>R N huda</cp:lastModifiedBy>
  <cp:revision>3</cp:revision>
  <dcterms:created xsi:type="dcterms:W3CDTF">2025-07-28T04:25:00Z</dcterms:created>
  <dcterms:modified xsi:type="dcterms:W3CDTF">2025-07-28T04:27:00Z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5be2594f-e561-34f5-bb0f-37180cab9dc3</vt:lpwstr>
  </property>
  <property fmtid="{D5CDD505-2E9C-101B-9397-08002B2CF9AE}" pid="4" name="Mendeley Citation Style_1">
    <vt:lpwstr>http://www.zotero.org/styles/apa</vt:lpwstr>
  </property>
  <property fmtid="{D5CDD505-2E9C-101B-9397-08002B2CF9AE}" pid="5" name="Mendeley Recent Style Id 0_1">
    <vt:lpwstr>http://www.zotero.org/styles/apa</vt:lpwstr>
  </property>
  <property fmtid="{D5CDD505-2E9C-101B-9397-08002B2CF9AE}" pid="6" name="Mendeley Recent Style Name 0_1">
    <vt:lpwstr>American Psychological Association 7th edition</vt:lpwstr>
  </property>
  <property fmtid="{D5CDD505-2E9C-101B-9397-08002B2CF9AE}" pid="7" name="Mendeley Recent Style Id 1_1">
    <vt:lpwstr>http://www.zotero.org/styles/chicago-author-date</vt:lpwstr>
  </property>
  <property fmtid="{D5CDD505-2E9C-101B-9397-08002B2CF9AE}" pid="8" name="Mendeley Recent Style Name 1_1">
    <vt:lpwstr>Chicago Manual of Style 17th edition (author-date)</vt:lpwstr>
  </property>
  <property fmtid="{D5CDD505-2E9C-101B-9397-08002B2CF9AE}" pid="9" name="Mendeley Recent Style Id 2_1">
    <vt:lpwstr>http://www.zotero.org/styles/chicago-fullnote-bibliography</vt:lpwstr>
  </property>
  <property fmtid="{D5CDD505-2E9C-101B-9397-08002B2CF9AE}" pid="10" name="Mendeley Recent Style Name 2_1">
    <vt:lpwstr>Chicago Manual of Style 17th edition (full note)</vt:lpwstr>
  </property>
  <property fmtid="{D5CDD505-2E9C-101B-9397-08002B2CF9AE}" pid="11" name="Mendeley Recent Style Id 3_1">
    <vt:lpwstr>http://www.zotero.org/styles/ieee</vt:lpwstr>
  </property>
  <property fmtid="{D5CDD505-2E9C-101B-9397-08002B2CF9AE}" pid="12" name="Mendeley Recent Style Name 3_1">
    <vt:lpwstr>IEEE</vt:lpwstr>
  </property>
  <property fmtid="{D5CDD505-2E9C-101B-9397-08002B2CF9AE}" pid="13" name="Mendeley Recent Style Id 4_1">
    <vt:lpwstr>http://www.zotero.org/styles/modern-humanities-research-association</vt:lpwstr>
  </property>
  <property fmtid="{D5CDD505-2E9C-101B-9397-08002B2CF9AE}" pid="14" name="Mendeley Recent Style Name 4_1">
    <vt:lpwstr>Modern Humanities Research Association 3rd edition (note with bibliography)</vt:lpwstr>
  </property>
  <property fmtid="{D5CDD505-2E9C-101B-9397-08002B2CF9AE}" pid="15" name="Mendeley Recent Style Id 5_1">
    <vt:lpwstr>http://www.zotero.org/styles/modern-language-association</vt:lpwstr>
  </property>
  <property fmtid="{D5CDD505-2E9C-101B-9397-08002B2CF9AE}" pid="16" name="Mendeley Recent Style Name 5_1">
    <vt:lpwstr>Modern Language Association 9th edition</vt:lpwstr>
  </property>
  <property fmtid="{D5CDD505-2E9C-101B-9397-08002B2CF9AE}" pid="17" name="Mendeley Recent Style Id 6_1">
    <vt:lpwstr>http://www.zotero.org/styles/national-library-of-medicine</vt:lpwstr>
  </property>
  <property fmtid="{D5CDD505-2E9C-101B-9397-08002B2CF9AE}" pid="18" name="Mendeley Recent Style Name 6_1">
    <vt:lpwstr>National Library of Medicine</vt:lpwstr>
  </property>
  <property fmtid="{D5CDD505-2E9C-101B-9397-08002B2CF9AE}" pid="19" name="Mendeley Recent Style Id 7_1">
    <vt:lpwstr>http://www.zotero.org/styles/nature</vt:lpwstr>
  </property>
  <property fmtid="{D5CDD505-2E9C-101B-9397-08002B2CF9AE}" pid="20" name="Mendeley Recent Style Name 7_1">
    <vt:lpwstr>Nature</vt:lpwstr>
  </property>
  <property fmtid="{D5CDD505-2E9C-101B-9397-08002B2CF9AE}" pid="21" name="Mendeley Recent Style Id 8_1">
    <vt:lpwstr>http://www.zotero.org/styles/turabian-fullnote-bibliography</vt:lpwstr>
  </property>
  <property fmtid="{D5CDD505-2E9C-101B-9397-08002B2CF9AE}" pid="22" name="Mendeley Recent Style Name 8_1">
    <vt:lpwstr>Turabian 9th edition (full note)</vt:lpwstr>
  </property>
  <property fmtid="{D5CDD505-2E9C-101B-9397-08002B2CF9AE}" pid="23" name="Mendeley Recent Style Id 9_1">
    <vt:lpwstr>http://www.zotero.org/styles/vancouver</vt:lpwstr>
  </property>
  <property fmtid="{D5CDD505-2E9C-101B-9397-08002B2CF9AE}" pid="24" name="Mendeley Recent Style Name 9_1">
    <vt:lpwstr>Vancouver</vt:lpwstr>
  </property>
  <property fmtid="{D5CDD505-2E9C-101B-9397-08002B2CF9AE}" pid="25" name="ZOTERO_PREF_1">
    <vt:lpwstr>&lt;data data-version="3" zotero-version="7.0.20"&gt;&lt;session id="eqbFgLeb"/&gt;&lt;style id="http://www.zotero.org/styles/apa" locale="en-US" hasBibliography="1" bibliographyStyleHasBeenSet="1"/&gt;&lt;prefs&gt;&lt;pref name="fieldType" value="Field"/&gt;&lt;/prefs&gt;&lt;/data&gt;</vt:lpwstr>
  </property>
</Properties>
</file>